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auto"/>
          <w:sz w:val="52"/>
          <w:highlight w:val="none"/>
        </w:rPr>
      </w:pPr>
      <w:r>
        <w:rPr>
          <w:rFonts w:hint="eastAsia"/>
          <w:b/>
          <w:bCs/>
          <w:color w:val="auto"/>
          <w:sz w:val="52"/>
          <w:highlight w:val="none"/>
        </w:rPr>
      </w:r>
      <w:r/>
    </w:p>
    <w:p>
      <w:pPr>
        <w:jc w:val="center"/>
        <w:rPr>
          <w:rFonts w:hint="eastAsia" w:ascii="宋体" w:hAnsi="宋体"/>
          <w:b/>
          <w:bCs/>
          <w:color w:val="auto"/>
          <w:sz w:val="52"/>
          <w:highlight w:val="none"/>
        </w:rPr>
      </w:pPr>
      <w:r>
        <w:rPr>
          <w:rFonts w:hint="eastAsia" w:ascii="宋体" w:hAnsi="宋体"/>
          <w:b/>
          <w:bCs/>
          <w:color w:val="auto"/>
          <w:sz w:val="52"/>
          <w:highlight w:val="none"/>
        </w:rPr>
        <w:t xml:space="preserve">宜 兴 市 政 府 采 购</w:t>
      </w:r>
      <w:r/>
    </w:p>
    <w:p>
      <w:pPr>
        <w:jc w:val="center"/>
        <w:rPr>
          <w:rFonts w:hint="eastAsia" w:ascii="宋体" w:hAnsi="宋体"/>
          <w:b/>
          <w:bCs/>
          <w:color w:val="auto"/>
          <w:sz w:val="52"/>
          <w:highlight w:val="none"/>
        </w:rPr>
      </w:pPr>
      <w:r>
        <w:rPr>
          <w:rFonts w:hint="eastAsia" w:ascii="宋体" w:hAnsi="宋体"/>
          <w:b/>
          <w:bCs/>
          <w:color w:val="auto"/>
          <w:sz w:val="52"/>
          <w:highlight w:val="none"/>
        </w:rPr>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采</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购</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文</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件</w:t>
      </w:r>
      <w:r/>
    </w:p>
    <w:p>
      <w:pPr>
        <w:jc w:val="center"/>
        <w:rPr>
          <w:rFonts w:hint="eastAsia" w:ascii="黑体" w:hAnsi="黑体" w:eastAsia="黑体"/>
          <w:b/>
          <w:bCs/>
          <w:color w:val="auto"/>
          <w:sz w:val="84"/>
          <w:szCs w:val="84"/>
          <w:highlight w:val="none"/>
        </w:rPr>
      </w:pPr>
      <w:r>
        <w:rPr>
          <w:rFonts w:hint="eastAsia" w:ascii="宋体" w:hAnsi="宋体"/>
          <w:b/>
          <w:bCs/>
          <w:color w:val="auto"/>
          <w:sz w:val="84"/>
          <w:highlight w:val="none"/>
        </w:rPr>
        <w:t xml:space="preserve">（电子标）</w:t>
      </w:r>
      <w:r/>
    </w:p>
    <w:p>
      <w:pPr>
        <w:ind w:firstLine="960"/>
        <w:jc w:val="center"/>
        <w:rPr>
          <w:rFonts w:hint="eastAsia" w:ascii="宋体" w:hAnsi="宋体" w:eastAsia="宋体"/>
          <w:color w:val="auto"/>
          <w:sz w:val="32"/>
          <w:highlight w:val="none"/>
          <w:lang w:eastAsia="zh-CN"/>
        </w:rPr>
      </w:pPr>
      <w:r>
        <w:rPr>
          <w:rFonts w:hint="eastAsia" w:ascii="宋体" w:hAnsi="宋体"/>
          <w:color w:val="auto"/>
          <w:sz w:val="32"/>
          <w:highlight w:val="none"/>
        </w:rPr>
        <w:t xml:space="preserve">项目编号：</w:t>
      </w:r>
      <w:r>
        <w:rPr>
          <w:rFonts w:hint="eastAsia" w:ascii="宋体" w:hAnsi="宋体"/>
          <w:color w:val="auto"/>
          <w:sz w:val="32"/>
          <w:highlight w:val="none"/>
          <w:lang w:eastAsia="zh-CN"/>
        </w:rPr>
        <w:t xml:space="preserve">JSZC-320282-HCCG-D2026-0046</w:t>
      </w:r>
      <w:r/>
    </w:p>
    <w:p>
      <w:pPr>
        <w:ind w:firstLine="960"/>
        <w:jc w:val="center"/>
        <w:rPr>
          <w:rFonts w:hint="eastAsia" w:ascii="宋体" w:hAnsi="宋体" w:eastAsia="宋体"/>
          <w:color w:val="auto"/>
          <w:sz w:val="32"/>
          <w:highlight w:val="none"/>
          <w:lang w:eastAsia="zh-CN"/>
        </w:rPr>
      </w:pPr>
      <w:r>
        <w:rPr>
          <w:rFonts w:hint="eastAsia" w:ascii="宋体" w:hAnsi="宋体"/>
          <w:color w:val="auto"/>
          <w:sz w:val="32"/>
          <w:highlight w:val="none"/>
        </w:rPr>
        <w:t xml:space="preserve">采购人：</w:t>
      </w:r>
      <w:r>
        <w:rPr>
          <w:rFonts w:hint="eastAsia" w:ascii="宋体" w:hAnsi="宋体"/>
          <w:color w:val="auto"/>
          <w:sz w:val="32"/>
          <w:highlight w:val="none"/>
          <w:lang w:eastAsia="zh-CN"/>
        </w:rPr>
        <w:t xml:space="preserve">宜兴市水利局</w:t>
      </w:r>
      <w:r/>
    </w:p>
    <w:p>
      <w:pPr>
        <w:ind w:firstLine="960"/>
        <w:jc w:val="center"/>
        <w:rPr>
          <w:rFonts w:hint="eastAsia" w:ascii="宋体" w:hAnsi="宋体"/>
          <w:color w:val="auto"/>
          <w:sz w:val="32"/>
          <w:highlight w:val="none"/>
        </w:rPr>
      </w:pPr>
      <w:r>
        <w:rPr>
          <w:rFonts w:hint="eastAsia" w:ascii="宋体" w:hAnsi="宋体"/>
          <w:color w:val="auto"/>
          <w:sz w:val="32"/>
          <w:highlight w:val="none"/>
        </w:rPr>
        <w:t xml:space="preserve">项目名称：</w:t>
      </w:r>
      <w:r>
        <w:rPr>
          <w:rFonts w:hint="eastAsia" w:ascii="宋体" w:hAnsi="宋体"/>
          <w:color w:val="auto"/>
          <w:sz w:val="32"/>
          <w:highlight w:val="none"/>
          <w:lang w:eastAsia="zh-CN"/>
        </w:rPr>
        <w:t xml:space="preserve">2026-2029年太湖蓝藻防控运维服务</w:t>
      </w:r>
      <w:r>
        <w:rPr>
          <w:rFonts w:hint="eastAsia" w:ascii="宋体" w:hAnsi="宋体"/>
          <w:color w:val="auto"/>
          <w:sz w:val="32"/>
          <w:highlight w:val="none"/>
        </w:rPr>
        <w:t xml:space="preserve">项目</w:t>
      </w:r>
      <w:r/>
    </w:p>
    <w:p>
      <w:pPr>
        <w:ind w:firstLine="960"/>
        <w:jc w:val="center"/>
        <w:rPr>
          <w:rFonts w:hint="eastAsia" w:ascii="宋体" w:hAnsi="宋体" w:eastAsia="宋体"/>
          <w:color w:val="auto"/>
          <w:sz w:val="32"/>
          <w:highlight w:val="none"/>
          <w:lang w:eastAsia="zh-CN"/>
        </w:rPr>
      </w:pPr>
      <w:r>
        <w:rPr>
          <w:rFonts w:hint="eastAsia" w:ascii="宋体" w:hAnsi="宋体"/>
          <w:color w:val="auto"/>
          <w:sz w:val="32"/>
          <w:highlight w:val="none"/>
        </w:rPr>
        <w:t xml:space="preserve">采购代理机构：</w:t>
      </w:r>
      <w:r>
        <w:rPr>
          <w:rFonts w:hint="eastAsia" w:ascii="宋体" w:hAnsi="宋体"/>
          <w:color w:val="auto"/>
          <w:sz w:val="32"/>
          <w:highlight w:val="none"/>
          <w:lang w:eastAsia="zh-CN"/>
        </w:rPr>
        <w:t xml:space="preserve">江苏鸿成工程项目管理有限公司</w:t>
      </w:r>
      <w:r/>
    </w:p>
    <w:p>
      <w:pPr>
        <w:jc w:val="center"/>
        <w:rPr>
          <w:rFonts w:hint="eastAsia" w:ascii="宋体" w:hAnsi="宋体"/>
          <w:color w:val="auto"/>
          <w:sz w:val="32"/>
          <w:highlight w:val="none"/>
        </w:rPr>
      </w:pPr>
      <w:r>
        <w:rPr>
          <w:rFonts w:hint="eastAsia" w:ascii="宋体" w:hAnsi="宋体"/>
          <w:color w:val="auto"/>
          <w:sz w:val="32"/>
          <w:highlight w:val="none"/>
        </w:rPr>
        <w:t xml:space="preserve">202</w:t>
      </w:r>
      <w:r>
        <w:rPr>
          <w:rFonts w:hint="eastAsia" w:ascii="宋体" w:hAnsi="宋体"/>
          <w:color w:val="auto"/>
          <w:sz w:val="32"/>
          <w:highlight w:val="none"/>
          <w:lang w:val="en-US" w:eastAsia="zh-CN"/>
        </w:rPr>
        <w:t xml:space="preserve">6</w:t>
      </w:r>
      <w:r>
        <w:rPr>
          <w:rFonts w:hint="eastAsia" w:ascii="宋体" w:hAnsi="宋体"/>
          <w:color w:val="auto"/>
          <w:sz w:val="32"/>
          <w:highlight w:val="none"/>
        </w:rPr>
        <w:t xml:space="preserve">年</w:t>
      </w:r>
      <w:r>
        <w:rPr>
          <w:rFonts w:hint="eastAsia" w:ascii="宋体" w:hAnsi="宋体"/>
          <w:color w:val="auto"/>
          <w:sz w:val="32"/>
          <w:highlight w:val="none"/>
          <w:lang w:val="en-US" w:eastAsia="zh-CN"/>
        </w:rPr>
        <w:t xml:space="preserve">8</w:t>
      </w:r>
      <w:r>
        <w:rPr>
          <w:rFonts w:hint="eastAsia" w:ascii="宋体" w:hAnsi="宋体"/>
          <w:color w:val="auto"/>
          <w:sz w:val="32"/>
          <w:highlight w:val="none"/>
        </w:rPr>
        <w:t xml:space="preserve">月</w:t>
      </w:r>
      <w:r/>
    </w:p>
    <w:p>
      <w:pPr>
        <w:rPr>
          <w:rFonts w:hint="eastAsia"/>
          <w:color w:val="auto"/>
          <w:highlight w:val="none"/>
        </w:rPr>
      </w:pPr>
      <w:r>
        <w:rPr>
          <w:rFonts w:hint="eastAsia"/>
          <w:color w:val="auto"/>
          <w:highlight w:val="none"/>
        </w:rPr>
        <w:t xml:space="preserve">                </w:t>
      </w:r>
      <w:r/>
    </w:p>
    <w:p>
      <w:pPr>
        <w:rPr>
          <w:rFonts w:hint="eastAsia"/>
          <w:color w:val="auto"/>
          <w:highlight w:val="none"/>
        </w:rPr>
      </w:pPr>
      <w:r>
        <w:rPr>
          <w:rFonts w:hint="eastAsia"/>
          <w:color w:val="auto"/>
          <w:highlight w:val="none"/>
        </w:rPr>
        <w:t xml:space="preserve">                                                                              </w:t>
      </w:r>
      <w:r/>
    </w:p>
    <w:p>
      <w:pPr>
        <w:jc w:val="center"/>
        <w:rPr>
          <w:rStyle w:val="798"/>
          <w:rFonts w:eastAsia="黑体"/>
          <w:bCs/>
          <w:color w:val="auto"/>
          <w:sz w:val="48"/>
          <w:highlight w:val="none"/>
        </w:rPr>
        <w:sectPr>
          <w:headerReference w:type="default" r:id="rId9"/>
          <w:footerReference w:type="default" r:id="rId11"/>
          <w:footerReference w:type="first" r:id="rId12"/>
          <w:footnotePr/>
          <w:endnotePr/>
          <w:type w:val="nextPage"/>
          <w:pgSz w:w="11906" w:h="16838" w:orient="portrait"/>
          <w:pgMar w:top="1134" w:right="1134" w:bottom="1134" w:left="1134" w:header="851" w:footer="992" w:gutter="0"/>
          <w:cols w:num="1" w:sep="0" w:space="720" w:equalWidth="1"/>
          <w:docGrid w:linePitch="360"/>
        </w:sectPr>
      </w:pPr>
      <w:r>
        <w:rPr>
          <w:rFonts w:eastAsia="黑体"/>
          <w:bCs/>
          <w:color w:val="auto"/>
          <w:sz w:val="48"/>
          <w:highlight w:val="none"/>
        </w:rPr>
      </w:r>
      <w:r/>
    </w:p>
    <w:p>
      <w:pPr>
        <w:jc w:val="center"/>
        <w:rPr>
          <w:rStyle w:val="798"/>
          <w:rFonts w:hint="eastAsia" w:eastAsia="黑体"/>
          <w:bCs/>
          <w:color w:val="auto"/>
          <w:sz w:val="48"/>
          <w:highlight w:val="none"/>
        </w:rPr>
      </w:pPr>
      <w:r>
        <w:rPr>
          <w:rFonts w:hint="eastAsia" w:eastAsia="黑体"/>
          <w:bCs/>
          <w:color w:val="auto"/>
          <w:sz w:val="48"/>
          <w:highlight w:val="none"/>
        </w:rPr>
      </w:r>
      <w:r/>
    </w:p>
    <w:p>
      <w:pPr>
        <w:jc w:val="center"/>
        <w:rPr>
          <w:rStyle w:val="798"/>
          <w:rFonts w:eastAsia="黑体"/>
          <w:bCs/>
          <w:color w:val="auto"/>
          <w:sz w:val="48"/>
          <w:highlight w:val="none"/>
        </w:rPr>
      </w:pPr>
      <w:r>
        <w:rPr>
          <w:rStyle w:val="798"/>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789"/>
        <w:spacing w:line="360" w:lineRule="auto"/>
        <w:tabs>
          <w:tab w:val="right" w:pos="9638"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_Toc4974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第一章 报价邀请函</w:t>
      </w:r>
      <w:r>
        <w:rPr>
          <w:rFonts w:hint="eastAsia" w:ascii="黑体" w:hAnsi="黑体" w:eastAsia="黑体" w:cs="黑体"/>
          <w:color w:val="auto"/>
          <w:sz w:val="32"/>
          <w:szCs w:val="32"/>
          <w:highlight w:val="none"/>
        </w:rPr>
        <w:fldChar w:fldCharType="end"/>
      </w:r>
      <w:r/>
    </w:p>
    <w:p>
      <w:pPr>
        <w:pStyle w:val="789"/>
        <w:spacing w:line="360" w:lineRule="auto"/>
        <w:tabs>
          <w:tab w:val="right" w:pos="9638"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_Toc26754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第二章 供应商须知</w:t>
      </w:r>
      <w:r>
        <w:rPr>
          <w:rFonts w:hint="eastAsia" w:ascii="黑体" w:hAnsi="黑体" w:eastAsia="黑体" w:cs="黑体"/>
          <w:color w:val="auto"/>
          <w:sz w:val="32"/>
          <w:szCs w:val="32"/>
          <w:highlight w:val="none"/>
        </w:rPr>
        <w:fldChar w:fldCharType="end"/>
      </w:r>
      <w:r/>
    </w:p>
    <w:p>
      <w:pPr>
        <w:pStyle w:val="789"/>
        <w:spacing w:line="360" w:lineRule="auto"/>
        <w:tabs>
          <w:tab w:val="right" w:pos="9638"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_Toc2106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第三章 项目技术要求和有关说明</w:t>
      </w:r>
      <w:r>
        <w:rPr>
          <w:rFonts w:hint="eastAsia" w:ascii="黑体" w:hAnsi="黑体" w:eastAsia="黑体" w:cs="黑体"/>
          <w:color w:val="auto"/>
          <w:sz w:val="32"/>
          <w:szCs w:val="32"/>
          <w:highlight w:val="none"/>
        </w:rPr>
        <w:fldChar w:fldCharType="end"/>
      </w:r>
      <w:r/>
    </w:p>
    <w:p>
      <w:pPr>
        <w:pStyle w:val="789"/>
        <w:spacing w:line="360" w:lineRule="auto"/>
        <w:tabs>
          <w:tab w:val="right" w:pos="9638"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_Toc2535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第四章 政府采购合同（格式）</w:t>
      </w:r>
      <w:r>
        <w:rPr>
          <w:rFonts w:hint="eastAsia" w:ascii="黑体" w:hAnsi="黑体" w:eastAsia="黑体" w:cs="黑体"/>
          <w:color w:val="auto"/>
          <w:sz w:val="32"/>
          <w:szCs w:val="32"/>
          <w:highlight w:val="none"/>
        </w:rPr>
        <w:fldChar w:fldCharType="end"/>
      </w:r>
      <w:r/>
    </w:p>
    <w:p>
      <w:pPr>
        <w:pStyle w:val="789"/>
        <w:spacing w:line="360" w:lineRule="auto"/>
        <w:tabs>
          <w:tab w:val="right" w:pos="9638"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_Toc26960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第五章 响应文件（格式）</w:t>
      </w:r>
      <w:r>
        <w:rPr>
          <w:rFonts w:hint="eastAsia" w:ascii="黑体" w:hAnsi="黑体" w:eastAsia="黑体" w:cs="黑体"/>
          <w:color w:val="auto"/>
          <w:sz w:val="32"/>
          <w:szCs w:val="32"/>
          <w:highlight w:val="none"/>
        </w:rPr>
        <w:fldChar w:fldCharType="end"/>
      </w:r>
      <w:r/>
    </w:p>
    <w:p>
      <w:pPr>
        <w:pStyle w:val="789"/>
        <w:spacing w:line="360" w:lineRule="auto"/>
        <w:tabs>
          <w:tab w:val="right" w:pos="9638" w:leader="dot"/>
        </w:tabs>
        <w:rPr>
          <w:rFonts w:ascii="黑体" w:hAnsi="黑体" w:eastAsia="黑体"/>
          <w:color w:val="auto"/>
          <w:sz w:val="28"/>
          <w:highlight w:val="none"/>
        </w:rPr>
      </w:pPr>
      <w:r>
        <w:rPr>
          <w:rFonts w:hint="eastAsia" w:ascii="黑体" w:hAnsi="黑体" w:eastAsia="黑体" w:cs="黑体"/>
          <w:color w:val="auto"/>
          <w:sz w:val="32"/>
          <w:szCs w:val="32"/>
          <w:highlight w:val="none"/>
        </w:rPr>
        <w:fldChar w:fldCharType="end"/>
      </w:r>
      <w:bookmarkStart w:id="0" w:name="_Toc30211"/>
      <w:r/>
      <w:r/>
    </w:p>
    <w:p>
      <w:pPr>
        <w:jc w:val="center"/>
        <w:rPr>
          <w:rFonts w:hint="eastAsia" w:ascii="黑体" w:hAnsi="黑体" w:eastAsia="黑体"/>
          <w:color w:val="auto"/>
          <w:sz w:val="28"/>
          <w:highlight w:val="none"/>
        </w:rPr>
        <w:sectPr>
          <w:headerReference w:type="default" r:id="rId10"/>
          <w:footerReference w:type="default" r:id="rId13"/>
          <w:footnotePr/>
          <w:endnotePr/>
          <w:type w:val="nextPage"/>
          <w:pgSz w:w="11907" w:h="16840" w:orient="portrait"/>
          <w:pgMar w:top="1134" w:right="1134" w:bottom="1134" w:left="1134" w:header="851" w:footer="850" w:gutter="0"/>
          <w:pgNumType w:start="1"/>
          <w:cols w:num="1" w:sep="0" w:space="720" w:equalWidth="1"/>
          <w:docGrid w:linePitch="360"/>
        </w:sectPr>
        <w:outlineLvl w:val="0"/>
      </w:pPr>
      <w:r/>
      <w:bookmarkStart w:id="1" w:name="_Toc4974"/>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第一章 报价邀请函</w:t>
      </w:r>
      <w:bookmarkEnd w:id="0"/>
      <w:r/>
      <w:bookmarkEnd w:id="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宜兴市水利局</w:t>
      </w:r>
      <w:r>
        <w:rPr>
          <w:rFonts w:hint="eastAsia" w:ascii="宋体" w:hAnsi="宋体"/>
          <w:bCs/>
          <w:color w:val="auto"/>
          <w:sz w:val="24"/>
          <w:szCs w:val="24"/>
          <w:highlight w:val="none"/>
        </w:rPr>
        <w:t xml:space="preserve">对</w:t>
      </w:r>
      <w:r>
        <w:rPr>
          <w:rFonts w:hint="eastAsia" w:ascii="宋体" w:hAnsi="宋体"/>
          <w:color w:val="auto"/>
          <w:sz w:val="24"/>
          <w:szCs w:val="28"/>
          <w:highlight w:val="none"/>
          <w:lang w:eastAsia="zh-CN"/>
        </w:rPr>
        <w:t xml:space="preserve">2026-2029年太湖蓝藻防控运维服务</w:t>
      </w:r>
      <w:r>
        <w:rPr>
          <w:rFonts w:hint="eastAsia" w:ascii="宋体" w:hAnsi="宋体"/>
          <w:color w:val="auto"/>
          <w:sz w:val="24"/>
          <w:szCs w:val="28"/>
          <w:highlight w:val="none"/>
        </w:rPr>
        <w:t xml:space="preserve">项目</w:t>
      </w:r>
      <w:r>
        <w:rPr>
          <w:rFonts w:hint="eastAsia" w:ascii="宋体" w:hAnsi="宋体"/>
          <w:bCs/>
          <w:color w:val="auto"/>
          <w:sz w:val="24"/>
          <w:szCs w:val="24"/>
          <w:highlight w:val="none"/>
        </w:rPr>
        <w:t xml:space="preserve">进行</w:t>
      </w:r>
      <w:r>
        <w:rPr>
          <w:rFonts w:hint="eastAsia" w:ascii="宋体" w:hAnsi="宋体"/>
          <w:color w:val="auto"/>
          <w:sz w:val="24"/>
          <w:szCs w:val="28"/>
          <w:highlight w:val="none"/>
        </w:rPr>
        <w:t xml:space="preserve">单一来源采购方式采购，由单一来源采购人员与贵单位在保证采购项目质量的基础上，商定合理的成交价格</w:t>
      </w:r>
      <w:r>
        <w:rPr>
          <w:rFonts w:hint="eastAsia" w:ascii="宋体" w:hAnsi="宋体"/>
          <w:color w:val="auto"/>
          <w:sz w:val="24"/>
          <w:szCs w:val="28"/>
          <w:highlight w:val="none"/>
          <w:lang w:eastAsia="zh-CN"/>
        </w:rPr>
        <w:t xml:space="preserve">，</w:t>
      </w:r>
      <w:r>
        <w:rPr>
          <w:rFonts w:hint="eastAsia" w:ascii="宋体" w:hAnsi="宋体"/>
          <w:bCs/>
          <w:color w:val="auto"/>
          <w:sz w:val="24"/>
          <w:szCs w:val="24"/>
          <w:highlight w:val="none"/>
        </w:rPr>
        <w:t xml:space="preserve">提请注意下列附表中的相关事项。</w:t>
      </w:r>
      <w:r/>
    </w:p>
    <w:tbl>
      <w:tblPr>
        <w:tblStyle w:val="780"/>
        <w:tblW w:w="10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610"/>
        <w:gridCol w:w="2156"/>
        <w:gridCol w:w="6515"/>
      </w:tblGrid>
      <w:tr>
        <w:trPr>
          <w:jc w:val="center"/>
        </w:trPr>
        <w:tc>
          <w:tcPr>
            <w:tcW w:w="724" w:type="dxa"/>
            <w:vAlign w:val="top"/>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gridSpan w:val="3"/>
            <w:tcW w:w="9281" w:type="dxa"/>
            <w:vAlign w:val="top"/>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Pr>
        <w:tc>
          <w:tcPr>
            <w:tcW w:w="72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610" w:type="dxa"/>
            <w:vAlign w:val="center"/>
            <w:textDirection w:val="lrTb"/>
            <w:noWrap w:val="false"/>
          </w:tcPr>
          <w:p>
            <w:pPr>
              <w:jc w:val="center"/>
              <w:rPr>
                <w:rFonts w:ascii="宋体" w:hAnsi="宋体"/>
                <w:bCs/>
                <w:color w:val="auto"/>
                <w:sz w:val="24"/>
                <w:szCs w:val="24"/>
                <w:highlight w:val="none"/>
              </w:rPr>
            </w:pPr>
            <w:r/>
            <w:bookmarkStart w:id="2" w:name="OLE_LINK64"/>
            <w:r>
              <w:rPr>
                <w:rFonts w:hint="eastAsia" w:ascii="宋体" w:hAnsi="宋体" w:cs="宋体"/>
                <w:b/>
                <w:bCs/>
                <w:color w:val="auto"/>
                <w:sz w:val="24"/>
                <w:highlight w:val="none"/>
                <w:lang w:val="zh-CN"/>
              </w:rPr>
              <w:t xml:space="preserve">项目信息</w:t>
            </w:r>
            <w:r/>
          </w:p>
        </w:tc>
        <w:tc>
          <w:tcPr>
            <w:gridSpan w:val="2"/>
            <w:tcW w:w="8671"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宜兴市水利局</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江苏鸿成工程项目管理有限公司</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color w:val="auto"/>
                <w:sz w:val="24"/>
                <w:szCs w:val="28"/>
                <w:highlight w:val="none"/>
                <w:lang w:eastAsia="zh-CN"/>
              </w:rPr>
              <w:t xml:space="preserve">2026-2029年太湖蓝藻防控运维服务</w:t>
            </w:r>
            <w:r>
              <w:rPr>
                <w:rFonts w:hint="eastAsia" w:ascii="宋体" w:hAnsi="宋体"/>
                <w:color w:val="auto"/>
                <w:sz w:val="24"/>
                <w:szCs w:val="28"/>
                <w:highlight w:val="none"/>
              </w:rPr>
              <w:t xml:space="preserve">项目</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eastAsia="zh-CN"/>
              </w:rPr>
              <w:t xml:space="preserve">JSZC-320282-HCCG-D2026-0046</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项目类型：服务类                         </w:t>
            </w:r>
            <w:r/>
          </w:p>
          <w:p>
            <w:pPr>
              <w:jc w:val="left"/>
              <w:spacing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p>
          <w:p>
            <w:pPr>
              <w:jc w:val="left"/>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采购方式：</w:t>
            </w:r>
            <w:r>
              <w:rPr>
                <w:rFonts w:hint="eastAsia" w:ascii="宋体" w:hAnsi="宋体"/>
                <w:color w:val="auto"/>
                <w:sz w:val="24"/>
                <w:szCs w:val="28"/>
                <w:highlight w:val="none"/>
              </w:rPr>
              <w:t xml:space="preserve">单一来源</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评审方法：参照最低评标价法</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采购标的所属行业：其他</w:t>
            </w:r>
            <w:r>
              <w:rPr>
                <w:rFonts w:hint="eastAsia" w:ascii="宋体" w:hAnsi="宋体"/>
                <w:bCs/>
                <w:color w:val="auto"/>
                <w:sz w:val="24"/>
                <w:szCs w:val="24"/>
                <w:highlight w:val="none"/>
                <w:lang w:val="en-US" w:eastAsia="zh-CN"/>
              </w:rPr>
              <w:t xml:space="preserve">未</w:t>
            </w:r>
            <w:r>
              <w:rPr>
                <w:rFonts w:hint="eastAsia" w:ascii="宋体" w:hAnsi="宋体"/>
                <w:bCs/>
                <w:color w:val="auto"/>
                <w:sz w:val="24"/>
                <w:szCs w:val="24"/>
                <w:highlight w:val="none"/>
              </w:rPr>
              <w:t xml:space="preserve">列明行业</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集中考察或答疑：无</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本项目不接受联合体</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，接受</w:t>
            </w:r>
            <w:r>
              <w:rPr>
                <w:rFonts w:hint="eastAsia" w:ascii="宋体" w:hAnsi="宋体"/>
                <w:bCs/>
                <w:color w:val="auto"/>
                <w:sz w:val="24"/>
                <w:szCs w:val="24"/>
                <w:highlight w:val="none"/>
                <w:lang w:val="en-US" w:eastAsia="zh-CN"/>
              </w:rPr>
              <w:t xml:space="preserve">成交后分包</w:t>
            </w:r>
            <w:r>
              <w:rPr>
                <w:rFonts w:hint="eastAsia" w:ascii="宋体" w:hAnsi="宋体"/>
                <w:bCs/>
                <w:color w:val="auto"/>
                <w:sz w:val="24"/>
                <w:szCs w:val="24"/>
                <w:highlight w:val="none"/>
              </w:rPr>
              <w:t xml:space="preserve">。  </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本项目预算为：</w:t>
            </w:r>
            <w:bookmarkEnd w:id="2"/>
            <w:r>
              <w:rPr>
                <w:rFonts w:hint="eastAsia" w:ascii="宋体" w:hAnsi="宋体"/>
                <w:bCs/>
                <w:sz w:val="24"/>
                <w:szCs w:val="24"/>
                <w:highlight w:val="none"/>
                <w:lang w:val="en-US" w:eastAsia="zh-CN"/>
              </w:rPr>
              <w:t xml:space="preserve">22507.26万元</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最高</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限价： </w:t>
            </w:r>
            <w:r/>
          </w:p>
          <w:tbl>
            <w:tblPr>
              <w:tblStyle w:val="79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28"/>
              <w:gridCol w:w="723"/>
              <w:gridCol w:w="659"/>
              <w:gridCol w:w="848"/>
              <w:gridCol w:w="676"/>
              <w:gridCol w:w="770"/>
              <w:gridCol w:w="890"/>
              <w:gridCol w:w="816"/>
              <w:gridCol w:w="743"/>
              <w:gridCol w:w="1027"/>
            </w:tblGrid>
            <w:tr>
              <w:trPr>
                <w:trHeight w:val="407"/>
                <w:tblHeader/>
              </w:trPr>
              <w:tc>
                <w:tcPr>
                  <w:gridSpan w:val="2"/>
                  <w:tcW w:w="764" w:type="pct"/>
                  <w:vAlign w:val="center"/>
                  <w:vMerge w:val="restart"/>
                  <w:textDirection w:val="lrTb"/>
                  <w:noWrap w:val="false"/>
                </w:tcPr>
                <w:p>
                  <w:pPr>
                    <w:ind w:left="0" w:right="0" w:firstLine="0"/>
                    <w:jc w:val="center"/>
                    <w:rPr>
                      <w:rFonts w:hint="default"/>
                      <w:b/>
                      <w:sz w:val="18"/>
                      <w:szCs w:val="18"/>
                      <w:highlight w:val="none"/>
                      <w:vertAlign w:val="baseline"/>
                      <w:lang w:val="en-US" w:eastAsia="zh-CN"/>
                    </w:rPr>
                  </w:pPr>
                  <w:r>
                    <w:rPr>
                      <w:b/>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-55196</wp:posOffset>
                            </wp:positionH>
                            <wp:positionV relativeFrom="paragraph">
                              <wp:posOffset>18708</wp:posOffset>
                            </wp:positionV>
                            <wp:extent cx="812800" cy="1017905"/>
                            <wp:effectExtent l="10160" t="7620" r="15240" b="22225"/>
                            <wp:wrapNone/>
                            <wp:docPr id="3" name="直接连接符 5"/>
                            <wp:cNvGraphicFramePr/>
                            <a:graphic xmlns:a="http://schemas.openxmlformats.org/drawingml/2006/main">
                              <a:graphicData uri="http://schemas.microsoft.com/office/word/2010/wordprocessingShape">
                                <wps:wsp>
                                  <wps:cNvPr id="0" name=""/>
                                  <wps:cNvSpPr/>
                                  <wps:spPr bwMode="auto">
                                    <a:xfrm>
                                      <a:off x="0" y="0"/>
                                      <a:ext cx="812800" cy="1017905"/>
                                    </a:xfrm>
                                    <a:prstGeom prst="line">
                                      <a:avLst/>
                                    </a:prstGeom>
                                    <a:noFill/>
                                    <a:ln w="25400" cap="flat" cmpd="sng" algn="ctr">
                                      <a:solidFill>
                                        <a:srgbClr val="4F81BD"/>
                                      </a:solidFill>
                                      <a:prstDash val="solid"/>
                                    </a:ln>
                                    <a:effectLst/>
                                  </wps:spPr>
                                  <wps:bodyPr rot="0">
                                    <a:prstTxWarp prst="textNoShape">
                                      <a:avLst/>
                                    </a:prstTxWarp>
                                    <a:noAutofit/>
                                  </wps:bodyPr>
                                </wps:wsp>
                              </a:graphicData>
                            </a:graphic>
                          </wp:anchor>
                        </w:drawing>
                      </mc:Choice>
                      <mc:Fallback>
                        <w:pict>
                          <v:line id="shape 2" o:spid="_x0000_s2" style="position:absolute;left:0;text-align:left;z-index:251663360;mso-wrap-distance-left:9.0pt;mso-wrap-distance-top:0.0pt;mso-wrap-distance-right:9.0pt;mso-wrap-distance-bottom:0.0pt;visibility:visible;" from="-4.3pt,1.5pt" to="59.7pt,81.6pt" filled="f" strokecolor="#4F81BD" strokeweight="2.00pt">
                            <v:stroke dashstyle="solid"/>
                          </v:line>
                        </w:pict>
                      </mc:Fallback>
                    </mc:AlternateContent>
                  </w:r>
                  <w:r>
                    <w:rPr>
                      <w:rFonts w:hint="eastAsia" w:ascii="宋体" w:hAnsi="宋体"/>
                      <w:bCs/>
                      <w:sz w:val="18"/>
                      <w:szCs w:val="18"/>
                      <w:highlight w:val="none"/>
                    </w:rPr>
                    <w:t xml:space="preserve">    </w:t>
                  </w:r>
                  <w:r>
                    <w:rPr>
                      <w:rFonts w:hint="eastAsia"/>
                      <w:b/>
                      <w:sz w:val="18"/>
                      <w:szCs w:val="18"/>
                      <w:highlight w:val="none"/>
                      <w:vertAlign w:val="baseline"/>
                      <w:lang w:val="en-US" w:eastAsia="zh-CN"/>
                    </w:rPr>
                    <w:t xml:space="preserve">限价</w:t>
                  </w:r>
                  <w:r/>
                </w:p>
                <w:p>
                  <w:pPr>
                    <w:ind w:left="0" w:right="0" w:firstLine="0"/>
                    <w:jc w:val="center"/>
                    <w:rPr>
                      <w:rFonts w:hint="eastAsia"/>
                      <w:b/>
                      <w:sz w:val="18"/>
                      <w:szCs w:val="18"/>
                      <w:highlight w:val="none"/>
                      <w:vertAlign w:val="baseline"/>
                      <w:lang w:val="en-US" w:eastAsia="zh-CN"/>
                    </w:rPr>
                  </w:pPr>
                  <w:r>
                    <w:rPr>
                      <w:rFonts w:hint="eastAsia"/>
                      <w:b/>
                      <w:sz w:val="18"/>
                      <w:szCs w:val="18"/>
                      <w:highlight w:val="none"/>
                      <w:vertAlign w:val="baseline"/>
                      <w:lang w:val="en-US" w:eastAsia="zh-CN"/>
                    </w:rPr>
                  </w:r>
                  <w:r/>
                </w:p>
                <w:p>
                  <w:pPr>
                    <w:ind w:left="0" w:right="0" w:firstLine="0"/>
                    <w:jc w:val="both"/>
                    <w:rPr>
                      <w:rFonts w:hint="eastAsia"/>
                      <w:b/>
                      <w:sz w:val="18"/>
                      <w:szCs w:val="18"/>
                      <w:highlight w:val="none"/>
                      <w:vertAlign w:val="baseline"/>
                      <w:lang w:val="en-US" w:eastAsia="zh-CN"/>
                    </w:rPr>
                  </w:pPr>
                  <w:r>
                    <w:rPr>
                      <w:rFonts w:hint="eastAsia"/>
                      <w:b/>
                      <w:sz w:val="18"/>
                      <w:szCs w:val="18"/>
                      <w:highlight w:val="none"/>
                      <w:vertAlign w:val="baseline"/>
                      <w:lang w:val="en-US" w:eastAsia="zh-CN"/>
                    </w:rPr>
                  </w:r>
                  <w:r/>
                </w:p>
                <w:p>
                  <w:pPr>
                    <w:ind w:left="0" w:right="0" w:firstLine="0"/>
                    <w:jc w:val="both"/>
                    <w:rPr>
                      <w:rFonts w:hint="eastAsia"/>
                      <w:b/>
                      <w:sz w:val="18"/>
                      <w:szCs w:val="18"/>
                      <w:highlight w:val="none"/>
                      <w:vertAlign w:val="baseline"/>
                      <w:lang w:val="en-US" w:eastAsia="zh-CN"/>
                    </w:rPr>
                  </w:pPr>
                  <w:r>
                    <w:rPr>
                      <w:rFonts w:hint="eastAsia"/>
                      <w:b/>
                      <w:sz w:val="18"/>
                      <w:szCs w:val="18"/>
                      <w:highlight w:val="none"/>
                      <w:vertAlign w:val="baseline"/>
                      <w:lang w:val="en-US" w:eastAsia="zh-CN"/>
                    </w:rPr>
                  </w:r>
                  <w:r/>
                </w:p>
                <w:p>
                  <w:pPr>
                    <w:ind w:left="0" w:right="0" w:firstLine="0"/>
                    <w:jc w:val="both"/>
                    <w:rPr>
                      <w:rFonts w:hint="eastAsia"/>
                      <w:b/>
                      <w:sz w:val="18"/>
                      <w:szCs w:val="18"/>
                      <w:highlight w:val="none"/>
                      <w:vertAlign w:val="baseline"/>
                      <w:lang w:val="en-US" w:eastAsia="zh-CN"/>
                    </w:rPr>
                  </w:pPr>
                  <w:r>
                    <w:rPr>
                      <w:rFonts w:hint="eastAsia"/>
                      <w:b/>
                      <w:sz w:val="18"/>
                      <w:szCs w:val="18"/>
                      <w:highlight w:val="none"/>
                      <w:vertAlign w:val="baseline"/>
                      <w:lang w:val="en-US" w:eastAsia="zh-CN"/>
                    </w:rPr>
                  </w:r>
                  <w:r/>
                </w:p>
                <w:p>
                  <w:pPr>
                    <w:ind w:left="0" w:right="0" w:firstLine="0"/>
                    <w:jc w:val="both"/>
                    <w:rPr>
                      <w:rFonts w:hint="default"/>
                      <w:b/>
                      <w:sz w:val="18"/>
                      <w:szCs w:val="18"/>
                      <w:highlight w:val="none"/>
                      <w:vertAlign w:val="baseline"/>
                      <w:lang w:val="en-US"/>
                    </w:rPr>
                  </w:pPr>
                  <w:r>
                    <w:rPr>
                      <w:rFonts w:hint="eastAsia"/>
                      <w:b/>
                      <w:sz w:val="18"/>
                      <w:szCs w:val="18"/>
                      <w:highlight w:val="none"/>
                      <w:vertAlign w:val="baseline"/>
                      <w:lang w:val="en-US" w:eastAsia="zh-CN"/>
                    </w:rPr>
                    <w:t xml:space="preserve">项目名称</w:t>
                  </w:r>
                  <w:r/>
                </w:p>
              </w:tc>
              <w:tc>
                <w:tcPr>
                  <w:gridSpan w:val="3"/>
                  <w:tcW w:w="1320" w:type="pct"/>
                  <w:vAlign w:val="center"/>
                  <w:textDirection w:val="lrTb"/>
                  <w:noWrap w:val="false"/>
                </w:tcPr>
                <w:p>
                  <w:pPr>
                    <w:ind w:left="0" w:right="0" w:firstLine="0"/>
                    <w:jc w:val="center"/>
                    <w:rPr>
                      <w:rFonts w:hint="eastAsia" w:eastAsia="宋体"/>
                      <w:b/>
                      <w:sz w:val="18"/>
                      <w:szCs w:val="18"/>
                      <w:highlight w:val="none"/>
                      <w:vertAlign w:val="baseline"/>
                      <w:lang w:val="en-US" w:eastAsia="zh-CN"/>
                    </w:rPr>
                  </w:pPr>
                  <w:r>
                    <w:rPr>
                      <w:rFonts w:hint="eastAsia"/>
                      <w:b/>
                      <w:sz w:val="18"/>
                      <w:szCs w:val="18"/>
                      <w:highlight w:val="none"/>
                      <w:vertAlign w:val="baseline"/>
                      <w:lang w:val="en-US" w:eastAsia="zh-CN"/>
                    </w:rPr>
                    <w:t xml:space="preserve">第一年（2026.8-2027.7）</w:t>
                  </w:r>
                  <w:r/>
                </w:p>
              </w:tc>
              <w:tc>
                <w:tcPr>
                  <w:gridSpan w:val="3"/>
                  <w:tcW w:w="1383" w:type="pct"/>
                  <w:vAlign w:val="center"/>
                  <w:textDirection w:val="lrTb"/>
                  <w:noWrap w:val="false"/>
                </w:tcPr>
                <w:p>
                  <w:pPr>
                    <w:ind w:left="0" w:right="0" w:firstLine="0"/>
                    <w:jc w:val="center"/>
                    <w:rPr>
                      <w:rFonts w:hint="eastAsia" w:eastAsia="宋体"/>
                      <w:b/>
                      <w:sz w:val="18"/>
                      <w:szCs w:val="18"/>
                      <w:highlight w:val="none"/>
                      <w:vertAlign w:val="baseline"/>
                      <w:lang w:val="en-US" w:eastAsia="zh-CN"/>
                    </w:rPr>
                  </w:pPr>
                  <w:r>
                    <w:rPr>
                      <w:rFonts w:hint="eastAsia"/>
                      <w:b/>
                      <w:sz w:val="18"/>
                      <w:szCs w:val="18"/>
                      <w:highlight w:val="none"/>
                      <w:vertAlign w:val="baseline"/>
                      <w:lang w:val="en-US" w:eastAsia="zh-CN"/>
                    </w:rPr>
                    <w:t xml:space="preserve">第二年（2027.8-2028.7）</w:t>
                  </w:r>
                  <w:r/>
                </w:p>
              </w:tc>
              <w:tc>
                <w:tcPr>
                  <w:gridSpan w:val="3"/>
                  <w:tcW w:w="1531" w:type="pct"/>
                  <w:vAlign w:val="center"/>
                  <w:textDirection w:val="lrTb"/>
                  <w:noWrap w:val="false"/>
                </w:tcPr>
                <w:p>
                  <w:pPr>
                    <w:ind w:left="0" w:right="0" w:firstLine="0"/>
                    <w:jc w:val="center"/>
                    <w:rPr>
                      <w:rFonts w:hint="eastAsia" w:eastAsia="宋体"/>
                      <w:b/>
                      <w:sz w:val="18"/>
                      <w:szCs w:val="18"/>
                      <w:highlight w:val="none"/>
                      <w:vertAlign w:val="baseline"/>
                      <w:lang w:val="en-US" w:eastAsia="zh-CN"/>
                    </w:rPr>
                  </w:pPr>
                  <w:r>
                    <w:rPr>
                      <w:rFonts w:hint="eastAsia"/>
                      <w:b/>
                      <w:sz w:val="18"/>
                      <w:szCs w:val="18"/>
                      <w:highlight w:val="none"/>
                      <w:vertAlign w:val="baseline"/>
                      <w:lang w:val="en-US" w:eastAsia="zh-CN"/>
                    </w:rPr>
                    <w:t xml:space="preserve">第三年（2028.8-2029.7）</w:t>
                  </w:r>
                  <w:r/>
                </w:p>
              </w:tc>
            </w:tr>
            <w:tr>
              <w:trPr>
                <w:trHeight w:val="1187"/>
                <w:tblHeader/>
              </w:trPr>
              <w:tc>
                <w:tcPr>
                  <w:gridSpan w:val="2"/>
                  <w:tcW w:w="764" w:type="pct"/>
                  <w:vAlign w:val="center"/>
                  <w:vMerge w:val="continue"/>
                  <w:textDirection w:val="lrTb"/>
                  <w:noWrap w:val="false"/>
                </w:tcPr>
                <w:p>
                  <w:pPr>
                    <w:ind w:left="0" w:right="0" w:firstLine="0"/>
                    <w:jc w:val="center"/>
                    <w:rPr>
                      <w:b/>
                      <w:sz w:val="18"/>
                      <w:szCs w:val="18"/>
                      <w:highlight w:val="none"/>
                      <w:vertAlign w:val="baseline"/>
                    </w:rPr>
                  </w:pPr>
                  <w:r>
                    <w:rPr>
                      <w:b/>
                      <w:sz w:val="18"/>
                      <w:szCs w:val="18"/>
                      <w:highlight w:val="none"/>
                      <w:vertAlign w:val="baseline"/>
                    </w:rPr>
                  </w:r>
                  <w:r/>
                </w:p>
              </w:tc>
              <w:tc>
                <w:tcPr>
                  <w:tcW w:w="428" w:type="pct"/>
                  <w:vAlign w:val="center"/>
                  <w:textDirection w:val="lrTb"/>
                  <w:noWrap w:val="false"/>
                </w:tcPr>
                <w:p>
                  <w:pPr>
                    <w:ind w:left="0" w:right="0" w:firstLine="0"/>
                    <w:jc w:val="center"/>
                    <w:rPr>
                      <w:rFonts w:hint="default" w:eastAsia="宋体"/>
                      <w:b/>
                      <w:sz w:val="18"/>
                      <w:szCs w:val="18"/>
                      <w:highlight w:val="none"/>
                      <w:vertAlign w:val="baseline"/>
                      <w:lang w:val="en-US" w:eastAsia="zh-CN"/>
                    </w:rPr>
                  </w:pPr>
                  <w:r>
                    <w:rPr>
                      <w:rFonts w:hint="eastAsia"/>
                      <w:b/>
                      <w:sz w:val="18"/>
                      <w:szCs w:val="18"/>
                      <w:highlight w:val="none"/>
                      <w:vertAlign w:val="baseline"/>
                      <w:lang w:val="en-US" w:eastAsia="zh-CN"/>
                    </w:rPr>
                    <w:t xml:space="preserve">单价</w:t>
                  </w:r>
                  <w:r/>
                </w:p>
              </w:tc>
              <w:tc>
                <w:tcPr>
                  <w:tcW w:w="390" w:type="pct"/>
                  <w:vAlign w:val="center"/>
                  <w:textDirection w:val="lrTb"/>
                  <w:noWrap w:val="false"/>
                </w:tcPr>
                <w:p>
                  <w:pPr>
                    <w:ind w:left="0" w:right="0" w:firstLine="0"/>
                    <w:jc w:val="center"/>
                    <w:rPr>
                      <w:rFonts w:hint="default"/>
                      <w:b/>
                      <w:sz w:val="18"/>
                      <w:szCs w:val="18"/>
                      <w:highlight w:val="none"/>
                      <w:vertAlign w:val="baseline"/>
                      <w:lang w:val="en-US" w:eastAsia="zh-CN"/>
                    </w:rPr>
                  </w:pPr>
                  <w:r>
                    <w:rPr>
                      <w:rFonts w:hint="eastAsia"/>
                      <w:b/>
                      <w:sz w:val="18"/>
                      <w:szCs w:val="18"/>
                      <w:highlight w:val="none"/>
                      <w:vertAlign w:val="baseline"/>
                      <w:lang w:val="en-US" w:eastAsia="zh-CN"/>
                    </w:rPr>
                    <w:t xml:space="preserve">暂估量（万吨）</w:t>
                  </w:r>
                  <w:r/>
                </w:p>
              </w:tc>
              <w:tc>
                <w:tcPr>
                  <w:tcW w:w="502" w:type="pct"/>
                  <w:vAlign w:val="center"/>
                  <w:textDirection w:val="lrTb"/>
                  <w:noWrap w:val="false"/>
                </w:tcPr>
                <w:p>
                  <w:pPr>
                    <w:ind w:left="0" w:right="0" w:firstLine="0"/>
                    <w:jc w:val="center"/>
                    <w:rPr>
                      <w:rFonts w:hint="eastAsia" w:eastAsia="宋体"/>
                      <w:b/>
                      <w:sz w:val="18"/>
                      <w:szCs w:val="18"/>
                      <w:highlight w:val="none"/>
                      <w:vertAlign w:val="baseline"/>
                      <w:lang w:val="en-US" w:eastAsia="zh-CN"/>
                    </w:rPr>
                  </w:pPr>
                  <w:r>
                    <w:rPr>
                      <w:rFonts w:hint="eastAsia"/>
                      <w:b/>
                      <w:sz w:val="18"/>
                      <w:szCs w:val="18"/>
                      <w:highlight w:val="none"/>
                      <w:vertAlign w:val="baseline"/>
                      <w:lang w:val="en-US" w:eastAsia="zh-CN"/>
                    </w:rPr>
                    <w:t xml:space="preserve">总价（万元/年）</w:t>
                  </w:r>
                  <w:r/>
                </w:p>
              </w:tc>
              <w:tc>
                <w:tcPr>
                  <w:tcW w:w="400" w:type="pct"/>
                  <w:vAlign w:val="center"/>
                  <w:textDirection w:val="lrTb"/>
                  <w:noWrap w:val="false"/>
                </w:tcPr>
                <w:p>
                  <w:pPr>
                    <w:ind w:left="0" w:right="0" w:firstLine="0"/>
                    <w:jc w:val="center"/>
                    <w:rPr>
                      <w:b/>
                      <w:sz w:val="18"/>
                      <w:szCs w:val="18"/>
                      <w:highlight w:val="none"/>
                      <w:vertAlign w:val="baseline"/>
                    </w:rPr>
                  </w:pPr>
                  <w:r>
                    <w:rPr>
                      <w:rFonts w:hint="eastAsia"/>
                      <w:b/>
                      <w:sz w:val="18"/>
                      <w:szCs w:val="18"/>
                      <w:highlight w:val="none"/>
                      <w:vertAlign w:val="baseline"/>
                      <w:lang w:val="en-US" w:eastAsia="zh-CN"/>
                    </w:rPr>
                    <w:t xml:space="preserve">单价</w:t>
                  </w:r>
                  <w:r/>
                </w:p>
              </w:tc>
              <w:tc>
                <w:tcPr>
                  <w:tcW w:w="456" w:type="pct"/>
                  <w:vAlign w:val="center"/>
                  <w:textDirection w:val="lrTb"/>
                  <w:noWrap w:val="false"/>
                </w:tcPr>
                <w:p>
                  <w:pPr>
                    <w:ind w:left="0" w:right="0" w:firstLine="0"/>
                    <w:jc w:val="center"/>
                    <w:rPr>
                      <w:rFonts w:hint="eastAsia"/>
                      <w:b/>
                      <w:sz w:val="18"/>
                      <w:szCs w:val="18"/>
                      <w:highlight w:val="none"/>
                      <w:vertAlign w:val="baseline"/>
                      <w:lang w:val="en-US" w:eastAsia="zh-CN"/>
                    </w:rPr>
                  </w:pPr>
                  <w:r>
                    <w:rPr>
                      <w:rFonts w:hint="eastAsia"/>
                      <w:b/>
                      <w:sz w:val="18"/>
                      <w:szCs w:val="18"/>
                      <w:highlight w:val="none"/>
                      <w:vertAlign w:val="baseline"/>
                      <w:lang w:val="en-US" w:eastAsia="zh-CN"/>
                    </w:rPr>
                    <w:t xml:space="preserve">暂估量（万吨）</w:t>
                  </w:r>
                  <w:r/>
                </w:p>
              </w:tc>
              <w:tc>
                <w:tcPr>
                  <w:tcW w:w="527" w:type="pct"/>
                  <w:vAlign w:val="center"/>
                  <w:textDirection w:val="lrTb"/>
                  <w:noWrap w:val="false"/>
                </w:tcPr>
                <w:p>
                  <w:pPr>
                    <w:ind w:left="0" w:right="0" w:firstLine="0"/>
                    <w:jc w:val="center"/>
                    <w:rPr>
                      <w:rFonts w:hint="eastAsia"/>
                      <w:b/>
                      <w:sz w:val="18"/>
                      <w:szCs w:val="18"/>
                      <w:highlight w:val="none"/>
                      <w:vertAlign w:val="baseline"/>
                      <w:lang w:val="en-US" w:eastAsia="zh-CN"/>
                    </w:rPr>
                  </w:pPr>
                  <w:r>
                    <w:rPr>
                      <w:rFonts w:hint="eastAsia"/>
                      <w:b/>
                      <w:sz w:val="18"/>
                      <w:szCs w:val="18"/>
                      <w:highlight w:val="none"/>
                      <w:vertAlign w:val="baseline"/>
                      <w:lang w:val="en-US" w:eastAsia="zh-CN"/>
                    </w:rPr>
                    <w:t xml:space="preserve">总价</w:t>
                  </w:r>
                  <w:r/>
                </w:p>
                <w:p>
                  <w:pPr>
                    <w:ind w:left="0" w:right="0" w:firstLine="0"/>
                    <w:jc w:val="center"/>
                    <w:rPr>
                      <w:b/>
                      <w:sz w:val="18"/>
                      <w:szCs w:val="18"/>
                      <w:highlight w:val="none"/>
                      <w:vertAlign w:val="baseline"/>
                    </w:rPr>
                  </w:pPr>
                  <w:r>
                    <w:rPr>
                      <w:rFonts w:hint="eastAsia"/>
                      <w:b/>
                      <w:sz w:val="18"/>
                      <w:szCs w:val="18"/>
                      <w:highlight w:val="none"/>
                      <w:vertAlign w:val="baseline"/>
                      <w:lang w:val="en-US" w:eastAsia="zh-CN"/>
                    </w:rPr>
                    <w:t xml:space="preserve">（万元/年）</w:t>
                  </w:r>
                  <w:r/>
                </w:p>
              </w:tc>
              <w:tc>
                <w:tcPr>
                  <w:tcW w:w="483" w:type="pct"/>
                  <w:vAlign w:val="center"/>
                  <w:textDirection w:val="lrTb"/>
                  <w:noWrap w:val="false"/>
                </w:tcPr>
                <w:p>
                  <w:pPr>
                    <w:ind w:left="0" w:right="0" w:firstLine="0"/>
                    <w:jc w:val="center"/>
                    <w:rPr>
                      <w:b/>
                      <w:sz w:val="18"/>
                      <w:szCs w:val="18"/>
                      <w:highlight w:val="none"/>
                      <w:vertAlign w:val="baseline"/>
                    </w:rPr>
                  </w:pPr>
                  <w:r>
                    <w:rPr>
                      <w:rFonts w:hint="eastAsia"/>
                      <w:b/>
                      <w:sz w:val="18"/>
                      <w:szCs w:val="18"/>
                      <w:highlight w:val="none"/>
                      <w:vertAlign w:val="baseline"/>
                      <w:lang w:val="en-US" w:eastAsia="zh-CN"/>
                    </w:rPr>
                    <w:t xml:space="preserve">单价</w:t>
                  </w:r>
                  <w:r/>
                </w:p>
              </w:tc>
              <w:tc>
                <w:tcPr>
                  <w:tcW w:w="440" w:type="pct"/>
                  <w:vAlign w:val="center"/>
                  <w:textDirection w:val="lrTb"/>
                  <w:noWrap w:val="false"/>
                </w:tcPr>
                <w:p>
                  <w:pPr>
                    <w:ind w:left="0" w:right="0" w:firstLine="0"/>
                    <w:jc w:val="center"/>
                    <w:rPr>
                      <w:rFonts w:hint="eastAsia"/>
                      <w:b/>
                      <w:sz w:val="18"/>
                      <w:szCs w:val="18"/>
                      <w:highlight w:val="none"/>
                      <w:vertAlign w:val="baseline"/>
                      <w:lang w:val="en-US" w:eastAsia="zh-CN"/>
                    </w:rPr>
                  </w:pPr>
                  <w:r>
                    <w:rPr>
                      <w:rFonts w:hint="eastAsia"/>
                      <w:b/>
                      <w:sz w:val="18"/>
                      <w:szCs w:val="18"/>
                      <w:highlight w:val="none"/>
                      <w:vertAlign w:val="baseline"/>
                      <w:lang w:val="en-US" w:eastAsia="zh-CN"/>
                    </w:rPr>
                    <w:t xml:space="preserve">暂估量（万吨）</w:t>
                  </w:r>
                  <w:r/>
                </w:p>
              </w:tc>
              <w:tc>
                <w:tcPr>
                  <w:tcW w:w="608" w:type="pct"/>
                  <w:vAlign w:val="center"/>
                  <w:textDirection w:val="lrTb"/>
                  <w:noWrap w:val="false"/>
                </w:tcPr>
                <w:p>
                  <w:pPr>
                    <w:ind w:left="0" w:right="0" w:firstLine="0"/>
                    <w:jc w:val="center"/>
                    <w:rPr>
                      <w:rFonts w:hint="eastAsia"/>
                      <w:b/>
                      <w:sz w:val="18"/>
                      <w:szCs w:val="18"/>
                      <w:highlight w:val="none"/>
                      <w:vertAlign w:val="baseline"/>
                      <w:lang w:val="en-US" w:eastAsia="zh-CN"/>
                    </w:rPr>
                  </w:pPr>
                  <w:r>
                    <w:rPr>
                      <w:rFonts w:hint="eastAsia"/>
                      <w:b/>
                      <w:sz w:val="18"/>
                      <w:szCs w:val="18"/>
                      <w:highlight w:val="none"/>
                      <w:vertAlign w:val="baseline"/>
                      <w:lang w:val="en-US" w:eastAsia="zh-CN"/>
                    </w:rPr>
                    <w:t xml:space="preserve">总价</w:t>
                  </w:r>
                  <w:r/>
                </w:p>
                <w:p>
                  <w:pPr>
                    <w:ind w:left="0" w:right="0" w:firstLine="0"/>
                    <w:jc w:val="center"/>
                    <w:rPr>
                      <w:b/>
                      <w:sz w:val="18"/>
                      <w:szCs w:val="18"/>
                      <w:highlight w:val="none"/>
                      <w:vertAlign w:val="baseline"/>
                    </w:rPr>
                  </w:pPr>
                  <w:r>
                    <w:rPr>
                      <w:rFonts w:hint="eastAsia"/>
                      <w:b/>
                      <w:sz w:val="18"/>
                      <w:szCs w:val="18"/>
                      <w:highlight w:val="none"/>
                      <w:vertAlign w:val="baseline"/>
                      <w:lang w:val="en-US" w:eastAsia="zh-CN"/>
                    </w:rPr>
                    <w:t xml:space="preserve">（万元/年）</w:t>
                  </w:r>
                  <w:r/>
                </w:p>
              </w:tc>
            </w:tr>
            <w:tr>
              <w:trPr>
                <w:trHeight w:val="431"/>
              </w:trPr>
              <w:tc>
                <w:tcPr>
                  <w:gridSpan w:val="2"/>
                  <w:tcW w:w="764" w:type="pct"/>
                  <w:vAlign w:val="center"/>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日常防控部分</w:t>
                  </w:r>
                  <w:r/>
                </w:p>
              </w:tc>
              <w:tc>
                <w:tcPr>
                  <w:tcW w:w="428"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w:t>
                  </w:r>
                  <w:r/>
                </w:p>
              </w:tc>
              <w:tc>
                <w:tcPr>
                  <w:tcW w:w="390"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w:t>
                  </w:r>
                  <w:r/>
                </w:p>
              </w:tc>
              <w:tc>
                <w:tcPr>
                  <w:tcW w:w="502"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4833.06</w:t>
                  </w:r>
                  <w:r/>
                </w:p>
              </w:tc>
              <w:tc>
                <w:tcPr>
                  <w:tcW w:w="400"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w:t>
                  </w:r>
                  <w:r/>
                </w:p>
              </w:tc>
              <w:tc>
                <w:tcPr>
                  <w:tcW w:w="456"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w:t>
                  </w:r>
                  <w:r/>
                </w:p>
              </w:tc>
              <w:tc>
                <w:tcPr>
                  <w:tcW w:w="527"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4775.82</w:t>
                  </w:r>
                  <w:r/>
                </w:p>
              </w:tc>
              <w:tc>
                <w:tcPr>
                  <w:tcW w:w="483"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w:t>
                  </w:r>
                  <w:r/>
                </w:p>
              </w:tc>
              <w:tc>
                <w:tcPr>
                  <w:tcW w:w="440"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w:t>
                  </w:r>
                  <w:r/>
                </w:p>
              </w:tc>
              <w:tc>
                <w:tcPr>
                  <w:tcW w:w="608"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4775.82</w:t>
                  </w:r>
                  <w:r/>
                </w:p>
              </w:tc>
            </w:tr>
            <w:tr>
              <w:trPr>
                <w:trHeight w:val="854"/>
              </w:trPr>
              <w:tc>
                <w:tcPr>
                  <w:tcW w:w="392" w:type="pct"/>
                  <w:vAlign w:val="center"/>
                  <w:vMerge w:val="restart"/>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配套部分</w:t>
                  </w:r>
                  <w:r/>
                </w:p>
              </w:tc>
              <w:tc>
                <w:tcPr>
                  <w:tcW w:w="371" w:type="pct"/>
                  <w:vAlign w:val="center"/>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藻泥处置</w:t>
                  </w:r>
                  <w:r/>
                </w:p>
              </w:tc>
              <w:tc>
                <w:tcPr>
                  <w:tcW w:w="428" w:type="pct"/>
                  <w:vAlign w:val="center"/>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330元/吨</w:t>
                  </w:r>
                  <w:r/>
                </w:p>
              </w:tc>
              <w:tc>
                <w:tcPr>
                  <w:tcW w:w="390" w:type="pct"/>
                  <w:vAlign w:val="center"/>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sz w:val="18"/>
                      <w:szCs w:val="18"/>
                      <w:highlight w:val="none"/>
                      <w:vertAlign w:val="baseline"/>
                      <w:lang w:val="en-US" w:eastAsia="zh-CN"/>
                    </w:rPr>
                    <w:t xml:space="preserve">5.5万吨</w:t>
                  </w:r>
                  <w:r/>
                </w:p>
              </w:tc>
              <w:tc>
                <w:tcPr>
                  <w:tcW w:w="502" w:type="pct"/>
                  <w:vAlign w:val="center"/>
                  <w:vMerge w:val="restart"/>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1981</w:t>
                  </w:r>
                  <w:r/>
                </w:p>
              </w:tc>
              <w:tc>
                <w:tcPr>
                  <w:tcW w:w="400"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320元/吨</w:t>
                  </w:r>
                  <w:r/>
                </w:p>
              </w:tc>
              <w:tc>
                <w:tcPr>
                  <w:tcW w:w="456"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sz w:val="18"/>
                      <w:szCs w:val="18"/>
                      <w:highlight w:val="none"/>
                      <w:vertAlign w:val="baseline"/>
                      <w:lang w:val="en-US" w:eastAsia="zh-CN"/>
                    </w:rPr>
                    <w:t xml:space="preserve">5.5万吨</w:t>
                  </w:r>
                  <w:r/>
                </w:p>
              </w:tc>
              <w:tc>
                <w:tcPr>
                  <w:tcW w:w="527" w:type="pct"/>
                  <w:vAlign w:val="center"/>
                  <w:vMerge w:val="restart"/>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1926</w:t>
                  </w:r>
                  <w:r/>
                </w:p>
              </w:tc>
              <w:tc>
                <w:tcPr>
                  <w:tcW w:w="483"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310元/吨</w:t>
                  </w:r>
                  <w:r/>
                </w:p>
              </w:tc>
              <w:tc>
                <w:tcPr>
                  <w:tcW w:w="440"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sz w:val="18"/>
                      <w:szCs w:val="18"/>
                      <w:highlight w:val="none"/>
                      <w:vertAlign w:val="baseline"/>
                      <w:lang w:val="en-US" w:eastAsia="zh-CN"/>
                    </w:rPr>
                    <w:t xml:space="preserve">5.5万吨</w:t>
                  </w:r>
                  <w:r/>
                </w:p>
              </w:tc>
              <w:tc>
                <w:tcPr>
                  <w:tcW w:w="608" w:type="pct"/>
                  <w:vAlign w:val="center"/>
                  <w:vMerge w:val="restart"/>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1871</w:t>
                  </w:r>
                  <w:r/>
                </w:p>
              </w:tc>
            </w:tr>
            <w:tr>
              <w:trPr>
                <w:trHeight w:val="1277"/>
              </w:trPr>
              <w:tc>
                <w:tcPr>
                  <w:tcW w:w="392" w:type="pct"/>
                  <w:vAlign w:val="center"/>
                  <w:vMerge w:val="continue"/>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r>
                  <w:r/>
                </w:p>
              </w:tc>
              <w:tc>
                <w:tcPr>
                  <w:tcW w:w="371" w:type="pct"/>
                  <w:vAlign w:val="center"/>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水生植物处置</w:t>
                  </w:r>
                  <w:r/>
                </w:p>
              </w:tc>
              <w:tc>
                <w:tcPr>
                  <w:tcW w:w="428"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100元/吨</w:t>
                  </w:r>
                  <w:r/>
                </w:p>
              </w:tc>
              <w:tc>
                <w:tcPr>
                  <w:tcW w:w="390" w:type="pct"/>
                  <w:vAlign w:val="center"/>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sz w:val="18"/>
                      <w:szCs w:val="18"/>
                      <w:highlight w:val="none"/>
                      <w:vertAlign w:val="baseline"/>
                      <w:lang w:val="en-US" w:eastAsia="zh-CN"/>
                    </w:rPr>
                    <w:t xml:space="preserve">1.66万吨</w:t>
                  </w:r>
                  <w:r/>
                </w:p>
              </w:tc>
              <w:tc>
                <w:tcPr>
                  <w:tcW w:w="502" w:type="pct"/>
                  <w:vAlign w:val="center"/>
                  <w:vMerge w:val="continue"/>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r>
                  <w:r/>
                </w:p>
              </w:tc>
              <w:tc>
                <w:tcPr>
                  <w:tcW w:w="400"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100元/吨</w:t>
                  </w:r>
                  <w:r/>
                </w:p>
              </w:tc>
              <w:tc>
                <w:tcPr>
                  <w:tcW w:w="456"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sz w:val="18"/>
                      <w:szCs w:val="18"/>
                      <w:highlight w:val="none"/>
                      <w:vertAlign w:val="baseline"/>
                      <w:lang w:val="en-US" w:eastAsia="zh-CN"/>
                    </w:rPr>
                    <w:t xml:space="preserve">1.66万吨</w:t>
                  </w:r>
                  <w:r/>
                </w:p>
              </w:tc>
              <w:tc>
                <w:tcPr>
                  <w:tcW w:w="527" w:type="pct"/>
                  <w:vAlign w:val="center"/>
                  <w:vMerge w:val="continue"/>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r>
                  <w:r/>
                </w:p>
              </w:tc>
              <w:tc>
                <w:tcPr>
                  <w:tcW w:w="483"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100元/吨</w:t>
                  </w:r>
                  <w:r/>
                </w:p>
              </w:tc>
              <w:tc>
                <w:tcPr>
                  <w:tcW w:w="440"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sz w:val="18"/>
                      <w:szCs w:val="18"/>
                      <w:highlight w:val="none"/>
                      <w:vertAlign w:val="baseline"/>
                      <w:lang w:val="en-US" w:eastAsia="zh-CN"/>
                    </w:rPr>
                    <w:t xml:space="preserve">1.66万吨</w:t>
                  </w:r>
                  <w:r/>
                </w:p>
              </w:tc>
              <w:tc>
                <w:tcPr>
                  <w:tcW w:w="608" w:type="pct"/>
                  <w:vAlign w:val="center"/>
                  <w:vMerge w:val="continue"/>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r>
                  <w:r/>
                </w:p>
              </w:tc>
            </w:tr>
            <w:tr>
              <w:trPr>
                <w:trHeight w:val="431"/>
              </w:trPr>
              <w:tc>
                <w:tcPr>
                  <w:gridSpan w:val="2"/>
                  <w:tcW w:w="764" w:type="pct"/>
                  <w:vAlign w:val="center"/>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eastAsia="宋体"/>
                      <w:sz w:val="18"/>
                      <w:szCs w:val="18"/>
                      <w:highlight w:val="none"/>
                      <w:vertAlign w:val="baseline"/>
                      <w:lang w:val="en-US" w:eastAsia="zh-CN"/>
                    </w:rPr>
                    <w:t xml:space="preserve">应急防控部分</w:t>
                  </w:r>
                  <w:r/>
                </w:p>
              </w:tc>
              <w:tc>
                <w:tcPr>
                  <w:gridSpan w:val="9"/>
                  <w:tcW w:w="4235" w:type="pct"/>
                  <w:vAlign w:val="center"/>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sz w:val="18"/>
                      <w:szCs w:val="18"/>
                      <w:highlight w:val="none"/>
                      <w:vertAlign w:val="baseline"/>
                      <w:lang w:val="en-US" w:eastAsia="zh-CN"/>
                    </w:rPr>
                    <w:t xml:space="preserve">2344.56万元（三年）</w:t>
                  </w:r>
                  <w:r/>
                </w:p>
              </w:tc>
            </w:tr>
            <w:tr>
              <w:trPr>
                <w:trHeight w:val="306"/>
              </w:trPr>
              <w:tc>
                <w:tcPr>
                  <w:gridSpan w:val="2"/>
                  <w:tcW w:w="764" w:type="pct"/>
                  <w:vAlign w:val="center"/>
                  <w:textDirection w:val="lrTb"/>
                  <w:noWrap w:val="false"/>
                </w:tcPr>
                <w:p>
                  <w:pPr>
                    <w:ind w:left="0" w:right="0" w:firstLine="0"/>
                    <w:jc w:val="center"/>
                    <w:rPr>
                      <w:rFonts w:hint="eastAsia" w:ascii="Calibri" w:eastAsia="宋体"/>
                      <w:sz w:val="18"/>
                      <w:szCs w:val="18"/>
                      <w:highlight w:val="none"/>
                      <w:vertAlign w:val="baseline"/>
                      <w:lang w:val="en-US" w:eastAsia="zh-CN"/>
                    </w:rPr>
                  </w:pPr>
                  <w:r>
                    <w:rPr>
                      <w:rFonts w:hint="eastAsia" w:ascii="Calibri"/>
                      <w:sz w:val="18"/>
                      <w:szCs w:val="18"/>
                      <w:highlight w:val="none"/>
                      <w:vertAlign w:val="baseline"/>
                      <w:lang w:val="en-US" w:eastAsia="zh-CN"/>
                    </w:rPr>
                    <w:t xml:space="preserve">合计</w:t>
                  </w:r>
                  <w:r/>
                </w:p>
              </w:tc>
              <w:tc>
                <w:tcPr>
                  <w:gridSpan w:val="9"/>
                  <w:tcW w:w="4235" w:type="pct"/>
                  <w:vAlign w:val="center"/>
                  <w:textDirection w:val="lrTb"/>
                  <w:noWrap w:val="false"/>
                </w:tcPr>
                <w:p>
                  <w:pPr>
                    <w:ind w:left="0" w:right="0" w:firstLine="0"/>
                    <w:jc w:val="center"/>
                    <w:rPr>
                      <w:rFonts w:hint="default" w:ascii="Calibri" w:eastAsia="宋体"/>
                      <w:sz w:val="18"/>
                      <w:szCs w:val="18"/>
                      <w:highlight w:val="none"/>
                      <w:vertAlign w:val="baseline"/>
                      <w:lang w:val="en-US" w:eastAsia="zh-CN"/>
                    </w:rPr>
                  </w:pPr>
                  <w:r>
                    <w:rPr>
                      <w:rFonts w:hint="eastAsia" w:ascii="Calibri"/>
                      <w:sz w:val="18"/>
                      <w:szCs w:val="18"/>
                      <w:highlight w:val="none"/>
                      <w:vertAlign w:val="baseline"/>
                      <w:lang w:val="en-US" w:eastAsia="zh-CN"/>
                    </w:rPr>
                    <w:t xml:space="preserve">22507.26万元（三年）</w:t>
                  </w:r>
                  <w:r/>
                </w:p>
              </w:tc>
            </w:tr>
          </w:tbl>
          <w:p>
            <w:pPr>
              <w:jc w:val="lef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注：</w:t>
            </w:r>
            <w:r>
              <w:rPr>
                <w:rFonts w:ascii="宋体" w:hAnsi="宋体" w:eastAsia="宋体" w:cs="宋体"/>
                <w:sz w:val="24"/>
                <w:szCs w:val="24"/>
                <w:highlight w:val="none"/>
              </w:rPr>
              <w:t xml:space="preserve">若开标时间延期，服务周期同步顺延，限价、结算、考核标准不变。</w:t>
            </w:r>
            <w:r/>
          </w:p>
          <w:p>
            <w:pPr>
              <w:jc w:val="left"/>
              <w:rPr>
                <w:rFonts w:hint="eastAsia" w:ascii="宋体" w:hAnsi="宋体" w:eastAsia="宋体" w:cs="Times New Roman"/>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①本项目日常防控部分每年限价见上表</w:t>
            </w:r>
            <w:r>
              <w:rPr>
                <w:rFonts w:hint="eastAsia" w:ascii="宋体" w:hAnsi="宋体" w:eastAsia="宋体" w:cs="Times New Roman"/>
                <w:bCs/>
                <w:color w:val="auto"/>
                <w:sz w:val="24"/>
                <w:szCs w:val="24"/>
                <w:highlight w:val="none"/>
                <w:lang w:val="en-US" w:eastAsia="zh-CN"/>
              </w:rPr>
              <w:t xml:space="preserve">。</w:t>
            </w:r>
            <w:r/>
          </w:p>
          <w:p>
            <w:pPr>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②配套部分分为藻泥处置和水生植物处置两部分，两部分每年限价见上表，根据实际处置量</w:t>
            </w:r>
            <w:r>
              <w:rPr>
                <w:rFonts w:hint="eastAsia" w:ascii="宋体" w:hAnsi="宋体" w:cs="Times New Roman"/>
                <w:bCs/>
                <w:color w:val="auto"/>
                <w:sz w:val="24"/>
                <w:szCs w:val="24"/>
                <w:highlight w:val="none"/>
                <w:lang w:val="en-US" w:eastAsia="zh-CN"/>
              </w:rPr>
              <w:t xml:space="preserve">投标</w:t>
            </w:r>
            <w:r>
              <w:rPr>
                <w:rFonts w:hint="eastAsia" w:ascii="宋体" w:hAnsi="宋体" w:eastAsia="宋体" w:cs="Times New Roman"/>
                <w:bCs/>
                <w:color w:val="auto"/>
                <w:sz w:val="24"/>
                <w:szCs w:val="24"/>
                <w:highlight w:val="none"/>
                <w:lang w:val="en-US" w:eastAsia="zh-CN"/>
              </w:rPr>
              <w:t xml:space="preserve">单价结算</w:t>
            </w:r>
            <w:r>
              <w:rPr>
                <w:rFonts w:hint="eastAsia" w:ascii="宋体" w:hAnsi="宋体" w:cs="Times New Roman"/>
                <w:bCs/>
                <w:color w:val="auto"/>
                <w:sz w:val="24"/>
                <w:szCs w:val="24"/>
                <w:highlight w:val="none"/>
                <w:lang w:val="en-US" w:eastAsia="zh-CN"/>
              </w:rPr>
              <w:t xml:space="preserve">。</w:t>
            </w:r>
            <w:r/>
          </w:p>
          <w:p>
            <w:pPr>
              <w:jc w:val="left"/>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③应急防控部分限价见上表，最终根据实际应急任务按实结算。</w:t>
            </w:r>
            <w:r>
              <w:rPr>
                <w:rFonts w:hint="eastAsia" w:ascii="宋体" w:hAnsi="宋体" w:eastAsia="宋体" w:cs="Times New Roman"/>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p>
        </w:tc>
      </w:tr>
      <w:tr>
        <w:trPr>
          <w:jc w:val="center"/>
          <w:trHeight w:val="1392"/>
        </w:trPr>
        <w:tc>
          <w:tcPr>
            <w:tcW w:w="724" w:type="dxa"/>
            <w:vAlign w:val="center"/>
            <w:vMerge w:val="restart"/>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2</w:t>
            </w:r>
            <w:r/>
          </w:p>
        </w:tc>
        <w:tc>
          <w:tcPr>
            <w:tcW w:w="610" w:type="dxa"/>
            <w:vAlign w:val="center"/>
            <w:vMerge w:val="restart"/>
            <w:textDirection w:val="lrTb"/>
            <w:noWrap w:val="false"/>
          </w:tcPr>
          <w:p>
            <w:pPr>
              <w:jc w:val="center"/>
              <w:rPr>
                <w:rFonts w:hint="eastAsia" w:ascii="宋体" w:hAnsi="宋体"/>
                <w:bCs/>
                <w:color w:val="auto"/>
                <w:sz w:val="24"/>
                <w:szCs w:val="24"/>
                <w:highlight w:val="none"/>
              </w:rPr>
            </w:pPr>
            <w:r/>
            <w:bookmarkStart w:id="3" w:name="OLE_LINK208"/>
            <w:r>
              <w:rPr>
                <w:rFonts w:hint="eastAsia" w:hAnsi="宋体" w:cs="宋体"/>
                <w:b/>
                <w:bCs/>
                <w:color w:val="auto"/>
                <w:highlight w:val="none"/>
                <w:lang w:val="zh-CN"/>
              </w:rPr>
              <w:t xml:space="preserve">资格</w:t>
            </w:r>
            <w:bookmarkEnd w:id="3"/>
            <w:r>
              <w:rPr>
                <w:rFonts w:hint="eastAsia" w:hAnsi="宋体" w:cs="宋体"/>
                <w:b/>
                <w:bCs/>
                <w:color w:val="auto"/>
                <w:highlight w:val="none"/>
              </w:rPr>
              <w:t xml:space="preserve">条件</w:t>
            </w:r>
            <w:r/>
          </w:p>
        </w:tc>
        <w:tc>
          <w:tcPr>
            <w:gridSpan w:val="2"/>
            <w:tcW w:w="8671" w:type="dxa"/>
            <w:vAlign w:val="top"/>
            <w:textDirection w:val="lrTb"/>
            <w:noWrap w:val="false"/>
          </w:tcPr>
          <w:p>
            <w:pPr>
              <w:pStyle w:val="805"/>
              <w:spacing w:line="276" w:lineRule="auto"/>
              <w:rPr>
                <w:rFonts w:hint="eastAsia"/>
                <w:color w:val="auto"/>
                <w:highlight w:val="none"/>
              </w:rPr>
            </w:pPr>
            <w:r>
              <w:rPr>
                <w:rFonts w:hint="eastAsia"/>
                <w:color w:val="auto"/>
                <w:highlight w:val="none"/>
              </w:rPr>
              <w:t xml:space="preserve">2.1供应商参加本次政府采购活动</w:t>
            </w:r>
            <w:r>
              <w:rPr>
                <w:rFonts w:hint="eastAsia"/>
                <w:color w:val="auto"/>
                <w:highlight w:val="none"/>
                <w:lang w:val="zh-CN"/>
              </w:rPr>
              <w:t xml:space="preserve">应具备下列资格条件</w:t>
            </w:r>
            <w:r>
              <w:rPr>
                <w:rFonts w:hint="eastAsia"/>
                <w:color w:val="auto"/>
                <w:highlight w:val="none"/>
              </w:rPr>
              <w:t xml:space="preserve">：</w:t>
            </w:r>
            <w:r/>
          </w:p>
          <w:p>
            <w:pPr>
              <w:pStyle w:val="805"/>
              <w:spacing w:line="276" w:lineRule="auto"/>
              <w:rPr>
                <w:rFonts w:hint="eastAsia"/>
                <w:color w:val="auto"/>
                <w:highlight w:val="none"/>
                <w:lang w:val="zh-CN"/>
              </w:rPr>
            </w:pPr>
            <w:r>
              <w:rPr>
                <w:rFonts w:hint="eastAsia"/>
                <w:color w:val="auto"/>
                <w:highlight w:val="none"/>
                <w:lang w:val="zh-CN"/>
              </w:rPr>
              <w:t xml:space="preserve">①符合《中华人民共和国政府采购法》第二十二条第一款规定的条件；</w:t>
            </w:r>
            <w:r/>
          </w:p>
          <w:p>
            <w:pPr>
              <w:spacing w:line="320" w:lineRule="exact"/>
              <w:rPr>
                <w:rFonts w:hint="eastAsia" w:ascii="宋体"/>
                <w:color w:val="auto"/>
                <w:sz w:val="24"/>
                <w:highlight w:val="none"/>
                <w:u w:val="none"/>
                <w:lang w:val="zh-CN"/>
              </w:rPr>
            </w:pPr>
            <w:r>
              <w:rPr>
                <w:rFonts w:hint="eastAsia" w:ascii="宋体"/>
                <w:color w:val="auto"/>
                <w:sz w:val="24"/>
                <w:highlight w:val="none"/>
                <w:u w:val="none"/>
                <w:lang w:val="zh-CN"/>
              </w:rPr>
              <w:t xml:space="preserve">②落实政府采购政策需满足的资格要求：本项目专门面向中小企业采购；</w:t>
            </w:r>
            <w:r/>
          </w:p>
          <w:p>
            <w:pPr>
              <w:pStyle w:val="805"/>
              <w:spacing w:line="276" w:lineRule="auto"/>
              <w:rPr>
                <w:rFonts w:hint="eastAsia"/>
                <w:color w:val="auto"/>
                <w:highlight w:val="none"/>
              </w:rPr>
            </w:pPr>
            <w:r>
              <w:rPr>
                <w:rFonts w:hint="eastAsia"/>
                <w:color w:val="auto"/>
                <w:highlight w:val="none"/>
                <w:lang w:val="zh-CN"/>
              </w:rPr>
              <w:t xml:space="preserve">③本项目的特定资格要求：无。</w:t>
            </w:r>
            <w:r/>
          </w:p>
        </w:tc>
      </w:tr>
      <w:tr>
        <w:trPr>
          <w:jc w:val="center"/>
        </w:trPr>
        <w:tc>
          <w:tcPr>
            <w:tcW w:w="724" w:type="dxa"/>
            <w:vAlign w:val="center"/>
            <w:vMerge w:val="continue"/>
            <w:textDirection w:val="lrTb"/>
            <w:noWrap w:val="false"/>
          </w:tcPr>
          <w:p>
            <w:pPr>
              <w:pStyle w:val="805"/>
              <w:rPr>
                <w:rFonts w:hint="eastAsia"/>
                <w:color w:val="auto"/>
                <w:highlight w:val="none"/>
              </w:rPr>
            </w:pPr>
            <w:r>
              <w:rPr>
                <w:rFonts w:hint="eastAsia"/>
                <w:color w:val="auto"/>
                <w:highlight w:val="none"/>
              </w:rPr>
            </w:r>
            <w:r/>
          </w:p>
        </w:tc>
        <w:tc>
          <w:tcPr>
            <w:tcW w:w="610" w:type="dxa"/>
            <w:vAlign w:val="center"/>
            <w:vMerge w:val="continue"/>
            <w:textDirection w:val="lrTb"/>
            <w:noWrap w:val="false"/>
          </w:tcPr>
          <w:p>
            <w:pPr>
              <w:pStyle w:val="805"/>
              <w:rPr>
                <w:rFonts w:hint="eastAsia"/>
                <w:color w:val="auto"/>
                <w:highlight w:val="none"/>
              </w:rPr>
            </w:pPr>
            <w:r>
              <w:rPr>
                <w:rFonts w:hint="eastAsia"/>
                <w:color w:val="auto"/>
                <w:highlight w:val="none"/>
              </w:rPr>
            </w:r>
            <w:r/>
          </w:p>
        </w:tc>
        <w:tc>
          <w:tcPr>
            <w:gridSpan w:val="2"/>
            <w:tcW w:w="8671" w:type="dxa"/>
            <w:vAlign w:val="top"/>
            <w:textDirection w:val="lrTb"/>
            <w:noWrap w:val="false"/>
          </w:tcPr>
          <w:p>
            <w:pPr>
              <w:pStyle w:val="805"/>
              <w:rPr>
                <w:rFonts w:hint="eastAsia"/>
                <w:color w:val="auto"/>
                <w:highlight w:val="none"/>
              </w:rPr>
            </w:pPr>
            <w:r>
              <w:rPr>
                <w:rFonts w:hint="eastAsia"/>
                <w:color w:val="auto"/>
                <w:highlight w:val="none"/>
              </w:rPr>
              <w:t xml:space="preserve">2.2报价保证金：本项目免收保证金</w:t>
            </w:r>
            <w:r/>
          </w:p>
        </w:tc>
      </w:tr>
      <w:tr>
        <w:trPr>
          <w:jc w:val="center"/>
        </w:trPr>
        <w:tc>
          <w:tcPr>
            <w:tcW w:w="724"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3</w:t>
            </w:r>
            <w:r/>
          </w:p>
        </w:tc>
        <w:tc>
          <w:tcPr>
            <w:tcW w:w="61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采购文件</w:t>
            </w:r>
            <w:r/>
          </w:p>
        </w:tc>
        <w:tc>
          <w:tcPr>
            <w:gridSpan w:val="2"/>
            <w:tcW w:w="8671" w:type="dxa"/>
            <w:vAlign w:val="top"/>
            <w:textDirection w:val="lrTb"/>
            <w:noWrap w:val="false"/>
          </w:tcPr>
          <w:p>
            <w:pPr>
              <w:numPr>
                <w:ilvl w:val="0"/>
                <w:numId w:val="1"/>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采购文件的获取：首次响应文件提交截止时间前，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，应在“项目参与”中下载电子采购文件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版采购文件。</w:t>
            </w:r>
            <w:r/>
          </w:p>
          <w:p>
            <w:pPr>
              <w:numPr>
                <w:ilvl w:val="0"/>
                <w:numId w:val="1"/>
              </w:numPr>
              <w:jc w:val="left"/>
              <w:rPr>
                <w:rFonts w:ascii="宋体" w:hAnsi="宋体"/>
                <w:bCs/>
                <w:color w:val="auto"/>
                <w:sz w:val="24"/>
                <w:szCs w:val="24"/>
                <w:highlight w:val="none"/>
              </w:rPr>
            </w:pPr>
            <w:r>
              <w:rPr>
                <w:rFonts w:hint="eastAsia" w:ascii="宋体" w:hAnsi="宋体" w:cs="宋体"/>
                <w:bCs/>
                <w:color w:val="auto"/>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rPr>
                <w:rFonts w:hint="eastAsia" w:ascii="宋体" w:hAnsi="宋体"/>
                <w:bCs/>
                <w:color w:val="auto"/>
                <w:sz w:val="24"/>
                <w:szCs w:val="24"/>
                <w:highlight w:val="none"/>
              </w:rPr>
            </w:pPr>
            <w:r>
              <w:rPr>
                <w:rFonts w:hint="eastAsia" w:ascii="宋体" w:hAnsi="宋体" w:cs="宋体"/>
                <w:bCs/>
                <w:color w:val="auto"/>
                <w:sz w:val="24"/>
                <w:szCs w:val="21"/>
                <w:highlight w:val="none"/>
              </w:rPr>
              <w:t xml:space="preserve">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供应商操作指南》。</w:t>
            </w:r>
            <w:r/>
          </w:p>
        </w:tc>
      </w:tr>
      <w:tr>
        <w:trPr>
          <w:jc w:val="center"/>
        </w:trPr>
        <w:tc>
          <w:tcPr>
            <w:tcW w:w="724"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61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cs="宋体"/>
                <w:b/>
                <w:color w:val="auto"/>
                <w:sz w:val="24"/>
                <w:szCs w:val="21"/>
                <w:highlight w:val="none"/>
              </w:rPr>
              <w:t xml:space="preserve">响应文件</w:t>
            </w:r>
            <w:r/>
          </w:p>
        </w:tc>
        <w:tc>
          <w:tcPr>
            <w:gridSpan w:val="2"/>
            <w:tcW w:w="8671"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cs="宋体"/>
                <w:b/>
                <w:color w:val="auto"/>
                <w:sz w:val="24"/>
                <w:szCs w:val="21"/>
                <w:highlight w:val="none"/>
              </w:rPr>
              <w:t xml:space="preserve">1.“响应文件”</w:t>
            </w:r>
            <w:r>
              <w:rPr>
                <w:rFonts w:ascii="宋体" w:hAnsi="宋体" w:cs="宋体"/>
                <w:b/>
                <w:color w:val="auto"/>
                <w:sz w:val="24"/>
                <w:szCs w:val="21"/>
                <w:highlight w:val="none"/>
              </w:rPr>
              <w:t xml:space="preserve">制作</w:t>
            </w:r>
            <w:r>
              <w:rPr>
                <w:rFonts w:hint="eastAsia" w:ascii="宋体" w:hAnsi="宋体" w:cs="宋体"/>
                <w:b/>
                <w:color w:val="auto"/>
                <w:sz w:val="24"/>
                <w:szCs w:val="21"/>
                <w:highlight w:val="none"/>
              </w:rPr>
              <w:t xml:space="preserve">及</w:t>
            </w:r>
            <w:r>
              <w:rPr>
                <w:rFonts w:ascii="宋体" w:hAnsi="宋体" w:cs="宋体"/>
                <w:b/>
                <w:color w:val="auto"/>
                <w:sz w:val="24"/>
                <w:szCs w:val="21"/>
                <w:highlight w:val="none"/>
              </w:rPr>
              <w:t xml:space="preserve">提交</w:t>
            </w:r>
            <w:r>
              <w:rPr>
                <w:rFonts w:hint="eastAsia" w:ascii="宋体" w:hAnsi="宋体" w:cs="宋体"/>
                <w:bCs/>
                <w:color w:val="auto"/>
                <w:sz w:val="24"/>
                <w:szCs w:val="21"/>
                <w:highlight w:val="none"/>
              </w:rPr>
              <w:t xml:space="preserve">：将后缀名为“.kedt”的采购文件导入政府采购客户端工具－－制作响应文件－－导出加密的响应文件（后缀名为zip</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 --通过“苏采云”系统上传响应文件。</w:t>
            </w:r>
            <w:r/>
          </w:p>
          <w:p>
            <w:pPr>
              <w:rPr>
                <w:rFonts w:ascii="宋体" w:hAnsi="宋体"/>
                <w:bCs/>
                <w:color w:val="auto"/>
                <w:sz w:val="24"/>
                <w:szCs w:val="24"/>
                <w:highlight w:val="none"/>
              </w:rPr>
            </w:pPr>
            <w:r>
              <w:rPr>
                <w:rFonts w:hint="eastAsia" w:ascii="宋体" w:hAnsi="宋体"/>
                <w:bCs/>
                <w:color w:val="auto"/>
                <w:sz w:val="24"/>
                <w:szCs w:val="24"/>
                <w:highlight w:val="none"/>
              </w:rPr>
              <w:t xml:space="preserve">2.成交供应商在领取成交通知书前，提供</w:t>
            </w:r>
            <w:r>
              <w:rPr>
                <w:rFonts w:hint="eastAsia" w:ascii="宋体" w:hAnsi="宋体"/>
                <w:bCs/>
                <w:color w:val="auto"/>
                <w:sz w:val="24"/>
                <w:szCs w:val="24"/>
                <w:highlight w:val="none"/>
                <w:lang w:val="en-US" w:eastAsia="zh-CN"/>
              </w:rPr>
              <w:t xml:space="preserve">贰</w:t>
            </w:r>
            <w:r>
              <w:rPr>
                <w:rFonts w:hint="eastAsia" w:ascii="宋体" w:hAnsi="宋体"/>
                <w:bCs/>
                <w:color w:val="auto"/>
                <w:sz w:val="24"/>
                <w:szCs w:val="24"/>
                <w:highlight w:val="none"/>
              </w:rPr>
              <w:t xml:space="preserve">份纸质响应文件（必须与电子响应文件一致）。</w:t>
            </w:r>
            <w:r/>
          </w:p>
        </w:tc>
      </w:tr>
      <w:tr>
        <w:trPr>
          <w:jc w:val="center"/>
        </w:trPr>
        <w:tc>
          <w:tcPr>
            <w:tcW w:w="724"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610" w:type="dxa"/>
            <w:vAlign w:val="center"/>
            <w:textDirection w:val="lrTb"/>
            <w:noWrap w:val="false"/>
          </w:tcPr>
          <w:p>
            <w:pPr>
              <w:pStyle w:val="805"/>
              <w:jc w:val="center"/>
              <w:rPr>
                <w:b/>
                <w:bCs/>
                <w:color w:val="auto"/>
                <w:szCs w:val="22"/>
                <w:highlight w:val="none"/>
                <w:lang w:val="zh-CN"/>
              </w:rPr>
            </w:pPr>
            <w:r>
              <w:rPr>
                <w:rFonts w:hint="eastAsia"/>
                <w:b/>
                <w:bCs/>
                <w:color w:val="auto"/>
                <w:szCs w:val="22"/>
                <w:highlight w:val="none"/>
                <w:lang w:val="zh-CN"/>
              </w:rPr>
              <w:t xml:space="preserve">其他</w:t>
            </w:r>
            <w:r/>
          </w:p>
          <w:p>
            <w:pPr>
              <w:pStyle w:val="805"/>
              <w:jc w:val="center"/>
              <w:rPr>
                <w:rFonts w:hint="eastAsia" w:hAnsi="宋体"/>
                <w:bCs/>
                <w:color w:val="auto"/>
                <w:szCs w:val="24"/>
                <w:highlight w:val="none"/>
              </w:rPr>
            </w:pPr>
            <w:r>
              <w:rPr>
                <w:rFonts w:hint="eastAsia"/>
                <w:b/>
                <w:bCs/>
                <w:color w:val="auto"/>
                <w:szCs w:val="22"/>
                <w:highlight w:val="none"/>
                <w:lang w:val="zh-CN"/>
              </w:rPr>
              <w:t xml:space="preserve">要求</w:t>
            </w:r>
            <w:r/>
          </w:p>
        </w:tc>
        <w:tc>
          <w:tcPr>
            <w:gridSpan w:val="2"/>
            <w:tcW w:w="8671" w:type="dxa"/>
            <w:vAlign w:val="center"/>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单位负责人为同一人或者存在直接控股、管理关系的不同供应商，不得参加同一合同项下的政府采购活动，否则均以报价无效处理。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为本采购项目提供整体设计、规范编制或者项目管理、监理、检测等服务的供应商，不得再参加本采购项目的采购活动。</w:t>
            </w:r>
            <w:r/>
          </w:p>
        </w:tc>
      </w:tr>
      <w:tr>
        <w:trPr>
          <w:jc w:val="center"/>
        </w:trPr>
        <w:tc>
          <w:tcPr>
            <w:tcW w:w="724" w:type="dxa"/>
            <w:vAlign w:val="center"/>
            <w:textDirection w:val="lrTb"/>
            <w:noWrap w:val="false"/>
          </w:tcPr>
          <w:p>
            <w:pPr>
              <w:jc w:val="center"/>
              <w:rPr>
                <w:rFonts w:hint="eastAsia" w:ascii="宋体" w:hAnsi="宋体"/>
                <w:bCs/>
                <w:color w:val="auto"/>
                <w:sz w:val="24"/>
                <w:szCs w:val="24"/>
                <w:highlight w:val="none"/>
              </w:rPr>
            </w:pPr>
            <w:r/>
            <w:bookmarkStart w:id="4" w:name="OLE_LINK42"/>
            <w:r>
              <w:rPr>
                <w:rFonts w:hint="eastAsia" w:ascii="宋体" w:hAnsi="宋体"/>
                <w:bCs/>
                <w:color w:val="auto"/>
                <w:sz w:val="24"/>
                <w:szCs w:val="24"/>
                <w:highlight w:val="none"/>
              </w:rPr>
              <w:t xml:space="preserve">6</w:t>
            </w:r>
            <w:r/>
          </w:p>
        </w:tc>
        <w:tc>
          <w:tcPr>
            <w:tcW w:w="610" w:type="dxa"/>
            <w:vAlign w:val="center"/>
            <w:textDirection w:val="lrTb"/>
            <w:noWrap w:val="false"/>
          </w:tcPr>
          <w:p>
            <w:pPr>
              <w:pStyle w:val="805"/>
              <w:jc w:val="center"/>
              <w:rPr>
                <w:rFonts w:hint="eastAsia"/>
                <w:color w:val="auto"/>
                <w:highlight w:val="none"/>
                <w:lang w:val="zh-CN"/>
              </w:rPr>
            </w:pPr>
            <w:r>
              <w:rPr>
                <w:rFonts w:hint="eastAsia" w:hAnsi="宋体"/>
                <w:b/>
                <w:color w:val="auto"/>
                <w:szCs w:val="24"/>
                <w:highlight w:val="none"/>
              </w:rPr>
              <w:t xml:space="preserve">不见面开标</w:t>
            </w:r>
            <w:r/>
          </w:p>
        </w:tc>
        <w:tc>
          <w:tcPr>
            <w:gridSpan w:val="2"/>
            <w:tcW w:w="8671" w:type="dxa"/>
            <w:vAlign w:val="top"/>
            <w:textDirection w:val="lrTb"/>
            <w:noWrap w:val="false"/>
          </w:tcPr>
          <w:p>
            <w:pPr>
              <w:ind w:firstLine="480"/>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本项目采用远程不见面交易模式，通过“苏采云”不见面交易系统及相应的配套硬件设备（摄像头、话筒、麦克风等）完成远程解密、开标现场异议及回复、开标等交互环节。</w:t>
            </w:r>
            <w:r/>
          </w:p>
          <w:p>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开标当日，供应商不必抵达开标现场，仅需在任意地点通过“苏采云”系统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响应文件提交截止时间后，采购人或采购代理机构将在系统内公布供应商名单，然后通过开标会议区发出响应文件解密的指令，供应商在各自地点按规定时间自行实施远程解密，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color w:val="auto"/>
                <w:sz w:val="24"/>
                <w:szCs w:val="21"/>
                <w:highlight w:val="none"/>
              </w:rPr>
              <w:t xml:space="preserve">供应商解密限定在解密时间开始起30分钟内完成。</w:t>
            </w:r>
            <w:r>
              <w:rPr>
                <w:rFonts w:hint="eastAsia" w:ascii="宋体" w:hAnsi="宋体" w:cs="宋体"/>
                <w:bCs/>
                <w:color w:val="auto"/>
                <w:sz w:val="24"/>
                <w:szCs w:val="21"/>
                <w:highlight w:val="none"/>
              </w:rPr>
              <w:t xml:space="preserve">因供应商网络与电源不稳定、未按操作手册要求配置软硬件、解密锁发生故障或用错、故意不在要求时限内完成解密等自身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供应商应当随时关注不见面开标大厅，并按照磋商小组澄清、报价等要求在规定时间内进行响应，且承担未及时作出响应的一切后果。参与远程交互的应当为授权委托人或法人代表，中途不得随意更换，作出响应的人员将均被视为是供应商的被授权委托人或法人代表。</w:t>
            </w:r>
            <w:r/>
          </w:p>
          <w:p>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提交首次响应文件截止时间及响应文件开启时间：详见本项目采购公告，采购公告中的截止时间为提交首次响应文件截止时间。</w:t>
            </w:r>
            <w:r/>
          </w:p>
          <w:p>
            <w:pPr>
              <w:ind w:firstLine="480"/>
              <w:rPr>
                <w:rFonts w:hint="eastAsia"/>
                <w:bCs/>
                <w:color w:val="auto"/>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确定成交供应商时间：评审结束后，详见成交结果公告。</w:t>
            </w:r>
            <w:r/>
          </w:p>
        </w:tc>
      </w:tr>
      <w:tr>
        <w:trPr>
          <w:jc w:val="center"/>
          <w:trHeight w:val="2480"/>
        </w:trPr>
        <w:tc>
          <w:tcPr>
            <w:tcW w:w="724"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610" w:type="dxa"/>
            <w:vAlign w:val="center"/>
            <w:vMerge w:val="restart"/>
            <w:textDirection w:val="lrTb"/>
            <w:noWrap w:val="false"/>
          </w:tcPr>
          <w:p>
            <w:pPr>
              <w:rPr>
                <w:rFonts w:ascii="宋体" w:hAnsi="宋体"/>
                <w:bCs/>
                <w:color w:val="auto"/>
                <w:sz w:val="24"/>
                <w:szCs w:val="24"/>
                <w:highlight w:val="none"/>
              </w:rPr>
            </w:pPr>
            <w:r>
              <w:rPr>
                <w:rFonts w:hint="eastAsia" w:ascii="宋体" w:hAnsi="宋体" w:cs="宋体"/>
                <w:b/>
                <w:color w:val="auto"/>
                <w:sz w:val="24"/>
                <w:szCs w:val="24"/>
                <w:highlight w:val="none"/>
              </w:rPr>
              <w:t xml:space="preserve">联系方式</w:t>
            </w:r>
            <w:r/>
          </w:p>
        </w:tc>
        <w:tc>
          <w:tcPr>
            <w:tcW w:w="2156"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515"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项目负责人</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芮女士</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质疑受理人</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芮女士</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eastAsia="zh-CN"/>
              </w:rPr>
              <w:t xml:space="preserve">0510-87930197 </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eastAsia="zh-CN"/>
              </w:rPr>
              <w:t xml:space="preserve">无锡市宜兴市宜城街道阳羡西路 43 号</w:t>
            </w:r>
            <w:r>
              <w:rPr>
                <w:rFonts w:hint="eastAsia"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62"/>
        </w:trPr>
        <w:tc>
          <w:tcPr>
            <w:tcW w:w="724"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610"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2156"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515" w:type="dxa"/>
            <w:vAlign w:val="top"/>
            <w:textDirection w:val="lrTb"/>
            <w:noWrap w:val="false"/>
          </w:tcPr>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段</w:t>
            </w:r>
            <w:r>
              <w:rPr>
                <w:rFonts w:hint="eastAsia" w:ascii="宋体" w:hAnsi="宋体"/>
                <w:bCs/>
                <w:color w:val="auto"/>
                <w:sz w:val="24"/>
                <w:szCs w:val="24"/>
                <w:highlight w:val="none"/>
              </w:rPr>
              <w:t xml:space="preserve">女士，</w:t>
            </w:r>
            <w:r>
              <w:rPr>
                <w:rFonts w:hint="eastAsia" w:ascii="宋体" w:hAnsi="宋体"/>
                <w:bCs/>
                <w:color w:val="auto"/>
                <w:sz w:val="24"/>
                <w:szCs w:val="24"/>
                <w:highlight w:val="none"/>
                <w:lang w:val="en-US" w:eastAsia="zh-CN"/>
              </w:rPr>
              <w:t xml:space="preserve">18800520402</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联系地址：</w:t>
            </w:r>
            <w:r>
              <w:rPr>
                <w:rFonts w:hint="eastAsia" w:ascii="宋体" w:hAnsi="宋体" w:cs="宋体"/>
                <w:bCs/>
                <w:sz w:val="24"/>
                <w:szCs w:val="24"/>
                <w:highlight w:val="none"/>
              </w:rPr>
              <w:t xml:space="preserve">宜兴市杏园路108号科创商务中心5号楼</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62"/>
        </w:trPr>
        <w:tc>
          <w:tcPr>
            <w:tcW w:w="724"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610"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2156"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“苏采云”客服</w:t>
            </w:r>
            <w:r/>
          </w:p>
        </w:tc>
        <w:tc>
          <w:tcPr>
            <w:tcW w:w="6515" w:type="dxa"/>
            <w:vAlign w:val="center"/>
            <w:textDirection w:val="lrTb"/>
            <w:noWrap w:val="false"/>
          </w:tcPr>
          <w:p>
            <w:pPr>
              <w:spacing w:line="240" w:lineRule="auto"/>
              <w:rPr>
                <w:rFonts w:hint="eastAsia" w:ascii="宋体" w:hAnsi="宋体"/>
                <w:bCs/>
                <w:color w:val="auto"/>
                <w:sz w:val="24"/>
                <w:szCs w:val="24"/>
                <w:highlight w:val="none"/>
              </w:rPr>
            </w:pPr>
            <w:r>
              <w:rPr>
                <w:rFonts w:hint="eastAsia" w:ascii="宋体" w:hAnsi="宋体"/>
                <w:color w:val="auto"/>
                <w:sz w:val="24"/>
                <w:szCs w:val="28"/>
                <w:highlight w:val="none"/>
              </w:rPr>
              <w:t xml:space="preserve">供应商在“苏采云”系统操作过程中如遇问题，请致电“苏采云”客服，联系电话：16651529117、</w:t>
            </w:r>
            <w:r>
              <w:rPr>
                <w:rFonts w:hint="eastAsia" w:ascii="宋体" w:hAnsi="宋体"/>
                <w:bCs/>
                <w:color w:val="auto"/>
                <w:sz w:val="24"/>
                <w:szCs w:val="24"/>
                <w:highlight w:val="none"/>
              </w:rPr>
              <w:t xml:space="preserve">025-83633744、025-83633743</w:t>
            </w:r>
            <w:r>
              <w:rPr>
                <w:rFonts w:hint="eastAsia" w:ascii="宋体" w:hAnsi="宋体"/>
                <w:color w:val="auto"/>
                <w:sz w:val="24"/>
                <w:szCs w:val="28"/>
                <w:highlight w:val="none"/>
              </w:rPr>
              <w:t xml:space="preserve">；或在“苏采云”系统中发起在线人工客服请求。</w:t>
            </w:r>
            <w:r/>
          </w:p>
        </w:tc>
      </w:tr>
      <w:tr>
        <w:trPr>
          <w:jc w:val="center"/>
          <w:trHeight w:val="62"/>
        </w:trPr>
        <w:tc>
          <w:tcPr>
            <w:tcW w:w="724"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610" w:type="dxa"/>
            <w:vAlign w:val="center"/>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2156"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515"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宜兴市财政局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4"/>
            <w:r/>
          </w:p>
        </w:tc>
      </w:tr>
    </w:tbl>
    <w:p>
      <w:pPr>
        <w:jc w:val="center"/>
        <w:spacing w:line="360" w:lineRule="auto"/>
        <w:rPr>
          <w:rFonts w:hint="eastAsia" w:ascii="黑体" w:hAnsi="黑体" w:eastAsia="黑体"/>
          <w:color w:val="auto"/>
          <w:sz w:val="28"/>
          <w:highlight w:val="none"/>
        </w:rPr>
        <w:outlineLvl w:val="0"/>
      </w:pPr>
      <w:r/>
      <w:bookmarkStart w:id="5" w:name="_Toc29543"/>
      <w:r>
        <w:rPr>
          <w:rFonts w:hint="eastAsia" w:ascii="黑体" w:hAnsi="黑体" w:eastAsia="黑体"/>
          <w:color w:val="auto"/>
          <w:sz w:val="28"/>
          <w:highlight w:val="none"/>
        </w:rPr>
        <w:br w:type="page" w:clear="all"/>
      </w:r>
      <w:bookmarkStart w:id="6" w:name="_Toc26754"/>
      <w:r>
        <w:rPr>
          <w:rFonts w:hint="eastAsia" w:ascii="黑体" w:hAnsi="黑体" w:eastAsia="黑体"/>
          <w:color w:val="auto"/>
          <w:sz w:val="28"/>
          <w:highlight w:val="none"/>
        </w:rPr>
        <w:t xml:space="preserve">第二章 供应商须知</w:t>
      </w:r>
      <w:bookmarkEnd w:id="5"/>
      <w:r/>
      <w:bookmarkEnd w:id="6"/>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一、总则</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1、适用法律</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w:t>
      </w:r>
      <w:r>
        <w:rPr>
          <w:rFonts w:hint="eastAsia" w:ascii="宋体" w:hAnsi="宋体"/>
          <w:bCs/>
          <w:color w:val="auto"/>
          <w:sz w:val="24"/>
          <w:szCs w:val="24"/>
          <w:highlight w:val="none"/>
        </w:rPr>
        <w:t xml:space="preserve">政府采购非招标采购方式管理办法</w:t>
      </w:r>
      <w:r>
        <w:rPr>
          <w:rFonts w:hint="eastAsia" w:ascii="宋体" w:hAnsi="宋体"/>
          <w:bCs/>
          <w:color w:val="auto"/>
          <w:sz w:val="24"/>
          <w:szCs w:val="24"/>
          <w:highlight w:val="none"/>
          <w:lang w:val="zh-CN"/>
        </w:rPr>
        <w:t xml:space="preserve">》等有关法律法规、规章和规定等。</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“供应商”</w:t>
      </w:r>
      <w:r>
        <w:rPr>
          <w:rFonts w:hint="eastAsia" w:ascii="宋体" w:hAnsi="宋体"/>
          <w:bCs/>
          <w:color w:val="auto"/>
          <w:sz w:val="24"/>
          <w:szCs w:val="24"/>
          <w:highlight w:val="none"/>
        </w:rPr>
        <w:t xml:space="preserve">是指参加报价竞争，并符合采购文件规定资格条件的法人、其他组织或者自然人；银行、保险、石油石化、电力、电信等有行业特殊情况的，可以以分支机构直接参加政府采购活动，其他行业分支机构通过总公司</w:t>
      </w:r>
      <w:bookmarkStart w:id="7" w:name="_Hlk164149911"/>
      <w:r>
        <w:rPr>
          <w:rFonts w:hint="eastAsia" w:ascii="宋体" w:hAnsi="宋体"/>
          <w:bCs/>
          <w:color w:val="auto"/>
          <w:sz w:val="24"/>
          <w:szCs w:val="24"/>
          <w:highlight w:val="none"/>
        </w:rPr>
        <w:t xml:space="preserve">有效</w:t>
      </w:r>
      <w:bookmarkEnd w:id="7"/>
      <w:r>
        <w:rPr>
          <w:rFonts w:hint="eastAsia" w:ascii="宋体" w:hAnsi="宋体"/>
          <w:bCs/>
          <w:color w:val="auto"/>
          <w:sz w:val="24"/>
          <w:szCs w:val="24"/>
          <w:highlight w:val="none"/>
        </w:rPr>
        <w:t xml:space="preserve">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采购文件中的“法定代表人”是指供应商的营业执照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w:t>
      </w:r>
      <w:bookmarkStart w:id="8" w:name="_Hlk130920449"/>
      <w:r>
        <w:rPr>
          <w:rFonts w:hint="eastAsia" w:ascii="宋体" w:hAnsi="宋体"/>
          <w:bCs/>
          <w:color w:val="auto"/>
          <w:sz w:val="24"/>
          <w:szCs w:val="24"/>
          <w:highlight w:val="none"/>
          <w:lang w:val="zh-CN"/>
        </w:rPr>
        <w:t xml:space="preserve">“供应商（电子签章）”</w:t>
      </w:r>
      <w:r>
        <w:rPr>
          <w:rFonts w:hint="eastAsia" w:ascii="宋体" w:hAnsi="宋体"/>
          <w:bCs/>
          <w:color w:val="auto"/>
          <w:sz w:val="24"/>
          <w:szCs w:val="24"/>
          <w:highlight w:val="none"/>
        </w:rPr>
        <w:t xml:space="preserve">是指供应商的</w:t>
      </w:r>
      <w:bookmarkStart w:id="9" w:name="_Hlk152584062"/>
      <w:r>
        <w:rPr>
          <w:rFonts w:hint="eastAsia" w:ascii="宋体" w:hAnsi="宋体"/>
          <w:bCs/>
          <w:color w:val="auto"/>
          <w:sz w:val="24"/>
          <w:szCs w:val="24"/>
          <w:highlight w:val="none"/>
        </w:rPr>
        <w:t xml:space="preserve">电子公章</w:t>
      </w:r>
      <w:bookmarkEnd w:id="9"/>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自然人报价即指自然人私章</w:t>
      </w:r>
      <w:bookmarkEnd w:id="8"/>
      <w:r>
        <w:rPr>
          <w:rFonts w:hint="eastAsia" w:ascii="宋体" w:hAnsi="宋体"/>
          <w:bCs/>
          <w:color w:val="auto"/>
          <w:sz w:val="24"/>
          <w:szCs w:val="24"/>
          <w:highlight w:val="none"/>
          <w:lang w:val="zh-CN"/>
        </w:rPr>
        <w:t xml:space="preserve">或签名</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w:t>
      </w:r>
      <w:r>
        <w:rPr>
          <w:rFonts w:hint="eastAsia" w:ascii="宋体" w:hAnsi="宋体"/>
          <w:bCs/>
          <w:color w:val="auto"/>
          <w:sz w:val="24"/>
          <w:szCs w:val="24"/>
          <w:highlight w:val="none"/>
          <w:lang w:val="zh-CN"/>
        </w:rPr>
        <w:t xml:space="preserve"> “服务”指本采购文件中所述服务及相关产品。</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“响应”指提交报价文件并对采购文件提出的条件和要求进行实质性回应，采购公告及采购文件中的“投标”是指磋商报价，本采购文件中的“报价”除单独列明外均指项目总报价。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“证明材料”指采购文件中要求提供的相关材料</w:t>
      </w:r>
      <w:bookmarkStart w:id="10" w:name="_Hlk166055298"/>
      <w:r>
        <w:rPr>
          <w:rFonts w:hint="eastAsia" w:ascii="宋体" w:hAnsi="宋体"/>
          <w:bCs/>
          <w:color w:val="auto"/>
          <w:sz w:val="24"/>
          <w:szCs w:val="24"/>
          <w:highlight w:val="none"/>
          <w:lang w:val="zh-CN"/>
        </w:rPr>
        <w:t xml:space="preserve">且必须为有效的，即证明材料的完整性、真实性、出具方、有效期限、技术标准、认证范围等相关要求符合国家相关法律法规及采购文件规定。</w:t>
      </w:r>
      <w:bookmarkEnd w:id="1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.9 </w:t>
      </w:r>
      <w:r>
        <w:rPr>
          <w:rFonts w:hint="eastAsia" w:ascii="宋体" w:hAnsi="宋体"/>
          <w:bCs/>
          <w:color w:val="auto"/>
          <w:sz w:val="24"/>
          <w:szCs w:val="24"/>
          <w:highlight w:val="none"/>
          <w:lang w:val="zh-CN"/>
        </w:rPr>
        <w:t xml:space="preserve">“报价无效”指供应商提交的响应文件不符合采购文件或不符合采购人要求的情况，按无效响应处理。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.10 </w:t>
      </w:r>
      <w:r>
        <w:rPr>
          <w:rFonts w:hint="eastAsia" w:ascii="宋体" w:hAnsi="宋体"/>
          <w:bCs/>
          <w:color w:val="auto"/>
          <w:sz w:val="24"/>
          <w:szCs w:val="24"/>
          <w:highlight w:val="none"/>
        </w:rPr>
        <w:t xml:space="preserve">“评审因素”是指评审方法和标准中包括的价格因素、技术因素、商务因素等方面。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“正偏离”指供应商提供的服务（货物）响应情况优于采购文件要求；“负偏离”指供应商提供的服务（货物）响应情况劣于采购文件要求。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2.12 本采购文件中的招标与采购、采购文件与采购文件、报价无效与响应无效、</w:t>
      </w:r>
      <w:r>
        <w:rPr>
          <w:rFonts w:hint="eastAsia" w:ascii="宋体" w:hAnsi="宋体"/>
          <w:bCs/>
          <w:color w:val="auto"/>
          <w:sz w:val="24"/>
          <w:szCs w:val="24"/>
          <w:highlight w:val="none"/>
        </w:rPr>
        <w:t xml:space="preserve">产品与货物、优惠政策与扶持政策，分别为同一概念或意思。</w:t>
      </w:r>
      <w:r/>
    </w:p>
    <w:p>
      <w:pPr>
        <w:ind w:firstLine="480"/>
        <w:jc w:val="left"/>
        <w:spacing w:line="360" w:lineRule="auto"/>
        <w:rPr>
          <w:rFonts w:hint="eastAsia" w:ascii="宋体" w:hAnsi="宋体"/>
          <w:bCs/>
          <w:color w:val="auto"/>
          <w:sz w:val="24"/>
          <w:szCs w:val="24"/>
          <w:highlight w:val="none"/>
          <w:lang w:val="zh-CN"/>
        </w:rPr>
      </w:pPr>
      <w:r/>
      <w:bookmarkStart w:id="11" w:name="_Hlk169618186"/>
      <w:r>
        <w:rPr>
          <w:rFonts w:hint="eastAsia" w:ascii="宋体" w:hAnsi="宋体"/>
          <w:bCs/>
          <w:color w:val="auto"/>
          <w:sz w:val="24"/>
          <w:szCs w:val="24"/>
          <w:highlight w:val="none"/>
          <w:lang w:val="zh-CN"/>
        </w:rPr>
        <w:t xml:space="preserve">2.13本采购文件中所称的</w:t>
      </w:r>
      <w:r>
        <w:rPr>
          <w:rFonts w:hint="eastAsia" w:ascii="宋体" w:hAnsi="宋体"/>
          <w:bCs/>
          <w:color w:val="auto"/>
          <w:sz w:val="24"/>
          <w:szCs w:val="24"/>
          <w:highlight w:val="none"/>
        </w:rPr>
        <w:t xml:space="preserve">“以上”、“以来”、“以下”、“不少于”、“不超过”，</w:t>
      </w:r>
      <w:r>
        <w:rPr>
          <w:rFonts w:hint="eastAsia" w:ascii="宋体" w:hAnsi="宋体"/>
          <w:bCs/>
          <w:color w:val="auto"/>
          <w:sz w:val="24"/>
          <w:szCs w:val="24"/>
          <w:highlight w:val="none"/>
          <w:lang w:val="zh-CN"/>
        </w:rPr>
        <w:t xml:space="preserve">包括本数；所称的“不足”、“低于”、“高于”、“少于”、“超过”，不包括本数。</w:t>
      </w:r>
      <w:bookmarkEnd w:id="11"/>
      <w:r/>
    </w:p>
    <w:p>
      <w:pPr>
        <w:ind w:firstLine="482"/>
        <w:spacing w:line="360" w:lineRule="auto"/>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 xml:space="preserve">3、政策功能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对于专门面向中小企业采购的项目，只面向中小企业采购，且评审时不予报价扣除；对于非专门面向中小企业采购的项目，对符合规定的小微企业报价给予10%（工程项目为5%）的扣除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2"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2"/>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cs="宋体"/>
          <w:color w:val="auto"/>
          <w:sz w:val="24"/>
          <w:highlight w:val="none"/>
        </w:rPr>
        <w:t xml:space="preserve">可享受中小企业扶持政策的供应商应按照采购文件要求提供中小企业声明，供应商提供的中小企业声明与实际情况不符的，不享受中小企业扶持政策。</w:t>
      </w:r>
      <w:bookmarkStart w:id="13" w:name="_Hlk163807632"/>
      <w:r>
        <w:rPr>
          <w:rFonts w:hint="eastAsia" w:ascii="宋体" w:hAnsi="宋体" w:cs="宋体"/>
          <w:color w:val="auto"/>
          <w:sz w:val="24"/>
          <w:highlight w:val="none"/>
        </w:rPr>
        <w:t xml:space="preserve">对提供《中小企业声明函》的供应商，应按照《中小企业声明函》格式准确完整填写相关内容，</w:t>
      </w:r>
      <w:bookmarkStart w:id="14"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3"/>
      <w:r/>
      <w:bookmarkEnd w:id="14"/>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符合《关于政府采购支持监狱企业发展有关问题的通知》（财库〔201</w:t>
      </w:r>
      <w:r>
        <w:rPr>
          <w:rFonts w:ascii="宋体" w:hAnsi="宋体" w:cs="宋体"/>
          <w:color w:val="auto"/>
          <w:sz w:val="24"/>
          <w:highlight w:val="none"/>
        </w:rPr>
        <w:t xml:space="preserve">4</w:t>
      </w:r>
      <w:r>
        <w:rPr>
          <w:rFonts w:hint="eastAsia" w:ascii="宋体" w:hAnsi="宋体" w:cs="宋体"/>
          <w:color w:val="auto"/>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若供应商同时为小微企业、残疾人福利性单位（或监狱企业），只享受一次针对小微企业的价格优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快递包装政府采购需求标准（试行）》（财办库〔2020〕123号）。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color w:val="auto"/>
          <w:sz w:val="24"/>
          <w:szCs w:val="24"/>
          <w:highlight w:val="none"/>
        </w:rPr>
      </w:pPr>
      <w:r/>
      <w:bookmarkStart w:id="15" w:name="_Hlk162251646"/>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w:t>
      </w:r>
      <w:r>
        <w:rPr>
          <w:rFonts w:hint="eastAsia" w:ascii="宋体" w:hAnsi="宋体"/>
          <w:bCs/>
          <w:color w:val="auto"/>
          <w:sz w:val="24"/>
          <w:szCs w:val="24"/>
          <w:highlight w:val="none"/>
          <w:lang w:val="zh-CN"/>
        </w:rPr>
        <w:t xml:space="preserve">及其他政府采购政策详见相关文件规定。</w:t>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报价费用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4.1采购文件中的货币单位均为人民币元。</w:t>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保密要求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二、采购文件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color w:val="auto"/>
          <w:sz w:val="24"/>
          <w:szCs w:val="24"/>
          <w:highlight w:val="none"/>
          <w:lang w:val="zh-CN"/>
        </w:rPr>
        <w:t xml:space="preserve">采购文件的组成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6.1供应商应</w:t>
      </w:r>
      <w:r>
        <w:rPr>
          <w:rFonts w:ascii="宋体" w:hAnsi="宋体"/>
          <w:bCs/>
          <w:color w:val="auto"/>
          <w:sz w:val="24"/>
          <w:szCs w:val="24"/>
          <w:highlight w:val="none"/>
        </w:rPr>
        <w:t xml:space="preserve">登录“苏采云” 系统</w:t>
      </w:r>
      <w:r>
        <w:rPr>
          <w:rFonts w:hint="eastAsia" w:ascii="宋体" w:hAnsi="宋体"/>
          <w:bCs/>
          <w:color w:val="auto"/>
          <w:sz w:val="24"/>
          <w:szCs w:val="24"/>
          <w:highlight w:val="none"/>
        </w:rPr>
        <w:t xml:space="preserve">下载采购文件</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bCs/>
          <w:color w:val="auto"/>
          <w:sz w:val="24"/>
          <w:szCs w:val="24"/>
          <w:highlight w:val="none"/>
        </w:rPr>
        <w:t xml:space="preserve">。供应商须按采购文件要求提交资料并对采购文件相关内容作出实质性响应，否则报价无效。供应商须按采购文件要求提交全部资料并对采购文件各项内容作出实质性响应，否则报价无效。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采购文件包括本文件目录所列全部内容及其附件，如有缺漏，请立即与</w:t>
      </w:r>
      <w:r>
        <w:rPr>
          <w:rFonts w:hint="eastAsia" w:ascii="宋体" w:hAnsi="宋体"/>
          <w:bCs/>
          <w:color w:val="auto"/>
          <w:sz w:val="24"/>
          <w:szCs w:val="24"/>
          <w:highlight w:val="none"/>
          <w:lang w:eastAsia="zh-CN"/>
        </w:rPr>
        <w:t xml:space="preserve">江苏鸿成工程项目管理有限公司</w:t>
      </w:r>
      <w:r>
        <w:rPr>
          <w:rFonts w:hint="eastAsia" w:ascii="宋体" w:hAnsi="宋体"/>
          <w:bCs/>
          <w:color w:val="auto"/>
          <w:sz w:val="24"/>
          <w:szCs w:val="24"/>
          <w:highlight w:val="none"/>
        </w:rPr>
        <w:t xml:space="preserve">联系解决。</w:t>
      </w:r>
      <w:r/>
    </w:p>
    <w:p>
      <w:pPr>
        <w:pStyle w:val="783"/>
        <w:ind w:firstLine="480"/>
        <w:spacing w:line="360" w:lineRule="auto"/>
        <w:rPr>
          <w:color w:val="auto"/>
          <w:highlight w:val="none"/>
        </w:rPr>
      </w:pPr>
      <w:r>
        <w:rPr>
          <w:rFonts w:hint="eastAsia" w:ascii="宋体" w:hAnsi="宋体"/>
          <w:bCs/>
          <w:color w:val="auto"/>
          <w:sz w:val="24"/>
          <w:szCs w:val="24"/>
          <w:highlight w:val="none"/>
        </w:rPr>
        <w:t xml:space="preserve">6.3采购文件如与公告有不一致的地方，以采购文件为准；电子响应文件制作客户端工具中电子响应文件格式、说明与采购文件格式、说明不一致的，以采购文件格式、说明为准。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zh-CN"/>
        </w:rPr>
        <w:t xml:space="preserve">采购文件的解释</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本文件“第三章 项目技术要求和有关说明”由采购人负责解释，其他部分由采购人和采购机构负责解释。</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三、响应文件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8、响应文件的组成</w:t>
      </w:r>
      <w:bookmarkStart w:id="16" w:name="OLE_LINK66"/>
      <w:r>
        <w:rPr>
          <w:rFonts w:hint="eastAsia" w:ascii="宋体" w:hAnsi="宋体"/>
          <w:b/>
          <w:color w:val="auto"/>
          <w:sz w:val="24"/>
          <w:szCs w:val="24"/>
          <w:highlight w:val="none"/>
        </w:rPr>
        <w:t xml:space="preserve">：</w:t>
      </w:r>
      <w:bookmarkEnd w:id="16"/>
      <w:r/>
      <w:r/>
    </w:p>
    <w:p>
      <w:pPr>
        <w:ind w:left="42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w:t>
      </w:r>
      <w:r>
        <w:rPr>
          <w:rFonts w:hint="eastAsia" w:ascii="宋体" w:hAnsi="宋体"/>
          <w:color w:val="auto"/>
          <w:sz w:val="24"/>
          <w:szCs w:val="21"/>
          <w:highlight w:val="none"/>
        </w:rPr>
        <w:t xml:space="preserve">1</w:t>
      </w:r>
      <w:r>
        <w:rPr>
          <w:rFonts w:hint="eastAsia" w:ascii="宋体" w:hAnsi="宋体"/>
          <w:color w:val="auto"/>
          <w:sz w:val="24"/>
          <w:szCs w:val="21"/>
          <w:highlight w:val="none"/>
          <w:lang w:val="zh-CN"/>
        </w:rPr>
        <w:t xml:space="preserve">）报价一览表；</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w:t>
      </w:r>
      <w:r>
        <w:rPr>
          <w:rFonts w:hint="eastAsia" w:ascii="宋体" w:hAnsi="宋体"/>
          <w:color w:val="auto"/>
          <w:sz w:val="24"/>
          <w:szCs w:val="21"/>
          <w:highlight w:val="none"/>
        </w:rPr>
        <w:t xml:space="preserve">2</w:t>
      </w:r>
      <w:r>
        <w:rPr>
          <w:rFonts w:hint="eastAsia" w:ascii="宋体" w:hAnsi="宋体"/>
          <w:color w:val="auto"/>
          <w:sz w:val="24"/>
          <w:szCs w:val="21"/>
          <w:highlight w:val="none"/>
          <w:lang w:val="zh-CN"/>
        </w:rPr>
        <w:t xml:space="preserve">）</w:t>
      </w:r>
      <w:r>
        <w:rPr>
          <w:rFonts w:hint="eastAsia" w:ascii="宋体" w:hAnsi="宋体"/>
          <w:color w:val="auto"/>
          <w:sz w:val="24"/>
          <w:szCs w:val="21"/>
          <w:highlight w:val="none"/>
        </w:rPr>
        <w:t xml:space="preserve">资格条件</w:t>
      </w:r>
      <w:r>
        <w:rPr>
          <w:rFonts w:hint="eastAsia" w:ascii="宋体" w:hAnsi="宋体"/>
          <w:color w:val="auto"/>
          <w:sz w:val="24"/>
          <w:szCs w:val="21"/>
          <w:highlight w:val="none"/>
          <w:lang w:val="zh-CN"/>
        </w:rPr>
        <w:t xml:space="preserve">：</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17" w:name="_Hlk151555369"/>
      <w:r>
        <w:rPr>
          <w:rFonts w:hint="eastAsia" w:ascii="宋体" w:hAnsi="宋体"/>
          <w:b/>
          <w:bCs w:val="0"/>
          <w:color w:val="auto"/>
          <w:sz w:val="24"/>
          <w:szCs w:val="24"/>
          <w:highlight w:val="none"/>
          <w:lang w:val="zh-CN"/>
        </w:rPr>
        <w:t xml:space="preserve">①</w:t>
      </w:r>
      <w:bookmarkStart w:id="18" w:name="OLE_LINK13"/>
      <w:r>
        <w:rPr>
          <w:rFonts w:hint="eastAsia" w:ascii="宋体" w:hAnsi="宋体"/>
          <w:b/>
          <w:bCs w:val="0"/>
          <w:color w:val="auto"/>
          <w:sz w:val="24"/>
          <w:szCs w:val="24"/>
          <w:highlight w:val="none"/>
          <w:lang w:val="zh-CN"/>
        </w:rPr>
        <w:t xml:space="preserve">资格声明函</w:t>
      </w:r>
      <w:bookmarkEnd w:id="18"/>
      <w:r>
        <w:rPr>
          <w:rFonts w:hint="eastAsia" w:ascii="宋体" w:hAnsi="宋体"/>
          <w:b/>
          <w:bCs w:val="0"/>
          <w:color w:val="auto"/>
          <w:sz w:val="24"/>
          <w:szCs w:val="24"/>
          <w:highlight w:val="none"/>
          <w:lang w:val="zh-CN"/>
        </w:rPr>
        <w:t xml:space="preserve">：</w:t>
      </w:r>
      <w:bookmarkStart w:id="19" w:name="_Hlk151448601"/>
      <w:r>
        <w:rPr>
          <w:rFonts w:hint="eastAsia" w:ascii="宋体" w:hAnsi="宋体"/>
          <w:bCs/>
          <w:color w:val="auto"/>
          <w:sz w:val="24"/>
          <w:szCs w:val="24"/>
          <w:highlight w:val="none"/>
          <w:lang w:val="zh-CN"/>
        </w:rPr>
        <w:t xml:space="preserve">提供《关于资格的声明函》；</w:t>
      </w:r>
      <w:bookmarkEnd w:id="19"/>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②</w:t>
      </w:r>
      <w:bookmarkStart w:id="20" w:name="OLE_LINK14"/>
      <w:r>
        <w:rPr>
          <w:rFonts w:hint="eastAsia" w:ascii="宋体" w:hAnsi="宋体"/>
          <w:b/>
          <w:bCs w:val="0"/>
          <w:color w:val="auto"/>
          <w:sz w:val="24"/>
          <w:szCs w:val="24"/>
          <w:highlight w:val="none"/>
          <w:lang w:val="zh-CN"/>
        </w:rPr>
        <w:t xml:space="preserve">被授权代表身份证明1</w:t>
      </w:r>
      <w:bookmarkStart w:id="21" w:name="_Hlk163378222"/>
      <w:r>
        <w:rPr>
          <w:rFonts w:hint="eastAsia" w:ascii="宋体" w:hAnsi="宋体"/>
          <w:b/>
          <w:bCs w:val="0"/>
          <w:color w:val="auto"/>
          <w:sz w:val="24"/>
          <w:szCs w:val="24"/>
          <w:highlight w:val="none"/>
          <w:lang w:val="zh-CN"/>
        </w:rPr>
        <w:t xml:space="preserve">（授权委托书）</w:t>
      </w:r>
      <w:bookmarkEnd w:id="20"/>
      <w:r/>
      <w:bookmarkEnd w:id="21"/>
      <w:r>
        <w:rPr>
          <w:rFonts w:hint="eastAsia" w:ascii="宋体" w:hAnsi="宋体"/>
          <w:b/>
          <w:bCs w:val="0"/>
          <w:color w:val="auto"/>
          <w:sz w:val="24"/>
          <w:szCs w:val="24"/>
          <w:highlight w:val="none"/>
          <w:lang w:val="zh-CN"/>
        </w:rPr>
        <w:t xml:space="preserve">：</w:t>
      </w:r>
      <w:r>
        <w:rPr>
          <w:rFonts w:hint="eastAsia" w:ascii="宋体" w:hAnsi="宋体"/>
          <w:bCs/>
          <w:color w:val="auto"/>
          <w:sz w:val="24"/>
          <w:szCs w:val="24"/>
          <w:highlight w:val="none"/>
          <w:lang w:val="zh-CN"/>
        </w:rPr>
        <w:t xml:space="preserve">提供供应商法定代表人授权委托书（法定代表人亲自参加的无需提供）；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③</w:t>
      </w:r>
      <w:bookmarkStart w:id="22" w:name="OLE_LINK15"/>
      <w:r>
        <w:rPr>
          <w:rFonts w:hint="eastAsia" w:ascii="宋体" w:hAnsi="宋体"/>
          <w:b/>
          <w:bCs w:val="0"/>
          <w:color w:val="auto"/>
          <w:sz w:val="24"/>
          <w:szCs w:val="24"/>
          <w:highlight w:val="none"/>
          <w:lang w:val="zh-CN"/>
        </w:rPr>
        <w:t xml:space="preserve">被授权代表身份证明2（社保）</w:t>
      </w:r>
      <w:bookmarkEnd w:id="22"/>
      <w:r>
        <w:rPr>
          <w:rFonts w:hint="eastAsia" w:ascii="宋体" w:hAnsi="宋体"/>
          <w:b/>
          <w:bCs w:val="0"/>
          <w:color w:val="auto"/>
          <w:sz w:val="24"/>
          <w:szCs w:val="24"/>
          <w:highlight w:val="none"/>
          <w:lang w:val="zh-CN"/>
        </w:rPr>
        <w:t xml:space="preserve">：</w:t>
      </w:r>
      <w:bookmarkStart w:id="23"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3"/>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④具有独立承担民事责任的能力：</w:t>
      </w:r>
      <w:r>
        <w:rPr>
          <w:rFonts w:hint="eastAsia" w:ascii="宋体" w:hAnsi="宋体"/>
          <w:bCs/>
          <w:color w:val="auto"/>
          <w:sz w:val="24"/>
          <w:szCs w:val="24"/>
          <w:highlight w:val="none"/>
          <w:lang w:val="zh-CN"/>
        </w:rPr>
        <w:t xml:space="preserve">提供供应商营业执照或法人（登记）证书，供应商为自然人的提供自然人身份证；</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提供供应商依法缴纳近十二个月中任意一个月份税收的相关材料（提供相关主管部门证明或银行代扣证明）；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提供供应商依法缴纳近十二个月中任意一个月份社会保障资金的相关材料（提供相关主管部门证明或银行代扣证明）；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若供应商企业信息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w:t>
      </w:r>
      <w:bookmarkStart w:id="24" w:name="_Hlk139976635"/>
      <w:r>
        <w:rPr>
          <w:rFonts w:hint="eastAsia" w:ascii="宋体" w:hAnsi="宋体"/>
          <w:bCs/>
          <w:color w:val="auto"/>
          <w:sz w:val="24"/>
          <w:szCs w:val="24"/>
          <w:highlight w:val="none"/>
          <w:lang w:val="zh-CN"/>
        </w:rPr>
        <w:t xml:space="preserve">供应商提供的资格声明函中作出的无不良信用记录承诺为准</w:t>
      </w:r>
      <w:bookmarkEnd w:id="24"/>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25" w:name="_Hlk151448642"/>
      <w:r>
        <w:rPr>
          <w:rFonts w:hint="eastAsia" w:ascii="宋体" w:hAnsi="宋体"/>
          <w:b/>
          <w:bCs w:val="0"/>
          <w:color w:val="auto"/>
          <w:sz w:val="24"/>
          <w:szCs w:val="24"/>
          <w:highlight w:val="none"/>
          <w:lang w:val="zh-CN"/>
        </w:rPr>
        <w:t xml:space="preserve">⑨联合体：</w:t>
      </w:r>
      <w:r>
        <w:rPr>
          <w:rFonts w:hint="eastAsia" w:ascii="宋体" w:hAnsi="宋体"/>
          <w:bCs/>
          <w:color w:val="auto"/>
          <w:sz w:val="24"/>
          <w:szCs w:val="24"/>
          <w:highlight w:val="none"/>
          <w:lang w:val="zh-CN"/>
        </w:rPr>
        <w:t xml:space="preserve">如采购人要求组成联合体或采购人允许组成联合体且供应商组成联合体的，应提供有效的联合体协议书，否则无需提供；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⑩分包：</w:t>
      </w:r>
      <w:r>
        <w:rPr>
          <w:rFonts w:hint="eastAsia" w:ascii="宋体" w:hAnsi="宋体"/>
          <w:bCs/>
          <w:color w:val="auto"/>
          <w:sz w:val="24"/>
          <w:szCs w:val="24"/>
          <w:highlight w:val="none"/>
          <w:lang w:val="zh-CN"/>
        </w:rPr>
        <w:t xml:space="preserve">如采购人要求分包或采购人允许分包且供应商有分包意向的，应提供有效的分包情况说明，否则无需提供；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ascii="Cambria Math" w:hAnsi="Cambria Math" w:cs="Cambria Math"/>
          <w:b/>
          <w:bCs w:val="0"/>
          <w:color w:val="auto"/>
          <w:sz w:val="24"/>
          <w:szCs w:val="24"/>
          <w:highlight w:val="none"/>
          <w:lang w:val="zh-CN"/>
        </w:rPr>
        <w:t xml:space="preserve">⑪</w:t>
      </w:r>
      <w:r>
        <w:rPr>
          <w:rFonts w:hint="eastAsia" w:ascii="宋体" w:hAnsi="宋体"/>
          <w:b/>
          <w:bCs w:val="0"/>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如专门面向中小企业采购的，供应商应提供有效的《中小企业声明函》或《残疾人福利性单位声明函》或监狱企业的证明文件，否则此处无需提供；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hint="eastAsia" w:ascii="宋体" w:hAnsi="宋体"/>
          <w:b/>
          <w:bCs w:val="0"/>
          <w:color w:val="auto"/>
          <w:sz w:val="24"/>
          <w:szCs w:val="24"/>
          <w:highlight w:val="none"/>
          <w:lang w:val="en-US" w:eastAsia="zh-CN"/>
        </w:rPr>
      </w:pPr>
      <w:r>
        <w:rPr>
          <w:rFonts w:ascii="Cambria Math" w:hAnsi="Cambria Math" w:cs="Cambria Math"/>
          <w:b/>
          <w:bCs w:val="0"/>
          <w:color w:val="auto"/>
          <w:sz w:val="24"/>
          <w:szCs w:val="24"/>
          <w:highlight w:val="none"/>
          <w:lang w:val="zh-CN"/>
        </w:rPr>
        <w:t xml:space="preserve">⑫</w:t>
      </w:r>
      <w:r>
        <w:rPr>
          <w:rFonts w:hint="eastAsia" w:ascii="宋体" w:hAnsi="宋体" w:cs="宋体"/>
          <w:b/>
          <w:bCs w:val="0"/>
          <w:color w:val="auto"/>
          <w:sz w:val="24"/>
          <w:szCs w:val="24"/>
          <w:highlight w:val="none"/>
        </w:rPr>
        <w:t xml:space="preserve">特定资格要求</w:t>
      </w:r>
      <w:r>
        <w:rPr>
          <w:rFonts w:hint="eastAsia" w:ascii="宋体" w:hAnsi="宋体"/>
          <w:b/>
          <w:bCs w:val="0"/>
          <w:color w:val="auto"/>
          <w:sz w:val="24"/>
          <w:szCs w:val="24"/>
          <w:highlight w:val="none"/>
          <w:lang w:val="zh-CN"/>
        </w:rPr>
        <w:t xml:space="preserve">：</w:t>
      </w:r>
      <w:bookmarkEnd w:id="25"/>
      <w:r>
        <w:rPr>
          <w:rFonts w:hint="eastAsia" w:ascii="宋体" w:hAnsi="宋体"/>
          <w:b/>
          <w:bCs w:val="0"/>
          <w:color w:val="auto"/>
          <w:sz w:val="24"/>
          <w:szCs w:val="24"/>
          <w:highlight w:val="none"/>
          <w:lang w:val="en-US" w:eastAsia="zh-CN"/>
        </w:rPr>
        <w:t xml:space="preserve">无</w:t>
      </w:r>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Start w:id="26" w:name="_Hlk155260768"/>
      <w:r>
        <w:rPr>
          <w:rFonts w:hint="eastAsia" w:ascii="宋体" w:hAnsi="宋体"/>
          <w:color w:val="auto"/>
          <w:sz w:val="24"/>
          <w:szCs w:val="24"/>
          <w:highlight w:val="none"/>
        </w:rPr>
        <w:t xml:space="preserve">以上近六个月、近十二个月是从提交</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截止日向前推算（不含</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提交截止当月）；</w:t>
      </w:r>
      <w:bookmarkStart w:id="27"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7"/>
      <w:r>
        <w:rPr>
          <w:rFonts w:hint="eastAsia" w:ascii="宋体" w:hAnsi="宋体"/>
          <w:bCs/>
          <w:color w:val="auto"/>
          <w:sz w:val="24"/>
          <w:szCs w:val="24"/>
          <w:highlight w:val="none"/>
        </w:rPr>
        <w:t xml:space="preserve">前三年是从提交</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lang w:eastAsia="zh-CN"/>
        </w:rPr>
        <w:t xml:space="preserve">供应商</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6"/>
      <w:r/>
    </w:p>
    <w:p>
      <w:pPr>
        <w:ind w:left="420"/>
        <w:jc w:val="left"/>
        <w:spacing w:line="360" w:lineRule="auto"/>
        <w:tabs>
          <w:tab w:val="left" w:pos="0" w:leader="none"/>
          <w:tab w:val="left" w:pos="255" w:leader="none"/>
        </w:tabs>
        <w:rPr>
          <w:rFonts w:ascii="宋体" w:hAnsi="宋体"/>
          <w:b/>
          <w:color w:val="auto"/>
          <w:sz w:val="24"/>
          <w:szCs w:val="24"/>
          <w:highlight w:val="none"/>
        </w:rPr>
      </w:pPr>
      <w:r>
        <w:rPr>
          <w:rFonts w:hint="eastAsia" w:ascii="宋体" w:hAnsi="宋体"/>
          <w:b/>
          <w:color w:val="auto"/>
          <w:sz w:val="24"/>
          <w:szCs w:val="24"/>
          <w:highlight w:val="none"/>
        </w:rPr>
        <w:t xml:space="preserve">（3）符合条件</w:t>
      </w:r>
      <w:bookmarkEnd w:id="17"/>
      <w:r/>
      <w:r/>
    </w:p>
    <w:p>
      <w:pPr>
        <w:ind w:left="400"/>
        <w:jc w:val="left"/>
        <w:spacing w:line="360" w:lineRule="auto"/>
        <w:tabs>
          <w:tab w:val="left" w:pos="0" w:leader="none"/>
          <w:tab w:val="left" w:pos="255" w:leader="none"/>
        </w:tabs>
        <w:rPr>
          <w:rFonts w:hint="eastAsia" w:ascii="宋体" w:hAnsi="宋体"/>
          <w:bCs/>
          <w:color w:val="auto"/>
          <w:sz w:val="24"/>
          <w:szCs w:val="24"/>
          <w:highlight w:val="none"/>
        </w:rPr>
      </w:pPr>
      <w:r/>
      <w:bookmarkStart w:id="28" w:name="_Hlk131926018"/>
      <w:r>
        <w:rPr>
          <w:rFonts w:hint="eastAsia" w:ascii="宋体" w:hAnsi="宋体"/>
          <w:bCs/>
          <w:color w:val="auto"/>
          <w:sz w:val="24"/>
          <w:szCs w:val="24"/>
          <w:highlight w:val="none"/>
          <w:lang w:val="zh-CN"/>
        </w:rPr>
        <w:t xml:space="preserve">①</w:t>
      </w:r>
      <w:bookmarkEnd w:id="28"/>
      <w:r>
        <w:rPr>
          <w:rFonts w:hint="eastAsia" w:ascii="宋体" w:hAnsi="宋体"/>
          <w:bCs/>
          <w:color w:val="auto"/>
          <w:sz w:val="24"/>
          <w:szCs w:val="24"/>
          <w:highlight w:val="none"/>
        </w:rPr>
        <w:t xml:space="preserve">响应函</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②明细报价表</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③</w:t>
      </w:r>
      <w:r>
        <w:rPr>
          <w:rFonts w:ascii="宋体" w:hAnsi="宋体"/>
          <w:bCs/>
          <w:color w:val="auto"/>
          <w:sz w:val="24"/>
          <w:szCs w:val="24"/>
          <w:highlight w:val="none"/>
        </w:rPr>
        <w:t xml:space="preserve">项目技术要求偏离表</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1"/>
          <w:highlight w:val="none"/>
          <w:lang w:val="zh-CN"/>
        </w:rPr>
        <w:t xml:space="preserve">④服务内容详细说明（格式自拟）</w:t>
      </w:r>
      <w:r/>
    </w:p>
    <w:p>
      <w:pPr>
        <w:ind w:firstLine="480"/>
        <w:jc w:val="left"/>
        <w:keepLines w:val="0"/>
        <w:keepNext w:val="0"/>
        <w:pageBreakBefore w:val="0"/>
        <w:spacing w:line="360" w:lineRule="auto"/>
        <w:widowControl w:val="off"/>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hAnsi="宋体" w:cs="宋体"/>
          <w:color w:val="auto"/>
          <w:sz w:val="24"/>
          <w:szCs w:val="21"/>
          <w:highlight w:val="none"/>
        </w:rPr>
        <w:t xml:space="preserve">采购</w:t>
      </w:r>
      <w:r>
        <w:rPr>
          <w:rFonts w:hint="eastAsia" w:ascii="宋体" w:hAnsi="宋体" w:cs="宋体"/>
          <w:color w:val="auto"/>
          <w:sz w:val="24"/>
          <w:szCs w:val="21"/>
          <w:highlight w:val="none"/>
          <w:lang w:val="zh-CN"/>
        </w:rPr>
        <w:t xml:space="preserve">文件第三章“项目技术要求和有关说明”中要求提供的相关证明材料（如有自行添加）</w:t>
      </w:r>
      <w:r/>
    </w:p>
    <w:p>
      <w:pPr>
        <w:ind w:left="420"/>
        <w:jc w:val="left"/>
        <w:spacing w:line="360" w:lineRule="auto"/>
        <w:tabs>
          <w:tab w:val="left" w:pos="0" w:leader="none"/>
          <w:tab w:val="left" w:pos="255" w:leader="none"/>
        </w:tabs>
        <w:rPr>
          <w:rFonts w:ascii="宋体" w:hAnsi="宋体"/>
          <w:b/>
          <w:color w:val="auto"/>
          <w:sz w:val="24"/>
          <w:szCs w:val="24"/>
          <w:highlight w:val="none"/>
        </w:rPr>
      </w:pPr>
      <w:r/>
      <w:bookmarkStart w:id="29" w:name="OLE_LINK45"/>
      <w:r/>
      <w:bookmarkStart w:id="30" w:name="OLE_LINK219"/>
      <w:r/>
      <w:bookmarkStart w:id="31" w:name="OLE_LINK12"/>
      <w:r>
        <w:rPr>
          <w:rFonts w:hint="eastAsia" w:ascii="宋体" w:hAnsi="宋体"/>
          <w:b/>
          <w:color w:val="auto"/>
          <w:sz w:val="24"/>
          <w:szCs w:val="24"/>
          <w:highlight w:val="none"/>
        </w:rPr>
        <w:t xml:space="preserve">（4）价格折扣文件</w:t>
      </w:r>
      <w:r/>
    </w:p>
    <w:p>
      <w:pPr>
        <w:ind w:left="420"/>
        <w:jc w:val="left"/>
        <w:spacing w:line="360" w:lineRule="auto"/>
        <w:tabs>
          <w:tab w:val="left" w:pos="0" w:leader="none"/>
          <w:tab w:val="left" w:pos="255" w:leader="none"/>
        </w:tabs>
        <w:rPr>
          <w:rFonts w:ascii="宋体" w:hAnsi="宋体"/>
          <w:b/>
          <w:color w:val="auto"/>
          <w:sz w:val="24"/>
          <w:szCs w:val="24"/>
          <w:highlight w:val="none"/>
        </w:rPr>
      </w:pPr>
      <w:r>
        <w:rPr>
          <w:rFonts w:hint="eastAsia" w:ascii="宋体" w:hAnsi="宋体"/>
          <w:b/>
          <w:color w:val="auto"/>
          <w:sz w:val="24"/>
          <w:szCs w:val="24"/>
          <w:highlight w:val="none"/>
        </w:rPr>
        <w:t xml:space="preserve">（5）其他相关材料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上述（2）和（3）内容供应商应按要求提供有效证明材料，否则投标无效，相关材料格式见“第五章 响应文件（格式）”。若未提供</w:t>
      </w:r>
      <w:r>
        <w:rPr>
          <w:rFonts w:hint="eastAsia" w:ascii="宋体" w:hAnsi="宋体"/>
          <w:bCs/>
          <w:color w:val="auto"/>
          <w:sz w:val="24"/>
          <w:szCs w:val="24"/>
          <w:highlight w:val="none"/>
          <w:lang w:val="zh-CN"/>
        </w:rPr>
        <w:t xml:space="preserve">被授权代表授权委托书及社保证明的，视为供应商法定代表人亲自参加。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w:t>
      </w:r>
      <w:bookmarkStart w:id="32" w:name="_Toc19624"/>
      <w:r/>
      <w:bookmarkStart w:id="33" w:name="_Toc2248"/>
      <w:r/>
      <w:bookmarkStart w:id="34" w:name="_Toc23231"/>
      <w:r/>
      <w:bookmarkStart w:id="35" w:name="_Toc520356155"/>
      <w:r/>
      <w:bookmarkStart w:id="36" w:name="_Toc515647770"/>
      <w:r>
        <w:rPr>
          <w:rFonts w:hint="eastAsia" w:ascii="宋体" w:hAnsi="宋体"/>
          <w:b/>
          <w:color w:val="auto"/>
          <w:sz w:val="24"/>
          <w:szCs w:val="24"/>
          <w:highlight w:val="none"/>
        </w:rPr>
        <w:t xml:space="preserve">报价</w:t>
      </w:r>
      <w:bookmarkEnd w:id="29"/>
      <w:r/>
      <w:bookmarkEnd w:id="32"/>
      <w:r/>
      <w:bookmarkEnd w:id="33"/>
      <w:r/>
      <w:bookmarkEnd w:id="34"/>
      <w:r/>
      <w:bookmarkEnd w:id="35"/>
      <w:r/>
      <w:bookmarkEnd w:id="36"/>
      <w:r/>
      <w:r/>
    </w:p>
    <w:p>
      <w:pPr>
        <w:ind w:firstLine="480"/>
        <w:spacing w:line="360" w:lineRule="auto"/>
        <w:rPr>
          <w:rFonts w:hint="eastAsia" w:ascii="宋体" w:hAnsi="宋体"/>
          <w:bCs/>
          <w:color w:val="auto"/>
          <w:sz w:val="24"/>
          <w:szCs w:val="24"/>
          <w:highlight w:val="none"/>
          <w:lang w:val="zh-CN"/>
        </w:rPr>
      </w:pPr>
      <w:r/>
      <w:bookmarkStart w:id="37" w:name="OLE_LINK38"/>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所有采购活动均以人民币报价</w:t>
      </w:r>
      <w:bookmarkStart w:id="38" w:name="OLE_LINK204"/>
      <w:r>
        <w:rPr>
          <w:rFonts w:hint="eastAsia" w:ascii="宋体" w:hAnsi="宋体"/>
          <w:bCs/>
          <w:color w:val="auto"/>
          <w:sz w:val="24"/>
          <w:szCs w:val="24"/>
          <w:highlight w:val="none"/>
          <w:lang w:val="zh-CN"/>
        </w:rPr>
        <w:t xml:space="preserve">。</w:t>
      </w:r>
      <w:bookmarkEnd w:id="38"/>
      <w:r>
        <w:rPr>
          <w:rFonts w:hint="eastAsia" w:ascii="宋体" w:hAnsi="宋体"/>
          <w:bCs/>
          <w:color w:val="auto"/>
          <w:sz w:val="24"/>
          <w:szCs w:val="24"/>
          <w:highlight w:val="none"/>
          <w:lang w:val="zh-CN"/>
        </w:rPr>
        <w:t xml:space="preserve">供应商的报价应遵守《中华人民共和国价格法》。同时，根据《中华人民共和国政府采购法》第二条的规定，为保证公平竞争，如有货物主体部分的赠与行为，其报价将被认定为无效报价。</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供应商应在明细报价表上标明货物及相关服务的单价（如适用）和总价，明细报价表上的价格应按下列方式填写：</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货物（包括备品备件、专用工具等）的出厂价（包括已在中国国内的进口货物完税后的仓库交货价、展室交货价或货架交货价），货物安装、调试、检验、技术服务和培训等费用；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货物运至最终目的地的运输费和保险费用。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供应商所报的各分项单价在合同履行过程中是固定不变的，不得以任何理由予以变更。任何包含价格调整要求的报价，将被认定为无效报价。</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w:t>
      </w:r>
      <w:r>
        <w:rPr>
          <w:rFonts w:hint="eastAsia" w:ascii="宋体" w:hAnsi="宋体"/>
          <w:bCs/>
          <w:color w:val="auto"/>
          <w:sz w:val="24"/>
          <w:szCs w:val="24"/>
          <w:highlight w:val="none"/>
          <w:lang w:val="en-US" w:eastAsia="zh-CN"/>
        </w:rPr>
        <w:t xml:space="preserve">或服务</w:t>
      </w:r>
      <w:r>
        <w:rPr>
          <w:rFonts w:hint="eastAsia" w:ascii="宋体" w:hAnsi="宋体"/>
          <w:bCs/>
          <w:color w:val="auto"/>
          <w:sz w:val="24"/>
          <w:szCs w:val="24"/>
          <w:highlight w:val="none"/>
          <w:lang w:val="zh-CN"/>
        </w:rPr>
        <w:t xml:space="preserve">只能有一个报价。采购人不接受具有附加条件的报价。</w:t>
      </w:r>
      <w:bookmarkEnd w:id="30"/>
      <w:r/>
      <w:bookmarkEnd w:id="31"/>
      <w:bookmarkEnd w:id="37"/>
      <w:r/>
    </w:p>
    <w:p>
      <w:pPr>
        <w:ind w:firstLine="482"/>
        <w:spacing w:line="360" w:lineRule="auto"/>
        <w:rPr>
          <w:rFonts w:hint="eastAsia" w:ascii="宋体" w:hAnsi="宋体"/>
          <w:b/>
          <w:color w:val="auto"/>
          <w:sz w:val="24"/>
          <w:szCs w:val="24"/>
          <w:highlight w:val="none"/>
        </w:rPr>
      </w:pPr>
      <w:r/>
      <w:bookmarkStart w:id="39" w:name="OLE_LINK25"/>
      <w:r>
        <w:rPr>
          <w:rFonts w:hint="eastAsia" w:ascii="宋体" w:hAnsi="宋体"/>
          <w:b/>
          <w:color w:val="auto"/>
          <w:sz w:val="24"/>
          <w:szCs w:val="24"/>
          <w:highlight w:val="none"/>
        </w:rPr>
        <w:t xml:space="preserve">10</w:t>
      </w:r>
      <w:bookmarkEnd w:id="39"/>
      <w:r>
        <w:rPr>
          <w:rFonts w:hint="eastAsia" w:ascii="宋体" w:hAnsi="宋体"/>
          <w:b/>
          <w:color w:val="auto"/>
          <w:sz w:val="24"/>
          <w:szCs w:val="24"/>
          <w:highlight w:val="none"/>
        </w:rPr>
        <w:t xml:space="preserve">、响应文件的制作及密封</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10.1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10.2 </w:t>
      </w:r>
      <w:r>
        <w:rPr>
          <w:rFonts w:hint="eastAsia" w:ascii="宋体" w:hAnsi="宋体"/>
          <w:bCs/>
          <w:color w:val="auto"/>
          <w:sz w:val="24"/>
          <w:szCs w:val="24"/>
          <w:highlight w:val="none"/>
          <w:lang w:val="zh-CN"/>
        </w:rPr>
        <w:t xml:space="preserve">供应商所使用的计量单位应为国家法定计量单位。</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10.3 </w:t>
      </w:r>
      <w:r>
        <w:rPr>
          <w:rFonts w:hint="eastAsia" w:ascii="宋体" w:hAnsi="宋体"/>
          <w:bCs/>
          <w:color w:val="auto"/>
          <w:sz w:val="24"/>
          <w:szCs w:val="24"/>
          <w:highlight w:val="none"/>
          <w:lang w:val="zh-CN"/>
        </w:rPr>
        <w:t xml:space="preserve">如供应商对采购文件的相关内容有不同意见的偏离，应在响应文件中详细说明偏离的情况，如未明确作出偏离情况的说明，则视同</w:t>
      </w:r>
      <w:r>
        <w:rPr>
          <w:rFonts w:hint="eastAsia" w:ascii="宋体" w:hAnsi="宋体"/>
          <w:bCs/>
          <w:color w:val="auto"/>
          <w:sz w:val="24"/>
          <w:szCs w:val="24"/>
          <w:highlight w:val="none"/>
        </w:rPr>
        <w:t xml:space="preserve">供应商</w:t>
      </w:r>
      <w:bookmarkStart w:id="40" w:name="OLE_LINK69"/>
      <w:r>
        <w:rPr>
          <w:rFonts w:hint="eastAsia" w:ascii="宋体" w:hAnsi="宋体"/>
          <w:bCs/>
          <w:color w:val="auto"/>
          <w:sz w:val="24"/>
          <w:szCs w:val="24"/>
          <w:highlight w:val="none"/>
        </w:rPr>
        <w:t xml:space="preserve">承诺实质性响应</w:t>
      </w:r>
      <w:bookmarkEnd w:id="40"/>
      <w:r>
        <w:rPr>
          <w:rFonts w:hint="eastAsia" w:ascii="宋体" w:hAnsi="宋体"/>
          <w:bCs/>
          <w:color w:val="auto"/>
          <w:sz w:val="24"/>
          <w:szCs w:val="24"/>
          <w:highlight w:val="none"/>
          <w:lang w:val="zh-CN"/>
        </w:rPr>
        <w:t xml:space="preserve">采购文件</w:t>
      </w:r>
      <w:r>
        <w:rPr>
          <w:rFonts w:hint="eastAsia" w:ascii="宋体" w:hAnsi="宋体"/>
          <w:bCs/>
          <w:color w:val="auto"/>
          <w:sz w:val="24"/>
          <w:szCs w:val="24"/>
          <w:highlight w:val="none"/>
        </w:rPr>
        <w:t xml:space="preserve">的要求。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w:t>
      </w:r>
      <w:r>
        <w:rPr>
          <w:rFonts w:hint="eastAsia" w:ascii="宋体" w:hAnsi="宋体"/>
          <w:bCs/>
          <w:color w:val="auto"/>
          <w:sz w:val="24"/>
          <w:szCs w:val="28"/>
          <w:highlight w:val="none"/>
        </w:rPr>
        <w:t xml:space="preserve">.4</w:t>
      </w:r>
      <w:r>
        <w:rPr>
          <w:rFonts w:hint="eastAsia" w:ascii="宋体" w:hAnsi="宋体"/>
          <w:bCs/>
          <w:color w:val="auto"/>
          <w:sz w:val="24"/>
          <w:szCs w:val="24"/>
          <w:highlight w:val="none"/>
        </w:rPr>
        <w:t xml:space="preserve">不因响应文件的装订、纸张、文件排序等非实质性的格式、形式而否决响应。本采购文件中要求提供相关证明材料的，原则上供应商在响应文件中提交相关证明材料原件扫描件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若供应商无法提供原件扫描件的，可以以电子照片、截图等其他方式提供。无论以何种方式提供的证明材料，彩色、黑白均认可，但必须保证证明材料的清晰完整、真实有效，否则由供应商自行承担证明材料被判定为无效的风险。供应商提供的相关材料中的相关名称、表述等与采购需求、评审标准不一致，评审小组认为其实质相同的视作等同。若供应商提交的响应文件格式与采购文件中的不一致，但必要的评审所需信息不影响评审判断的，视为符合要求，否则报价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10.5 供应商提交的响应文件中加盖的公章，均视为经供应商法定代表人同意或授权。</w:t>
      </w:r>
      <w:r>
        <w:rPr>
          <w:rFonts w:hint="eastAsia" w:ascii="宋体" w:hAnsi="宋体"/>
          <w:b/>
          <w:color w:val="auto"/>
          <w:sz w:val="24"/>
          <w:szCs w:val="24"/>
          <w:highlight w:val="none"/>
        </w:rPr>
        <w:t xml:space="preserve">  </w:t>
      </w:r>
      <w:r>
        <w:rPr>
          <w:rFonts w:hint="eastAsia" w:ascii="宋体" w:hAnsi="宋体"/>
          <w:bCs/>
          <w:color w:val="auto"/>
          <w:sz w:val="24"/>
          <w:szCs w:val="24"/>
          <w:highlight w:val="none"/>
        </w:rPr>
        <w:t xml:space="preserve"> </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hint="eastAsia" w:ascii="宋体" w:hAnsi="宋体"/>
          <w:b/>
          <w:color w:val="auto"/>
          <w:sz w:val="24"/>
          <w:szCs w:val="24"/>
          <w:highlight w:val="none"/>
        </w:rPr>
        <w:t xml:space="preserve">1</w:t>
      </w:r>
      <w:r>
        <w:rPr>
          <w:rFonts w:hint="eastAsia" w:ascii="宋体" w:hAnsi="宋体"/>
          <w:b/>
          <w:color w:val="auto"/>
          <w:sz w:val="24"/>
          <w:szCs w:val="24"/>
          <w:highlight w:val="none"/>
          <w:lang w:val="zh-CN"/>
        </w:rPr>
        <w:t xml:space="preserve">、电子响应文件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.1 </w:t>
      </w:r>
      <w:r>
        <w:rPr>
          <w:rFonts w:hint="eastAsia" w:ascii="宋体" w:hAnsi="宋体"/>
          <w:bCs/>
          <w:color w:val="auto"/>
          <w:sz w:val="24"/>
          <w:szCs w:val="24"/>
          <w:highlight w:val="none"/>
          <w:lang w:val="zh-CN"/>
        </w:rPr>
        <w:t xml:space="preserve">供应商应通过响应文件制作软件使用数字认证证书对响应文件进行合成、电子签章及加密打包，并</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rPr>
        <w:t xml:space="preserve">采购</w:t>
      </w:r>
      <w:r>
        <w:rPr>
          <w:rFonts w:hint="eastAsia" w:ascii="宋体" w:hAnsi="宋体"/>
          <w:bCs/>
          <w:color w:val="auto"/>
          <w:sz w:val="24"/>
          <w:szCs w:val="24"/>
          <w:highlight w:val="none"/>
          <w:lang w:val="zh-CN"/>
        </w:rPr>
        <w:t xml:space="preserve">文件</w:t>
      </w:r>
      <w:r>
        <w:rPr>
          <w:rFonts w:ascii="宋体" w:hAnsi="宋体"/>
          <w:bCs/>
          <w:color w:val="auto"/>
          <w:sz w:val="24"/>
          <w:szCs w:val="24"/>
          <w:highlight w:val="none"/>
          <w:lang w:val="zh-CN"/>
        </w:rPr>
        <w:t xml:space="preserve">规定的截止时间前，通过</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编制软件或登录“苏采云”系统在规定时间内完成提交，时间以电子交易平台时间为准。</w:t>
      </w:r>
      <w:r>
        <w:rPr>
          <w:rFonts w:hint="eastAsia" w:ascii="宋体" w:hAnsi="宋体"/>
          <w:bCs/>
          <w:color w:val="auto"/>
          <w:sz w:val="24"/>
          <w:szCs w:val="24"/>
          <w:highlight w:val="none"/>
          <w:lang w:val="zh-CN"/>
        </w:rPr>
        <w:t xml:space="preserve">具体流程如下：将后缀名为“.kedt”的</w:t>
      </w:r>
      <w:r>
        <w:rPr>
          <w:rFonts w:hint="eastAsia" w:ascii="宋体" w:hAnsi="宋体"/>
          <w:bCs/>
          <w:color w:val="auto"/>
          <w:sz w:val="24"/>
          <w:szCs w:val="24"/>
          <w:highlight w:val="none"/>
        </w:rPr>
        <w:t xml:space="preserve">采购</w:t>
      </w:r>
      <w:r>
        <w:rPr>
          <w:rFonts w:hint="eastAsia" w:ascii="宋体" w:hAnsi="宋体"/>
          <w:bCs/>
          <w:color w:val="auto"/>
          <w:sz w:val="24"/>
          <w:szCs w:val="24"/>
          <w:highlight w:val="none"/>
          <w:lang w:val="zh-CN"/>
        </w:rPr>
        <w:t xml:space="preserve">文件导入政府采购客户端工具－－制作响应文件－－导出加密的响应文件（后缀名为zip） --通过“苏采云”系统上传响应文件。（详见《江苏省政府采购交易系统（苏采云）供应商操作手册》）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.2 截止时间以后传输的</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，“苏采云”平台将拒绝接收。供应商应充分考虑网络环境、网络带宽等风险因素。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.3 提交完成后至解密前，供应商不能对加密响应文件时所使用的数字认证证书进行更新、续费，否则可能引起的</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解密失败等相关后果由供应商自行承担（友情提示：若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已领取副锁（含多把副锁）请注意正副锁的使用差别）。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.4 因不可抗力事件造成的（线上、线下）响应文件的损坏、丢失的，采购代理不承担责任。 </w:t>
      </w:r>
      <w:r/>
    </w:p>
    <w:p>
      <w:pPr>
        <w:ind w:left="1" w:firstLine="480"/>
        <w:jc w:val="left"/>
        <w:spacing w:line="360" w:lineRule="auto"/>
        <w:tabs>
          <w:tab w:val="left" w:pos="945" w:leader="none"/>
        </w:tabs>
        <w:rPr>
          <w:rFonts w:hint="eastAsia" w:ascii="宋体" w:hAnsi="宋体"/>
          <w:b/>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w:t>
      </w:r>
      <w:r>
        <w:rPr>
          <w:rFonts w:hint="eastAsia" w:ascii="宋体" w:hAnsi="宋体"/>
          <w:b/>
          <w:color w:val="auto"/>
          <w:sz w:val="24"/>
          <w:szCs w:val="24"/>
          <w:highlight w:val="none"/>
          <w:lang w:val="zh-CN"/>
        </w:rPr>
        <w:t xml:space="preserve">响应文件的拒收：</w:t>
      </w:r>
      <w:r>
        <w:rPr>
          <w:rFonts w:hint="eastAsia" w:ascii="宋体" w:hAnsi="宋体"/>
          <w:bCs/>
          <w:color w:val="auto"/>
          <w:sz w:val="24"/>
          <w:szCs w:val="24"/>
          <w:highlight w:val="none"/>
          <w:lang w:val="zh-CN"/>
        </w:rPr>
        <w:t xml:space="preserve">在</w:t>
      </w:r>
      <w:r>
        <w:rPr>
          <w:rFonts w:hint="eastAsia" w:ascii="宋体" w:hAnsi="宋体"/>
          <w:bCs/>
          <w:color w:val="auto"/>
          <w:sz w:val="24"/>
          <w:szCs w:val="24"/>
          <w:highlight w:val="none"/>
        </w:rPr>
        <w:t xml:space="preserve">采购</w:t>
      </w:r>
      <w:r>
        <w:rPr>
          <w:rFonts w:hint="eastAsia" w:ascii="宋体" w:hAnsi="宋体"/>
          <w:bCs/>
          <w:color w:val="auto"/>
          <w:sz w:val="24"/>
          <w:szCs w:val="24"/>
          <w:highlight w:val="none"/>
          <w:lang w:val="zh-CN"/>
        </w:rPr>
        <w:t xml:space="preserve">文件要求的提交截止时间之后提交的响应文件和</w:t>
      </w:r>
      <w:r>
        <w:rPr>
          <w:rFonts w:hint="eastAsia" w:ascii="宋体" w:hAnsi="宋体"/>
          <w:bCs/>
          <w:color w:val="auto"/>
          <w:sz w:val="24"/>
          <w:szCs w:val="24"/>
          <w:highlight w:val="none"/>
        </w:rPr>
        <w:t xml:space="preserve">采购</w:t>
      </w:r>
      <w:r>
        <w:rPr>
          <w:rFonts w:hint="eastAsia" w:ascii="宋体" w:hAnsi="宋体"/>
          <w:bCs/>
          <w:color w:val="auto"/>
          <w:sz w:val="24"/>
          <w:szCs w:val="24"/>
          <w:highlight w:val="none"/>
          <w:lang w:val="zh-CN"/>
        </w:rPr>
        <w:t xml:space="preserve">文件规定拒收情形的将被拒收。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13、响应文件的真实性</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13.1 供应商（含成交供应商）应对其响应文件中提供的所有材料的真实性负责。</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13.2 </w:t>
      </w:r>
      <w:bookmarkStart w:id="41" w:name="OLE_LINK70"/>
      <w:r>
        <w:rPr>
          <w:rFonts w:hint="eastAsia" w:ascii="宋体" w:hAnsi="宋体"/>
          <w:color w:val="auto"/>
          <w:sz w:val="24"/>
          <w:szCs w:val="28"/>
          <w:highlight w:val="none"/>
        </w:rPr>
        <w:t xml:space="preserve">如采购人、采购代理机构、</w:t>
      </w:r>
      <w:r>
        <w:rPr>
          <w:rFonts w:hint="eastAsia" w:ascii="宋体" w:hAnsi="宋体"/>
          <w:bCs/>
          <w:color w:val="auto"/>
          <w:sz w:val="24"/>
          <w:szCs w:val="24"/>
          <w:highlight w:val="none"/>
        </w:rPr>
        <w:t xml:space="preserve">单一来源采购人员</w:t>
      </w:r>
      <w:r>
        <w:rPr>
          <w:rFonts w:hint="eastAsia" w:ascii="宋体" w:hAnsi="宋体"/>
          <w:color w:val="auto"/>
          <w:sz w:val="24"/>
          <w:szCs w:val="28"/>
          <w:highlight w:val="none"/>
        </w:rPr>
        <w:t xml:space="preserve">视情况或根据各项</w:t>
      </w:r>
      <w:r>
        <w:rPr>
          <w:rFonts w:hint="eastAsia" w:ascii="宋体" w:hAnsi="宋体"/>
          <w:color w:val="auto"/>
          <w:sz w:val="24"/>
          <w:szCs w:val="28"/>
          <w:highlight w:val="none"/>
          <w:lang w:eastAsia="zh-CN"/>
        </w:rPr>
        <w:t xml:space="preserve">法律法规</w:t>
      </w:r>
      <w:r>
        <w:rPr>
          <w:rFonts w:hint="eastAsia" w:ascii="宋体" w:hAnsi="宋体"/>
          <w:color w:val="auto"/>
          <w:sz w:val="24"/>
          <w:szCs w:val="28"/>
          <w:highlight w:val="none"/>
        </w:rPr>
        <w:t xml:space="preserve">、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采购文件的要求。</w:t>
      </w:r>
      <w:bookmarkEnd w:id="41"/>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14、响应文件的有效期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14.1 响应文件的有效期为提交响应文件截止之日起的60天（含提交当日）。在特殊情况下，采购人、采购机构可与供应商协商延长响应文件的有效期。</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15、响应文件的退还</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w:t>
      </w:r>
      <w:bookmarkStart w:id="42" w:name="OLE_LINK71"/>
      <w:r>
        <w:rPr>
          <w:rFonts w:hint="eastAsia" w:ascii="宋体" w:hAnsi="宋体"/>
          <w:bCs/>
          <w:color w:val="auto"/>
          <w:sz w:val="24"/>
          <w:szCs w:val="24"/>
          <w:highlight w:val="none"/>
        </w:rPr>
        <w:t xml:space="preserve">提交响应文件截止时间之后，</w:t>
      </w:r>
      <w:bookmarkEnd w:id="42"/>
      <w:r>
        <w:rPr>
          <w:rFonts w:hint="eastAsia" w:ascii="宋体" w:hAnsi="宋体"/>
          <w:bCs/>
          <w:color w:val="auto"/>
          <w:sz w:val="24"/>
          <w:szCs w:val="24"/>
          <w:highlight w:val="none"/>
        </w:rPr>
        <w:t xml:space="preserve">采购人和采购代理机构对所有供应商的响应文件一律不予退还。</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16、响应文件的</w:t>
      </w:r>
      <w:r>
        <w:rPr>
          <w:rFonts w:hint="eastAsia" w:ascii="宋体" w:hAnsi="宋体"/>
          <w:b/>
          <w:color w:val="auto"/>
          <w:sz w:val="24"/>
          <w:szCs w:val="24"/>
          <w:highlight w:val="none"/>
          <w:lang w:val="zh-CN"/>
        </w:rPr>
        <w:t xml:space="preserve">补充、修改或撤回</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16.1</w:t>
      </w:r>
      <w:r>
        <w:rPr>
          <w:rFonts w:hint="eastAsia" w:ascii="宋体" w:hAnsi="宋体"/>
          <w:bCs/>
          <w:color w:val="auto"/>
          <w:sz w:val="24"/>
          <w:szCs w:val="24"/>
          <w:highlight w:val="none"/>
          <w:lang w:val="zh-CN"/>
        </w:rPr>
        <w:t xml:space="preserve"> 供应商在</w:t>
      </w:r>
      <w:bookmarkStart w:id="43" w:name="OLE_LINK29"/>
      <w:r>
        <w:rPr>
          <w:rFonts w:hint="eastAsia" w:ascii="宋体" w:hAnsi="宋体"/>
          <w:bCs/>
          <w:color w:val="auto"/>
          <w:sz w:val="24"/>
          <w:szCs w:val="24"/>
          <w:highlight w:val="none"/>
          <w:lang w:val="zh-CN"/>
        </w:rPr>
        <w:t xml:space="preserve">提交响应文件截止时间</w:t>
      </w:r>
      <w:bookmarkEnd w:id="43"/>
      <w:r>
        <w:rPr>
          <w:rFonts w:hint="eastAsia" w:ascii="宋体" w:hAnsi="宋体"/>
          <w:bCs/>
          <w:color w:val="auto"/>
          <w:sz w:val="24"/>
          <w:szCs w:val="24"/>
          <w:highlight w:val="none"/>
          <w:lang w:val="zh-CN"/>
        </w:rPr>
        <w:t xml:space="preserve">前，可以对所递交的响应文件进行</w:t>
      </w:r>
      <w:bookmarkStart w:id="44" w:name="OLE_LINK28"/>
      <w:r>
        <w:rPr>
          <w:rFonts w:hint="eastAsia" w:ascii="宋体" w:hAnsi="宋体"/>
          <w:bCs/>
          <w:color w:val="auto"/>
          <w:sz w:val="24"/>
          <w:szCs w:val="24"/>
          <w:highlight w:val="none"/>
          <w:lang w:val="zh-CN"/>
        </w:rPr>
        <w:t xml:space="preserve">补充、修改或撤回</w:t>
      </w:r>
      <w:bookmarkEnd w:id="44"/>
      <w:r>
        <w:rPr>
          <w:rFonts w:hint="eastAsia" w:ascii="宋体" w:hAnsi="宋体"/>
          <w:bCs/>
          <w:color w:val="auto"/>
          <w:sz w:val="24"/>
          <w:szCs w:val="24"/>
          <w:highlight w:val="none"/>
          <w:lang w:val="zh-CN"/>
        </w:rPr>
        <w:t xml:space="preserve">。补充、修改的内容应当按照采购文件要求签署、盖章、密封后，并作为响应文件的组成部分。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16.2 </w:t>
      </w:r>
      <w:bookmarkStart w:id="45" w:name="OLE_LINK30"/>
      <w:r>
        <w:rPr>
          <w:rFonts w:hint="eastAsia" w:ascii="宋体" w:hAnsi="宋体"/>
          <w:bCs/>
          <w:color w:val="auto"/>
          <w:sz w:val="24"/>
          <w:szCs w:val="24"/>
          <w:highlight w:val="none"/>
        </w:rPr>
        <w:t xml:space="preserve">在</w:t>
      </w:r>
      <w:bookmarkStart w:id="46" w:name="OLE_LINK31"/>
      <w:r>
        <w:rPr>
          <w:rFonts w:hint="eastAsia" w:ascii="宋体" w:hAnsi="宋体"/>
          <w:bCs/>
          <w:color w:val="auto"/>
          <w:sz w:val="24"/>
          <w:szCs w:val="24"/>
          <w:highlight w:val="none"/>
          <w:lang w:val="zh-CN"/>
        </w:rPr>
        <w:t xml:space="preserve">提交响应文件截止时间</w:t>
      </w:r>
      <w:bookmarkEnd w:id="46"/>
      <w:r>
        <w:rPr>
          <w:rFonts w:hint="eastAsia" w:ascii="宋体" w:hAnsi="宋体"/>
          <w:bCs/>
          <w:color w:val="auto"/>
          <w:sz w:val="24"/>
          <w:szCs w:val="24"/>
          <w:highlight w:val="none"/>
        </w:rPr>
        <w:t xml:space="preserve">之后，采购人、采购代理机构、单一来源采购人员不接受供应商主动对其响应文件做任何补充、修改。</w:t>
      </w:r>
      <w:bookmarkEnd w:id="45"/>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17、</w:t>
      </w:r>
      <w:r>
        <w:rPr>
          <w:rFonts w:hint="eastAsia" w:ascii="宋体" w:hAnsi="宋体"/>
          <w:b/>
          <w:color w:val="auto"/>
          <w:sz w:val="24"/>
          <w:szCs w:val="24"/>
          <w:highlight w:val="none"/>
          <w:lang w:val="zh-CN"/>
        </w:rPr>
        <w:t xml:space="preserve">无效报价的确认</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 xml:space="preserve">供应商有下列情况之一者，其报价无效：</w:t>
      </w:r>
      <w:r/>
    </w:p>
    <w:p>
      <w:pPr>
        <w:numPr>
          <w:ilvl w:val="0"/>
          <w:numId w:val="4"/>
        </w:numPr>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响应文件未按采购文件</w:t>
      </w:r>
      <w:r>
        <w:rPr>
          <w:rFonts w:hint="eastAsia" w:ascii="宋体" w:hAnsi="宋体"/>
          <w:bCs/>
          <w:color w:val="auto"/>
          <w:sz w:val="24"/>
          <w:szCs w:val="24"/>
          <w:highlight w:val="none"/>
        </w:rPr>
        <w:t xml:space="preserve">给定格式如实填写（编写）的或未按</w:t>
      </w:r>
      <w:r>
        <w:rPr>
          <w:rFonts w:hint="eastAsia" w:ascii="宋体" w:hAnsi="宋体" w:cs="宋体"/>
          <w:color w:val="auto"/>
          <w:sz w:val="24"/>
          <w:szCs w:val="24"/>
          <w:highlight w:val="none"/>
        </w:rPr>
        <w:t xml:space="preserve">要求签署、盖章的；</w:t>
      </w:r>
      <w:r/>
    </w:p>
    <w:p>
      <w:pPr>
        <w:numPr>
          <w:ilvl w:val="0"/>
          <w:numId w:val="4"/>
        </w:numPr>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不具备采购文件报价邀请函中“供应商参加本次政府采购活动</w:t>
      </w:r>
      <w:r>
        <w:rPr>
          <w:rFonts w:hint="eastAsia" w:ascii="宋体" w:hAnsi="宋体" w:cs="宋体"/>
          <w:color w:val="auto"/>
          <w:sz w:val="24"/>
          <w:szCs w:val="24"/>
          <w:highlight w:val="none"/>
          <w:lang w:val="zh-CN"/>
        </w:rPr>
        <w:t xml:space="preserve">应具备的资格条件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lang w:val="zh-CN"/>
        </w:rPr>
        <w:t xml:space="preserve">或未按采购文件规定的要求提供资格证明文件的；</w:t>
      </w:r>
      <w:r/>
    </w:p>
    <w:p>
      <w:pPr>
        <w:numPr>
          <w:ilvl w:val="0"/>
          <w:numId w:val="4"/>
        </w:numPr>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报价</w:t>
      </w:r>
      <w:r>
        <w:rPr>
          <w:rFonts w:hint="eastAsia" w:ascii="宋体" w:hAnsi="宋体" w:cs="宋体"/>
          <w:color w:val="auto"/>
          <w:sz w:val="24"/>
          <w:szCs w:val="24"/>
          <w:highlight w:val="none"/>
        </w:rPr>
        <w:t xml:space="preserve">超过采购文件中规定的预算金额或者分项、分包最高限价的</w:t>
      </w:r>
      <w:r>
        <w:rPr>
          <w:rFonts w:hint="eastAsia" w:ascii="宋体" w:hAnsi="宋体" w:cs="宋体"/>
          <w:color w:val="auto"/>
          <w:sz w:val="24"/>
          <w:szCs w:val="24"/>
          <w:highlight w:val="none"/>
          <w:lang w:val="zh-CN"/>
        </w:rPr>
        <w:t xml:space="preserve">；</w:t>
      </w:r>
      <w:r/>
    </w:p>
    <w:p>
      <w:pPr>
        <w:numPr>
          <w:ilvl w:val="0"/>
          <w:numId w:val="4"/>
        </w:numPr>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单个细项或整个项目的报价不明确，出现选择性报价的；</w:t>
      </w:r>
      <w:r/>
    </w:p>
    <w:p>
      <w:pPr>
        <w:numPr>
          <w:ilvl w:val="0"/>
          <w:numId w:val="4"/>
        </w:numPr>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响应文件报价</w:t>
      </w:r>
      <w:r>
        <w:rPr>
          <w:rFonts w:hint="eastAsia" w:ascii="宋体" w:hAnsi="宋体" w:cs="宋体"/>
          <w:color w:val="auto"/>
          <w:sz w:val="24"/>
          <w:szCs w:val="24"/>
          <w:highlight w:val="none"/>
        </w:rPr>
        <w:t xml:space="preserve">出现前后不一致，且供应商拒绝修正的；</w:t>
      </w:r>
      <w:r/>
    </w:p>
    <w:p>
      <w:pPr>
        <w:numPr>
          <w:ilvl w:val="0"/>
          <w:numId w:val="4"/>
        </w:numPr>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响应文件含有采购人不能接受的附加条件的；</w:t>
      </w:r>
      <w:r/>
    </w:p>
    <w:p>
      <w:pPr>
        <w:numPr>
          <w:ilvl w:val="0"/>
          <w:numId w:val="4"/>
        </w:numPr>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单一来源采购人员认为供应商的报价明显低于其他通过符合性审查供应商的报价，有可能影响产品质量或者不能诚信履约，且供应商不能证明其报价合理性的；</w:t>
      </w:r>
      <w:r/>
    </w:p>
    <w:p>
      <w:pPr>
        <w:numPr>
          <w:ilvl w:val="0"/>
          <w:numId w:val="4"/>
        </w:numPr>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提供虚假材料</w:t>
      </w:r>
      <w:bookmarkStart w:id="47" w:name="OLE_LINK41"/>
      <w:r>
        <w:rPr>
          <w:rFonts w:hint="eastAsia" w:ascii="宋体" w:hAnsi="宋体" w:cs="宋体"/>
          <w:color w:val="auto"/>
          <w:sz w:val="24"/>
          <w:szCs w:val="24"/>
          <w:highlight w:val="none"/>
          <w:lang w:val="zh-CN"/>
        </w:rPr>
        <w:t xml:space="preserve">（含虚假承诺）</w:t>
      </w:r>
      <w:bookmarkEnd w:id="47"/>
      <w:r>
        <w:rPr>
          <w:rFonts w:hint="eastAsia" w:ascii="宋体" w:hAnsi="宋体" w:cs="宋体"/>
          <w:color w:val="auto"/>
          <w:sz w:val="24"/>
          <w:szCs w:val="24"/>
          <w:highlight w:val="none"/>
          <w:lang w:val="zh-CN"/>
        </w:rPr>
        <w:t xml:space="preserve">的；</w:t>
      </w:r>
      <w:r/>
    </w:p>
    <w:p>
      <w:pPr>
        <w:numPr>
          <w:ilvl w:val="0"/>
          <w:numId w:val="4"/>
        </w:numPr>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响应文件内容不全、自相矛盾或不符合法律法规和采购文件中规定的其他实质性要求的；</w:t>
      </w:r>
      <w:r/>
    </w:p>
    <w:p>
      <w:pPr>
        <w:numPr>
          <w:ilvl w:val="0"/>
          <w:numId w:val="0"/>
        </w:numPr>
        <w:ind w:firstLine="480"/>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rPr>
        <w:t xml:space="preserve">单一来源采购人员</w:t>
      </w:r>
      <w:r>
        <w:rPr>
          <w:rFonts w:hint="eastAsia" w:ascii="宋体" w:hAnsi="宋体" w:cs="宋体"/>
          <w:bCs/>
          <w:color w:val="auto"/>
          <w:sz w:val="24"/>
          <w:szCs w:val="24"/>
          <w:highlight w:val="none"/>
          <w:lang w:val="zh-CN"/>
        </w:rPr>
        <w:t xml:space="preserve">认定</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的报价明显低于其他通过符合性审查</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auto"/>
          <w:sz w:val="24"/>
          <w:szCs w:val="24"/>
          <w:highlight w:val="none"/>
          <w:lang w:val="en-US" w:eastAsia="zh-CN"/>
        </w:rPr>
        <w:t xml:space="preserve">采购文件</w:t>
      </w:r>
      <w:r>
        <w:rPr>
          <w:rFonts w:hint="eastAsia" w:ascii="宋体" w:hAnsi="宋体" w:cs="宋体"/>
          <w:bCs/>
          <w:color w:val="auto"/>
          <w:sz w:val="24"/>
          <w:szCs w:val="24"/>
          <w:highlight w:val="none"/>
          <w:lang w:val="zh-CN"/>
        </w:rPr>
        <w:t xml:space="preserve">规定的异常低价情形，</w:t>
      </w:r>
      <w:r>
        <w:rPr>
          <w:rFonts w:hint="eastAsia" w:ascii="宋体" w:hAnsi="宋体" w:cs="宋体"/>
          <w:color w:val="auto"/>
          <w:sz w:val="24"/>
          <w:szCs w:val="24"/>
          <w:highlight w:val="none"/>
        </w:rPr>
        <w:t xml:space="preserve">单一来源采购人员</w:t>
      </w:r>
      <w:r>
        <w:rPr>
          <w:rFonts w:hint="eastAsia" w:ascii="宋体" w:hAnsi="宋体" w:cs="宋体"/>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auto"/>
          <w:sz w:val="24"/>
          <w:szCs w:val="24"/>
          <w:highlight w:val="none"/>
        </w:rPr>
        <w:t xml:space="preserve">单一来源采购人员</w:t>
      </w:r>
      <w:r>
        <w:rPr>
          <w:rFonts w:hint="eastAsia" w:ascii="宋体" w:hAnsi="宋体" w:cs="宋体"/>
          <w:bCs/>
          <w:color w:val="auto"/>
          <w:sz w:val="24"/>
          <w:szCs w:val="24"/>
          <w:highlight w:val="none"/>
          <w:lang w:val="zh-CN"/>
        </w:rPr>
        <w:t xml:space="preserve">的法律责任。</w:t>
      </w:r>
      <w:r/>
    </w:p>
    <w:p>
      <w:pPr>
        <w:numPr>
          <w:ilvl w:val="0"/>
          <w:numId w:val="0"/>
        </w:numPr>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rPr>
        <w:t xml:space="preserve">单一来源采购人员</w:t>
      </w:r>
      <w:r>
        <w:rPr>
          <w:rFonts w:hint="eastAsia" w:ascii="宋体" w:hAnsi="宋体" w:cs="宋体"/>
          <w:bCs/>
          <w:color w:val="auto"/>
          <w:sz w:val="24"/>
          <w:szCs w:val="24"/>
          <w:highlight w:val="none"/>
          <w:lang w:val="zh-CN"/>
        </w:rPr>
        <w:t xml:space="preserve">启动异常低价投标（响应）审查的情形和具体要求，包括：</w:t>
      </w:r>
      <w:r/>
    </w:p>
    <w:p>
      <w:pPr>
        <w:numPr>
          <w:ilvl w:val="0"/>
          <w:numId w:val="0"/>
        </w:numPr>
        <w:jc w:val="left"/>
        <w:spacing w:line="360" w:lineRule="auto"/>
        <w:widowControl w:val="off"/>
        <w:tabs>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（1）评审过程中出现下列情形之一的，</w:t>
      </w:r>
      <w:r>
        <w:rPr>
          <w:rFonts w:hint="eastAsia" w:ascii="宋体" w:hAnsi="宋体" w:cs="宋体"/>
          <w:color w:val="auto"/>
          <w:sz w:val="24"/>
          <w:szCs w:val="24"/>
          <w:highlight w:val="none"/>
        </w:rPr>
        <w:t xml:space="preserve">单一来源采购人员</w:t>
      </w:r>
      <w:r>
        <w:rPr>
          <w:rFonts w:hint="eastAsia" w:ascii="宋体" w:hAnsi="宋体" w:cs="宋体"/>
          <w:bCs/>
          <w:color w:val="auto"/>
          <w:sz w:val="24"/>
          <w:szCs w:val="24"/>
          <w:highlight w:val="none"/>
          <w:lang w:val="zh-CN"/>
        </w:rPr>
        <w:t xml:space="preserve">应当启动异常低价投标（响应）审查程序：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①</w:t>
      </w:r>
      <w:r>
        <w:rPr>
          <w:rFonts w:hint="eastAsia" w:ascii="宋体" w:hAnsi="宋体" w:cs="宋体"/>
          <w:bCs/>
          <w:color w:val="auto"/>
          <w:sz w:val="24"/>
          <w:szCs w:val="24"/>
          <w:highlight w:val="none"/>
          <w:lang w:val="zh-CN" w:eastAsia="zh-CN"/>
        </w:rPr>
        <w:t xml:space="preserve">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②</w:t>
      </w:r>
      <w:r>
        <w:rPr>
          <w:rFonts w:hint="eastAsia" w:ascii="宋体" w:hAnsi="宋体" w:cs="宋体"/>
          <w:bCs/>
          <w:color w:val="auto"/>
          <w:sz w:val="24"/>
          <w:szCs w:val="24"/>
          <w:highlight w:val="none"/>
          <w:lang w:val="zh-CN" w:eastAsia="zh-CN"/>
        </w:rPr>
        <w:t xml:space="preserve">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③</w:t>
      </w:r>
      <w:r>
        <w:rPr>
          <w:rFonts w:hint="eastAsia" w:ascii="宋体" w:hAnsi="宋体" w:cs="宋体"/>
          <w:bCs/>
          <w:color w:val="auto"/>
          <w:sz w:val="24"/>
          <w:szCs w:val="24"/>
          <w:highlight w:val="none"/>
          <w:lang w:val="zh-CN" w:eastAsia="zh-CN"/>
        </w:rPr>
        <w:t xml:space="preserve">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④</w:t>
      </w:r>
      <w:r>
        <w:rPr>
          <w:rFonts w:hint="eastAsia" w:ascii="宋体" w:hAnsi="宋体" w:cs="宋体"/>
          <w:bCs/>
          <w:color w:val="auto"/>
          <w:sz w:val="24"/>
          <w:szCs w:val="24"/>
          <w:highlight w:val="none"/>
          <w:lang w:val="zh-CN" w:eastAsia="zh-CN"/>
        </w:rPr>
        <w:t xml:space="preserve">单一来源采购人员基于专业判断，认为供应商报价过低，有可能影响产品质量或者不能诚信履约的其他情形。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lang w:val="zh-CN" w:eastAsia="zh-CN"/>
        </w:rPr>
        <w:t xml:space="preserve">单一来源采购人员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单一来源采购人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单一来源采购人员应当将其作为无效投标（响应）处理。</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eastAsia="zh-CN"/>
        </w:rPr>
        <w:suppressLineNumbers w:val="0"/>
      </w:pPr>
      <w:r>
        <w:rPr>
          <w:rFonts w:hint="eastAsia" w:ascii="宋体" w:hAnsi="宋体" w:cs="宋体"/>
          <w:bCs/>
          <w:color w:val="auto"/>
          <w:sz w:val="24"/>
          <w:szCs w:val="24"/>
          <w:highlight w:val="none"/>
          <w:lang w:val="zh-CN" w:eastAsia="zh-CN"/>
        </w:rPr>
        <w:t xml:space="preserve">采购人、采购代理机构应当为单一来源采购人员在评审现场及时获取同类项目中标（成交）价格、类似产品市场价格水平、行业人工费用标准、国家有关部门指导行业协会发布的行业平均成本等相关信息资料提供便利。单一来源采购人员借助互联网等渠道查询相关信息的，应当严格遵守评审工作纪律，不得实施影响评审公正的行为。</w:t>
      </w:r>
      <w:r/>
    </w:p>
    <w:p>
      <w:pPr>
        <w:ind w:firstLine="480"/>
        <w:jc w:val="left"/>
        <w:keepLines w:val="0"/>
        <w:keepNext w:val="0"/>
        <w:pageBreakBefore w:val="0"/>
        <w:spacing w:line="360" w:lineRule="auto"/>
        <w:widowControl/>
        <w:rPr>
          <w:rFonts w:hint="eastAsia" w:ascii="宋体" w:hAnsi="宋体" w:cs="宋体"/>
          <w:bCs/>
          <w:color w:val="auto"/>
          <w:sz w:val="24"/>
          <w:szCs w:val="24"/>
          <w:highlight w:val="none"/>
          <w:lang w:val="zh-CN"/>
        </w:rPr>
        <w:suppressLineNumbers w:val="0"/>
      </w:pPr>
      <w:r>
        <w:rPr>
          <w:rFonts w:hint="eastAsia" w:ascii="宋体" w:hAnsi="宋体" w:cs="宋体"/>
          <w:bCs/>
          <w:color w:val="auto"/>
          <w:sz w:val="24"/>
          <w:szCs w:val="24"/>
          <w:highlight w:val="none"/>
          <w:lang w:val="zh-CN" w:eastAsia="zh-CN"/>
        </w:rPr>
        <w:t xml:space="preserve">异常低价投标（响应）审查的启动原因、审查意见和审查结果应当在评审报告中记录，并随供应商提供的相关书面说明及证明材料，以及单一来源采购人员有关互联网浏览、查询历史一并归档。</w:t>
      </w:r>
      <w:r/>
    </w:p>
    <w:p>
      <w:pPr>
        <w:numPr>
          <w:ilvl w:val="0"/>
          <w:numId w:val="0"/>
        </w:numPr>
        <w:ind w:left="400"/>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val="zh-CN"/>
        </w:rPr>
        <w:t xml:space="preserve">）法律法规和采购文件规定的其他无效情形。</w:t>
      </w:r>
      <w:r/>
    </w:p>
    <w:p>
      <w:pPr>
        <w:ind w:left="42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w:t>
      </w:r>
      <w:bookmarkStart w:id="48" w:name="OLE_LINK53"/>
      <w:r>
        <w:rPr>
          <w:rFonts w:hint="eastAsia" w:ascii="宋体" w:hAnsi="宋体"/>
          <w:b/>
          <w:color w:val="auto"/>
          <w:sz w:val="24"/>
          <w:szCs w:val="24"/>
          <w:highlight w:val="none"/>
        </w:rPr>
        <w:t xml:space="preserve">联合体报价、</w:t>
      </w:r>
      <w:r>
        <w:rPr>
          <w:rFonts w:hint="eastAsia" w:ascii="宋体" w:hAnsi="宋体" w:cs="宋体"/>
          <w:b/>
          <w:color w:val="auto"/>
          <w:sz w:val="24"/>
          <w:szCs w:val="24"/>
          <w:highlight w:val="none"/>
        </w:rPr>
        <w:t xml:space="preserve">成交后分包</w:t>
      </w:r>
      <w:r/>
    </w:p>
    <w:p>
      <w:pPr>
        <w:ind w:firstLine="480"/>
        <w:spacing w:line="360" w:lineRule="auto"/>
        <w:rPr>
          <w:rFonts w:hint="eastAsia" w:ascii="宋体" w:hAnsi="宋体"/>
          <w:bCs/>
          <w:color w:val="auto"/>
          <w:sz w:val="24"/>
          <w:szCs w:val="24"/>
          <w:highlight w:val="none"/>
        </w:rPr>
      </w:pPr>
      <w:r/>
      <w:bookmarkStart w:id="49" w:name="OLE_LINK223"/>
      <w:r>
        <w:rPr>
          <w:rFonts w:hint="eastAsia" w:ascii="宋体" w:hAnsi="宋体"/>
          <w:bCs/>
          <w:color w:val="auto"/>
          <w:sz w:val="24"/>
          <w:szCs w:val="24"/>
          <w:highlight w:val="none"/>
        </w:rPr>
        <w:t xml:space="preserve">18.1不接受联合体</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，接受成交后分包 </w:t>
      </w:r>
      <w:r/>
    </w:p>
    <w:p>
      <w:pPr>
        <w:ind w:firstLine="480"/>
        <w:spacing w:line="360" w:lineRule="auto"/>
        <w:rPr>
          <w:rFonts w:hint="eastAsia" w:ascii="宋体" w:hAnsi="宋体"/>
          <w:bCs/>
          <w:sz w:val="24"/>
          <w:szCs w:val="24"/>
          <w:highlight w:val="none"/>
        </w:rPr>
      </w:pPr>
      <w:r>
        <w:rPr>
          <w:rFonts w:hint="eastAsia" w:ascii="宋体" w:hAnsi="宋体"/>
          <w:bCs/>
          <w:color w:val="auto"/>
          <w:sz w:val="24"/>
          <w:szCs w:val="24"/>
          <w:highlight w:val="none"/>
          <w:lang w:val="en-US" w:eastAsia="zh-CN"/>
        </w:rPr>
        <w:t xml:space="preserve">18.2</w:t>
      </w:r>
      <w:r>
        <w:rPr>
          <w:rFonts w:hint="eastAsia" w:ascii="宋体" w:hAnsi="宋体"/>
          <w:bCs/>
          <w:sz w:val="24"/>
          <w:szCs w:val="24"/>
          <w:highlight w:val="none"/>
        </w:rPr>
        <w:t xml:space="preserve">成交后分包</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供应商根据</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文件的规定和采购项目的实际情况，拟在成交后将成交项目的非主体、非关键性工作分包的，须在响应文件中载明分包承担主体，分包承担主体不得再次分包。</w:t>
      </w:r>
      <w:bookmarkEnd w:id="48"/>
      <w:bookmarkEnd w:id="49"/>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五、采购活动</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19、采购活动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 采购人按采购文件规定的时间在“苏采云开标大厅”召开开标大会。供应商应当在报价前做好充分准备，携带 CA 数字证书准时参加。</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20、评审</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20.1 具体评审事务由采购人依法组建的单一来源采购人员负责。</w:t>
      </w:r>
      <w:r/>
    </w:p>
    <w:p>
      <w:pPr>
        <w:ind w:left="1" w:firstLine="480"/>
        <w:spacing w:line="360" w:lineRule="auto"/>
        <w:tabs>
          <w:tab w:val="left" w:pos="945" w:leader="none"/>
        </w:tabs>
        <w:rPr>
          <w:rFonts w:hint="eastAsia" w:ascii="宋体" w:hAnsi="宋体"/>
          <w:bCs/>
          <w:color w:val="auto"/>
          <w:sz w:val="24"/>
          <w:szCs w:val="24"/>
          <w:highlight w:val="none"/>
        </w:rPr>
      </w:pPr>
      <w:r/>
      <w:bookmarkStart w:id="50" w:name="OLE_LINK37"/>
      <w:r>
        <w:rPr>
          <w:rFonts w:hint="eastAsia" w:ascii="宋体" w:hAnsi="宋体"/>
          <w:bCs/>
          <w:color w:val="auto"/>
          <w:sz w:val="24"/>
          <w:szCs w:val="24"/>
          <w:highlight w:val="none"/>
        </w:rPr>
        <w:t xml:space="preserve">20.2 </w:t>
      </w:r>
      <w:bookmarkStart w:id="51" w:name="OLE_LINK32"/>
      <w:r>
        <w:rPr>
          <w:rFonts w:hint="eastAsia" w:ascii="宋体" w:hAnsi="宋体"/>
          <w:bCs/>
          <w:color w:val="auto"/>
          <w:sz w:val="24"/>
          <w:szCs w:val="24"/>
          <w:highlight w:val="none"/>
        </w:rPr>
        <w:t xml:space="preserve">单一来源采购人员</w:t>
      </w:r>
      <w:bookmarkEnd w:id="51"/>
      <w:r>
        <w:rPr>
          <w:rFonts w:hint="eastAsia" w:ascii="宋体" w:hAnsi="宋体"/>
          <w:bCs/>
          <w:color w:val="auto"/>
          <w:sz w:val="24"/>
          <w:szCs w:val="24"/>
          <w:highlight w:val="none"/>
        </w:rPr>
        <w:t xml:space="preserve">按照采购文件的要求对供应商进行资格性及符合性审查。</w:t>
      </w:r>
      <w:r/>
    </w:p>
    <w:p>
      <w:pPr>
        <w:ind w:firstLine="480"/>
        <w:spacing w:line="360" w:lineRule="auto"/>
        <w:rPr>
          <w:rFonts w:hint="eastAsia" w:ascii="宋体" w:hAnsi="宋体" w:cs="宋体"/>
          <w:color w:val="auto"/>
          <w:sz w:val="24"/>
          <w:szCs w:val="24"/>
          <w:highlight w:val="none"/>
        </w:rPr>
      </w:pPr>
      <w:r/>
      <w:bookmarkStart w:id="52" w:name="OLE_LINK17"/>
      <w:r/>
      <w:bookmarkStart w:id="53" w:name="OLE_LINK54"/>
      <w:r/>
      <w:bookmarkStart w:id="54" w:name="OLE_LINK16"/>
      <w:r>
        <w:rPr>
          <w:rFonts w:hint="eastAsia" w:ascii="宋体" w:hAnsi="宋体"/>
          <w:bCs/>
          <w:color w:val="auto"/>
          <w:sz w:val="24"/>
          <w:szCs w:val="24"/>
          <w:highlight w:val="none"/>
        </w:rPr>
        <w:t xml:space="preserve">20.2.1 </w:t>
      </w:r>
      <w:bookmarkEnd w:id="52"/>
      <w:r>
        <w:rPr>
          <w:rFonts w:hint="eastAsia" w:ascii="宋体" w:hAnsi="宋体" w:cs="宋体"/>
          <w:color w:val="auto"/>
          <w:sz w:val="24"/>
          <w:szCs w:val="24"/>
          <w:highlight w:val="none"/>
        </w:rPr>
        <w:t xml:space="preserve">按照本须知“8、响应文件的组成”中“（2）资格证明文件”的要求依法对供应商的资格进行审查。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20.2.2 信用查询。</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① </w:t>
      </w:r>
      <w:bookmarkStart w:id="55" w:name="OLE_LINK40"/>
      <w:r>
        <w:rPr>
          <w:rFonts w:hint="eastAsia" w:ascii="宋体" w:hAnsi="宋体" w:cs="宋体"/>
          <w:color w:val="auto"/>
          <w:sz w:val="24"/>
          <w:szCs w:val="24"/>
          <w:highlight w:val="none"/>
        </w:rPr>
        <w:t xml:space="preserve">查询时间：</w:t>
      </w:r>
      <w:bookmarkStart w:id="56" w:name="OLE_LINK34"/>
      <w:r>
        <w:rPr>
          <w:rFonts w:hint="eastAsia" w:ascii="宋体" w:hAnsi="宋体"/>
          <w:bCs/>
          <w:color w:val="auto"/>
          <w:sz w:val="24"/>
          <w:szCs w:val="24"/>
          <w:highlight w:val="none"/>
        </w:rPr>
        <w:t xml:space="preserve">单一来源采购人员</w:t>
      </w:r>
      <w:bookmarkEnd w:id="56"/>
      <w:r>
        <w:rPr>
          <w:rFonts w:hint="eastAsia" w:ascii="宋体" w:hAnsi="宋体"/>
          <w:bCs/>
          <w:color w:val="auto"/>
          <w:sz w:val="24"/>
          <w:szCs w:val="24"/>
          <w:highlight w:val="none"/>
        </w:rPr>
        <w:t xml:space="preserve">将在评审环节查询供应商的信用记录，</w:t>
      </w:r>
      <w:r>
        <w:rPr>
          <w:rFonts w:hint="eastAsia" w:ascii="宋体" w:hAnsi="宋体" w:cs="宋体"/>
          <w:color w:val="auto"/>
          <w:sz w:val="24"/>
          <w:szCs w:val="24"/>
          <w:highlight w:val="none"/>
        </w:rPr>
        <w:t xml:space="preserve">供应商存在不良信用记录的，其报价将被认定为报价无效。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不良信用记录指：按照</w:t>
      </w:r>
      <w:r>
        <w:rPr>
          <w:rFonts w:ascii="宋体" w:hAnsi="宋体" w:cs="宋体"/>
          <w:color w:val="auto"/>
          <w:sz w:val="24"/>
          <w:szCs w:val="24"/>
          <w:highlight w:val="none"/>
          <w:lang w:bidi="ar"/>
        </w:rPr>
        <w:t xml:space="preserve">《财政部关于在政府采购活动中查询及使用信用记录有关问题的通知》</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财库〔2016〕125号</w:t>
      </w:r>
      <w:r>
        <w:rPr>
          <w:rFonts w:hint="eastAsia" w:ascii="宋体" w:hAnsi="宋体" w:cs="宋体"/>
          <w:color w:val="auto"/>
          <w:sz w:val="24"/>
          <w:szCs w:val="24"/>
          <w:highlight w:val="none"/>
          <w:lang w:bidi="ar"/>
        </w:rPr>
        <w:t xml:space="preserve">）要求，</w:t>
      </w:r>
      <w:r>
        <w:rPr>
          <w:rFonts w:hint="eastAsia" w:ascii="宋体" w:hAnsi="宋体" w:cs="宋体"/>
          <w:color w:val="auto"/>
          <w:sz w:val="24"/>
          <w:szCs w:val="24"/>
          <w:highlight w:val="none"/>
          <w:lang w:val="zh-CN"/>
        </w:rPr>
        <w:t xml:space="preserve">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信用中国</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网站</w:t>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lang w:val="zh-CN"/>
        </w:rPr>
        <w:t xml:space="preserve">被列入失信执行人、重大税收违法案件当事人名单、政府采购严重违法失信名单</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或在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中国政府采购网</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网站</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val="zh-CN"/>
        </w:rPr>
        <w:t xml:space="preserve">被列入政府采购严重违法失信行为记录名单。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 查询及记录方式：</w:t>
      </w:r>
      <w:bookmarkStart w:id="57" w:name="OLE_LINK39"/>
      <w:r>
        <w:rPr>
          <w:rFonts w:hint="eastAsia" w:ascii="宋体" w:hAnsi="宋体"/>
          <w:bCs/>
          <w:color w:val="auto"/>
          <w:sz w:val="24"/>
          <w:szCs w:val="24"/>
          <w:highlight w:val="none"/>
        </w:rPr>
        <w:t xml:space="preserve">单一来源采购人员</w:t>
      </w:r>
      <w:bookmarkEnd w:id="57"/>
      <w:r>
        <w:rPr>
          <w:rFonts w:hint="eastAsia" w:ascii="宋体" w:hAnsi="宋体"/>
          <w:bCs/>
          <w:color w:val="auto"/>
          <w:sz w:val="24"/>
          <w:szCs w:val="24"/>
          <w:highlight w:val="none"/>
        </w:rPr>
        <w:t xml:space="preserve">将查询网页打印、签字并存档备查。</w:t>
      </w:r>
      <w:r>
        <w:rPr>
          <w:rFonts w:hint="eastAsia" w:ascii="宋体" w:hAnsi="宋体" w:cs="宋体"/>
          <w:color w:val="auto"/>
          <w:sz w:val="24"/>
          <w:szCs w:val="24"/>
          <w:highlight w:val="none"/>
        </w:rPr>
        <w:t xml:space="preserve">供应商</w:t>
      </w:r>
      <w:bookmarkStart w:id="58" w:name="OLE_LINK33"/>
      <w:r>
        <w:rPr>
          <w:rFonts w:hint="eastAsia" w:ascii="宋体" w:hAnsi="宋体" w:cs="宋体"/>
          <w:color w:val="auto"/>
          <w:sz w:val="24"/>
          <w:szCs w:val="24"/>
          <w:highlight w:val="none"/>
        </w:rPr>
        <w:t xml:space="preserve">不良信用记录</w:t>
      </w:r>
      <w:bookmarkEnd w:id="58"/>
      <w:r>
        <w:rPr>
          <w:rFonts w:hint="eastAsia" w:ascii="宋体" w:hAnsi="宋体" w:cs="宋体"/>
          <w:color w:val="auto"/>
          <w:sz w:val="24"/>
          <w:szCs w:val="24"/>
          <w:highlight w:val="none"/>
        </w:rPr>
        <w:t xml:space="preserve">以</w:t>
      </w:r>
      <w:r>
        <w:rPr>
          <w:rFonts w:hint="eastAsia" w:ascii="宋体" w:hAnsi="宋体"/>
          <w:bCs/>
          <w:color w:val="auto"/>
          <w:sz w:val="24"/>
          <w:szCs w:val="24"/>
          <w:highlight w:val="none"/>
        </w:rPr>
        <w:t xml:space="preserve">单一来源采购人员</w:t>
      </w:r>
      <w:r>
        <w:rPr>
          <w:rFonts w:hint="eastAsia" w:ascii="宋体" w:hAnsi="宋体" w:cs="宋体"/>
          <w:color w:val="auto"/>
          <w:sz w:val="24"/>
          <w:szCs w:val="24"/>
          <w:highlight w:val="none"/>
        </w:rPr>
        <w:t xml:space="preserve">现场实时查询结果为准，供应商自行提供的与网站信息不一致的其他证明材料不作为资格审查依据。</w:t>
      </w:r>
      <w:bookmarkEnd w:id="55"/>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20.2.3</w:t>
      </w:r>
      <w:r>
        <w:rPr>
          <w:rFonts w:hint="eastAsia" w:ascii="宋体" w:hAnsi="宋体"/>
          <w:b/>
          <w:color w:val="auto"/>
          <w:sz w:val="24"/>
          <w:szCs w:val="24"/>
          <w:highlight w:val="none"/>
        </w:rPr>
        <w:t xml:space="preserve"> </w:t>
      </w:r>
      <w:bookmarkStart w:id="59" w:name="OLE_LINK18"/>
      <w:r>
        <w:rPr>
          <w:rFonts w:hint="eastAsia" w:ascii="宋体" w:hAnsi="宋体"/>
          <w:b/>
          <w:color w:val="auto"/>
          <w:sz w:val="24"/>
          <w:szCs w:val="24"/>
          <w:highlight w:val="none"/>
          <w:lang w:val="zh-CN"/>
        </w:rPr>
        <w:t xml:space="preserve">实质性要求指</w:t>
      </w:r>
      <w:r>
        <w:rPr>
          <w:rFonts w:hint="eastAsia" w:ascii="宋体" w:hAnsi="宋体"/>
          <w:bCs/>
          <w:color w:val="auto"/>
          <w:sz w:val="24"/>
          <w:szCs w:val="24"/>
          <w:highlight w:val="none"/>
          <w:lang w:val="zh-CN"/>
        </w:rPr>
        <w:t xml:space="preserve">：</w:t>
      </w:r>
      <w:bookmarkEnd w:id="59"/>
      <w:r>
        <w:rPr>
          <w:rFonts w:hint="eastAsia" w:ascii="宋体" w:hAnsi="宋体"/>
          <w:bCs/>
          <w:color w:val="auto"/>
          <w:sz w:val="24"/>
          <w:szCs w:val="24"/>
          <w:highlight w:val="none"/>
          <w:lang w:val="zh-CN"/>
        </w:rPr>
        <w:t xml:space="preserve">本采购文件“第三章 项目技术要求和有关说明”及其他“必须”或“应（应当）”等文字说明的相关要求。</w:t>
      </w:r>
      <w:bookmarkEnd w:id="53"/>
      <w:r/>
      <w:bookmarkEnd w:id="50"/>
      <w:bookmarkEnd w:id="54"/>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20.3</w:t>
      </w:r>
      <w:r>
        <w:rPr>
          <w:rFonts w:hint="eastAsia" w:ascii="宋体" w:hAnsi="宋体"/>
          <w:b/>
          <w:color w:val="auto"/>
          <w:sz w:val="24"/>
          <w:szCs w:val="24"/>
          <w:highlight w:val="none"/>
        </w:rPr>
        <w:t xml:space="preserve"> </w:t>
      </w:r>
      <w:r>
        <w:rPr>
          <w:rFonts w:hint="eastAsia" w:ascii="宋体" w:hAnsi="宋体"/>
          <w:bCs/>
          <w:color w:val="auto"/>
          <w:sz w:val="24"/>
          <w:szCs w:val="24"/>
          <w:highlight w:val="none"/>
        </w:rPr>
        <w:t xml:space="preserve">澄清有关问题。单一来源采购人员对响应文件的有效性、完整性和响应程度进行审查时，可以要求供应商对响应文件中含义不明确、同类问题表述不一致或者有明显文字错误和计算错误的内容作出必要的澄清、说明或者更正，并以书面形式通知供应商。供应商的澄清、说明或者更正不得超出响应文件的范围或者改变响应文件的实质性内容。若</w:t>
      </w:r>
      <w:bookmarkStart w:id="60" w:name="OLE_LINK1"/>
      <w:r>
        <w:rPr>
          <w:rFonts w:hint="eastAsia" w:ascii="宋体" w:hAnsi="宋体"/>
          <w:bCs/>
          <w:color w:val="auto"/>
          <w:sz w:val="24"/>
          <w:szCs w:val="24"/>
          <w:highlight w:val="none"/>
        </w:rPr>
        <w:t xml:space="preserve">对不同文字文本响应文件的解释发生异议的，以中文文本为准；正本与副本不一致的，以正本为准。</w:t>
      </w:r>
      <w:bookmarkEnd w:id="60"/>
      <w:r/>
      <w:r/>
    </w:p>
    <w:p>
      <w:pPr>
        <w:ind w:firstLine="480"/>
        <w:spacing w:line="360" w:lineRule="auto"/>
        <w:rPr>
          <w:rFonts w:hint="eastAsia" w:ascii="宋体" w:hAnsi="宋体"/>
          <w:bCs/>
          <w:color w:val="auto"/>
          <w:sz w:val="24"/>
          <w:highlight w:val="none"/>
        </w:rPr>
      </w:pPr>
      <w:r/>
      <w:bookmarkStart w:id="61" w:name="OLE_LINK55"/>
      <w:r>
        <w:rPr>
          <w:rFonts w:hint="eastAsia" w:ascii="宋体" w:hAnsi="宋体"/>
          <w:bCs/>
          <w:color w:val="auto"/>
          <w:sz w:val="24"/>
          <w:highlight w:val="none"/>
        </w:rPr>
        <w:t xml:space="preserve">响应文件报价出现前后不一致的，除采购文件另有规定外，按照下列规定修正：</w:t>
      </w:r>
      <w:r/>
    </w:p>
    <w:p>
      <w:pPr>
        <w:numPr>
          <w:ilvl w:val="0"/>
          <w:numId w:val="5"/>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响应文件中报价一览表内容与响应文件中相应内容不一致的，以报价一览表为准；</w:t>
      </w:r>
      <w:r/>
    </w:p>
    <w:p>
      <w:pPr>
        <w:numPr>
          <w:ilvl w:val="0"/>
          <w:numId w:val="5"/>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5"/>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单价金额小数点或者百分比有明显错位的，以报价一览表的总价为准，并修改单价；</w:t>
      </w:r>
      <w:r/>
    </w:p>
    <w:p>
      <w:pPr>
        <w:numPr>
          <w:ilvl w:val="0"/>
          <w:numId w:val="5"/>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加盖供应商公章，或由法定代表人或其授权的代表签字。</w:t>
      </w:r>
      <w:r>
        <w:rPr>
          <w:rFonts w:hint="eastAsia" w:ascii="宋体" w:hAnsi="宋体"/>
          <w:bCs/>
          <w:color w:val="auto"/>
          <w:sz w:val="24"/>
          <w:highlight w:val="none"/>
        </w:rPr>
        <w:t xml:space="preserve">供应商不确认的，其报价无效。</w:t>
      </w:r>
      <w:bookmarkEnd w:id="61"/>
      <w:r/>
      <w:r/>
    </w:p>
    <w:p>
      <w:pPr>
        <w:ind w:left="1" w:firstLine="480"/>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20.4 </w:t>
      </w:r>
      <w:r>
        <w:rPr>
          <w:rFonts w:hint="eastAsia" w:ascii="宋体" w:hAnsi="宋体"/>
          <w:b/>
          <w:color w:val="auto"/>
          <w:sz w:val="24"/>
          <w:highlight w:val="none"/>
        </w:rPr>
        <w:t xml:space="preserve">评审方法和标准</w:t>
      </w:r>
      <w:r>
        <w:rPr>
          <w:rFonts w:hint="eastAsia" w:ascii="宋体" w:hAnsi="宋体"/>
          <w:bCs/>
          <w:color w:val="auto"/>
          <w:sz w:val="24"/>
          <w:highlight w:val="none"/>
        </w:rPr>
        <w:t xml:space="preserve">。</w:t>
      </w:r>
      <w:r>
        <w:rPr>
          <w:rFonts w:hint="eastAsia" w:ascii="宋体" w:hAnsi="宋体"/>
          <w:bCs/>
          <w:color w:val="auto"/>
          <w:sz w:val="24"/>
          <w:szCs w:val="24"/>
          <w:highlight w:val="none"/>
        </w:rPr>
        <w:t xml:space="preserve">单一来源采购人员与供应商在保证采购项目质量的基础上，商定合理的成交价格，并编写评审报告。</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20.5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bookmarkStart w:id="62" w:name="OLE_LINK21"/>
      <w:r>
        <w:rPr>
          <w:rFonts w:hint="eastAsia" w:ascii="宋体" w:hAnsi="宋体"/>
          <w:bCs/>
          <w:color w:val="auto"/>
          <w:sz w:val="24"/>
          <w:szCs w:val="24"/>
          <w:highlight w:val="none"/>
          <w:lang w:val="zh-CN"/>
        </w:rPr>
        <w:t xml:space="preserve">单一来源采购人员</w:t>
      </w:r>
      <w:bookmarkEnd w:id="62"/>
      <w:r>
        <w:rPr>
          <w:rFonts w:hint="eastAsia" w:ascii="宋体" w:hAnsi="宋体"/>
          <w:bCs/>
          <w:color w:val="auto"/>
          <w:sz w:val="24"/>
          <w:szCs w:val="24"/>
          <w:highlight w:val="none"/>
          <w:lang w:val="zh-CN"/>
        </w:rPr>
        <w:t xml:space="preserve">初步评审意见。</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21、确定成交供应商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21.1 </w:t>
      </w:r>
      <w:r>
        <w:rPr>
          <w:rFonts w:hint="eastAsia" w:ascii="宋体" w:hAnsi="宋体"/>
          <w:bCs/>
          <w:color w:val="auto"/>
          <w:sz w:val="24"/>
          <w:szCs w:val="24"/>
          <w:highlight w:val="none"/>
          <w:lang w:val="zh-CN"/>
        </w:rPr>
        <w:t xml:space="preserve">评审结束后，采购人</w:t>
      </w:r>
      <w:bookmarkStart w:id="63" w:name="OLE_LINK72"/>
      <w:r>
        <w:rPr>
          <w:rFonts w:hint="eastAsia" w:ascii="宋体" w:hAnsi="宋体"/>
          <w:bCs/>
          <w:color w:val="auto"/>
          <w:sz w:val="24"/>
          <w:szCs w:val="24"/>
          <w:highlight w:val="none"/>
          <w:lang w:val="zh-CN"/>
        </w:rPr>
        <w:t xml:space="preserve">依照法律规定</w:t>
      </w:r>
      <w:bookmarkEnd w:id="63"/>
      <w:r>
        <w:rPr>
          <w:rFonts w:hint="eastAsia" w:ascii="宋体" w:hAnsi="宋体"/>
          <w:bCs/>
          <w:color w:val="auto"/>
          <w:sz w:val="24"/>
          <w:szCs w:val="24"/>
          <w:highlight w:val="none"/>
          <w:lang w:val="zh-CN"/>
        </w:rPr>
        <w:t xml:space="preserve">在收到评审报告后5个工作日内，确定成交供应商。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21.2 成交结果确认后，采购代理机构将向成交供应商发出电子成交通知书，请成交供应商登录“苏采云” 系统及时下载成交通知书。因系统存储空间有限，自成交结果公告发布之日起30日后，“苏采云”系统不再保证提供下载成交通知书服务。因未及时下载而造成的一切后果由成交供应商自行承担</w:t>
      </w:r>
      <w:r>
        <w:rPr>
          <w:rFonts w:hint="eastAsia" w:ascii="宋体" w:hAnsi="宋体"/>
          <w:bCs/>
          <w:color w:val="auto"/>
          <w:sz w:val="24"/>
          <w:szCs w:val="24"/>
          <w:highlight w:val="none"/>
          <w:lang w:val="zh-CN"/>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22、采购终止</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22.1 </w:t>
      </w:r>
      <w:r>
        <w:rPr>
          <w:rFonts w:hint="eastAsia" w:ascii="宋体" w:hAnsi="宋体"/>
          <w:bCs/>
          <w:color w:val="auto"/>
          <w:sz w:val="24"/>
          <w:szCs w:val="24"/>
          <w:highlight w:val="none"/>
          <w:lang w:val="zh-CN"/>
        </w:rPr>
        <w:t xml:space="preserve">在采购中，出现下列情况之一的，本次采购活动终止：</w:t>
      </w:r>
      <w:r/>
    </w:p>
    <w:p>
      <w:pPr>
        <w:numPr>
          <w:ilvl w:val="0"/>
          <w:numId w:val="6"/>
        </w:numPr>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rPr>
        <w:t xml:space="preserve">因情况变化，不再符合规定的单一来源采购方式适用情形的</w:t>
      </w:r>
      <w:r>
        <w:rPr>
          <w:rFonts w:hint="eastAsia" w:ascii="宋体" w:hAnsi="宋体"/>
          <w:bCs/>
          <w:color w:val="auto"/>
          <w:sz w:val="24"/>
          <w:szCs w:val="24"/>
          <w:highlight w:val="none"/>
          <w:lang w:val="zh-CN"/>
        </w:rPr>
        <w:t xml:space="preserve">；</w:t>
      </w:r>
      <w:r/>
    </w:p>
    <w:p>
      <w:pPr>
        <w:numPr>
          <w:ilvl w:val="0"/>
          <w:numId w:val="6"/>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出现影响采购公正的违法、违规行为的；</w:t>
      </w:r>
      <w:r/>
    </w:p>
    <w:p>
      <w:pPr>
        <w:numPr>
          <w:ilvl w:val="0"/>
          <w:numId w:val="6"/>
        </w:numPr>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rPr>
        <w:t xml:space="preserve">报价超过采购预算的</w:t>
      </w:r>
      <w:r>
        <w:rPr>
          <w:rFonts w:hint="eastAsia" w:ascii="宋体" w:hAnsi="宋体"/>
          <w:bCs/>
          <w:color w:val="auto"/>
          <w:sz w:val="24"/>
          <w:szCs w:val="24"/>
          <w:highlight w:val="none"/>
          <w:lang w:val="zh-CN"/>
        </w:rPr>
        <w:t xml:space="preserve">。</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六、报价保证金</w:t>
      </w:r>
      <w:r/>
    </w:p>
    <w:p>
      <w:pPr>
        <w:ind w:left="420"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本项目无需缴纳报价保证金。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w:t>
      </w:r>
      <w:r>
        <w:rPr>
          <w:rFonts w:hint="eastAsia" w:ascii="宋体" w:hAnsi="宋体"/>
          <w:b/>
          <w:color w:val="auto"/>
          <w:sz w:val="24"/>
          <w:szCs w:val="24"/>
          <w:highlight w:val="none"/>
          <w:lang w:val="zh-CN"/>
        </w:rPr>
        <w:t xml:space="preserve">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24.1 </w:t>
      </w:r>
      <w:r>
        <w:rPr>
          <w:rFonts w:hint="eastAsia" w:ascii="宋体" w:hAnsi="宋体"/>
          <w:bCs/>
          <w:color w:val="auto"/>
          <w:sz w:val="24"/>
          <w:szCs w:val="24"/>
          <w:highlight w:val="none"/>
          <w:lang w:val="zh-CN"/>
        </w:rPr>
        <w:t xml:space="preserve">供应商被视为充分熟悉本项目所在地的与履行合同有关的各种情况，包括自然环境、气候条件、劳动力、施工现场及公用设施等，本采购文件不再对上述情况进行描述。供应商应认真阅读和充分理解采购文件中所有的内容，一旦成交后，在合同履行过程中的所有风险由供应商自行承担。如因市场变化、政策性调整等因素导致报价成本的变化，成交价格将不会得到调整。</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24.2成交供应商应于成交通知书发出之日起30日内，按照采购文件确定的事项与采购人签订政府采购合同；采购人应于政府采购合同签订之日起2个工作日内对合同进行公告，并于7个工作日内将合同副本报同级财政监管部门备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成交供应商如逾期不办理相关手续、签订合同，财政部门将依据有关规定进行处理。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如遇特殊情况，采购人及财政部门可延期签订合同。</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24.3 </w:t>
      </w:r>
      <w:r>
        <w:rPr>
          <w:rFonts w:hint="eastAsia" w:ascii="宋体" w:hAnsi="宋体"/>
          <w:bCs/>
          <w:color w:val="auto"/>
          <w:sz w:val="24"/>
          <w:szCs w:val="24"/>
          <w:highlight w:val="none"/>
          <w:lang w:val="zh-CN"/>
        </w:rPr>
        <w:t xml:space="preserve">签订合同书及合同条款应以采购文件和成交供应商的响应文件为依据。</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w:t>
      </w:r>
      <w:bookmarkStart w:id="64" w:name="OLE_LINK5"/>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成交供应商拒绝与采购人签订合同，或因不可抗力或者自身原因不能履行政府采购合同的，需要有明确的意思表示，并向采购人书面声明放弃合同，采购人可以重新开展政府采购活动。无正当理由拒绝签订合同的成交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65" w:name="OLE_LINK2"/>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成交供应商不得参加对该项</w:t>
      </w:r>
      <w:bookmarkEnd w:id="65"/>
      <w:r>
        <w:rPr>
          <w:rFonts w:hint="eastAsia" w:ascii="宋体" w:hAnsi="宋体"/>
          <w:bCs/>
          <w:color w:val="auto"/>
          <w:sz w:val="24"/>
          <w:szCs w:val="24"/>
          <w:highlight w:val="none"/>
          <w:lang w:val="zh-CN"/>
        </w:rPr>
        <w:t xml:space="preserve">目重新开展的采购活动。</w:t>
      </w:r>
      <w:bookmarkEnd w:id="64"/>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八、报价行为及报价产品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25、报价行为及报价产品：</w:t>
      </w:r>
      <w:r/>
    </w:p>
    <w:p>
      <w:pPr>
        <w:numPr>
          <w:ilvl w:val="0"/>
          <w:numId w:val="7"/>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供应商的行为必须遵守各项法律法规、规章及相关制度的规定。</w:t>
      </w:r>
      <w:r/>
    </w:p>
    <w:p>
      <w:pPr>
        <w:numPr>
          <w:ilvl w:val="0"/>
          <w:numId w:val="7"/>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报价产品、产品安装（施工）及服务质量等应符合国家、行业等相关标准及要求。</w:t>
      </w:r>
      <w:r/>
    </w:p>
    <w:p>
      <w:pPr>
        <w:numPr>
          <w:ilvl w:val="0"/>
          <w:numId w:val="7"/>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如报价产品为进口产品的，则报价产品必须为通过中国海关报关验放进入中国境内且产自关境外的产品。</w:t>
      </w:r>
      <w:r/>
    </w:p>
    <w:p>
      <w:pPr>
        <w:numPr>
          <w:ilvl w:val="0"/>
          <w:numId w:val="7"/>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供应商提供的产品应是全新、未使用过的原装合格正品。</w:t>
      </w:r>
      <w:r>
        <w:rPr>
          <w:rFonts w:hint="eastAsia" w:ascii="宋体" w:hAnsi="宋体"/>
          <w:bCs/>
          <w:color w:val="auto"/>
          <w:sz w:val="24"/>
          <w:highlight w:val="none"/>
        </w:rPr>
        <w:t xml:space="preserve">供应商成交后，在供货期内如遇产品平滑（自然）升级，成交供应商应提供平滑升级商品不补差价（采购文件中有特殊要求的除外）。</w:t>
      </w:r>
      <w:r/>
    </w:p>
    <w:p>
      <w:pPr>
        <w:numPr>
          <w:ilvl w:val="0"/>
          <w:numId w:val="7"/>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采购文件中要求供应商出具的证书等相关材料，均应在有效期限内，即有效期限应覆盖响应文件评审当日。</w:t>
      </w:r>
      <w:r/>
    </w:p>
    <w:p>
      <w:pPr>
        <w:ind w:firstLine="482"/>
        <w:spacing w:line="360" w:lineRule="auto"/>
        <w:rPr>
          <w:rFonts w:hint="eastAsia" w:ascii="宋体" w:hAnsi="宋体"/>
          <w:b/>
          <w:color w:val="auto"/>
          <w:sz w:val="24"/>
          <w:szCs w:val="24"/>
          <w:highlight w:val="none"/>
          <w:lang w:val="zh-CN"/>
        </w:rPr>
      </w:pPr>
      <w:r/>
      <w:bookmarkStart w:id="66" w:name="OLE_LINK47"/>
      <w:r/>
      <w:bookmarkStart w:id="67" w:name="OLE_LINK74"/>
      <w:r>
        <w:rPr>
          <w:rFonts w:hint="eastAsia" w:ascii="宋体" w:hAnsi="宋体"/>
          <w:b/>
          <w:color w:val="auto"/>
          <w:sz w:val="24"/>
          <w:szCs w:val="24"/>
          <w:highlight w:val="none"/>
          <w:lang w:val="zh-CN"/>
        </w:rPr>
        <w:t xml:space="preserve">九、验收</w:t>
      </w:r>
      <w:r/>
    </w:p>
    <w:p>
      <w:pPr>
        <w:ind w:firstLine="4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和采购文件的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以及供应商提供的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对供应商</w:t>
      </w:r>
      <w:r>
        <w:rPr>
          <w:rFonts w:hint="eastAsia" w:ascii="宋体" w:hAnsi="宋体"/>
          <w:bCs/>
          <w:color w:val="auto"/>
          <w:sz w:val="24"/>
          <w:szCs w:val="24"/>
          <w:highlight w:val="none"/>
          <w:lang w:val="zh-CN"/>
        </w:rPr>
        <w:t xml:space="preserve">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政府采购项目验收单。由采购人对成交供应商进行履约管理，并及时向成交供应商支付采购资金。</w:t>
      </w:r>
      <w:bookmarkEnd w:id="66"/>
      <w:r/>
      <w:bookmarkEnd w:id="67"/>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w:t>
      </w:r>
      <w:r>
        <w:rPr>
          <w:rFonts w:hint="eastAsia" w:ascii="宋体" w:hAnsi="宋体"/>
          <w:b/>
          <w:color w:val="auto"/>
          <w:sz w:val="24"/>
          <w:szCs w:val="24"/>
          <w:highlight w:val="none"/>
          <w:lang w:val="zh-CN"/>
        </w:rPr>
        <w:t xml:space="preserve">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27、询问</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供应商对采购活动事项有疑问的，可以向采购人提出询问，采购人将在三个工作日内作出答复，但答复的内容不得涉及商业秘密；供应商也可以向采购人委托的代理机构提出询问，代理机构就采购人委托授权范围内的事项作出答复。</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采购代理机构不负责向任何供应商解释评审情况</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28、质疑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28.1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政府采购供应商质疑函范本》）。同一项目下的不同采购包，供应商只能对其参与的采购包提出质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28.2</w:t>
      </w:r>
      <w:r>
        <w:rPr>
          <w:rFonts w:hint="eastAsia" w:ascii="宋体" w:hAnsi="宋体"/>
          <w:b/>
          <w:color w:val="auto"/>
          <w:sz w:val="24"/>
          <w:szCs w:val="24"/>
          <w:highlight w:val="none"/>
          <w:lang w:val="zh-CN"/>
        </w:rPr>
        <w:t xml:space="preserve">质疑答复责任主体：</w:t>
      </w:r>
      <w:r/>
    </w:p>
    <w:p>
      <w:pPr>
        <w:numPr>
          <w:ilvl w:val="0"/>
          <w:numId w:val="8"/>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五十一条、五十二条、五十三条规定，供应商认为采购文件、采购过程和成交结果使自己的权益受到损害的，可以在知道或者应当知道其权益受到损害之日起七个工作日内，以书面形式向采购人提出质疑。</w:t>
      </w:r>
      <w:r/>
    </w:p>
    <w:p>
      <w:pPr>
        <w:numPr>
          <w:ilvl w:val="0"/>
          <w:numId w:val="8"/>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r/>
    </w:p>
    <w:p>
      <w:pPr>
        <w:ind w:firstLine="42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28.3 </w:t>
      </w:r>
      <w:r>
        <w:rPr>
          <w:rFonts w:hint="eastAsia" w:ascii="宋体" w:hAnsi="宋体"/>
          <w:b/>
          <w:color w:val="auto"/>
          <w:sz w:val="24"/>
          <w:szCs w:val="24"/>
          <w:highlight w:val="none"/>
        </w:rPr>
        <w:t xml:space="preserve">质疑时效期间的起算</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对采购文件提出质疑的，应自</w:t>
      </w:r>
      <w:bookmarkStart w:id="68" w:name="OLE_LINK76"/>
      <w:r>
        <w:rPr>
          <w:rFonts w:hint="eastAsia" w:ascii="宋体" w:hAnsi="宋体"/>
          <w:bCs/>
          <w:color w:val="auto"/>
          <w:sz w:val="24"/>
          <w:szCs w:val="24"/>
          <w:highlight w:val="none"/>
          <w:lang w:val="zh-CN"/>
        </w:rPr>
        <w:t xml:space="preserve">收到采购文件之日</w:t>
      </w:r>
      <w:bookmarkEnd w:id="68"/>
      <w:r>
        <w:rPr>
          <w:rFonts w:hint="eastAsia" w:ascii="宋体" w:hAnsi="宋体"/>
          <w:bCs/>
          <w:color w:val="auto"/>
          <w:sz w:val="24"/>
          <w:szCs w:val="24"/>
          <w:highlight w:val="none"/>
          <w:lang w:val="zh-CN"/>
        </w:rPr>
        <w:t xml:space="preserve">起计算；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28.4 </w:t>
      </w:r>
      <w:r>
        <w:rPr>
          <w:rFonts w:hint="eastAsia" w:ascii="宋体" w:hAnsi="宋体"/>
          <w:bCs/>
          <w:color w:val="auto"/>
          <w:sz w:val="24"/>
          <w:szCs w:val="24"/>
          <w:highlight w:val="none"/>
          <w:lang w:val="zh-CN"/>
        </w:rPr>
        <w:t xml:space="preserve">对符合法定质疑条件的质疑，被质疑人在受理后的七个工作日内进行书面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28.5 </w:t>
      </w:r>
      <w:r>
        <w:rPr>
          <w:rFonts w:hint="eastAsia" w:ascii="宋体" w:hAnsi="宋体"/>
          <w:bCs/>
          <w:color w:val="auto"/>
          <w:sz w:val="24"/>
          <w:szCs w:val="24"/>
          <w:highlight w:val="none"/>
          <w:lang w:val="zh-CN"/>
        </w:rPr>
        <w:t xml:space="preserve">恶意质疑或提交虚假质疑一经查实，被质疑人有权依据政府采购法的有关规定，报请政府采购监管部门对该质疑人进行相应的行政处罚。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29 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29.1</w:t>
      </w:r>
      <w:r>
        <w:rPr>
          <w:rFonts w:ascii="宋体" w:hAnsi="宋体"/>
          <w:bCs/>
          <w:color w:val="auto"/>
          <w:sz w:val="24"/>
          <w:szCs w:val="24"/>
          <w:highlight w:val="none"/>
          <w:lang w:val="zh-CN"/>
        </w:rPr>
        <w:t xml:space="preserve">质疑供应商对采购人的答复不满意或者采购人未在规定的时间内作出答复的，</w:t>
      </w:r>
      <w:bookmarkStart w:id="69" w:name="OLE_LINK57"/>
      <w:r>
        <w:rPr>
          <w:rFonts w:ascii="宋体" w:hAnsi="宋体"/>
          <w:bCs/>
          <w:color w:val="auto"/>
          <w:sz w:val="24"/>
          <w:szCs w:val="24"/>
          <w:highlight w:val="none"/>
          <w:lang w:val="zh-CN"/>
        </w:rPr>
        <w:t xml:space="preserve">可以在答复期满后十五个工作日内</w:t>
      </w:r>
      <w:bookmarkStart w:id="70" w:name="_Toc23122"/>
      <w:r>
        <w:rPr>
          <w:rFonts w:hint="eastAsia" w:ascii="宋体" w:hAnsi="宋体"/>
          <w:bCs/>
          <w:color w:val="auto"/>
          <w:sz w:val="24"/>
          <w:szCs w:val="24"/>
          <w:highlight w:val="none"/>
          <w:lang w:val="zh-CN"/>
        </w:rPr>
        <w:t xml:space="preserve">向本采购文件第一章报价邀请函中的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69"/>
      <w:r/>
      <w:r/>
    </w:p>
    <w:p>
      <w:pPr>
        <w:ind w:firstLine="480"/>
        <w:jc w:val="cente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br w:type="page" w:clear="all"/>
      </w:r>
      <w:bookmarkStart w:id="71" w:name="_Toc2106"/>
      <w:r>
        <w:rPr>
          <w:rFonts w:hint="eastAsia" w:ascii="黑体" w:hAnsi="黑体" w:eastAsia="黑体"/>
          <w:color w:val="auto"/>
          <w:sz w:val="28"/>
          <w:highlight w:val="none"/>
        </w:rPr>
        <w:t xml:space="preserve">第三章 项目技术要求和有关说明</w:t>
      </w:r>
      <w:bookmarkEnd w:id="70"/>
      <w:r/>
      <w:bookmarkEnd w:id="71"/>
      <w:r/>
      <w:r/>
    </w:p>
    <w:p>
      <w:pPr>
        <w:spacing w:line="360" w:lineRule="auto"/>
        <w:rPr>
          <w:rFonts w:hint="eastAsia" w:ascii="宋体" w:hAnsi="宋体" w:cs="宋体"/>
          <w:sz w:val="24"/>
          <w:szCs w:val="24"/>
          <w:highlight w:val="none"/>
          <w:lang w:val="en-US" w:eastAsia="zh-CN"/>
        </w:rPr>
        <w:outlineLvl w:val="0"/>
      </w:pPr>
      <w:r/>
      <w:bookmarkStart w:id="72" w:name="_Toc2535"/>
      <w:r/>
      <w:bookmarkStart w:id="73" w:name="_Toc526779129"/>
      <w:r/>
      <w:bookmarkStart w:id="74" w:name="OLE_LINK49"/>
      <w:r/>
      <w:bookmarkStart w:id="75" w:name="_Toc487900374"/>
      <w:r>
        <w:rPr>
          <w:rFonts w:hint="eastAsia" w:ascii="宋体" w:hAnsi="宋体"/>
          <w:sz w:val="24"/>
          <w:szCs w:val="24"/>
          <w:highlight w:val="none"/>
        </w:rPr>
        <w:t xml:space="preserve">一、</w:t>
      </w:r>
      <w:r>
        <w:rPr>
          <w:rFonts w:hint="eastAsia" w:ascii="宋体" w:hAnsi="宋体" w:cs="宋体"/>
          <w:sz w:val="24"/>
          <w:szCs w:val="24"/>
          <w:highlight w:val="none"/>
          <w:lang w:val="en-US" w:eastAsia="zh-CN"/>
        </w:rPr>
        <w:t xml:space="preserve">项目概况</w:t>
      </w:r>
      <w:r/>
    </w:p>
    <w:p>
      <w:pPr>
        <w:pStyle w:val="795"/>
        <w:numPr>
          <w:ilvl w:val="0"/>
          <w:numId w:val="0"/>
        </w:numPr>
        <w:ind w:firstLine="480"/>
        <w:rPr>
          <w:rFonts w:hint="eastAsia" w:ascii="宋体" w:hAnsi="宋体"/>
          <w:sz w:val="24"/>
          <w:szCs w:val="24"/>
          <w:highlight w:val="none"/>
        </w:rPr>
      </w:pPr>
      <w:r>
        <w:rPr>
          <w:rFonts w:hint="eastAsia" w:ascii="宋体" w:hAnsi="宋体"/>
          <w:sz w:val="24"/>
          <w:szCs w:val="24"/>
          <w:highlight w:val="none"/>
        </w:rPr>
        <w:t xml:space="preserve">本项目为</w:t>
      </w:r>
      <w:r>
        <w:rPr>
          <w:rFonts w:hint="eastAsia" w:ascii="宋体" w:hAnsi="宋体"/>
          <w:sz w:val="24"/>
          <w:szCs w:val="24"/>
          <w:highlight w:val="none"/>
          <w:lang w:eastAsia="zh-CN"/>
        </w:rPr>
        <w:t xml:space="preserve">宜兴市水利局2026-2029年太湖蓝藻防控运维服务项目</w:t>
      </w:r>
      <w:r>
        <w:rPr>
          <w:rFonts w:hint="eastAsia" w:ascii="宋体" w:hAnsi="宋体"/>
          <w:sz w:val="24"/>
          <w:szCs w:val="24"/>
          <w:highlight w:val="none"/>
        </w:rPr>
        <w:t xml:space="preserve">。</w:t>
      </w:r>
      <w:r/>
    </w:p>
    <w:p>
      <w:pPr>
        <w:numPr>
          <w:ilvl w:val="0"/>
          <w:numId w:val="9"/>
        </w:numPr>
        <w:spacing w:line="360" w:lineRule="auto"/>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技术要求</w:t>
      </w:r>
      <w:r/>
    </w:p>
    <w:p>
      <w:pPr>
        <w:numPr>
          <w:ilvl w:val="0"/>
          <w:numId w:val="0"/>
        </w:numPr>
        <w:spacing w:line="360" w:lineRule="auto"/>
        <w:rPr>
          <w:rFonts w:hint="eastAsia" w:ascii="宋体" w:hAnsi="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   日常防控部分：4座藻水分离站（符渎港藻水分离站、茭渎港藻水分离站、新港藻水分离站、八房港藻水分离站新增能力（含八房港藻水分离站在本项目开标前的全部新增处理能力））；37座打捞平台；2座近岸深井（位于符渎港、八房港）；8座离岸控藻深井；2座拦河坝（位于新港、大港）；</w:t>
      </w:r>
      <w:r>
        <w:rPr>
          <w:rFonts w:hint="eastAsia" w:ascii="宋体" w:hAnsi="宋体" w:cs="宋体"/>
          <w:sz w:val="24"/>
          <w:szCs w:val="24"/>
          <w:highlight w:val="none"/>
          <w:lang w:val="en-US" w:eastAsia="zh-CN"/>
        </w:rPr>
        <w:t xml:space="preserve">67</w:t>
      </w:r>
      <w:r>
        <w:rPr>
          <w:rFonts w:hint="eastAsia" w:ascii="宋体" w:hAnsi="宋体" w:eastAsia="宋体" w:cs="宋体"/>
          <w:sz w:val="24"/>
          <w:szCs w:val="24"/>
          <w:highlight w:val="none"/>
          <w:lang w:val="en-US" w:eastAsia="zh-CN"/>
        </w:rPr>
        <w:t xml:space="preserve">艘蓝藻专用船只</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t xml:space="preserve">；约132公里围隔的运行维护工作</w:t>
      </w:r>
      <w:r>
        <w:rPr>
          <w:rFonts w:hint="eastAsia" w:ascii="宋体" w:hAnsi="宋体" w:cs="宋体"/>
          <w:sz w:val="24"/>
          <w:szCs w:val="24"/>
          <w:highlight w:val="none"/>
          <w:lang w:val="en-US" w:eastAsia="zh-CN"/>
        </w:rPr>
        <w:t xml:space="preserve">。</w:t>
      </w:r>
      <w:r/>
    </w:p>
    <w:p>
      <w:pPr>
        <w:numPr>
          <w:ilvl w:val="0"/>
          <w:numId w:val="0"/>
        </w:numPr>
        <w:ind w:firstLine="480"/>
        <w:spacing w:line="360" w:lineRule="auto"/>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配套部分：藻泥及水生植物处置</w:t>
      </w:r>
      <w:r/>
    </w:p>
    <w:p>
      <w:pPr>
        <w:numPr>
          <w:ilvl w:val="0"/>
          <w:numId w:val="0"/>
        </w:numPr>
        <w:ind w:firstLine="480"/>
        <w:jc w:val="both"/>
        <w:spacing w:line="360" w:lineRule="auto"/>
        <w:widowControl w:val="off"/>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应急防控部分：</w:t>
      </w:r>
      <w:r>
        <w:rPr>
          <w:rFonts w:hint="eastAsia" w:ascii="宋体" w:hAnsi="宋体" w:cs="宋体"/>
          <w:sz w:val="24"/>
          <w:szCs w:val="24"/>
          <w:highlight w:val="none"/>
          <w:lang w:val="en-US" w:eastAsia="zh-CN"/>
        </w:rPr>
        <w:t xml:space="preserve">单次</w:t>
      </w:r>
      <w:r>
        <w:rPr>
          <w:rFonts w:hint="eastAsia" w:ascii="宋体" w:hAnsi="宋体" w:eastAsia="宋体" w:cs="宋体"/>
          <w:sz w:val="24"/>
          <w:szCs w:val="24"/>
          <w:highlight w:val="none"/>
          <w:lang w:val="en-US" w:eastAsia="zh-CN"/>
        </w:rPr>
        <w:t xml:space="preserve">超过10万的设施设备抢修、蓝藻运行辅助、蓝藻应急保障等服务</w:t>
      </w:r>
      <w:r/>
    </w:p>
    <w:p>
      <w:pPr>
        <w:numPr>
          <w:ilvl w:val="0"/>
          <w:numId w:val="9"/>
        </w:numPr>
        <w:ind w:left="0" w:firstLine="0"/>
        <w:jc w:val="both"/>
        <w:spacing w:line="360" w:lineRule="auto"/>
        <w:widowControl w:val="off"/>
        <w:rPr>
          <w:rFonts w:hint="eastAsia" w:asciiTheme="minorEastAsia" w:hAnsiTheme="minorEastAsia" w:eastAsiaTheme="minorEastAsia" w:cstheme="minorEastAsia"/>
          <w:bCs w:val="0"/>
          <w:sz w:val="24"/>
          <w:szCs w:val="24"/>
          <w:highlight w:val="none"/>
        </w:rPr>
        <w:outlineLvl w:val="0"/>
      </w:pPr>
      <w:r>
        <w:rPr>
          <w:rFonts w:hint="eastAsia" w:ascii="宋体" w:hAnsi="宋体" w:eastAsia="宋体" w:cs="宋体"/>
          <w:sz w:val="24"/>
          <w:szCs w:val="24"/>
          <w:highlight w:val="none"/>
          <w:lang w:val="en-US" w:eastAsia="zh-CN"/>
        </w:rPr>
        <w:t xml:space="preserve">考核</w:t>
      </w:r>
      <w:r>
        <w:rPr>
          <w:rFonts w:hint="eastAsia" w:ascii="宋体" w:hAnsi="宋体" w:cs="宋体"/>
          <w:sz w:val="24"/>
          <w:szCs w:val="24"/>
          <w:highlight w:val="none"/>
          <w:lang w:val="en-US" w:eastAsia="zh-CN"/>
        </w:rPr>
        <w:t xml:space="preserve">办法</w:t>
      </w:r>
      <w:r/>
    </w:p>
    <w:p>
      <w:pPr>
        <w:pStyle w:val="795"/>
        <w:numPr>
          <w:ilvl w:val="0"/>
          <w:numId w:val="0"/>
        </w:numPr>
        <w:ind w:firstLine="480"/>
        <w:rPr>
          <w:rFonts w:hint="eastAsia" w:ascii="宋体" w:hAnsi="宋体"/>
          <w:sz w:val="24"/>
          <w:szCs w:val="24"/>
          <w:highlight w:val="none"/>
        </w:rPr>
      </w:pPr>
      <w:r/>
      <w:bookmarkStart w:id="76" w:name="_Toc81320597"/>
      <w:r/>
      <w:bookmarkStart w:id="77" w:name="_Toc70685486"/>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总体</w:t>
      </w:r>
      <w:bookmarkEnd w:id="76"/>
      <w:r>
        <w:rPr>
          <w:rFonts w:hint="eastAsia" w:ascii="宋体" w:hAnsi="宋体"/>
          <w:sz w:val="24"/>
          <w:szCs w:val="24"/>
          <w:highlight w:val="none"/>
        </w:rPr>
        <w:t xml:space="preserve">原则</w:t>
      </w:r>
      <w:r/>
    </w:p>
    <w:p>
      <w:pPr>
        <w:pStyle w:val="795"/>
        <w:numPr>
          <w:ilvl w:val="0"/>
          <w:numId w:val="0"/>
        </w:numPr>
        <w:ind w:firstLine="480"/>
        <w:rPr>
          <w:rFonts w:hint="eastAsia" w:ascii="宋体" w:hAnsi="宋体"/>
          <w:sz w:val="24"/>
          <w:szCs w:val="24"/>
          <w:highlight w:val="none"/>
        </w:rPr>
      </w:pPr>
      <w:r>
        <w:rPr>
          <w:rFonts w:hint="eastAsia" w:ascii="宋体" w:hAnsi="宋体"/>
          <w:sz w:val="24"/>
          <w:szCs w:val="24"/>
          <w:highlight w:val="none"/>
        </w:rPr>
        <w:t xml:space="preserve">为加强</w:t>
      </w:r>
      <w:r>
        <w:rPr>
          <w:rFonts w:hint="eastAsia" w:ascii="宋体" w:hAnsi="宋体"/>
          <w:sz w:val="24"/>
          <w:szCs w:val="24"/>
          <w:highlight w:val="none"/>
          <w:lang w:val="en-US" w:eastAsia="zh-CN"/>
        </w:rPr>
        <w:t xml:space="preserve">蓝藻防控运行管理</w:t>
      </w:r>
      <w:r>
        <w:rPr>
          <w:rFonts w:hint="eastAsia" w:ascii="宋体" w:hAnsi="宋体"/>
          <w:sz w:val="24"/>
          <w:szCs w:val="24"/>
          <w:highlight w:val="none"/>
        </w:rPr>
        <w:t xml:space="preserve">，评价服务单位的服务质量，量化服务考核标准，及时掌握设施设备运行状况，结合宜兴市</w:t>
      </w:r>
      <w:r>
        <w:rPr>
          <w:rFonts w:hint="eastAsia" w:ascii="宋体" w:hAnsi="宋体"/>
          <w:sz w:val="24"/>
          <w:szCs w:val="24"/>
          <w:highlight w:val="none"/>
          <w:lang w:val="en-US" w:eastAsia="zh-CN"/>
        </w:rPr>
        <w:t xml:space="preserve">蓝藻防控工作</w:t>
      </w:r>
      <w:r>
        <w:rPr>
          <w:rFonts w:hint="eastAsia" w:ascii="宋体" w:hAnsi="宋体"/>
          <w:sz w:val="24"/>
          <w:szCs w:val="24"/>
          <w:highlight w:val="none"/>
        </w:rPr>
        <w:t xml:space="preserve">实际，制订本办法。</w:t>
      </w:r>
      <w:r/>
    </w:p>
    <w:p>
      <w:pPr>
        <w:pStyle w:val="795"/>
        <w:numPr>
          <w:ilvl w:val="0"/>
          <w:numId w:val="0"/>
        </w:numPr>
        <w:ind w:firstLine="480"/>
        <w:rPr>
          <w:rFonts w:hint="eastAsia" w:ascii="宋体" w:hAnsi="宋体"/>
          <w:sz w:val="24"/>
          <w:szCs w:val="24"/>
          <w:highlight w:val="none"/>
        </w:rPr>
      </w:pPr>
      <w:r/>
      <w:bookmarkStart w:id="78" w:name="_Toc81320598"/>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考核内容</w:t>
      </w:r>
      <w:bookmarkEnd w:id="78"/>
      <w:r/>
      <w:r/>
    </w:p>
    <w:p>
      <w:pPr>
        <w:pStyle w:val="795"/>
        <w:numPr>
          <w:ilvl w:val="0"/>
          <w:numId w:val="0"/>
        </w:numPr>
        <w:ind w:firstLine="480"/>
        <w:rPr>
          <w:rFonts w:hint="eastAsia" w:ascii="宋体" w:hAnsi="宋体"/>
          <w:sz w:val="24"/>
          <w:szCs w:val="24"/>
          <w:highlight w:val="none"/>
        </w:rPr>
      </w:pPr>
      <w:r/>
      <w:bookmarkStart w:id="79" w:name="_Toc81320599"/>
      <w:r>
        <w:rPr>
          <w:rFonts w:hint="eastAsia" w:ascii="宋体" w:hAnsi="宋体"/>
          <w:sz w:val="24"/>
          <w:szCs w:val="24"/>
          <w:highlight w:val="none"/>
          <w:lang w:val="en-US" w:eastAsia="zh-CN"/>
        </w:rPr>
        <w:t xml:space="preserve">水利</w:t>
      </w:r>
      <w:r>
        <w:rPr>
          <w:rFonts w:hint="eastAsia" w:ascii="宋体" w:hAnsi="宋体"/>
          <w:sz w:val="24"/>
          <w:szCs w:val="24"/>
          <w:highlight w:val="none"/>
        </w:rPr>
        <w:t xml:space="preserve">部门应定期对管理职责范围内的</w:t>
      </w:r>
      <w:r>
        <w:rPr>
          <w:rFonts w:hint="eastAsia" w:ascii="宋体" w:hAnsi="宋体"/>
          <w:sz w:val="24"/>
          <w:szCs w:val="24"/>
          <w:highlight w:val="none"/>
          <w:lang w:val="en-US" w:eastAsia="zh-CN"/>
        </w:rPr>
        <w:t xml:space="preserve">蓝藻防控运行维护</w:t>
      </w:r>
      <w:r>
        <w:rPr>
          <w:rFonts w:hint="eastAsia" w:ascii="宋体" w:hAnsi="宋体"/>
          <w:sz w:val="24"/>
          <w:szCs w:val="24"/>
          <w:highlight w:val="none"/>
        </w:rPr>
        <w:t xml:space="preserve">质量进行考核。服务考核应通过现场抽查和资料检查相结合的方式进行，主要考核</w:t>
      </w:r>
      <w:r>
        <w:rPr>
          <w:rFonts w:hint="eastAsia" w:ascii="宋体" w:hAnsi="宋体"/>
          <w:sz w:val="24"/>
          <w:szCs w:val="24"/>
          <w:highlight w:val="none"/>
          <w:lang w:val="en-US" w:eastAsia="zh-CN"/>
        </w:rPr>
        <w:t xml:space="preserve">方案制度</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队伍建设</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运行管理</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运行维护</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安全生产、工作</w:t>
      </w:r>
      <w:r>
        <w:rPr>
          <w:rFonts w:hint="eastAsia" w:ascii="宋体" w:hAnsi="宋体"/>
          <w:sz w:val="24"/>
          <w:szCs w:val="24"/>
          <w:highlight w:val="none"/>
        </w:rPr>
        <w:t xml:space="preserve">台账等。</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考核</w:t>
      </w:r>
      <w:bookmarkEnd w:id="77"/>
      <w:r/>
      <w:bookmarkEnd w:id="79"/>
      <w:r>
        <w:rPr>
          <w:rFonts w:hint="eastAsia" w:ascii="宋体" w:hAnsi="宋体"/>
          <w:sz w:val="24"/>
          <w:szCs w:val="24"/>
          <w:highlight w:val="none"/>
          <w:lang w:val="en-US" w:eastAsia="zh-CN"/>
        </w:rPr>
        <w:t xml:space="preserve">细则</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项目运维服务综合考核工作由采购人统一组织实施。考核分为季度考核、年度考核两类，其中季度考核结果作为年度综合考评重要依据。年度考核实行百分制，考核结果划分为五个等次：85分（含）以上、80分（含）—85分、70分（含）—80分、60分（含）—70分、60分以下，具体考核评分细则详见下表。</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年度日常防控部分费用与年度考核结果挂钩，结算标准如下：</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考核得分85分以上（含85分）：全额拨付固定日常防控部分金额；</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考核得分80-85分（含80分）：扣减固定日常防控部分金额的2%；</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考核得分70-80分（含70分）：扣减固定日常防控部分金额的5%；</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考核得分60-70分（含60分）：扣减固定日常防控部分金额的20%；</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考核得分60分以下的：扣减固定日常防控部分金额的40%。</w:t>
      </w:r>
      <w:r/>
    </w:p>
    <w:p>
      <w:pPr>
        <w:pStyle w:val="795"/>
        <w:numPr>
          <w:ilvl w:val="0"/>
          <w:numId w:val="0"/>
        </w:numPr>
        <w:ind w:firstLine="480"/>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（4）评分细则</w:t>
      </w:r>
      <w:r/>
    </w:p>
    <w:tbl>
      <w:tblPr>
        <w:tblStyle w:val="780"/>
        <w:tblpPr w:horzAnchor="text" w:tblpXSpec="center" w:vertAnchor="text" w:tblpY="1" w:leftFromText="180" w:topFromText="0" w:rightFromText="180" w:bottomFromText="0"/>
        <w:tblW w:w="97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8"/>
        <w:gridCol w:w="1105"/>
        <w:gridCol w:w="3491"/>
        <w:gridCol w:w="610"/>
        <w:gridCol w:w="3257"/>
        <w:gridCol w:w="818"/>
      </w:tblGrid>
      <w:tr>
        <w:trPr>
          <w:trHeight w:val="0"/>
          <w:tblHeader/>
        </w:trPr>
        <w:tc>
          <w:tcPr>
            <w:tcW w:w="0" w:type="auto"/>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序号</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考核内容</w:t>
            </w:r>
            <w:r/>
          </w:p>
        </w:tc>
        <w:tc>
          <w:tcPr>
            <w:tcW w:w="3491" w:type="dxa"/>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工作要求</w:t>
            </w:r>
            <w:r/>
          </w:p>
        </w:tc>
        <w:tc>
          <w:tcPr>
            <w:tcW w:w="610" w:type="dxa"/>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分值</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评分标准</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备注</w:t>
            </w:r>
            <w:r/>
          </w:p>
        </w:tc>
      </w:tr>
      <w:tr>
        <w:trPr>
          <w:trHeight w:val="0"/>
        </w:trPr>
        <w:tc>
          <w:tcPr>
            <w:tcW w:w="0" w:type="auto"/>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1</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方案制度</w:t>
            </w:r>
            <w:r/>
          </w:p>
        </w:tc>
        <w:tc>
          <w:tcPr>
            <w:tcW w:w="3491" w:type="dxa"/>
            <w:vAlign w:val="center"/>
            <w:textDirection w:val="lrTb"/>
            <w:noWrap w:val="false"/>
          </w:tcPr>
          <w:p>
            <w:pPr>
              <w:ind w:left="0" w:right="0" w:firstLine="0"/>
              <w:jc w:val="left"/>
              <w:keepNext/>
              <w:spacing w:line="240" w:lineRule="auto"/>
              <w:tabs>
                <w:tab w:val="left" w:pos="777" w:leader="none"/>
              </w:tabs>
              <w:rPr>
                <w:rFonts w:hint="eastAsia" w:asciiTheme="minorEastAsia" w:hAnsiTheme="minorEastAsia" w:eastAsiaTheme="minorEastAsia" w:cstheme="minorEastAsia"/>
                <w:b w:val="0"/>
                <w:bCs/>
                <w:sz w:val="20"/>
                <w:szCs w:val="20"/>
                <w:highlight w:val="none"/>
              </w:rPr>
              <w:outlineLvl w:val="0"/>
            </w:pPr>
            <w:r>
              <w:rPr>
                <w:rFonts w:ascii="Times New Roman" w:eastAsia="宋体"/>
                <w:color w:val="000000"/>
                <w:sz w:val="20"/>
                <w:szCs w:val="20"/>
                <w:highlight w:val="none"/>
                <w:lang w:bidi="ar"/>
              </w:rPr>
              <w:t xml:space="preserve">科学制定运行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方案应包括但不限于以下内容：组织机构、人员配备、规章制度、运行管护方案、运行应急预案、内部考核方案、安全生产</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val="en-US" w:eastAsia="zh-CN" w:bidi="ar"/>
              </w:rPr>
              <w:t xml:space="preserve">财务制度</w:t>
            </w:r>
            <w:r>
              <w:rPr>
                <w:rFonts w:ascii="Times New Roman" w:eastAsia="宋体"/>
                <w:color w:val="000000"/>
                <w:sz w:val="20"/>
                <w:szCs w:val="20"/>
                <w:highlight w:val="none"/>
                <w:lang w:bidi="ar"/>
              </w:rPr>
              <w:t xml:space="preserve">等。</w:t>
            </w:r>
            <w:r>
              <w:rPr>
                <w:rFonts w:hint="eastAsia" w:ascii="Times New Roman" w:eastAsia="宋体"/>
                <w:color w:val="000000"/>
                <w:sz w:val="20"/>
                <w:szCs w:val="20"/>
                <w:highlight w:val="none"/>
                <w:lang w:bidi="ar"/>
              </w:rPr>
              <w:t xml:space="preserve">其中，藻水分离站、深井运行、围隔巡查、</w:t>
            </w:r>
            <w:r>
              <w:rPr>
                <w:rFonts w:hint="eastAsia" w:ascii="Times New Roman" w:eastAsia="宋体"/>
                <w:color w:val="000000"/>
                <w:sz w:val="20"/>
                <w:szCs w:val="20"/>
                <w:highlight w:val="none"/>
                <w:lang w:val="en-US" w:eastAsia="zh-CN" w:bidi="ar"/>
              </w:rPr>
              <w:t xml:space="preserve">东氿及太湖</w:t>
            </w:r>
            <w:r>
              <w:rPr>
                <w:rFonts w:hint="eastAsia" w:ascii="Times New Roman" w:eastAsia="宋体"/>
                <w:color w:val="000000"/>
                <w:sz w:val="20"/>
                <w:szCs w:val="20"/>
                <w:highlight w:val="none"/>
                <w:lang w:bidi="ar"/>
              </w:rPr>
              <w:t xml:space="preserve">应急项目等重点内容须制定年度运行方案。</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rPr>
              <w:t xml:space="preserve">10</w:t>
            </w:r>
            <w:r/>
          </w:p>
        </w:tc>
        <w:tc>
          <w:tcPr>
            <w:tcW w:w="3246" w:type="dxa"/>
            <w:vAlign w:val="center"/>
            <w:textDirection w:val="lrTb"/>
            <w:noWrap w:val="false"/>
          </w:tcPr>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lang w:bidi="ar"/>
              </w:rPr>
              <w:t xml:space="preserve">方案科学、可操作性强、内容齐全的得10分；方案比较科学、具有一定可操作性、内容比较齐全的得6</w:t>
            </w:r>
            <w:r>
              <w:rPr>
                <w:rFonts w:hint="eastAsia" w:ascii="Times New Roman" w:eastAsia="宋体"/>
                <w:color w:val="000000"/>
                <w:sz w:val="20"/>
                <w:szCs w:val="20"/>
                <w:highlight w:val="none"/>
                <w:lang w:val="en-US" w:eastAsia="zh-CN" w:bidi="ar"/>
              </w:rPr>
              <w:t xml:space="preserve">-8</w:t>
            </w:r>
            <w:r>
              <w:rPr>
                <w:rFonts w:ascii="Times New Roman" w:eastAsia="宋体"/>
                <w:color w:val="000000"/>
                <w:sz w:val="20"/>
                <w:szCs w:val="20"/>
                <w:highlight w:val="none"/>
                <w:lang w:bidi="ar"/>
              </w:rPr>
              <w:t xml:space="preserve">分；</w:t>
            </w:r>
            <w:r>
              <w:rPr>
                <w:rFonts w:hint="eastAsia" w:ascii="Times New Roman" w:eastAsia="宋体"/>
                <w:color w:val="000000"/>
                <w:sz w:val="20"/>
                <w:szCs w:val="20"/>
                <w:highlight w:val="none"/>
                <w:lang w:bidi="ar"/>
              </w:rPr>
              <w:t xml:space="preserve">方案内容有个别缺失或不够完善的，</w:t>
            </w:r>
            <w:r>
              <w:rPr>
                <w:rFonts w:hint="eastAsia" w:ascii="Times New Roman" w:eastAsia="宋体"/>
                <w:color w:val="000000"/>
                <w:sz w:val="20"/>
                <w:szCs w:val="20"/>
                <w:highlight w:val="none"/>
                <w:lang w:eastAsia="zh-CN" w:bidi="ar"/>
              </w:rPr>
              <w:t xml:space="preserve">每项扣</w:t>
            </w:r>
            <w:r>
              <w:rPr>
                <w:rFonts w:hint="eastAsia" w:ascii="Times New Roman" w:eastAsia="宋体"/>
                <w:color w:val="000000"/>
                <w:sz w:val="20"/>
                <w:szCs w:val="20"/>
                <w:highlight w:val="none"/>
                <w:lang w:val="en-US" w:eastAsia="zh-CN" w:bidi="ar"/>
              </w:rPr>
              <w:t xml:space="preserve">1分</w:t>
            </w:r>
            <w:r>
              <w:rPr>
                <w:rFonts w:hint="eastAsia" w:ascii="Times New Roman" w:eastAsia="宋体"/>
                <w:color w:val="000000"/>
                <w:sz w:val="20"/>
                <w:szCs w:val="20"/>
                <w:highlight w:val="none"/>
                <w:lang w:bidi="ar"/>
              </w:rPr>
              <w:t xml:space="preserve">。</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t xml:space="preserve">第四季度考核</w:t>
            </w:r>
            <w:r/>
          </w:p>
        </w:tc>
      </w:tr>
      <w:tr>
        <w:trPr>
          <w:trHeight w:val="0"/>
        </w:trPr>
        <w:tc>
          <w:tcPr>
            <w:tcW w:w="0" w:type="auto"/>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2</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队伍建设</w:t>
            </w:r>
            <w:r/>
          </w:p>
        </w:tc>
        <w:tc>
          <w:tcPr>
            <w:tcW w:w="3491" w:type="dxa"/>
            <w:vAlign w:val="center"/>
            <w:textDirection w:val="lrTb"/>
            <w:noWrap w:val="false"/>
          </w:tcPr>
          <w:p>
            <w:pPr>
              <w:ind w:left="0" w:right="0" w:firstLine="0"/>
              <w:jc w:val="left"/>
              <w:keepNext/>
              <w:spacing w:line="240" w:lineRule="auto"/>
              <w:widowControl/>
              <w:rPr>
                <w:rFonts w:hint="eastAsia" w:ascii="Times New Roman" w:eastAsia="宋体"/>
                <w:color w:val="000000"/>
                <w:sz w:val="20"/>
                <w:szCs w:val="20"/>
                <w:highlight w:val="none"/>
                <w:lang w:bidi="ar"/>
              </w:rPr>
            </w:pPr>
            <w:r>
              <w:rPr>
                <w:rFonts w:hint="eastAsia" w:ascii="Times New Roman" w:eastAsia="宋体"/>
                <w:color w:val="000000"/>
                <w:sz w:val="20"/>
                <w:szCs w:val="20"/>
                <w:highlight w:val="none"/>
                <w:lang w:bidi="ar"/>
              </w:rPr>
              <w:t xml:space="preserve">根据运行维护方案、相关设施设备运行维护需求及其他相关文件、方案、协议要求，建立专职运行维护队伍，负责设施设备的日常运行管理、维修养护等工作。</w:t>
            </w:r>
            <w:r/>
          </w:p>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bidi="ar"/>
              </w:rPr>
              <w:t xml:space="preserve">运行维护人员须持有国家或行业部门颁发的合法、有效的执业资格证书。</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pPr>
            <w:r>
              <w:rPr>
                <w:rFonts w:hint="eastAsia" w:ascii="Times New Roman" w:eastAsia="宋体"/>
                <w:color w:val="000000"/>
                <w:sz w:val="20"/>
                <w:szCs w:val="20"/>
                <w:highlight w:val="none"/>
                <w:lang w:val="en-US" w:eastAsia="zh-CN"/>
              </w:rPr>
              <w:t xml:space="preserve">10</w:t>
            </w:r>
            <w:r/>
          </w:p>
        </w:tc>
        <w:tc>
          <w:tcPr>
            <w:tcW w:w="3246"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lang w:bidi="ar"/>
              </w:rPr>
              <w:t xml:space="preserve">建立专职运行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队伍，按规定配备相关人员的得</w:t>
            </w:r>
            <w:r>
              <w:rPr>
                <w:rFonts w:hint="eastAsia" w:ascii="Times New Roman" w:eastAsia="宋体"/>
                <w:color w:val="000000"/>
                <w:sz w:val="20"/>
                <w:szCs w:val="20"/>
                <w:highlight w:val="none"/>
                <w:lang w:val="en-US" w:eastAsia="zh-CN" w:bidi="ar"/>
              </w:rPr>
              <w:t xml:space="preserve">10</w:t>
            </w:r>
            <w:r>
              <w:rPr>
                <w:rFonts w:ascii="Times New Roman" w:eastAsia="宋体"/>
                <w:color w:val="000000"/>
                <w:sz w:val="20"/>
                <w:szCs w:val="20"/>
                <w:highlight w:val="none"/>
                <w:lang w:bidi="ar"/>
              </w:rPr>
              <w:t xml:space="preserve">分。运行管护人员配备不足的，</w:t>
            </w:r>
            <w:r>
              <w:rPr>
                <w:rFonts w:hint="eastAsia" w:ascii="Times New Roman" w:eastAsia="宋体"/>
                <w:color w:val="000000"/>
                <w:sz w:val="20"/>
                <w:szCs w:val="20"/>
                <w:highlight w:val="none"/>
                <w:lang w:bidi="ar"/>
              </w:rPr>
              <w:t xml:space="preserve">根据实际情况扣1-10分</w:t>
            </w:r>
            <w:r>
              <w:rPr>
                <w:rFonts w:ascii="Times New Roman" w:eastAsia="宋体"/>
                <w:color w:val="000000"/>
                <w:sz w:val="20"/>
                <w:szCs w:val="20"/>
                <w:highlight w:val="none"/>
                <w:lang w:bidi="ar"/>
              </w:rPr>
              <w:t xml:space="preserve">；运行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人员未按要求执证上岗的，每有1人扣1分；扣完为止。</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428" w:type="dxa"/>
            <w:vAlign w:val="center"/>
            <w:vMerge w:val="restart"/>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rPr>
              <w:t xml:space="preserve">3</w:t>
            </w:r>
            <w:r/>
          </w:p>
        </w:tc>
        <w:tc>
          <w:tcPr>
            <w:tcW w:w="1105" w:type="dxa"/>
            <w:vAlign w:val="center"/>
            <w:vMerge w:val="restart"/>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运行管理</w:t>
            </w:r>
            <w:r/>
          </w:p>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r>
            <w:r/>
          </w:p>
        </w:tc>
        <w:tc>
          <w:tcPr>
            <w:tcW w:w="3491" w:type="dxa"/>
            <w:vAlign w:val="center"/>
            <w:textDirection w:val="lrTb"/>
            <w:noWrap w:val="false"/>
          </w:tcPr>
          <w:p>
            <w:pPr>
              <w:numPr>
                <w:ilvl w:val="0"/>
                <w:numId w:val="10"/>
              </w:numPr>
              <w:ind w:left="0" w:right="0" w:firstLine="0"/>
              <w:jc w:val="left"/>
              <w:keepNext/>
              <w:spacing w:line="240" w:lineRule="auto"/>
              <w:rPr>
                <w:rFonts w:hint="eastAsia" w:ascii="Times New Roman" w:hAnsi="Times New Roman" w:eastAsia="宋体" w:cs="Times New Roman"/>
                <w:b/>
                <w:bCs/>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日常运行项目</w:t>
            </w:r>
            <w:r/>
          </w:p>
          <w:p>
            <w:pPr>
              <w:numPr>
                <w:ilvl w:val="0"/>
                <w:numId w:val="0"/>
              </w:numPr>
              <w:ind w:left="0" w:right="0" w:firstLine="0"/>
              <w:jc w:val="left"/>
              <w:keepNext/>
              <w:spacing w:line="240" w:lineRule="auto"/>
              <w:rPr>
                <w:rFonts w:hint="eastAsia" w:ascii="Times New Roman" w:hAnsi="Times New Roman" w:eastAsia="宋体" w:cs="Times New Roman"/>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蓝藻打捞平台设施</w:t>
            </w:r>
            <w:r>
              <w:rPr>
                <w:rFonts w:hint="eastAsia" w:ascii="Times New Roman" w:hAnsi="Times New Roman" w:eastAsia="宋体" w:cs="Times New Roman"/>
                <w:color w:val="000000"/>
                <w:sz w:val="20"/>
                <w:szCs w:val="20"/>
                <w:highlight w:val="none"/>
                <w:lang w:val="en-US" w:eastAsia="zh-CN" w:bidi="ar"/>
              </w:rPr>
              <w:t xml:space="preserve">：根据蓝藻藻情及打捞处置能力进行科学调度，及时开机打捞，保证平台周围不出现蓝藻大面积积聚、发白、发黑现象。及时清理平台周围浪渣、水草等垃圾，保证打捞设施的平稳、安全运行。</w:t>
            </w:r>
            <w:r/>
          </w:p>
          <w:p>
            <w:pPr>
              <w:numPr>
                <w:ilvl w:val="0"/>
                <w:numId w:val="0"/>
              </w:numPr>
              <w:ind w:left="0" w:right="0" w:firstLine="0"/>
              <w:jc w:val="left"/>
              <w:keepNext/>
              <w:spacing w:line="240" w:lineRule="auto"/>
              <w:rPr>
                <w:rFonts w:hint="eastAsia" w:ascii="Times New Roman" w:hAnsi="Times New Roman" w:eastAsia="宋体" w:cs="Times New Roman"/>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藻水分离站及配套运输管道设施</w:t>
            </w:r>
            <w:r>
              <w:rPr>
                <w:rFonts w:hint="eastAsia" w:ascii="Times New Roman" w:hAnsi="Times New Roman" w:eastAsia="宋体" w:cs="Times New Roman"/>
                <w:color w:val="000000"/>
                <w:sz w:val="20"/>
                <w:szCs w:val="20"/>
                <w:highlight w:val="none"/>
                <w:lang w:val="en-US" w:eastAsia="zh-CN" w:bidi="ar"/>
              </w:rPr>
              <w:t xml:space="preserve">：对输送进入藻水分离站的藻水及时处置，高效运行；对设施设备实时巡查监控，发现问题及时修复，确保设施设备正常运行，生产的藻泥含水率不高于90%。</w:t>
            </w:r>
            <w:r/>
          </w:p>
          <w:p>
            <w:pPr>
              <w:numPr>
                <w:ilvl w:val="0"/>
                <w:numId w:val="0"/>
              </w:numPr>
              <w:ind w:left="0" w:right="0" w:firstLine="0"/>
              <w:jc w:val="left"/>
              <w:keepNext/>
              <w:spacing w:line="240" w:lineRule="auto"/>
              <w:rPr>
                <w:rFonts w:hint="eastAsia" w:ascii="Times New Roman" w:hAnsi="Times New Roman" w:eastAsia="宋体" w:cs="Times New Roman"/>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控藻设施</w:t>
            </w:r>
            <w:r>
              <w:rPr>
                <w:rFonts w:hint="eastAsia" w:ascii="Times New Roman" w:hAnsi="Times New Roman" w:eastAsia="宋体" w:cs="Times New Roman"/>
                <w:color w:val="000000"/>
                <w:sz w:val="20"/>
                <w:szCs w:val="20"/>
                <w:highlight w:val="none"/>
                <w:lang w:val="en-US" w:eastAsia="zh-CN" w:bidi="ar"/>
              </w:rPr>
              <w:t xml:space="preserve">：在宜兴太湖安全度夏期间（3月-11月），蓝藻控藻设施要根据藻情实际需求，全力运行。在</w:t>
            </w:r>
            <w:r>
              <w:rPr>
                <w:rFonts w:hint="eastAsia" w:ascii="Times New Roman" w:hAnsi="Times New Roman" w:eastAsia="宋体" w:cs="Times New Roman"/>
                <w:color w:val="000000"/>
                <w:sz w:val="20"/>
                <w:szCs w:val="20"/>
                <w:highlight w:val="none"/>
                <w:lang w:val="en-US" w:eastAsia="zh-CN" w:bidi="ar"/>
              </w:rPr>
              <w:t xml:space="preserve">蓝藻集中暴发高峰期间，近岸控藻设施及其配套围隔等辅助设施：具备条件的情况下保持24小时连续运行。离岸控藻深井及其配套围隔等辅助设施：具备条件的情况下保持8小时连续运行，并根据实际需要适当延长运行时间。泵压控藻设施：根据指令要求和实际需求，延长运行时间，高效运行。调水设施：当服务水域范围内出现水体异常、发黑、发臭情况时，及时开展调水工作，提升水体流动性，遏制异常水体发展，力促水质好转。在蓝藻打捞处置间歇期间（12月至2月），近岸控藻设施每周连续运行时间不少于4小时，离岸控藻深井每3天连续运行时间不少于2小时。</w:t>
            </w:r>
            <w:r/>
          </w:p>
          <w:p>
            <w:pPr>
              <w:numPr>
                <w:ilvl w:val="0"/>
                <w:numId w:val="0"/>
              </w:numPr>
              <w:ind w:left="0" w:right="0" w:firstLine="0"/>
              <w:jc w:val="left"/>
              <w:keepNext/>
              <w:spacing w:line="240" w:lineRule="auto"/>
              <w:rPr>
                <w:rFonts w:hint="eastAsia" w:ascii="Times New Roman" w:hAnsi="Times New Roman" w:eastAsia="宋体" w:cs="Times New Roman"/>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蓝藻应急防控设施</w:t>
            </w:r>
            <w:r>
              <w:rPr>
                <w:rFonts w:hint="eastAsia" w:ascii="Times New Roman" w:hAnsi="Times New Roman" w:eastAsia="宋体" w:cs="Times New Roman"/>
                <w:color w:val="000000"/>
                <w:sz w:val="20"/>
                <w:szCs w:val="20"/>
                <w:highlight w:val="none"/>
                <w:lang w:val="en-US" w:eastAsia="zh-CN" w:bidi="ar"/>
              </w:rPr>
              <w:t xml:space="preserve">：包含长臂型一体化蓝藻打捞处置船、泵压控藻船、曝气船、长臂船等，根据采购人的指令，及时响应，第一时间调度相应船只在规定时间、地点开展应急作业，确保控制区域蓝藻不发生大面积积聚、发白、发黑现象；不因控藻作业不力，而引发水质异常及湖泛现象。应急曝气装置、在线溶氧监测仪按需启用，实时监测水体溶氧状况，确保设施设备发挥作用。</w:t>
            </w:r>
            <w:r/>
          </w:p>
          <w:p>
            <w:pPr>
              <w:numPr>
                <w:ilvl w:val="0"/>
                <w:numId w:val="0"/>
              </w:numPr>
              <w:ind w:left="0" w:right="0" w:firstLine="0"/>
              <w:jc w:val="left"/>
              <w:keepNext/>
              <w:spacing w:line="240" w:lineRule="auto"/>
              <w:rPr>
                <w:rFonts w:hint="eastAsia" w:asciiTheme="minorEastAsia" w:hAnsiTheme="minorEastAsia" w:eastAsiaTheme="minorEastAsia" w:cstheme="minorEastAsia"/>
                <w:b w:val="0"/>
                <w:bCs/>
                <w:sz w:val="20"/>
                <w:szCs w:val="20"/>
                <w:highlight w:val="none"/>
                <w:lang w:val="en-US" w:eastAsia="zh-CN"/>
              </w:rPr>
            </w:pPr>
            <w:r>
              <w:rPr>
                <w:rFonts w:hint="eastAsia" w:ascii="Times New Roman" w:hAnsi="Times New Roman" w:eastAsia="宋体" w:cs="Times New Roman"/>
                <w:b/>
                <w:bCs/>
                <w:color w:val="000000"/>
                <w:sz w:val="20"/>
                <w:szCs w:val="20"/>
                <w:highlight w:val="none"/>
                <w:lang w:val="en-US" w:eastAsia="zh-CN" w:bidi="ar"/>
              </w:rPr>
              <w:t xml:space="preserve">围隔及附属设施</w:t>
            </w:r>
            <w:r>
              <w:rPr>
                <w:rFonts w:hint="eastAsia" w:ascii="Times New Roman" w:hAnsi="Times New Roman" w:eastAsia="宋体" w:cs="Times New Roman"/>
                <w:color w:val="000000"/>
                <w:sz w:val="20"/>
                <w:szCs w:val="20"/>
                <w:highlight w:val="none"/>
                <w:lang w:val="en-US" w:eastAsia="zh-CN" w:bidi="ar"/>
              </w:rPr>
              <w:t xml:space="preserve">：确保围隔完整、牢固，发挥正常拦藻导藻作用；定期巡查，发现</w:t>
            </w:r>
            <w:r>
              <w:rPr>
                <w:rFonts w:hint="eastAsia" w:cs="Times New Roman"/>
                <w:color w:val="000000"/>
                <w:sz w:val="20"/>
                <w:szCs w:val="20"/>
                <w:highlight w:val="none"/>
                <w:lang w:val="en-US" w:eastAsia="zh-CN" w:bidi="ar"/>
              </w:rPr>
              <w:t xml:space="preserve">破损围隔须及时维修</w:t>
            </w:r>
            <w:r>
              <w:rPr>
                <w:rFonts w:hint="eastAsia" w:ascii="Times New Roman" w:hAnsi="Times New Roman" w:eastAsia="宋体" w:cs="Times New Roman"/>
                <w:color w:val="000000"/>
                <w:sz w:val="20"/>
                <w:szCs w:val="20"/>
                <w:highlight w:val="none"/>
                <w:lang w:val="en-US" w:eastAsia="zh-CN" w:bidi="ar"/>
              </w:rPr>
              <w:t xml:space="preserve">，不得因围隔破损导致蓝藻大面积扩散。</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outlineLvl w:val="0"/>
            </w:pPr>
            <w:r>
              <w:rPr>
                <w:rFonts w:hint="eastAsia" w:ascii="Times New Roman" w:eastAsia="宋体"/>
                <w:color w:val="000000"/>
                <w:sz w:val="20"/>
                <w:szCs w:val="20"/>
                <w:highlight w:val="none"/>
                <w:lang w:val="en-US" w:eastAsia="zh-CN"/>
              </w:rPr>
              <w:t xml:space="preserve">40</w:t>
            </w:r>
            <w:r/>
          </w:p>
        </w:tc>
        <w:tc>
          <w:tcPr>
            <w:tcW w:w="3246" w:type="dxa"/>
            <w:vAlign w:val="center"/>
            <w:textDirection w:val="lrTb"/>
            <w:noWrap w:val="false"/>
          </w:tcPr>
          <w:p>
            <w:pPr>
              <w:ind w:left="0" w:right="0" w:firstLine="0"/>
              <w:jc w:val="left"/>
              <w:keepNext/>
              <w:spacing w:line="240" w:lineRule="auto"/>
              <w:widowControl/>
              <w:rPr>
                <w:rFonts w:hint="eastAsia" w:ascii="Times New Roman" w:eastAsia="宋体"/>
                <w:color w:val="000000"/>
                <w:sz w:val="20"/>
                <w:szCs w:val="20"/>
                <w:highlight w:val="none"/>
                <w:lang w:eastAsia="zh-CN" w:bidi="ar"/>
              </w:rPr>
            </w:pPr>
            <w:r>
              <w:rPr>
                <w:rFonts w:hint="eastAsia" w:ascii="Times New Roman" w:hAnsi="Times New Roman" w:eastAsia="宋体" w:cs="Times New Roman"/>
                <w:b/>
                <w:bCs/>
                <w:color w:val="000000"/>
                <w:sz w:val="20"/>
                <w:szCs w:val="20"/>
                <w:highlight w:val="none"/>
                <w:lang w:val="en-US" w:eastAsia="zh-CN" w:bidi="ar"/>
              </w:rPr>
              <w:t xml:space="preserve">蓝藻打捞平台设施</w:t>
            </w:r>
            <w:r>
              <w:rPr>
                <w:rFonts w:hint="eastAsia" w:ascii="Times New Roman" w:hAnsi="Times New Roman" w:eastAsia="宋体" w:cs="Times New Roman"/>
                <w:color w:val="000000"/>
                <w:sz w:val="20"/>
                <w:szCs w:val="20"/>
                <w:highlight w:val="none"/>
                <w:lang w:val="en-US" w:eastAsia="zh-CN" w:bidi="ar"/>
              </w:rPr>
              <w:t xml:space="preserve">：</w:t>
            </w:r>
            <w:r>
              <w:rPr>
                <w:rFonts w:hint="eastAsia" w:ascii="Times New Roman" w:eastAsia="宋体"/>
                <w:color w:val="000000"/>
                <w:sz w:val="20"/>
                <w:szCs w:val="20"/>
                <w:highlight w:val="none"/>
                <w:lang w:bidi="ar"/>
              </w:rPr>
              <w:t xml:space="preserve">按要求运行的得</w:t>
            </w:r>
            <w:r>
              <w:rPr>
                <w:rFonts w:hint="eastAsia" w:ascii="Times New Roman" w:eastAsia="宋体"/>
                <w:color w:val="000000"/>
                <w:sz w:val="20"/>
                <w:szCs w:val="20"/>
                <w:highlight w:val="none"/>
                <w:lang w:val="en-US" w:eastAsia="zh-CN" w:bidi="ar"/>
              </w:rPr>
              <w:t xml:space="preserve">8</w:t>
            </w:r>
            <w:r>
              <w:rPr>
                <w:rFonts w:hint="eastAsia" w:ascii="Times New Roman" w:eastAsia="宋体"/>
                <w:color w:val="000000"/>
                <w:sz w:val="20"/>
                <w:szCs w:val="20"/>
                <w:highlight w:val="none"/>
                <w:lang w:bidi="ar"/>
              </w:rPr>
              <w:t xml:space="preserve">分</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bidi="ar"/>
              </w:rPr>
              <w:t xml:space="preserve">未按要求及时进行蓝藻打捞</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bidi="ar"/>
              </w:rPr>
              <w:t xml:space="preserve">平台周围浪渣、水草未及时清理的，扣1分/次；因运行不力发生蓝藻大面积积聚</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val="en-US" w:eastAsia="zh-CN" w:bidi="ar"/>
              </w:rPr>
              <w:t xml:space="preserve">发白、发黑</w:t>
            </w:r>
            <w:r>
              <w:rPr>
                <w:rFonts w:hint="eastAsia" w:ascii="Times New Roman" w:eastAsia="宋体"/>
                <w:color w:val="000000"/>
                <w:sz w:val="20"/>
                <w:szCs w:val="20"/>
                <w:highlight w:val="none"/>
                <w:lang w:bidi="ar"/>
              </w:rPr>
              <w:t xml:space="preserve">的，扣</w:t>
            </w:r>
            <w:r>
              <w:rPr>
                <w:rFonts w:hint="eastAsia" w:ascii="Times New Roman" w:eastAsia="宋体"/>
                <w:color w:val="000000"/>
                <w:sz w:val="20"/>
                <w:szCs w:val="20"/>
                <w:highlight w:val="none"/>
                <w:lang w:val="en-US" w:eastAsia="zh-CN" w:bidi="ar"/>
              </w:rPr>
              <w:t xml:space="preserve">2</w:t>
            </w:r>
            <w:r>
              <w:rPr>
                <w:rFonts w:hint="eastAsia" w:ascii="Times New Roman" w:eastAsia="宋体"/>
                <w:color w:val="000000"/>
                <w:sz w:val="20"/>
                <w:szCs w:val="20"/>
                <w:highlight w:val="none"/>
                <w:lang w:bidi="ar"/>
              </w:rPr>
              <w:t xml:space="preserve">分/次</w:t>
            </w:r>
            <w:r>
              <w:rPr>
                <w:rFonts w:hint="eastAsia" w:ascii="Times New Roman" w:eastAsia="宋体"/>
                <w:color w:val="000000"/>
                <w:sz w:val="20"/>
                <w:szCs w:val="20"/>
                <w:highlight w:val="none"/>
                <w:lang w:eastAsia="zh-CN" w:bidi="ar"/>
              </w:rPr>
              <w:t xml:space="preserve">。</w:t>
            </w:r>
            <w:r/>
          </w:p>
          <w:p>
            <w:pPr>
              <w:ind w:left="0" w:right="0" w:firstLine="0"/>
              <w:jc w:val="left"/>
              <w:keepNext/>
              <w:spacing w:line="240" w:lineRule="auto"/>
              <w:widowControl/>
              <w:rPr>
                <w:rFonts w:hint="eastAsia" w:ascii="Times New Roman" w:eastAsia="宋体"/>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藻水分离站及配套运输管道设施</w:t>
            </w:r>
            <w:r>
              <w:rPr>
                <w:rFonts w:hint="eastAsia" w:ascii="Times New Roman" w:hAnsi="Times New Roman" w:eastAsia="宋体" w:cs="Times New Roman"/>
                <w:color w:val="000000"/>
                <w:sz w:val="20"/>
                <w:szCs w:val="20"/>
                <w:highlight w:val="none"/>
                <w:lang w:val="en-US" w:eastAsia="zh-CN" w:bidi="ar"/>
              </w:rPr>
              <w:t xml:space="preserve">：</w:t>
            </w:r>
            <w:r>
              <w:rPr>
                <w:rFonts w:hint="eastAsia" w:ascii="Times New Roman" w:eastAsia="宋体"/>
                <w:color w:val="000000"/>
                <w:sz w:val="20"/>
                <w:szCs w:val="20"/>
                <w:highlight w:val="none"/>
                <w:lang w:eastAsia="zh-CN" w:bidi="ar"/>
              </w:rPr>
              <w:t xml:space="preserve">按要求运行的得</w:t>
            </w:r>
            <w:r>
              <w:rPr>
                <w:rFonts w:hint="eastAsia" w:ascii="Times New Roman" w:hAnsi="Times New Roman" w:eastAsia="宋体" w:cs="Times New Roman"/>
                <w:color w:val="000000"/>
                <w:sz w:val="20"/>
                <w:szCs w:val="20"/>
                <w:highlight w:val="none"/>
                <w:lang w:val="en-US" w:eastAsia="zh-CN" w:bidi="ar"/>
              </w:rPr>
              <w:t xml:space="preserve">8分</w:t>
            </w:r>
            <w:r>
              <w:rPr>
                <w:rFonts w:hint="eastAsia" w:ascii="Times New Roman" w:eastAsia="宋体"/>
                <w:color w:val="000000"/>
                <w:sz w:val="20"/>
                <w:szCs w:val="20"/>
                <w:highlight w:val="none"/>
                <w:lang w:eastAsia="zh-CN" w:bidi="ar"/>
              </w:rPr>
              <w:t xml:space="preserve">。</w:t>
            </w:r>
            <w:r>
              <w:rPr>
                <w:rFonts w:hint="eastAsia"/>
                <w:color w:val="000000"/>
                <w:sz w:val="20"/>
                <w:szCs w:val="20"/>
                <w:highlight w:val="none"/>
                <w:lang w:val="en-US" w:eastAsia="zh-CN" w:bidi="ar"/>
              </w:rPr>
              <w:t xml:space="preserve">藻水分离站及配套管道管理不到位导致无法正常运行的，扣2分/次；</w:t>
            </w:r>
            <w:r>
              <w:rPr>
                <w:rFonts w:hint="eastAsia" w:ascii="Times New Roman" w:eastAsia="宋体"/>
                <w:color w:val="000000"/>
                <w:sz w:val="20"/>
                <w:szCs w:val="20"/>
                <w:highlight w:val="none"/>
                <w:lang w:eastAsia="zh-CN" w:bidi="ar"/>
              </w:rPr>
              <w:t xml:space="preserve">藻水分离处置不到位、藻水分离处置后的湿藻泥含水率高于约定标准</w:t>
            </w:r>
            <w:r>
              <w:rPr>
                <w:rFonts w:hint="eastAsia" w:ascii="Times New Roman" w:eastAsia="宋体"/>
                <w:color w:val="000000"/>
                <w:sz w:val="20"/>
                <w:szCs w:val="20"/>
                <w:highlight w:val="none"/>
                <w:lang w:val="en-US" w:eastAsia="zh-CN" w:bidi="ar"/>
              </w:rPr>
              <w:t xml:space="preserve">的，扣1分/次</w:t>
            </w:r>
            <w:r>
              <w:rPr>
                <w:rFonts w:hint="eastAsia"/>
                <w:color w:val="000000"/>
                <w:sz w:val="20"/>
                <w:szCs w:val="20"/>
                <w:highlight w:val="none"/>
                <w:lang w:val="en-US" w:eastAsia="zh-CN" w:bidi="ar"/>
              </w:rPr>
              <w:t xml:space="preserve">，扣完为止（船舶相关扣分累计最高扣2分）；每座藻水分离站、每艘藻水分离船每月抽测藻泥含水率次数不低于3次。</w:t>
            </w:r>
            <w:r/>
          </w:p>
          <w:p>
            <w:pPr>
              <w:ind w:left="0" w:right="0" w:firstLine="0"/>
              <w:jc w:val="left"/>
              <w:keepNext/>
              <w:spacing w:line="240" w:lineRule="auto"/>
              <w:widowControl/>
              <w:rPr>
                <w:rFonts w:hint="eastAsia" w:ascii="Times New Roman" w:hAnsi="Times New Roman" w:eastAsia="宋体" w:cs="Times New Roman"/>
                <w:b w:val="0"/>
                <w:bCs w:val="0"/>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控藻设施</w:t>
            </w:r>
            <w:r>
              <w:rPr>
                <w:rFonts w:hint="eastAsia" w:ascii="Times New Roman" w:hAnsi="Times New Roman" w:eastAsia="宋体" w:cs="Times New Roman"/>
                <w:b w:val="0"/>
                <w:bCs w:val="0"/>
                <w:color w:val="000000"/>
                <w:sz w:val="20"/>
                <w:szCs w:val="20"/>
                <w:highlight w:val="none"/>
                <w:lang w:val="en-US" w:eastAsia="zh-CN" w:bidi="ar"/>
              </w:rPr>
              <w:t xml:space="preserve">：按要求运行的得</w:t>
            </w:r>
            <w:r>
              <w:rPr>
                <w:rFonts w:hint="eastAsia" w:ascii="Times New Roman" w:hAnsi="Times New Roman" w:eastAsia="宋体" w:cs="Times New Roman"/>
                <w:color w:val="000000"/>
                <w:sz w:val="20"/>
                <w:szCs w:val="20"/>
                <w:highlight w:val="none"/>
                <w:lang w:val="en-US" w:eastAsia="zh-CN" w:bidi="ar"/>
              </w:rPr>
              <w:t xml:space="preserve">8</w:t>
            </w:r>
            <w:r>
              <w:rPr>
                <w:rFonts w:hint="eastAsia" w:ascii="Times New Roman" w:hAnsi="Times New Roman" w:eastAsia="宋体" w:cs="Times New Roman"/>
                <w:b w:val="0"/>
                <w:bCs w:val="0"/>
                <w:color w:val="000000"/>
                <w:sz w:val="20"/>
                <w:szCs w:val="20"/>
                <w:highlight w:val="none"/>
                <w:lang w:val="en-US" w:eastAsia="zh-CN" w:bidi="ar"/>
              </w:rPr>
              <w:t xml:space="preserve">分。未按要求运行时长的，扣1分/次；因调水设施未及时启用，服务水域范围内出现水体异常、发黑、发臭情况的，扣2分/次。</w:t>
            </w:r>
            <w:r/>
          </w:p>
          <w:p>
            <w:pPr>
              <w:ind w:left="0" w:right="0" w:firstLine="0"/>
              <w:jc w:val="left"/>
              <w:keepNext/>
              <w:spacing w:line="240" w:lineRule="auto"/>
              <w:widowControl/>
              <w:rPr>
                <w:rFonts w:hint="eastAsia" w:ascii="Times New Roman" w:hAnsi="Times New Roman" w:eastAsia="宋体" w:cs="Times New Roman"/>
                <w:b w:val="0"/>
                <w:bCs w:val="0"/>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蓝藻应急防控设施</w:t>
            </w:r>
            <w:r>
              <w:rPr>
                <w:rFonts w:hint="eastAsia" w:ascii="Times New Roman" w:hAnsi="Times New Roman" w:eastAsia="宋体" w:cs="Times New Roman"/>
                <w:b w:val="0"/>
                <w:bCs w:val="0"/>
                <w:color w:val="000000"/>
                <w:sz w:val="20"/>
                <w:szCs w:val="20"/>
                <w:highlight w:val="none"/>
                <w:lang w:val="en-US" w:eastAsia="zh-CN" w:bidi="ar"/>
              </w:rPr>
              <w:t xml:space="preserve">：按要求运行的得</w:t>
            </w:r>
            <w:r>
              <w:rPr>
                <w:rFonts w:hint="eastAsia" w:ascii="Times New Roman" w:hAnsi="Times New Roman" w:eastAsia="宋体" w:cs="Times New Roman"/>
                <w:color w:val="000000"/>
                <w:sz w:val="20"/>
                <w:szCs w:val="20"/>
                <w:highlight w:val="none"/>
                <w:lang w:val="en-US" w:eastAsia="zh-CN" w:bidi="ar"/>
              </w:rPr>
              <w:t xml:space="preserve">8</w:t>
            </w:r>
            <w:r>
              <w:rPr>
                <w:rFonts w:hint="eastAsia" w:ascii="Times New Roman" w:hAnsi="Times New Roman" w:eastAsia="宋体" w:cs="Times New Roman"/>
                <w:b w:val="0"/>
                <w:bCs w:val="0"/>
                <w:color w:val="000000"/>
                <w:sz w:val="20"/>
                <w:szCs w:val="20"/>
                <w:highlight w:val="none"/>
                <w:lang w:val="en-US" w:eastAsia="zh-CN" w:bidi="ar"/>
              </w:rPr>
              <w:t xml:space="preserve">分。未及时响应指令的，扣1分/次；因作业不力导致作业区域发生蓝藻大面积积聚、发白、发黑的，扣2分/次。</w:t>
            </w:r>
            <w:r/>
          </w:p>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lang w:val="en-US" w:eastAsia="zh-CN"/>
              </w:rPr>
            </w:pPr>
            <w:r>
              <w:rPr>
                <w:rFonts w:hint="eastAsia" w:ascii="Times New Roman" w:hAnsi="Times New Roman" w:eastAsia="宋体" w:cs="Times New Roman"/>
                <w:b/>
                <w:bCs/>
                <w:color w:val="000000"/>
                <w:sz w:val="20"/>
                <w:szCs w:val="20"/>
                <w:highlight w:val="none"/>
                <w:lang w:val="en-US" w:eastAsia="zh-CN" w:bidi="ar"/>
              </w:rPr>
              <w:t xml:space="preserve">围隔及附属设施</w:t>
            </w:r>
            <w:r>
              <w:rPr>
                <w:rFonts w:hint="eastAsia" w:ascii="Times New Roman" w:hAnsi="Times New Roman" w:eastAsia="宋体" w:cs="Times New Roman"/>
                <w:b w:val="0"/>
                <w:bCs w:val="0"/>
                <w:color w:val="000000"/>
                <w:sz w:val="20"/>
                <w:szCs w:val="20"/>
                <w:highlight w:val="none"/>
                <w:lang w:val="en-US" w:eastAsia="zh-CN" w:bidi="ar"/>
              </w:rPr>
              <w:t xml:space="preserve">：按要求运行的得</w:t>
            </w:r>
            <w:r>
              <w:rPr>
                <w:rFonts w:hint="eastAsia" w:ascii="Times New Roman" w:hAnsi="Times New Roman" w:eastAsia="宋体" w:cs="Times New Roman"/>
                <w:color w:val="000000"/>
                <w:sz w:val="20"/>
                <w:szCs w:val="20"/>
                <w:highlight w:val="none"/>
                <w:lang w:val="en-US" w:eastAsia="zh-CN" w:bidi="ar"/>
              </w:rPr>
              <w:t xml:space="preserve">8</w:t>
            </w:r>
            <w:r>
              <w:rPr>
                <w:rFonts w:hint="eastAsia" w:ascii="Times New Roman" w:hAnsi="Times New Roman" w:eastAsia="宋体" w:cs="Times New Roman"/>
                <w:b w:val="0"/>
                <w:bCs w:val="0"/>
                <w:color w:val="000000"/>
                <w:sz w:val="20"/>
                <w:szCs w:val="20"/>
                <w:highlight w:val="none"/>
                <w:lang w:val="en-US" w:eastAsia="zh-CN" w:bidi="ar"/>
              </w:rPr>
              <w:t xml:space="preserve">分。围隔破损未及时</w:t>
            </w:r>
            <w:r>
              <w:rPr>
                <w:rFonts w:hint="eastAsia" w:cs="Times New Roman"/>
                <w:b w:val="0"/>
                <w:bCs w:val="0"/>
                <w:color w:val="000000"/>
                <w:sz w:val="20"/>
                <w:szCs w:val="20"/>
                <w:highlight w:val="none"/>
                <w:lang w:val="en-US" w:eastAsia="zh-CN" w:bidi="ar"/>
              </w:rPr>
              <w:t xml:space="preserve">维修</w:t>
            </w:r>
            <w:r>
              <w:rPr>
                <w:rFonts w:hint="eastAsia" w:ascii="Times New Roman" w:hAnsi="Times New Roman" w:eastAsia="宋体" w:cs="Times New Roman"/>
                <w:b w:val="0"/>
                <w:bCs w:val="0"/>
                <w:color w:val="000000"/>
                <w:sz w:val="20"/>
                <w:szCs w:val="20"/>
                <w:highlight w:val="none"/>
                <w:lang w:val="en-US" w:eastAsia="zh-CN" w:bidi="ar"/>
              </w:rPr>
              <w:t xml:space="preserve">的，扣1分/次。</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428" w:type="dxa"/>
            <w:vAlign w:val="center"/>
            <w:vMerge w:val="continue"/>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r>
            <w:r/>
          </w:p>
        </w:tc>
        <w:tc>
          <w:tcPr>
            <w:tcW w:w="1105" w:type="dxa"/>
            <w:vAlign w:val="center"/>
            <w:vMerge w:val="continue"/>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r>
            <w:r/>
          </w:p>
        </w:tc>
        <w:tc>
          <w:tcPr>
            <w:tcW w:w="3491" w:type="dxa"/>
            <w:vAlign w:val="center"/>
            <w:textDirection w:val="lrTb"/>
            <w:noWrap w:val="false"/>
          </w:tcPr>
          <w:p>
            <w:pPr>
              <w:numPr>
                <w:ilvl w:val="0"/>
                <w:numId w:val="0"/>
              </w:numPr>
              <w:ind w:left="0" w:right="0" w:firstLine="0"/>
              <w:jc w:val="left"/>
              <w:keepNext/>
              <w:spacing w:line="240" w:lineRule="auto"/>
              <w:rPr>
                <w:rFonts w:hint="default" w:ascii="Times New Roman" w:hAnsi="Times New Roman" w:eastAsia="宋体" w:cs="Times New Roman"/>
                <w:b/>
                <w:bCs/>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2、配套处置项目 </w:t>
            </w:r>
            <w:r/>
          </w:p>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bidi="ar"/>
              </w:rPr>
              <w:t xml:space="preserve">每年须及时制定藻泥及水生植物处置计划，明确处置工作总体安排，确保处置工作有序开展。</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pPr>
            <w:r>
              <w:rPr>
                <w:rFonts w:hint="eastAsia"/>
                <w:color w:val="000000"/>
                <w:sz w:val="20"/>
                <w:szCs w:val="20"/>
                <w:highlight w:val="none"/>
                <w:lang w:val="en-US" w:eastAsia="zh-CN"/>
              </w:rPr>
              <w:t xml:space="preserve">6</w:t>
            </w:r>
            <w:r/>
          </w:p>
        </w:tc>
        <w:tc>
          <w:tcPr>
            <w:tcW w:w="3246" w:type="dxa"/>
            <w:vAlign w:val="center"/>
            <w:textDirection w:val="lrTb"/>
            <w:noWrap w:val="false"/>
          </w:tcPr>
          <w:p>
            <w:pPr>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bidi="ar"/>
              </w:rPr>
              <w:t xml:space="preserve">按要求制定处置计划，处置工作有序开展的得</w:t>
            </w:r>
            <w:r>
              <w:rPr>
                <w:rFonts w:hint="eastAsia"/>
                <w:color w:val="000000"/>
                <w:sz w:val="20"/>
                <w:szCs w:val="20"/>
                <w:highlight w:val="none"/>
                <w:lang w:val="en-US" w:eastAsia="zh-CN" w:bidi="ar"/>
              </w:rPr>
              <w:t xml:space="preserve">6</w:t>
            </w:r>
            <w:r>
              <w:rPr>
                <w:rFonts w:hint="eastAsia" w:ascii="Times New Roman" w:eastAsia="宋体"/>
                <w:color w:val="000000"/>
                <w:sz w:val="20"/>
                <w:szCs w:val="20"/>
                <w:highlight w:val="none"/>
                <w:lang w:bidi="ar"/>
              </w:rPr>
              <w:t xml:space="preserve">分。未</w:t>
            </w:r>
            <w:r>
              <w:rPr>
                <w:rFonts w:hint="eastAsia" w:ascii="Times New Roman" w:eastAsia="宋体"/>
                <w:color w:val="000000"/>
                <w:sz w:val="20"/>
                <w:szCs w:val="20"/>
                <w:highlight w:val="none"/>
                <w:lang w:val="en-US" w:eastAsia="zh-CN" w:bidi="ar"/>
              </w:rPr>
              <w:t xml:space="preserve">及时</w:t>
            </w:r>
            <w:r>
              <w:rPr>
                <w:rFonts w:hint="eastAsia" w:ascii="Times New Roman" w:eastAsia="宋体"/>
                <w:color w:val="000000"/>
                <w:sz w:val="20"/>
                <w:szCs w:val="20"/>
                <w:highlight w:val="none"/>
                <w:lang w:bidi="ar"/>
              </w:rPr>
              <w:t xml:space="preserve">制定处置计划的，扣</w:t>
            </w:r>
            <w:r>
              <w:rPr>
                <w:rFonts w:hint="eastAsia"/>
                <w:color w:val="000000"/>
                <w:sz w:val="20"/>
                <w:szCs w:val="20"/>
                <w:highlight w:val="none"/>
                <w:lang w:val="en-US" w:eastAsia="zh-CN" w:bidi="ar"/>
              </w:rPr>
              <w:t xml:space="preserve">2</w:t>
            </w:r>
            <w:r>
              <w:rPr>
                <w:rFonts w:hint="eastAsia" w:ascii="Times New Roman" w:eastAsia="宋体"/>
                <w:color w:val="000000"/>
                <w:sz w:val="20"/>
                <w:szCs w:val="20"/>
                <w:highlight w:val="none"/>
                <w:lang w:bidi="ar"/>
              </w:rPr>
              <w:t xml:space="preserve">分；处置工作组织不力的，扣</w:t>
            </w:r>
            <w:r>
              <w:rPr>
                <w:rFonts w:hint="eastAsia"/>
                <w:color w:val="000000"/>
                <w:sz w:val="20"/>
                <w:szCs w:val="20"/>
                <w:highlight w:val="none"/>
                <w:lang w:val="en-US" w:eastAsia="zh-CN" w:bidi="ar"/>
              </w:rPr>
              <w:t xml:space="preserve">2</w:t>
            </w:r>
            <w:r>
              <w:rPr>
                <w:rFonts w:hint="eastAsia" w:ascii="Times New Roman" w:eastAsia="宋体"/>
                <w:color w:val="000000"/>
                <w:sz w:val="20"/>
                <w:szCs w:val="20"/>
                <w:highlight w:val="none"/>
                <w:lang w:bidi="ar"/>
              </w:rPr>
              <w:t xml:space="preserve">分</w:t>
            </w:r>
            <w:r>
              <w:rPr>
                <w:rFonts w:hint="eastAsia" w:ascii="Times New Roman" w:eastAsia="宋体"/>
                <w:color w:val="000000"/>
                <w:sz w:val="20"/>
                <w:szCs w:val="20"/>
                <w:highlight w:val="none"/>
                <w:lang w:val="en-US" w:eastAsia="zh-CN" w:bidi="ar"/>
              </w:rPr>
              <w:t xml:space="preserve">/次。</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t xml:space="preserve">第四季度考核</w:t>
            </w:r>
            <w:r/>
          </w:p>
        </w:tc>
      </w:tr>
      <w:tr>
        <w:trPr>
          <w:trHeight w:val="0"/>
        </w:trPr>
        <w:tc>
          <w:tcPr>
            <w:tcW w:w="428" w:type="dxa"/>
            <w:vAlign w:val="center"/>
            <w:vMerge w:val="continue"/>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r>
            <w:r/>
          </w:p>
        </w:tc>
        <w:tc>
          <w:tcPr>
            <w:tcW w:w="1105" w:type="dxa"/>
            <w:vAlign w:val="center"/>
            <w:vMerge w:val="continue"/>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r>
            <w:r/>
          </w:p>
        </w:tc>
        <w:tc>
          <w:tcPr>
            <w:tcW w:w="3491" w:type="dxa"/>
            <w:vAlign w:val="center"/>
            <w:textDirection w:val="lrTb"/>
            <w:noWrap w:val="false"/>
          </w:tcPr>
          <w:p>
            <w:pPr>
              <w:numPr>
                <w:ilvl w:val="0"/>
                <w:numId w:val="11"/>
              </w:numPr>
              <w:ind w:left="0" w:right="0" w:firstLine="0"/>
              <w:jc w:val="left"/>
              <w:keepNext/>
              <w:spacing w:line="240" w:lineRule="auto"/>
              <w:rPr>
                <w:rFonts w:hint="eastAsia" w:ascii="Times New Roman" w:hAnsi="Times New Roman" w:eastAsia="宋体" w:cs="Times New Roman"/>
                <w:b/>
                <w:bCs/>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应急防控项目</w:t>
            </w:r>
            <w:r/>
          </w:p>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lang w:val="en-US" w:eastAsia="zh-CN"/>
              </w:rPr>
              <w:outlineLvl w:val="0"/>
            </w:pPr>
            <w:r>
              <w:rPr>
                <w:rFonts w:hint="eastAsia" w:ascii="Times New Roman" w:hAnsi="Times New Roman" w:eastAsia="宋体"/>
                <w:color w:val="000000"/>
                <w:sz w:val="20"/>
                <w:szCs w:val="20"/>
                <w:highlight w:val="none"/>
                <w:lang w:val="en-US" w:eastAsia="zh-CN" w:bidi="ar-SA"/>
              </w:rPr>
              <w:t xml:space="preserve">每年须及时制定应急防控计划；建立健全应急响应机制，根据实际需要及时调配应急人工队伍及辅助服务资源，确保浪渣清运等辅助工作按需到位；东氿及太湖沿线按要求开展日常巡查，综合运用冲水曝气、围隔导流等措施快速处置，防止水体黑臭及水质异常。</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outlineLvl w:val="0"/>
            </w:pPr>
            <w:r>
              <w:rPr>
                <w:rFonts w:hint="eastAsia"/>
                <w:color w:val="000000"/>
                <w:sz w:val="20"/>
                <w:szCs w:val="20"/>
                <w:highlight w:val="none"/>
                <w:lang w:val="en-US" w:eastAsia="zh-CN" w:bidi="ar-SA"/>
              </w:rPr>
              <w:t xml:space="preserve">4</w:t>
            </w:r>
            <w:r/>
          </w:p>
        </w:tc>
        <w:tc>
          <w:tcPr>
            <w:tcW w:w="3246" w:type="dxa"/>
            <w:vAlign w:val="center"/>
            <w:textDirection w:val="lrTb"/>
            <w:noWrap w:val="false"/>
          </w:tcPr>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lang w:val="en-US" w:eastAsia="zh-CN"/>
              </w:rPr>
              <w:outlineLvl w:val="0"/>
            </w:pPr>
            <w:r>
              <w:rPr>
                <w:rFonts w:hint="eastAsia" w:ascii="Times New Roman" w:eastAsia="宋体"/>
                <w:color w:val="000000"/>
                <w:sz w:val="20"/>
                <w:szCs w:val="20"/>
                <w:highlight w:val="none"/>
                <w:lang w:val="en-US" w:eastAsia="zh-CN" w:bidi="ar"/>
              </w:rPr>
              <w:t xml:space="preserve">及时</w:t>
            </w:r>
            <w:r>
              <w:rPr>
                <w:rFonts w:hint="eastAsia" w:ascii="Times New Roman" w:eastAsia="宋体"/>
                <w:color w:val="000000"/>
                <w:sz w:val="20"/>
                <w:szCs w:val="20"/>
                <w:highlight w:val="none"/>
                <w:lang w:bidi="ar"/>
              </w:rPr>
              <w:t xml:space="preserve">上报应急防控年度计划，应急响应机制健全</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bidi="ar"/>
              </w:rPr>
              <w:t xml:space="preserve">应急工作按要求开展的</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bidi="ar"/>
              </w:rPr>
              <w:t xml:space="preserve">得</w:t>
            </w:r>
            <w:r>
              <w:rPr>
                <w:rFonts w:hint="eastAsia"/>
                <w:color w:val="000000"/>
                <w:sz w:val="20"/>
                <w:szCs w:val="20"/>
                <w:highlight w:val="none"/>
                <w:lang w:val="en-US" w:eastAsia="zh-CN" w:bidi="ar"/>
              </w:rPr>
              <w:t xml:space="preserve">4</w:t>
            </w:r>
            <w:r>
              <w:rPr>
                <w:rFonts w:hint="eastAsia" w:ascii="Times New Roman" w:eastAsia="宋体"/>
                <w:color w:val="000000"/>
                <w:sz w:val="20"/>
                <w:szCs w:val="20"/>
                <w:highlight w:val="none"/>
                <w:lang w:bidi="ar"/>
              </w:rPr>
              <w:t xml:space="preserve">分。应急人工队伍或辅助服务未按需到位的，扣2分/次；巡查不到位或处置不及时导致水体黑臭及水质异常的，扣</w:t>
            </w:r>
            <w:r>
              <w:rPr>
                <w:rFonts w:hint="eastAsia"/>
                <w:color w:val="000000"/>
                <w:sz w:val="20"/>
                <w:szCs w:val="20"/>
                <w:highlight w:val="none"/>
                <w:lang w:val="en-US" w:eastAsia="zh-CN" w:bidi="ar"/>
              </w:rPr>
              <w:t xml:space="preserve">2</w:t>
            </w:r>
            <w:r>
              <w:rPr>
                <w:rFonts w:hint="eastAsia" w:ascii="Times New Roman" w:eastAsia="宋体"/>
                <w:color w:val="000000"/>
                <w:sz w:val="20"/>
                <w:szCs w:val="20"/>
                <w:highlight w:val="none"/>
                <w:lang w:bidi="ar"/>
              </w:rPr>
              <w:t xml:space="preserve">分/次。</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0" w:type="auto"/>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4</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运行维护</w:t>
            </w:r>
            <w:r/>
          </w:p>
        </w:tc>
        <w:tc>
          <w:tcPr>
            <w:tcW w:w="3491" w:type="dxa"/>
            <w:vAlign w:val="center"/>
            <w:textDirection w:val="lrTb"/>
            <w:noWrap w:val="false"/>
          </w:tcPr>
          <w:p>
            <w:pPr>
              <w:ind w:left="0" w:right="0" w:firstLine="0"/>
              <w:jc w:val="left"/>
              <w:keepNext/>
              <w:spacing w:line="240" w:lineRule="auto"/>
              <w:rPr>
                <w:rFonts w:hint="eastAsia" w:ascii="Times New Roman" w:eastAsia="宋体"/>
                <w:color w:val="000000"/>
                <w:sz w:val="20"/>
                <w:szCs w:val="20"/>
                <w:highlight w:val="none"/>
                <w:lang w:bidi="ar"/>
              </w:rPr>
            </w:pPr>
            <w:r>
              <w:rPr>
                <w:rFonts w:ascii="Times New Roman" w:eastAsia="宋体"/>
                <w:color w:val="000000"/>
                <w:sz w:val="20"/>
                <w:szCs w:val="20"/>
                <w:highlight w:val="none"/>
                <w:lang w:bidi="ar"/>
              </w:rPr>
              <w:t xml:space="preserve">正确操作使用设施设备，定期做好设施设备日常维护和故障排除工作，确保设施设备性能处于良好状态，保障设施设备持续、高效、安全运行，发挥正常功能</w:t>
            </w:r>
            <w:r>
              <w:rPr>
                <w:rFonts w:hint="eastAsia" w:ascii="Times New Roman" w:eastAsia="宋体"/>
                <w:color w:val="000000"/>
                <w:sz w:val="20"/>
                <w:szCs w:val="20"/>
                <w:highlight w:val="none"/>
                <w:lang w:bidi="ar"/>
              </w:rPr>
              <w:t xml:space="preserve">；</w:t>
            </w:r>
            <w:r>
              <w:rPr>
                <w:rFonts w:ascii="Times New Roman" w:eastAsia="宋体"/>
                <w:color w:val="000000"/>
                <w:sz w:val="20"/>
                <w:szCs w:val="20"/>
                <w:highlight w:val="none"/>
                <w:lang w:bidi="ar"/>
              </w:rPr>
              <w:t xml:space="preserve">安全度夏期，因设施设备发生故障必须开展应急维</w:t>
            </w:r>
            <w:r>
              <w:rPr>
                <w:rFonts w:hint="eastAsia" w:ascii="Times New Roman" w:eastAsia="宋体"/>
                <w:color w:val="000000"/>
                <w:sz w:val="20"/>
                <w:szCs w:val="20"/>
                <w:highlight w:val="none"/>
                <w:lang w:bidi="ar"/>
              </w:rPr>
              <w:t xml:space="preserve">修时，需及时向市水利局报告，并制定应急预案报请同意后组织实施。</w:t>
            </w:r>
            <w:r/>
          </w:p>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rPr>
            </w:pPr>
            <w:r>
              <w:rPr>
                <w:rFonts w:hint="eastAsia" w:ascii="Times New Roman" w:hAnsi="Times New Roman" w:eastAsia="宋体" w:cs="Times New Roman"/>
                <w:color w:val="000000"/>
                <w:sz w:val="20"/>
                <w:szCs w:val="20"/>
                <w:highlight w:val="none"/>
                <w:lang w:bidi="ar"/>
              </w:rPr>
              <w:t xml:space="preserve">设施设备如需重置或大修，实施前须向</w:t>
            </w:r>
            <w:r>
              <w:rPr>
                <w:rFonts w:hint="eastAsia" w:ascii="Times New Roman" w:hAnsi="Times New Roman" w:eastAsia="宋体" w:cs="Times New Roman"/>
                <w:color w:val="000000"/>
                <w:sz w:val="20"/>
                <w:szCs w:val="20"/>
                <w:highlight w:val="none"/>
                <w:lang w:val="en-US" w:eastAsia="zh-CN" w:bidi="ar"/>
              </w:rPr>
              <w:t xml:space="preserve">采购人</w:t>
            </w:r>
            <w:r>
              <w:rPr>
                <w:rFonts w:hint="eastAsia" w:ascii="Times New Roman" w:hAnsi="Times New Roman" w:eastAsia="宋体" w:cs="Times New Roman"/>
                <w:color w:val="000000"/>
                <w:sz w:val="20"/>
                <w:szCs w:val="20"/>
                <w:highlight w:val="none"/>
                <w:lang w:bidi="ar"/>
              </w:rPr>
              <w:t xml:space="preserve">提交申请及实施方案，经审核同意后方可</w:t>
            </w:r>
            <w:r>
              <w:rPr>
                <w:rFonts w:hint="eastAsia" w:ascii="Times New Roman" w:hAnsi="Times New Roman" w:eastAsia="宋体" w:cs="Times New Roman"/>
                <w:color w:val="000000"/>
                <w:sz w:val="20"/>
                <w:szCs w:val="20"/>
                <w:highlight w:val="none"/>
                <w:lang w:eastAsia="zh-CN" w:bidi="ar"/>
              </w:rPr>
              <w:t xml:space="preserve">进行</w:t>
            </w:r>
            <w:r>
              <w:rPr>
                <w:rFonts w:hint="eastAsia" w:ascii="Times New Roman" w:hAnsi="Times New Roman" w:eastAsia="宋体" w:cs="Times New Roman"/>
                <w:color w:val="000000"/>
                <w:sz w:val="20"/>
                <w:szCs w:val="20"/>
                <w:highlight w:val="none"/>
                <w:lang w:bidi="ar"/>
              </w:rPr>
              <w:t xml:space="preserve">，</w:t>
            </w:r>
            <w:r>
              <w:rPr>
                <w:rFonts w:hint="eastAsia" w:ascii="Times New Roman" w:hAnsi="Times New Roman" w:eastAsia="宋体" w:cs="Times New Roman"/>
                <w:color w:val="000000"/>
                <w:sz w:val="20"/>
                <w:szCs w:val="20"/>
                <w:highlight w:val="none"/>
                <w:lang w:eastAsia="zh-CN" w:bidi="ar"/>
              </w:rPr>
              <w:t xml:space="preserve">并</w:t>
            </w:r>
            <w:r>
              <w:rPr>
                <w:rFonts w:hint="eastAsia" w:ascii="Times New Roman" w:hAnsi="Times New Roman" w:eastAsia="宋体" w:cs="Times New Roman"/>
                <w:color w:val="000000"/>
                <w:sz w:val="20"/>
                <w:szCs w:val="20"/>
                <w:highlight w:val="none"/>
                <w:lang w:bidi="ar"/>
              </w:rPr>
              <w:t xml:space="preserve">接受</w:t>
            </w:r>
            <w:r>
              <w:rPr>
                <w:rFonts w:hint="eastAsia" w:ascii="Times New Roman" w:hAnsi="Times New Roman" w:eastAsia="宋体" w:cs="Times New Roman"/>
                <w:color w:val="000000"/>
                <w:sz w:val="20"/>
                <w:szCs w:val="20"/>
                <w:highlight w:val="none"/>
                <w:lang w:val="en-US" w:eastAsia="zh-CN" w:bidi="ar"/>
              </w:rPr>
              <w:t xml:space="preserve">采购人</w:t>
            </w:r>
            <w:r>
              <w:rPr>
                <w:rFonts w:hint="eastAsia" w:ascii="Times New Roman" w:hAnsi="Times New Roman" w:eastAsia="宋体" w:cs="Times New Roman"/>
                <w:color w:val="000000"/>
                <w:sz w:val="20"/>
                <w:szCs w:val="20"/>
                <w:highlight w:val="none"/>
                <w:lang w:bidi="ar"/>
              </w:rPr>
              <w:t xml:space="preserve">委托的第三方机构监督</w:t>
            </w:r>
            <w:r>
              <w:rPr>
                <w:rFonts w:hint="eastAsia" w:ascii="Times New Roman" w:hAnsi="Times New Roman" w:eastAsia="宋体" w:cs="Times New Roman"/>
                <w:color w:val="000000"/>
                <w:sz w:val="20"/>
                <w:szCs w:val="20"/>
                <w:highlight w:val="none"/>
                <w:lang w:eastAsia="zh-CN" w:bidi="ar"/>
              </w:rPr>
              <w:t xml:space="preserve">。</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rPr>
              <w:t xml:space="preserve">10</w:t>
            </w:r>
            <w:r/>
          </w:p>
        </w:tc>
        <w:tc>
          <w:tcPr>
            <w:tcW w:w="3246" w:type="dxa"/>
            <w:vAlign w:val="center"/>
            <w:textDirection w:val="lrTb"/>
            <w:noWrap w:val="false"/>
          </w:tcPr>
          <w:p>
            <w:pPr>
              <w:ind w:left="0" w:right="0" w:firstLine="0"/>
              <w:jc w:val="left"/>
              <w:keepNext/>
              <w:spacing w:line="240" w:lineRule="auto"/>
              <w:rPr>
                <w:rFonts w:ascii="Times New Roman" w:eastAsia="宋体"/>
                <w:color w:val="000000"/>
                <w:sz w:val="20"/>
                <w:szCs w:val="20"/>
                <w:highlight w:val="none"/>
                <w:lang w:bidi="ar"/>
              </w:rPr>
            </w:pPr>
            <w:r>
              <w:rPr>
                <w:rFonts w:ascii="Times New Roman" w:eastAsia="宋体"/>
                <w:color w:val="000000"/>
                <w:sz w:val="20"/>
                <w:szCs w:val="20"/>
                <w:highlight w:val="none"/>
                <w:lang w:bidi="ar"/>
              </w:rPr>
              <w:t xml:space="preserve">按要求正确操作使用设施设备，做好设施设备日常维护和故障排除工作，设施设备性能处于良好状态，能够保持持续、高效、安全运行，发挥正常功能的，得8分；按规定上报设施设备重置或大修工作计划的，得2分。未正确操作使用设施设备的，扣2分/次；未及时做好设施设备日常维护和故障排除工作，导致设施设备性能不佳，无法持续、高效、安全运行，或无法发挥正常作用的，扣5分/次。</w:t>
            </w:r>
            <w:r/>
          </w:p>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eastAsia="zh-CN" w:bidi="ar"/>
              </w:rPr>
              <w:t xml:space="preserve">应急维修、</w:t>
            </w:r>
            <w:r>
              <w:rPr>
                <w:rFonts w:ascii="Times New Roman" w:eastAsia="宋体"/>
                <w:color w:val="000000"/>
                <w:sz w:val="20"/>
                <w:szCs w:val="20"/>
                <w:highlight w:val="none"/>
                <w:lang w:bidi="ar"/>
              </w:rPr>
              <w:t xml:space="preserve">重置或大修工作未上报</w:t>
            </w:r>
            <w:r>
              <w:rPr>
                <w:rFonts w:hint="eastAsia" w:ascii="Times New Roman" w:hAnsi="Times New Roman" w:eastAsia="宋体" w:cs="Times New Roman"/>
                <w:color w:val="000000"/>
                <w:sz w:val="20"/>
                <w:szCs w:val="20"/>
                <w:highlight w:val="none"/>
                <w:lang w:val="en-US" w:eastAsia="zh-CN" w:bidi="ar"/>
              </w:rPr>
              <w:t xml:space="preserve">采购人</w:t>
            </w:r>
            <w:r>
              <w:rPr>
                <w:rFonts w:ascii="Times New Roman" w:eastAsia="宋体"/>
                <w:color w:val="000000"/>
                <w:sz w:val="20"/>
                <w:szCs w:val="20"/>
                <w:highlight w:val="none"/>
                <w:lang w:bidi="ar"/>
              </w:rPr>
              <w:t xml:space="preserve">、未经</w:t>
            </w:r>
            <w:r>
              <w:rPr>
                <w:rFonts w:hint="eastAsia" w:ascii="Times New Roman" w:hAnsi="Times New Roman" w:eastAsia="宋体" w:cs="Times New Roman"/>
                <w:color w:val="000000"/>
                <w:sz w:val="20"/>
                <w:szCs w:val="20"/>
                <w:highlight w:val="none"/>
                <w:lang w:val="en-US" w:eastAsia="zh-CN" w:bidi="ar"/>
              </w:rPr>
              <w:t xml:space="preserve">采购人</w:t>
            </w:r>
            <w:r>
              <w:rPr>
                <w:rFonts w:ascii="Times New Roman" w:eastAsia="宋体"/>
                <w:color w:val="000000"/>
                <w:sz w:val="20"/>
                <w:szCs w:val="20"/>
                <w:highlight w:val="none"/>
                <w:lang w:bidi="ar"/>
              </w:rPr>
              <w:t xml:space="preserve">同意、未在</w:t>
            </w:r>
            <w:r>
              <w:rPr>
                <w:rFonts w:hint="eastAsia" w:ascii="Times New Roman" w:hAnsi="Times New Roman" w:eastAsia="宋体" w:cs="Times New Roman"/>
                <w:color w:val="000000"/>
                <w:sz w:val="20"/>
                <w:szCs w:val="20"/>
                <w:highlight w:val="none"/>
                <w:lang w:val="en-US" w:eastAsia="zh-CN" w:bidi="ar"/>
              </w:rPr>
              <w:t xml:space="preserve">采购人</w:t>
            </w:r>
            <w:r>
              <w:rPr>
                <w:rFonts w:ascii="Times New Roman" w:eastAsia="宋体"/>
                <w:color w:val="000000"/>
                <w:sz w:val="20"/>
                <w:szCs w:val="20"/>
                <w:highlight w:val="none"/>
                <w:lang w:bidi="ar"/>
              </w:rPr>
              <w:t xml:space="preserve">委托的第三方机构的监督下开展的，扣2分。</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0" w:type="auto"/>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5</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工作台账</w:t>
            </w:r>
            <w:r/>
          </w:p>
        </w:tc>
        <w:tc>
          <w:tcPr>
            <w:tcW w:w="3491"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lang w:eastAsia="zh-CN"/>
              </w:rPr>
            </w:pPr>
            <w:r>
              <w:rPr>
                <w:rFonts w:hint="eastAsia" w:ascii="Times New Roman" w:eastAsia="宋体"/>
                <w:color w:val="000000"/>
                <w:sz w:val="20"/>
                <w:szCs w:val="20"/>
                <w:highlight w:val="none"/>
                <w:lang w:bidi="ar"/>
              </w:rPr>
              <w:t xml:space="preserve">建立运行维护工作台帐，及时上报相关工作报表和资料。工作台帐以及资料包括但不限于以下内容：运行台账；维修维护台账；耗油台账；工作制度台账；安全教育、培训台账；安全生产检查台账；内部考核台账等。</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val="en-US" w:eastAsia="zh-CN"/>
              </w:rPr>
              <w:t xml:space="preserve">10</w:t>
            </w:r>
            <w:r/>
          </w:p>
        </w:tc>
        <w:tc>
          <w:tcPr>
            <w:tcW w:w="3246"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lang w:bidi="ar"/>
              </w:rPr>
              <w:t xml:space="preserve">建立运行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工作台帐，及时上报相关工作报表和资料的，得</w:t>
            </w:r>
            <w:r>
              <w:rPr>
                <w:rFonts w:hint="eastAsia" w:ascii="Times New Roman" w:eastAsia="宋体"/>
                <w:color w:val="000000"/>
                <w:sz w:val="20"/>
                <w:szCs w:val="20"/>
                <w:highlight w:val="none"/>
                <w:lang w:val="en-US" w:eastAsia="zh-CN" w:bidi="ar"/>
              </w:rPr>
              <w:t xml:space="preserve">10</w:t>
            </w:r>
            <w:r>
              <w:rPr>
                <w:rFonts w:ascii="Times New Roman" w:eastAsia="宋体"/>
                <w:color w:val="000000"/>
                <w:sz w:val="20"/>
                <w:szCs w:val="20"/>
                <w:highlight w:val="none"/>
                <w:lang w:bidi="ar"/>
              </w:rPr>
              <w:t xml:space="preserve">分。未建立运行管护工作台账的此项不得分；每少一项台账扣</w:t>
            </w:r>
            <w:r>
              <w:rPr>
                <w:rFonts w:hint="eastAsia"/>
                <w:color w:val="000000"/>
                <w:sz w:val="20"/>
                <w:szCs w:val="20"/>
                <w:highlight w:val="none"/>
                <w:lang w:val="en-US" w:eastAsia="zh-CN" w:bidi="ar"/>
              </w:rPr>
              <w:t xml:space="preserve">2</w:t>
            </w:r>
            <w:r>
              <w:rPr>
                <w:rFonts w:ascii="Times New Roman" w:eastAsia="宋体"/>
                <w:color w:val="000000"/>
                <w:sz w:val="20"/>
                <w:szCs w:val="20"/>
                <w:highlight w:val="none"/>
                <w:lang w:bidi="ar"/>
              </w:rPr>
              <w:t xml:space="preserve">分；台账记录内容缺失、不全或不真实的，扣</w:t>
            </w:r>
            <w:r>
              <w:rPr>
                <w:rFonts w:hint="eastAsia" w:ascii="Times New Roman" w:eastAsia="宋体"/>
                <w:color w:val="000000"/>
                <w:sz w:val="20"/>
                <w:szCs w:val="20"/>
                <w:highlight w:val="none"/>
                <w:lang w:val="en-US" w:eastAsia="zh-CN" w:bidi="ar"/>
              </w:rPr>
              <w:t xml:space="preserve">2</w:t>
            </w:r>
            <w:r>
              <w:rPr>
                <w:rFonts w:ascii="Times New Roman" w:eastAsia="宋体"/>
                <w:color w:val="000000"/>
                <w:sz w:val="20"/>
                <w:szCs w:val="20"/>
                <w:highlight w:val="none"/>
                <w:lang w:bidi="ar"/>
              </w:rPr>
              <w:t xml:space="preserve">分；未及时上报相关工作报表和资料的，扣2分/次。</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42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6</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安全生产</w:t>
            </w:r>
            <w:r/>
          </w:p>
        </w:tc>
        <w:tc>
          <w:tcPr>
            <w:tcW w:w="3491"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bidi="ar"/>
              </w:rPr>
              <w:t xml:space="preserve">建立太湖蓝藻防控服务项目运行维护工作安全生产制度，落实安全措施，确保安全无事故。</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pPr>
            <w:r>
              <w:rPr>
                <w:rFonts w:ascii="Times New Roman" w:eastAsia="宋体"/>
                <w:color w:val="000000"/>
                <w:sz w:val="20"/>
                <w:szCs w:val="20"/>
                <w:highlight w:val="none"/>
              </w:rPr>
              <w:t xml:space="preserve">10</w:t>
            </w:r>
            <w:r/>
          </w:p>
        </w:tc>
        <w:tc>
          <w:tcPr>
            <w:tcW w:w="3257"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lang w:bidi="ar"/>
              </w:rPr>
              <w:t xml:space="preserve">建立运行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工作安全生产制度，落实安全措施，安全无事故的，得10分。未建立安全生产工作制度的，扣3分；未落实安全防护措施的，扣1分/次；发生安全事故的，此项不得分。</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bl>
    <w:p>
      <w:pP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四</w:t>
      </w:r>
      <w:r>
        <w:rPr>
          <w:rFonts w:hint="eastAsia" w:ascii="宋体" w:hAnsi="宋体"/>
          <w:sz w:val="24"/>
          <w:szCs w:val="24"/>
          <w:highlight w:val="none"/>
        </w:rPr>
        <w:t xml:space="preserve">、商务要求</w:t>
      </w:r>
      <w:r/>
    </w:p>
    <w:p>
      <w:pPr>
        <w:ind w:firstLine="480"/>
        <w:spacing w:line="360" w:lineRule="auto"/>
        <w:rPr>
          <w:rFonts w:hint="eastAsia" w:ascii="宋体" w:hAnsi="宋体"/>
          <w:bCs/>
          <w:sz w:val="24"/>
          <w:highlight w:val="none"/>
        </w:rPr>
      </w:pPr>
      <w:r>
        <w:rPr>
          <w:rFonts w:hint="eastAsia" w:ascii="宋体" w:hAnsi="宋体"/>
          <w:sz w:val="24"/>
          <w:szCs w:val="24"/>
          <w:highlight w:val="none"/>
        </w:rPr>
        <w:t xml:space="preserve">1、</w:t>
      </w:r>
      <w:r>
        <w:rPr>
          <w:rFonts w:hint="eastAsia" w:ascii="宋体" w:hAnsi="宋体"/>
          <w:bCs/>
          <w:sz w:val="24"/>
          <w:highlight w:val="none"/>
        </w:rPr>
        <w:t xml:space="preserve">本项目中有信息安全产品的，供应商必须选择经国家认证的信息安全产品，并提供由中国信息安全认证中心颁发的有效认证证书复印件。</w:t>
      </w:r>
      <w:r/>
    </w:p>
    <w:p>
      <w:pPr>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2、本项目中有政府强制采购节能产品的，供应商只能选择财政部、国家发展改革委公布的现行《节能产品政府采购清单》中的产品，并</w:t>
      </w:r>
      <w:r>
        <w:rPr>
          <w:rFonts w:hint="eastAsia" w:ascii="宋体" w:hAnsi="宋体"/>
          <w:bCs/>
          <w:sz w:val="24"/>
          <w:szCs w:val="24"/>
          <w:highlight w:val="none"/>
        </w:rPr>
        <w:t xml:space="preserve">提供有效的节能产品认证证书复印件及标明所投产品位置的《节能产品政府采购清单》复印件。</w:t>
      </w:r>
      <w:r/>
    </w:p>
    <w:p>
      <w:pPr>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rPr>
        <w:t xml:space="preserve">、</w:t>
      </w:r>
      <w:r>
        <w:rPr>
          <w:rFonts w:hint="eastAsia" w:ascii="宋体" w:hAnsi="宋体"/>
          <w:b/>
          <w:sz w:val="24"/>
          <w:highlight w:val="none"/>
        </w:rPr>
        <w:t xml:space="preserve">服务地点</w:t>
      </w:r>
      <w:r>
        <w:rPr>
          <w:rFonts w:hint="eastAsia" w:ascii="宋体" w:hAnsi="宋体"/>
          <w:bCs/>
          <w:sz w:val="24"/>
          <w:highlight w:val="none"/>
        </w:rPr>
        <w:t xml:space="preserve">：</w:t>
      </w:r>
      <w:r>
        <w:rPr>
          <w:rFonts w:hint="eastAsia" w:ascii="宋体" w:hAnsi="宋体"/>
          <w:bCs/>
          <w:sz w:val="24"/>
          <w:highlight w:val="none"/>
          <w:lang w:eastAsia="zh-CN"/>
        </w:rPr>
        <w:t xml:space="preserve">采购人指定地点</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rPr>
        <w:t xml:space="preserve">、</w:t>
      </w:r>
      <w:r>
        <w:rPr>
          <w:rFonts w:hint="eastAsia" w:ascii="宋体" w:hAnsi="宋体"/>
          <w:b/>
          <w:sz w:val="24"/>
          <w:highlight w:val="none"/>
        </w:rPr>
        <w:t xml:space="preserve">服务期限</w:t>
      </w:r>
      <w:r>
        <w:rPr>
          <w:rFonts w:hint="eastAsia" w:ascii="宋体" w:hAnsi="宋体"/>
          <w:bCs/>
          <w:sz w:val="24"/>
          <w:highlight w:val="none"/>
        </w:rPr>
        <w:t xml:space="preserve">：</w:t>
      </w:r>
      <w:r>
        <w:rPr>
          <w:rFonts w:hint="eastAsia" w:ascii="宋体" w:hAnsi="宋体"/>
          <w:b/>
          <w:bCs w:val="0"/>
          <w:sz w:val="24"/>
          <w:highlight w:val="none"/>
          <w:lang w:val="en-US" w:eastAsia="zh-CN"/>
        </w:rPr>
        <w:t xml:space="preserve">三年</w:t>
      </w:r>
      <w:r>
        <w:rPr>
          <w:rFonts w:hint="eastAsia" w:ascii="宋体" w:hAnsi="宋体"/>
          <w:b/>
          <w:bCs w:val="0"/>
          <w:sz w:val="24"/>
          <w:highlight w:val="none"/>
        </w:rPr>
        <w:t xml:space="preserve">。</w:t>
      </w:r>
      <w:r/>
    </w:p>
    <w:p>
      <w:pPr>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hint="eastAsia" w:ascii="宋体" w:hAnsi="宋体"/>
          <w:b/>
          <w:sz w:val="24"/>
          <w:highlight w:val="none"/>
        </w:rPr>
        <w:t xml:space="preserve">验收标准</w:t>
      </w:r>
      <w:r>
        <w:rPr>
          <w:rFonts w:hint="eastAsia" w:ascii="宋体" w:hAnsi="宋体"/>
          <w:bCs/>
          <w:sz w:val="24"/>
          <w:highlight w:val="none"/>
        </w:rPr>
        <w:t xml:space="preserve">：</w:t>
      </w:r>
      <w:r>
        <w:rPr>
          <w:rFonts w:hint="eastAsia" w:ascii="宋体" w:hAnsi="宋体" w:eastAsia="宋体" w:cs="宋体"/>
          <w:bCs/>
          <w:sz w:val="24"/>
          <w:szCs w:val="24"/>
          <w:highlight w:val="none"/>
          <w:lang w:val="en-US" w:eastAsia="zh-CN"/>
        </w:rPr>
        <w:t xml:space="preserve">采购人根据国家有关规定、招标文件、投标文件以及合同约定的内容组织验收，具体验收办法详见《转发江苏省财政厅关于印发《江苏省政府采购履约验收管理办法》的通知》宜财采(2025)1号。</w:t>
      </w:r>
      <w:r/>
    </w:p>
    <w:p>
      <w:pPr>
        <w:ind w:firstLine="482"/>
        <w:jc w:val="left"/>
        <w:keepLines w:val="0"/>
        <w:keepNext w:val="0"/>
        <w:widowControl/>
        <w:rPr>
          <w:rFonts w:hint="eastAsia" w:ascii="宋体" w:hAnsi="宋体" w:eastAsia="宋体" w:cs="Times New Roman"/>
          <w:b/>
          <w:bCs/>
          <w:color w:val="auto"/>
          <w:sz w:val="24"/>
          <w:highlight w:val="none"/>
          <w:lang w:val="en-US" w:eastAsia="zh-CN"/>
        </w:rPr>
        <w:suppressLineNumbers w:val="0"/>
      </w:pPr>
      <w:r>
        <w:rPr>
          <w:rFonts w:hint="eastAsia" w:ascii="宋体" w:hAnsi="宋体" w:eastAsia="宋体" w:cs="Times New Roman"/>
          <w:b/>
          <w:bCs/>
          <w:color w:val="auto"/>
          <w:sz w:val="24"/>
          <w:highlight w:val="none"/>
          <w:lang w:val="en-US" w:eastAsia="zh-CN"/>
        </w:rPr>
        <w:t xml:space="preserve">6、付款方式：</w:t>
      </w:r>
      <w:r>
        <w:rPr>
          <w:rFonts w:hint="eastAsia" w:ascii="宋体" w:hAnsi="宋体" w:cs="Times New Roman"/>
          <w:b/>
          <w:bCs/>
          <w:color w:val="auto"/>
          <w:sz w:val="24"/>
          <w:highlight w:val="none"/>
          <w:lang w:val="en-US" w:eastAsia="zh-CN"/>
        </w:rPr>
        <w:t xml:space="preserve">结算额</w:t>
      </w:r>
      <w:r>
        <w:rPr>
          <w:rFonts w:hint="eastAsia" w:ascii="宋体" w:hAnsi="宋体" w:eastAsia="宋体" w:cs="Times New Roman"/>
          <w:b/>
          <w:bCs/>
          <w:color w:val="auto"/>
          <w:sz w:val="24"/>
          <w:highlight w:val="none"/>
          <w:lang w:val="en-US" w:eastAsia="zh-CN"/>
        </w:rPr>
        <w:t xml:space="preserve">=日常防控部分（固定总价-考核</w:t>
      </w:r>
      <w:r>
        <w:rPr>
          <w:rFonts w:hint="eastAsia" w:ascii="宋体" w:hAnsi="宋体" w:cs="Times New Roman"/>
          <w:b/>
          <w:bCs/>
          <w:color w:val="auto"/>
          <w:sz w:val="24"/>
          <w:highlight w:val="none"/>
          <w:lang w:val="en-US" w:eastAsia="zh-CN"/>
        </w:rPr>
        <w:t xml:space="preserve">核减</w:t>
      </w:r>
      <w:r>
        <w:rPr>
          <w:rFonts w:hint="eastAsia" w:ascii="宋体" w:hAnsi="宋体" w:eastAsia="宋体" w:cs="Times New Roman"/>
          <w:b/>
          <w:bCs/>
          <w:color w:val="auto"/>
          <w:sz w:val="24"/>
          <w:highlight w:val="none"/>
          <w:lang w:val="en-US" w:eastAsia="zh-CN"/>
        </w:rPr>
        <w:t xml:space="preserve">金额）+配套处置部分（按实结算）+应急防控部分（按实结算）</w:t>
      </w:r>
      <w:r/>
    </w:p>
    <w:tbl>
      <w:tblPr>
        <w:tblStyle w:val="780"/>
        <w:tblpPr w:horzAnchor="page" w:tblpX="434" w:vertAnchor="text" w:tblpY="450" w:leftFromText="180" w:topFromText="0" w:rightFromText="180" w:bottomFromText="0"/>
        <w:tblW w:w="56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207"/>
        <w:gridCol w:w="1596"/>
        <w:gridCol w:w="1399"/>
        <w:gridCol w:w="1933"/>
        <w:gridCol w:w="4941"/>
      </w:tblGrid>
      <w:tr>
        <w:trPr>
          <w:tblHeader/>
        </w:trPr>
        <w:tc>
          <w:tcPr>
            <w:tcMar>
              <w:left w:w="96" w:type="dxa"/>
              <w:top w:w="96" w:type="dxa"/>
              <w:right w:w="96" w:type="dxa"/>
              <w:bottom w:w="96" w:type="dxa"/>
            </w:tcMar>
            <w:tcW w:w="545"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付款期次</w:t>
            </w:r>
            <w:r/>
          </w:p>
        </w:tc>
        <w:tc>
          <w:tcPr>
            <w:tcMar>
              <w:left w:w="96" w:type="dxa"/>
              <w:top w:w="96" w:type="dxa"/>
              <w:right w:w="96" w:type="dxa"/>
              <w:bottom w:w="96" w:type="dxa"/>
            </w:tcMar>
            <w:tcW w:w="720"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对应服务时段</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支付比例（合同总价占比）</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扣款适用范围</w:t>
            </w:r>
            <w:r/>
          </w:p>
        </w:tc>
        <w:tc>
          <w:tcPr>
            <w:tcMar>
              <w:left w:w="96" w:type="dxa"/>
              <w:top w:w="96" w:type="dxa"/>
              <w:right w:w="96" w:type="dxa"/>
              <w:bottom w:w="96" w:type="dxa"/>
            </w:tcMar>
            <w:tcW w:w="2229"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结算扣款详细规则</w:t>
            </w:r>
            <w:r/>
          </w:p>
        </w:tc>
      </w:tr>
      <w:tr>
        <w:trPr/>
        <w:tc>
          <w:tcPr>
            <w:tcMar>
              <w:left w:w="96" w:type="dxa"/>
              <w:top w:w="96" w:type="dxa"/>
              <w:right w:w="96" w:type="dxa"/>
              <w:bottom w:w="96" w:type="dxa"/>
            </w:tcMar>
            <w:tcW w:w="545"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第一期</w:t>
            </w:r>
            <w:r/>
          </w:p>
        </w:tc>
        <w:tc>
          <w:tcPr>
            <w:tcMar>
              <w:left w:w="96" w:type="dxa"/>
              <w:top w:w="96" w:type="dxa"/>
              <w:right w:w="96" w:type="dxa"/>
              <w:bottom w:w="96" w:type="dxa"/>
            </w:tcMar>
            <w:tcW w:w="72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2026 年</w:t>
            </w:r>
            <w:r/>
          </w:p>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8月—12月</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支付合同总价款的20%</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对</w:t>
            </w:r>
            <w:r>
              <w:rPr>
                <w:rFonts w:hint="eastAsia" w:ascii="宋体" w:hAnsi="宋体" w:cs="宋体"/>
                <w:sz w:val="24"/>
                <w:szCs w:val="24"/>
                <w:highlight w:val="none"/>
                <w:lang w:val="en-US" w:eastAsia="zh-CN" w:bidi="ar"/>
              </w:rPr>
              <w:t xml:space="preserve">2026年</w:t>
            </w:r>
            <w:r>
              <w:rPr>
                <w:rFonts w:hint="eastAsia" w:ascii="宋体" w:hAnsi="宋体" w:eastAsia="宋体" w:cs="宋体"/>
                <w:sz w:val="24"/>
                <w:szCs w:val="24"/>
                <w:highlight w:val="none"/>
                <w:lang w:val="en-US" w:eastAsia="zh-CN" w:bidi="ar"/>
              </w:rPr>
              <w:t xml:space="preserve">本期日常防控板块执行</w:t>
            </w:r>
            <w:r>
              <w:rPr>
                <w:rFonts w:hint="eastAsia" w:ascii="宋体" w:hAnsi="宋体" w:cs="Times New Roman"/>
                <w:b/>
                <w:bCs/>
                <w:color w:val="auto"/>
                <w:sz w:val="24"/>
                <w:highlight w:val="none"/>
                <w:lang w:val="en-US" w:eastAsia="zh-CN"/>
              </w:rPr>
              <w:t xml:space="preserve">核减</w:t>
            </w:r>
            <w:r>
              <w:rPr>
                <w:rFonts w:hint="eastAsia" w:ascii="宋体" w:hAnsi="宋体" w:eastAsia="宋体" w:cs="宋体"/>
                <w:sz w:val="24"/>
                <w:szCs w:val="24"/>
                <w:highlight w:val="none"/>
                <w:lang w:val="en-US" w:eastAsia="zh-CN" w:bidi="ar"/>
              </w:rPr>
              <w:t xml:space="preserve">；配套处置、应急防控按实结算</w:t>
            </w:r>
            <w:r/>
          </w:p>
        </w:tc>
        <w:tc>
          <w:tcPr>
            <w:tcMar>
              <w:left w:w="96" w:type="dxa"/>
              <w:top w:w="96" w:type="dxa"/>
              <w:right w:w="96" w:type="dxa"/>
              <w:bottom w:w="96" w:type="dxa"/>
            </w:tcMar>
            <w:tcW w:w="2229"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1、依据 2026年度考核结果对日常防控部分服务费予以</w:t>
            </w:r>
            <w:r>
              <w:rPr>
                <w:rFonts w:hint="eastAsia" w:ascii="宋体" w:hAnsi="宋体" w:cs="宋体"/>
                <w:sz w:val="24"/>
                <w:szCs w:val="24"/>
                <w:highlight w:val="none"/>
                <w:lang w:val="en-US" w:eastAsia="zh-CN" w:bidi="ar"/>
              </w:rPr>
              <w:t xml:space="preserve">核减</w:t>
            </w:r>
            <w:r>
              <w:rPr>
                <w:rFonts w:hint="eastAsia" w:ascii="宋体" w:hAnsi="宋体" w:eastAsia="宋体" w:cs="宋体"/>
                <w:sz w:val="24"/>
                <w:szCs w:val="24"/>
                <w:highlight w:val="none"/>
                <w:lang w:val="en-US" w:eastAsia="zh-CN" w:bidi="ar"/>
              </w:rPr>
              <w:t xml:space="preserve">（不满一年按实际服务月份折算），</w:t>
            </w:r>
            <w:r>
              <w:rPr>
                <w:rFonts w:hint="eastAsia" w:ascii="宋体" w:hAnsi="宋体" w:cs="Times New Roman"/>
                <w:b/>
                <w:bCs/>
                <w:color w:val="auto"/>
                <w:sz w:val="24"/>
                <w:highlight w:val="none"/>
                <w:lang w:val="en-US" w:eastAsia="zh-CN"/>
              </w:rPr>
              <w:t xml:space="preserve">核减费用</w:t>
            </w:r>
            <w:r>
              <w:rPr>
                <w:rFonts w:hint="eastAsia" w:ascii="宋体" w:hAnsi="宋体" w:eastAsia="宋体" w:cs="宋体"/>
                <w:sz w:val="24"/>
                <w:szCs w:val="24"/>
                <w:highlight w:val="none"/>
                <w:lang w:val="en-US" w:eastAsia="zh-CN" w:bidi="ar"/>
              </w:rPr>
              <w:t xml:space="preserve">在本期应付账款中直接一次性抵扣，拨付剩余应付资金。</w:t>
            </w:r>
            <w:r/>
          </w:p>
          <w:p>
            <w:pPr>
              <w:jc w:val="left"/>
              <w:keepLines w:val="0"/>
              <w:keepNext w:val="0"/>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2、本期拨付金额=合同总价款*20%-日常防控部分服务费</w:t>
            </w:r>
            <w:r>
              <w:rPr>
                <w:rFonts w:hint="eastAsia" w:ascii="宋体" w:hAnsi="宋体" w:cs="Times New Roman"/>
                <w:b/>
                <w:bCs/>
                <w:color w:val="auto"/>
                <w:sz w:val="24"/>
                <w:highlight w:val="none"/>
                <w:lang w:val="en-US" w:eastAsia="zh-CN"/>
              </w:rPr>
              <w:t xml:space="preserve">核减额</w:t>
            </w:r>
            <w:r/>
          </w:p>
        </w:tc>
      </w:tr>
      <w:tr>
        <w:trPr/>
        <w:tc>
          <w:tcPr>
            <w:tcMar>
              <w:left w:w="96" w:type="dxa"/>
              <w:top w:w="96" w:type="dxa"/>
              <w:right w:w="96" w:type="dxa"/>
              <w:bottom w:w="96" w:type="dxa"/>
            </w:tcMar>
            <w:tcW w:w="545"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第二期</w:t>
            </w:r>
            <w:r/>
          </w:p>
        </w:tc>
        <w:tc>
          <w:tcPr>
            <w:tcMar>
              <w:left w:w="96" w:type="dxa"/>
              <w:top w:w="96" w:type="dxa"/>
              <w:right w:w="96" w:type="dxa"/>
              <w:bottom w:w="96" w:type="dxa"/>
            </w:tcMar>
            <w:tcW w:w="72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2027年</w:t>
            </w:r>
            <w:r/>
          </w:p>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1月—12月</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支付合同总价款的</w:t>
            </w:r>
            <w:r>
              <w:rPr>
                <w:rFonts w:hint="eastAsia" w:ascii="宋体" w:hAnsi="宋体" w:cs="宋体"/>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对 2027 年度日常防控板块执行</w:t>
            </w:r>
            <w:r>
              <w:rPr>
                <w:rFonts w:hint="eastAsia" w:ascii="宋体" w:hAnsi="宋体" w:cs="Times New Roman"/>
                <w:b/>
                <w:bCs/>
                <w:color w:val="auto"/>
                <w:sz w:val="24"/>
                <w:highlight w:val="none"/>
                <w:lang w:val="en-US" w:eastAsia="zh-CN"/>
              </w:rPr>
              <w:t xml:space="preserve">核减</w:t>
            </w:r>
            <w:r>
              <w:rPr>
                <w:rFonts w:hint="eastAsia" w:ascii="宋体" w:hAnsi="宋体" w:eastAsia="宋体" w:cs="宋体"/>
                <w:sz w:val="24"/>
                <w:szCs w:val="24"/>
                <w:highlight w:val="none"/>
                <w:lang w:val="en-US" w:eastAsia="zh-CN" w:bidi="ar"/>
              </w:rPr>
              <w:t xml:space="preserve">；配套处置、应急防控按实结算</w:t>
            </w:r>
            <w:r/>
          </w:p>
        </w:tc>
        <w:tc>
          <w:tcPr>
            <w:tcMar>
              <w:left w:w="96" w:type="dxa"/>
              <w:top w:w="96" w:type="dxa"/>
              <w:right w:w="96" w:type="dxa"/>
              <w:bottom w:w="96" w:type="dxa"/>
            </w:tcMar>
            <w:tcW w:w="2229"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1、依据 2027年度考核结果对日常防控服务费予以</w:t>
            </w:r>
            <w:r>
              <w:rPr>
                <w:rFonts w:hint="eastAsia" w:ascii="宋体" w:hAnsi="宋体" w:cs="宋体"/>
                <w:sz w:val="24"/>
                <w:szCs w:val="24"/>
                <w:highlight w:val="none"/>
                <w:lang w:val="en-US" w:eastAsia="zh-CN" w:bidi="ar"/>
              </w:rPr>
              <w:t xml:space="preserve">核减</w:t>
            </w:r>
            <w:r>
              <w:rPr>
                <w:rFonts w:hint="eastAsia" w:ascii="宋体" w:hAnsi="宋体" w:eastAsia="宋体" w:cs="宋体"/>
                <w:sz w:val="24"/>
                <w:szCs w:val="24"/>
                <w:highlight w:val="none"/>
                <w:lang w:val="en-US" w:eastAsia="zh-CN" w:bidi="ar"/>
              </w:rPr>
              <w:t xml:space="preserve">，</w:t>
            </w:r>
            <w:r>
              <w:rPr>
                <w:rFonts w:hint="eastAsia" w:ascii="宋体" w:hAnsi="宋体" w:cs="Times New Roman"/>
                <w:b/>
                <w:bCs/>
                <w:color w:val="auto"/>
                <w:sz w:val="24"/>
                <w:highlight w:val="none"/>
                <w:lang w:val="en-US" w:eastAsia="zh-CN"/>
              </w:rPr>
              <w:t xml:space="preserve">核减费用</w:t>
            </w:r>
            <w:r>
              <w:rPr>
                <w:rFonts w:hint="eastAsia" w:ascii="宋体" w:hAnsi="宋体" w:eastAsia="宋体" w:cs="宋体"/>
                <w:sz w:val="24"/>
                <w:szCs w:val="24"/>
                <w:highlight w:val="none"/>
                <w:lang w:val="en-US" w:eastAsia="zh-CN" w:bidi="ar"/>
              </w:rPr>
              <w:t xml:space="preserve">在本期应付账款中直接一次性抵扣，拨付剩余应付资金。</w:t>
            </w:r>
            <w:r/>
          </w:p>
          <w:p>
            <w:pPr>
              <w:jc w:val="left"/>
              <w:keepLines w:val="0"/>
              <w:keepNext w:val="0"/>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2、本期拨付金额=合同总价款*</w:t>
            </w:r>
            <w:r>
              <w:rPr>
                <w:rFonts w:hint="eastAsia" w:ascii="宋体" w:hAnsi="宋体" w:cs="宋体"/>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%-日常防控部分服务费</w:t>
            </w:r>
            <w:r>
              <w:rPr>
                <w:rFonts w:hint="eastAsia" w:ascii="宋体" w:hAnsi="宋体" w:cs="Times New Roman"/>
                <w:b/>
                <w:bCs/>
                <w:color w:val="auto"/>
                <w:sz w:val="24"/>
                <w:highlight w:val="none"/>
                <w:lang w:val="en-US" w:eastAsia="zh-CN"/>
              </w:rPr>
              <w:t xml:space="preserve">核减额</w:t>
            </w:r>
            <w:r/>
          </w:p>
        </w:tc>
      </w:tr>
      <w:tr>
        <w:trPr/>
        <w:tc>
          <w:tcPr>
            <w:tcMar>
              <w:left w:w="96" w:type="dxa"/>
              <w:top w:w="96" w:type="dxa"/>
              <w:right w:w="96" w:type="dxa"/>
              <w:bottom w:w="96" w:type="dxa"/>
            </w:tcMar>
            <w:tcW w:w="545"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第三期</w:t>
            </w:r>
            <w:r/>
          </w:p>
        </w:tc>
        <w:tc>
          <w:tcPr>
            <w:tcMar>
              <w:left w:w="96" w:type="dxa"/>
              <w:top w:w="96" w:type="dxa"/>
              <w:right w:w="96" w:type="dxa"/>
              <w:bottom w:w="96" w:type="dxa"/>
            </w:tcMar>
            <w:tcW w:w="72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2028 年</w:t>
            </w:r>
            <w:r/>
          </w:p>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1月—12月</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支付合同总价款的</w:t>
            </w:r>
            <w:r>
              <w:rPr>
                <w:rFonts w:hint="eastAsia" w:ascii="宋体" w:hAnsi="宋体" w:cs="宋体"/>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对 2028年度日常防控板块执行</w:t>
            </w:r>
            <w:r>
              <w:rPr>
                <w:rFonts w:hint="eastAsia" w:ascii="宋体" w:hAnsi="宋体" w:cs="Times New Roman"/>
                <w:b/>
                <w:bCs/>
                <w:color w:val="auto"/>
                <w:sz w:val="24"/>
                <w:highlight w:val="none"/>
                <w:lang w:val="en-US" w:eastAsia="zh-CN"/>
              </w:rPr>
              <w:t xml:space="preserve">核减</w:t>
            </w:r>
            <w:r>
              <w:rPr>
                <w:rFonts w:hint="eastAsia" w:ascii="宋体" w:hAnsi="宋体" w:eastAsia="宋体" w:cs="宋体"/>
                <w:sz w:val="24"/>
                <w:szCs w:val="24"/>
                <w:highlight w:val="none"/>
                <w:lang w:val="en-US" w:eastAsia="zh-CN" w:bidi="ar"/>
              </w:rPr>
              <w:t xml:space="preserve">；配套处置、应急防控按实结算</w:t>
            </w:r>
            <w:r/>
          </w:p>
        </w:tc>
        <w:tc>
          <w:tcPr>
            <w:tcMar>
              <w:left w:w="96" w:type="dxa"/>
              <w:top w:w="96" w:type="dxa"/>
              <w:right w:w="96" w:type="dxa"/>
              <w:bottom w:w="96" w:type="dxa"/>
            </w:tcMar>
            <w:tcW w:w="2229"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1、依据 2028年度考核结果对日常防控服务费予以</w:t>
            </w:r>
            <w:r>
              <w:rPr>
                <w:rFonts w:hint="eastAsia" w:ascii="宋体" w:hAnsi="宋体" w:cs="宋体"/>
                <w:sz w:val="24"/>
                <w:szCs w:val="24"/>
                <w:highlight w:val="none"/>
                <w:lang w:val="en-US" w:eastAsia="zh-CN" w:bidi="ar"/>
              </w:rPr>
              <w:t xml:space="preserve">核减</w:t>
            </w:r>
            <w:r>
              <w:rPr>
                <w:rFonts w:hint="eastAsia" w:ascii="宋体" w:hAnsi="宋体" w:eastAsia="宋体" w:cs="宋体"/>
                <w:sz w:val="24"/>
                <w:szCs w:val="24"/>
                <w:highlight w:val="none"/>
                <w:lang w:val="en-US" w:eastAsia="zh-CN" w:bidi="ar"/>
              </w:rPr>
              <w:t xml:space="preserve">，</w:t>
            </w:r>
            <w:r>
              <w:rPr>
                <w:rFonts w:hint="eastAsia" w:ascii="宋体" w:hAnsi="宋体" w:cs="Times New Roman"/>
                <w:b/>
                <w:bCs/>
                <w:color w:val="auto"/>
                <w:sz w:val="24"/>
                <w:highlight w:val="none"/>
                <w:lang w:val="en-US" w:eastAsia="zh-CN"/>
              </w:rPr>
              <w:t xml:space="preserve">核减费用</w:t>
            </w:r>
            <w:r>
              <w:rPr>
                <w:rFonts w:hint="eastAsia" w:ascii="宋体" w:hAnsi="宋体" w:eastAsia="宋体" w:cs="宋体"/>
                <w:sz w:val="24"/>
                <w:szCs w:val="24"/>
                <w:highlight w:val="none"/>
                <w:lang w:val="en-US" w:eastAsia="zh-CN" w:bidi="ar"/>
              </w:rPr>
              <w:t xml:space="preserve">在本期应付账款中直接一次性抵扣，拨付剩余应付资金。</w:t>
            </w:r>
            <w:r/>
          </w:p>
          <w:p>
            <w:pPr>
              <w:jc w:val="left"/>
              <w:keepLines w:val="0"/>
              <w:keepNext w:val="0"/>
              <w:widowControl/>
              <w:rPr>
                <w:highlight w:val="none"/>
              </w:rPr>
              <w:suppressLineNumbers w:val="0"/>
            </w:pPr>
            <w:r>
              <w:rPr>
                <w:rFonts w:hint="eastAsia" w:ascii="宋体" w:hAnsi="宋体" w:eastAsia="宋体" w:cs="宋体"/>
                <w:sz w:val="24"/>
                <w:szCs w:val="24"/>
                <w:highlight w:val="none"/>
                <w:lang w:val="en-US" w:eastAsia="zh-CN" w:bidi="ar"/>
              </w:rPr>
              <w:t xml:space="preserve">2、本期拨付金额=合同总价款*</w:t>
            </w:r>
            <w:r>
              <w:rPr>
                <w:rFonts w:hint="eastAsia" w:ascii="宋体" w:hAnsi="宋体" w:cs="宋体"/>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%-日常防控部分服务费</w:t>
            </w:r>
            <w:r>
              <w:rPr>
                <w:rFonts w:hint="eastAsia" w:ascii="宋体" w:hAnsi="宋体" w:cs="Times New Roman"/>
                <w:b/>
                <w:bCs/>
                <w:color w:val="auto"/>
                <w:sz w:val="24"/>
                <w:highlight w:val="none"/>
                <w:lang w:val="en-US" w:eastAsia="zh-CN"/>
              </w:rPr>
              <w:t xml:space="preserve">核减额</w:t>
            </w:r>
            <w:r/>
          </w:p>
        </w:tc>
      </w:tr>
      <w:tr>
        <w:trPr/>
        <w:tc>
          <w:tcPr>
            <w:tcMar>
              <w:left w:w="96" w:type="dxa"/>
              <w:top w:w="96" w:type="dxa"/>
              <w:right w:w="96" w:type="dxa"/>
              <w:bottom w:w="96" w:type="dxa"/>
            </w:tcMar>
            <w:tcW w:w="545"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第四期（尾款）</w:t>
            </w:r>
            <w:r/>
          </w:p>
        </w:tc>
        <w:tc>
          <w:tcPr>
            <w:tcMar>
              <w:left w:w="96" w:type="dxa"/>
              <w:top w:w="96" w:type="dxa"/>
              <w:right w:w="96" w:type="dxa"/>
              <w:bottom w:w="96" w:type="dxa"/>
            </w:tcMar>
            <w:tcW w:w="72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2029 年</w:t>
            </w:r>
            <w:r/>
          </w:p>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1月—7月</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一次性付清剩余全部款项</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对 2029年本期日常防控板块执行</w:t>
            </w:r>
            <w:r>
              <w:rPr>
                <w:rFonts w:hint="eastAsia" w:ascii="宋体" w:hAnsi="宋体" w:cs="Times New Roman"/>
                <w:b/>
                <w:bCs/>
                <w:color w:val="auto"/>
                <w:sz w:val="24"/>
                <w:highlight w:val="none"/>
                <w:lang w:val="en-US" w:eastAsia="zh-CN"/>
              </w:rPr>
              <w:t xml:space="preserve">核减</w:t>
            </w:r>
            <w:r>
              <w:rPr>
                <w:rFonts w:hint="eastAsia" w:ascii="宋体" w:hAnsi="宋体" w:eastAsia="宋体" w:cs="宋体"/>
                <w:sz w:val="24"/>
                <w:szCs w:val="24"/>
                <w:highlight w:val="none"/>
                <w:lang w:val="en-US" w:eastAsia="zh-CN" w:bidi="ar"/>
              </w:rPr>
              <w:t xml:space="preserve">；配套处置、应急防控按实结算</w:t>
            </w:r>
            <w:r/>
          </w:p>
        </w:tc>
        <w:tc>
          <w:tcPr>
            <w:tcMar>
              <w:left w:w="96" w:type="dxa"/>
              <w:top w:w="96" w:type="dxa"/>
              <w:right w:w="96" w:type="dxa"/>
              <w:bottom w:w="96" w:type="dxa"/>
            </w:tcMar>
            <w:tcW w:w="2229" w:type="pct"/>
            <w:vAlign w:val="center"/>
            <w:textDirection w:val="lrTb"/>
            <w:noWrap w:val="false"/>
          </w:tcPr>
          <w:p>
            <w:pPr>
              <w:jc w:val="left"/>
              <w:keepLines w:val="0"/>
              <w:keepNext w:val="0"/>
              <w:widowControl/>
              <w:rPr>
                <w:rFonts w:hint="eastAsia" w:ascii="宋体" w:hAnsi="宋体" w:eastAsia="宋体" w:cs="Times New Roman"/>
                <w:b/>
                <w:bCs/>
                <w:color w:val="auto"/>
                <w:sz w:val="24"/>
                <w:highlight w:val="none"/>
                <w:lang w:val="en-US" w:eastAsia="zh-CN"/>
              </w:rPr>
              <w:suppressLineNumbers w:val="0"/>
            </w:pPr>
            <w:r>
              <w:rPr>
                <w:rFonts w:hint="eastAsia" w:ascii="宋体" w:hAnsi="宋体" w:cs="Times New Roman"/>
                <w:b/>
                <w:bCs/>
                <w:color w:val="auto"/>
                <w:sz w:val="24"/>
                <w:highlight w:val="none"/>
                <w:lang w:val="en-US" w:eastAsia="zh-CN"/>
              </w:rPr>
              <w:t xml:space="preserve">结算额</w:t>
            </w:r>
            <w:r>
              <w:rPr>
                <w:rFonts w:hint="eastAsia" w:ascii="宋体" w:hAnsi="宋体" w:eastAsia="宋体" w:cs="Times New Roman"/>
                <w:b/>
                <w:bCs/>
                <w:color w:val="auto"/>
                <w:sz w:val="24"/>
                <w:highlight w:val="none"/>
                <w:lang w:val="en-US" w:eastAsia="zh-CN"/>
              </w:rPr>
              <w:t xml:space="preserve">=日常防控部分（固定总价-考核</w:t>
            </w:r>
            <w:r>
              <w:rPr>
                <w:rFonts w:hint="eastAsia" w:ascii="宋体" w:hAnsi="宋体" w:cs="Times New Roman"/>
                <w:b/>
                <w:bCs/>
                <w:color w:val="auto"/>
                <w:sz w:val="24"/>
                <w:highlight w:val="none"/>
                <w:lang w:val="en-US" w:eastAsia="zh-CN"/>
              </w:rPr>
              <w:t xml:space="preserve">核减</w:t>
            </w:r>
            <w:r>
              <w:rPr>
                <w:rFonts w:hint="eastAsia" w:ascii="宋体" w:hAnsi="宋体" w:eastAsia="宋体" w:cs="Times New Roman"/>
                <w:b/>
                <w:bCs/>
                <w:color w:val="auto"/>
                <w:sz w:val="24"/>
                <w:highlight w:val="none"/>
                <w:lang w:val="en-US" w:eastAsia="zh-CN"/>
              </w:rPr>
              <w:t xml:space="preserve">金额）+配套处置部分（按实结算）+应急防控部分（按实结算）</w:t>
            </w:r>
            <w:r/>
          </w:p>
          <w:p>
            <w:pPr>
              <w:jc w:val="left"/>
              <w:keepLines w:val="0"/>
              <w:keepNext w:val="0"/>
              <w:widowControl/>
              <w:rPr>
                <w:rFonts w:hint="default"/>
                <w:highlight w:val="none"/>
                <w:lang w:val="en-US"/>
              </w:rPr>
              <w:suppressLineNumbers w:val="0"/>
            </w:pPr>
            <w:r>
              <w:rPr>
                <w:rFonts w:hint="eastAsia" w:ascii="宋体" w:hAnsi="宋体" w:cs="宋体"/>
                <w:sz w:val="24"/>
                <w:szCs w:val="24"/>
                <w:highlight w:val="none"/>
                <w:lang w:val="en-US" w:eastAsia="zh-CN" w:bidi="ar"/>
              </w:rPr>
              <w:t xml:space="preserve">尾款金额=结算额</w:t>
            </w:r>
            <w:r>
              <w:rPr>
                <w:rFonts w:hint="eastAsia" w:ascii="宋体" w:hAnsi="宋体" w:eastAsia="宋体" w:cs="宋体"/>
                <w:sz w:val="24"/>
                <w:szCs w:val="24"/>
                <w:highlight w:val="none"/>
                <w:lang w:val="en-US" w:eastAsia="zh-CN" w:bidi="ar"/>
              </w:rPr>
              <w:t xml:space="preserve">-前三期已支付款项</w:t>
            </w:r>
            <w:r/>
          </w:p>
        </w:tc>
      </w:tr>
    </w:tbl>
    <w:p>
      <w:pPr>
        <w:numPr>
          <w:ilvl w:val="0"/>
          <w:numId w:val="0"/>
        </w:numPr>
        <w:ind w:firstLine="482"/>
        <w:spacing w:line="36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r>
      <w:r/>
    </w:p>
    <w:p>
      <w:pPr>
        <w:jc w:val="both"/>
        <w:rPr>
          <w:rFonts w:hint="eastAsia" w:ascii="黑体" w:hAnsi="黑体" w:eastAsia="黑体"/>
          <w:sz w:val="28"/>
          <w:highlight w:val="none"/>
        </w:rPr>
        <w:outlineLvl w:val="0"/>
      </w:pPr>
      <w:r>
        <w:rPr>
          <w:rFonts w:hint="eastAsia" w:ascii="黑体" w:hAnsi="黑体" w:eastAsia="黑体"/>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br w:type="page" w:clear="all"/>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第四章 政府采购合同（格式）</w:t>
      </w:r>
      <w:bookmarkEnd w:id="72"/>
      <w:r/>
      <w:bookmarkEnd w:id="73"/>
      <w:r/>
      <w:r/>
    </w:p>
    <w:p>
      <w:pPr>
        <w:pStyle w:val="803"/>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803"/>
        <w:ind w:firstLine="0"/>
        <w:jc w:val="center"/>
        <w:rPr>
          <w:rFonts w:hint="eastAsia" w:hAnsi="宋体" w:cs="宋体"/>
          <w:color w:val="auto"/>
          <w:szCs w:val="24"/>
          <w:highlight w:val="none"/>
        </w:rPr>
      </w:pPr>
      <w:r>
        <w:rPr>
          <w:rFonts w:hint="eastAsia" w:hAnsi="宋体" w:cs="宋体"/>
          <w:b/>
          <w:color w:val="auto"/>
          <w:sz w:val="28"/>
          <w:szCs w:val="28"/>
          <w:highlight w:val="none"/>
          <w:lang w:val="zh-CN"/>
        </w:rPr>
        <w:t xml:space="preserve">                            </w:t>
      </w:r>
      <w:r/>
    </w:p>
    <w:p>
      <w:pPr>
        <w:pStyle w:val="803"/>
        <w:ind w:firstLine="0"/>
        <w:rPr>
          <w:rFonts w:hint="eastAsia" w:hAnsi="宋体" w:cs="宋体"/>
          <w:color w:val="auto"/>
          <w:szCs w:val="24"/>
          <w:highlight w:val="none"/>
        </w:rPr>
      </w:pPr>
      <w:r>
        <w:rPr>
          <w:rFonts w:hint="eastAsia" w:hAnsi="宋体" w:cs="宋体"/>
          <w:color w:val="auto"/>
          <w:szCs w:val="24"/>
          <w:highlight w:val="none"/>
        </w:rPr>
      </w:r>
      <w:r/>
    </w:p>
    <w:p>
      <w:pPr>
        <w:pStyle w:val="803"/>
        <w:ind w:firstLine="0"/>
        <w:rPr>
          <w:rFonts w:hint="eastAsia" w:hAnsi="宋体" w:cs="宋体"/>
          <w:color w:val="auto"/>
          <w:szCs w:val="24"/>
          <w:highlight w:val="none"/>
        </w:rPr>
      </w:pPr>
      <w:r>
        <w:rPr>
          <w:rFonts w:hint="eastAsia" w:hAnsi="宋体" w:cs="宋体"/>
          <w:color w:val="auto"/>
          <w:szCs w:val="24"/>
          <w:highlight w:val="none"/>
        </w:rPr>
      </w:r>
      <w:r/>
    </w:p>
    <w:p>
      <w:pPr>
        <w:pStyle w:val="803"/>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803"/>
        <w:ind w:firstLine="0"/>
        <w:rPr>
          <w:rFonts w:hint="eastAsia" w:hAnsi="宋体" w:cs="宋体"/>
          <w:color w:val="auto"/>
          <w:szCs w:val="24"/>
          <w:highlight w:val="none"/>
        </w:rPr>
      </w:pPr>
      <w:r>
        <w:rPr>
          <w:rFonts w:hint="eastAsia" w:hAnsi="宋体" w:cs="宋体"/>
          <w:color w:val="auto"/>
          <w:szCs w:val="24"/>
          <w:highlight w:val="none"/>
        </w:rPr>
      </w:r>
      <w:r/>
    </w:p>
    <w:p>
      <w:pPr>
        <w:pStyle w:val="803"/>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802"/>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02"/>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hint="eastAsia" w:ascii="宋体" w:hAnsi="宋体" w:cs="宋体"/>
          <w:color w:val="auto"/>
          <w:sz w:val="24"/>
          <w:highlight w:val="none"/>
        </w:rPr>
        <w:sectPr>
          <w:footerReference w:type="default" r:id="rId14"/>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宜兴市水利局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单一来源采购方式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2026-2029年太湖蓝藻防控运维服务</w:t>
      </w:r>
      <w:r>
        <w:rPr>
          <w:rFonts w:hint="eastAsia" w:ascii="宋体" w:hAnsi="宋体" w:cs="宋体"/>
          <w:color w:val="auto"/>
          <w:sz w:val="24"/>
          <w:highlight w:val="none"/>
          <w:u w:val="single"/>
        </w:rPr>
        <w:t xml:space="preserve">项目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单一来源采购人员</w:t>
      </w:r>
      <w:r>
        <w:rPr>
          <w:rFonts w:hint="eastAsia" w:ascii="宋体" w:hAnsi="宋体" w:cs="宋体"/>
          <w:color w:val="auto"/>
          <w:sz w:val="24"/>
          <w:highlight w:val="none"/>
        </w:rPr>
        <w:t xml:space="preserve">评审，</w:t>
      </w:r>
      <w:r>
        <w:rPr>
          <w:rFonts w:hint="eastAsia" w:ascii="宋体" w:hAnsi="宋体" w:cs="宋体"/>
          <w:color w:val="auto"/>
          <w:sz w:val="24"/>
          <w:highlight w:val="none"/>
          <w:lang w:eastAsia="zh-CN"/>
        </w:rPr>
        <w:t xml:space="preserve">宜兴市水利局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（成交供应商名称）</w:t>
      </w:r>
      <w:r>
        <w:rPr>
          <w:rFonts w:hint="eastAsia" w:ascii="宋体" w:hAnsi="宋体" w:cs="宋体"/>
          <w:color w:val="auto"/>
          <w:sz w:val="24"/>
          <w:highlight w:val="none"/>
        </w:rPr>
        <w:t xml:space="preserve">为该项目成交供应商。现于成交通知书发出之日起三十日内，按照采购文件确定的事项签订本合同。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w:t>
      </w:r>
      <w:r>
        <w:rPr>
          <w:rFonts w:hint="eastAsia" w:ascii="宋体" w:hAnsi="宋体" w:cs="宋体"/>
          <w:color w:val="auto"/>
          <w:sz w:val="24"/>
          <w:highlight w:val="none"/>
          <w:lang w:val="en-US" w:eastAsia="zh-CN"/>
        </w:rPr>
        <w:t xml:space="preserve">民法典》《</w:t>
      </w:r>
      <w:r>
        <w:rPr>
          <w:rFonts w:hint="eastAsia" w:ascii="宋体" w:hAnsi="宋体" w:cs="宋体"/>
          <w:color w:val="auto"/>
          <w:sz w:val="24"/>
          <w:highlight w:val="none"/>
          <w:lang w:val="zh-CN"/>
        </w:rPr>
        <w:t xml:space="preserve">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宜兴市水利局（</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（成交供应商名称）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b/>
          <w:color w:val="auto"/>
          <w:sz w:val="24"/>
          <w:highlight w:val="none"/>
        </w:rPr>
      </w:pPr>
      <w:r/>
      <w:bookmarkStart w:id="80" w:name="_Toc3029"/>
      <w:r/>
      <w:bookmarkStart w:id="81" w:name="_Toc24059"/>
      <w:r/>
      <w:bookmarkStart w:id="82" w:name="_Toc2232"/>
      <w:r>
        <w:rPr>
          <w:rFonts w:hint="eastAsia" w:ascii="宋体" w:hAnsi="宋体" w:cs="宋体"/>
          <w:b/>
          <w:color w:val="auto"/>
          <w:sz w:val="24"/>
          <w:highlight w:val="none"/>
        </w:rPr>
        <w:t xml:space="preserve">1.1 合同组成部分</w:t>
      </w:r>
      <w:bookmarkEnd w:id="80"/>
      <w:r/>
      <w:bookmarkEnd w:id="81"/>
      <w:r/>
      <w:bookmarkEnd w:id="82"/>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成交通知书；</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响应文件（含澄清或者说明文件）；</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采购文件（含澄清或者修改文件）；</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83" w:name="_Toc22185"/>
      <w:r/>
      <w:bookmarkStart w:id="84" w:name="_Toc2918"/>
      <w:r/>
      <w:bookmarkStart w:id="85" w:name="_Toc18585"/>
      <w:r/>
      <w:bookmarkStart w:id="86" w:name="_Toc6311"/>
      <w:r/>
      <w:bookmarkStart w:id="87" w:name="_Toc6773"/>
      <w:r>
        <w:rPr>
          <w:rFonts w:hint="eastAsia" w:ascii="宋体" w:hAnsi="宋体" w:cs="宋体"/>
          <w:b/>
          <w:color w:val="auto"/>
          <w:sz w:val="24"/>
          <w:szCs w:val="24"/>
          <w:highlight w:val="none"/>
        </w:rPr>
        <w:t xml:space="preserve">1.2 标的</w:t>
      </w:r>
      <w:bookmarkEnd w:id="83"/>
      <w:r/>
      <w:bookmarkEnd w:id="84"/>
      <w:r/>
      <w:bookmarkEnd w:id="85"/>
      <w:r/>
      <w:bookmarkEnd w:id="86"/>
      <w:r/>
      <w:bookmarkEnd w:id="87"/>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项目数量：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1.2.3 项目质量：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highlight w:val="none"/>
        </w:rPr>
      </w:pPr>
      <w:r/>
      <w:bookmarkStart w:id="88" w:name="_Toc21551"/>
      <w:r/>
      <w:bookmarkStart w:id="89" w:name="_Toc23292"/>
      <w:r/>
      <w:bookmarkStart w:id="90" w:name="_Toc21631"/>
      <w:r>
        <w:rPr>
          <w:rFonts w:hint="eastAsia" w:ascii="宋体" w:hAnsi="宋体" w:cs="宋体"/>
          <w:b/>
          <w:color w:val="auto"/>
          <w:sz w:val="24"/>
          <w:highlight w:val="none"/>
        </w:rPr>
        <w:t xml:space="preserve">1.3 价款</w:t>
      </w:r>
      <w:bookmarkEnd w:id="88"/>
      <w:r/>
      <w:bookmarkEnd w:id="89"/>
      <w:r/>
      <w:bookmarkEnd w:id="90"/>
      <w:r/>
      <w:r/>
    </w:p>
    <w:p>
      <w:pPr>
        <w:ind w:firstLine="480"/>
        <w:spacing w:line="560" w:lineRule="exact"/>
        <w:rPr>
          <w:rFonts w:hint="eastAsia" w:ascii="宋体" w:hAnsi="宋体" w:cs="宋体"/>
          <w:sz w:val="24"/>
          <w:highlight w:val="none"/>
        </w:rPr>
      </w:pPr>
      <w:r/>
      <w:bookmarkStart w:id="91" w:name="_Toc10340"/>
      <w:r/>
      <w:bookmarkStart w:id="92" w:name="_Toc22618"/>
      <w:r/>
      <w:bookmarkStart w:id="93" w:name="_Toc1814"/>
      <w:r>
        <w:rPr>
          <w:rFonts w:hint="eastAsia" w:ascii="宋体" w:hAnsi="宋体" w:cs="宋体"/>
          <w:sz w:val="24"/>
          <w:highlight w:val="none"/>
        </w:rPr>
        <w:t xml:space="preserve">本合同总价为：￥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2"/>
        <w:spacing w:line="56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1.4 付款方式和</w:t>
      </w:r>
      <w:bookmarkEnd w:id="91"/>
      <w:r/>
      <w:bookmarkEnd w:id="92"/>
      <w:r/>
      <w:bookmarkEnd w:id="93"/>
      <w:r>
        <w:rPr>
          <w:rFonts w:hint="eastAsia" w:ascii="宋体" w:hAnsi="宋体" w:cs="宋体"/>
          <w:b/>
          <w:color w:val="auto"/>
          <w:sz w:val="24"/>
          <w:highlight w:val="none"/>
          <w:lang w:val="en-US" w:eastAsia="zh-CN"/>
        </w:rPr>
        <w:t xml:space="preserve">考核细则</w:t>
      </w:r>
      <w:r/>
    </w:p>
    <w:p>
      <w:pPr>
        <w:ind w:firstLine="480"/>
        <w:spacing w:line="5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1.4.1 付款方式：</w:t>
      </w:r>
      <w:r/>
    </w:p>
    <w:p>
      <w:pPr>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结算额=日常防控部分（固定总价-考核核减金额）+配套处置部分（按实结算）+应急防控部分（按实结算）</w:t>
      </w:r>
      <w:r/>
    </w:p>
    <w:p>
      <w:pPr>
        <w:ind w:firstLine="480"/>
        <w:spacing w:line="5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注：①本项目日常防控部分每年限价见上表。</w:t>
      </w:r>
      <w:r/>
    </w:p>
    <w:p>
      <w:pPr>
        <w:ind w:firstLine="480"/>
        <w:spacing w:line="56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②配套部分分为藻泥处置和水生植物处置两部分，两部分每年限价见上表，根据实际处置量投标单价结算。</w:t>
      </w:r>
      <w:r/>
    </w:p>
    <w:p>
      <w:pPr>
        <w:ind w:firstLine="480"/>
        <w:spacing w:line="5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③应急防控部分每年限价见上表，最终根据实际应急任务按实结算。 </w:t>
      </w:r>
      <w:r/>
    </w:p>
    <w:p>
      <w:pPr>
        <w:ind w:firstLine="480"/>
        <w:spacing w:line="560" w:lineRule="exac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tbl>
      <w:tblPr>
        <w:tblStyle w:val="780"/>
        <w:tblW w:w="53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35"/>
        <w:gridCol w:w="1504"/>
        <w:gridCol w:w="1318"/>
        <w:gridCol w:w="1821"/>
        <w:gridCol w:w="4659"/>
      </w:tblGrid>
      <w:tr>
        <w:trPr>
          <w:trHeight w:val="1126"/>
          <w:tblHeader/>
        </w:trPr>
        <w:tc>
          <w:tcPr>
            <w:tcMar>
              <w:left w:w="96" w:type="dxa"/>
              <w:top w:w="96" w:type="dxa"/>
              <w:right w:w="96" w:type="dxa"/>
              <w:bottom w:w="96" w:type="dxa"/>
            </w:tcMar>
            <w:tcW w:w="544"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付款期次</w:t>
            </w:r>
            <w:r/>
          </w:p>
        </w:tc>
        <w:tc>
          <w:tcPr>
            <w:tcMar>
              <w:left w:w="96" w:type="dxa"/>
              <w:top w:w="96" w:type="dxa"/>
              <w:right w:w="96" w:type="dxa"/>
              <w:bottom w:w="96" w:type="dxa"/>
            </w:tcMar>
            <w:tcW w:w="720"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对应服务时段</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支付比例（合同总价占比）</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扣款适用范围</w:t>
            </w:r>
            <w:r/>
          </w:p>
        </w:tc>
        <w:tc>
          <w:tcPr>
            <w:tcMar>
              <w:left w:w="96" w:type="dxa"/>
              <w:top w:w="96" w:type="dxa"/>
              <w:right w:w="96" w:type="dxa"/>
              <w:bottom w:w="96" w:type="dxa"/>
            </w:tcMar>
            <w:tcW w:w="2231" w:type="pct"/>
            <w:vAlign w:val="center"/>
            <w:textDirection w:val="lrTb"/>
            <w:noWrap w:val="false"/>
          </w:tcPr>
          <w:p>
            <w:p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结算扣款详细规则</w:t>
            </w:r>
            <w:r/>
          </w:p>
        </w:tc>
      </w:tr>
      <w:tr>
        <w:trPr>
          <w:trHeight w:val="2053"/>
        </w:trPr>
        <w:tc>
          <w:tcPr>
            <w:tcMar>
              <w:left w:w="96" w:type="dxa"/>
              <w:top w:w="96" w:type="dxa"/>
              <w:right w:w="96" w:type="dxa"/>
              <w:bottom w:w="96" w:type="dxa"/>
            </w:tcMar>
            <w:tcW w:w="544"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第一期</w:t>
            </w:r>
            <w:r/>
          </w:p>
        </w:tc>
        <w:tc>
          <w:tcPr>
            <w:tcMar>
              <w:left w:w="96" w:type="dxa"/>
              <w:top w:w="96" w:type="dxa"/>
              <w:right w:w="96" w:type="dxa"/>
              <w:bottom w:w="96" w:type="dxa"/>
            </w:tcMar>
            <w:tcW w:w="72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2026 年</w:t>
            </w:r>
            <w:r/>
          </w:p>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8月—12月</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支付合同总价款的20%</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对</w:t>
            </w:r>
            <w:r>
              <w:rPr>
                <w:rFonts w:hint="eastAsia" w:ascii="宋体" w:hAnsi="宋体" w:cs="宋体"/>
                <w:sz w:val="24"/>
                <w:szCs w:val="24"/>
                <w:highlight w:val="none"/>
                <w:lang w:val="en-US" w:eastAsia="zh-CN" w:bidi="ar"/>
              </w:rPr>
              <w:t xml:space="preserve">2026年</w:t>
            </w:r>
            <w:r>
              <w:rPr>
                <w:rFonts w:hint="eastAsia" w:ascii="宋体" w:hAnsi="宋体" w:eastAsia="宋体" w:cs="宋体"/>
                <w:sz w:val="24"/>
                <w:szCs w:val="24"/>
                <w:highlight w:val="none"/>
                <w:lang w:val="en-US" w:eastAsia="zh-CN" w:bidi="ar"/>
              </w:rPr>
              <w:t xml:space="preserve">本期日常防控板块执行</w:t>
            </w:r>
            <w:r>
              <w:rPr>
                <w:rFonts w:hint="eastAsia" w:ascii="宋体" w:hAnsi="宋体" w:cs="Times New Roman"/>
                <w:b/>
                <w:bCs/>
                <w:color w:val="auto"/>
                <w:sz w:val="24"/>
                <w:highlight w:val="none"/>
                <w:lang w:val="en-US" w:eastAsia="zh-CN"/>
              </w:rPr>
              <w:t xml:space="preserve">核减</w:t>
            </w:r>
            <w:r>
              <w:rPr>
                <w:rFonts w:hint="eastAsia" w:ascii="宋体" w:hAnsi="宋体" w:eastAsia="宋体" w:cs="宋体"/>
                <w:sz w:val="24"/>
                <w:szCs w:val="24"/>
                <w:highlight w:val="none"/>
                <w:lang w:val="en-US" w:eastAsia="zh-CN" w:bidi="ar"/>
              </w:rPr>
              <w:t xml:space="preserve">；配套处置、应急防控按实结算</w:t>
            </w:r>
            <w:r/>
          </w:p>
        </w:tc>
        <w:tc>
          <w:tcPr>
            <w:tcMar>
              <w:left w:w="96" w:type="dxa"/>
              <w:top w:w="96" w:type="dxa"/>
              <w:right w:w="96" w:type="dxa"/>
              <w:bottom w:w="96" w:type="dxa"/>
            </w:tcMar>
            <w:tcW w:w="22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1、依据 2026年度考核结果对日常防控部分服务费予以</w:t>
            </w:r>
            <w:r>
              <w:rPr>
                <w:rFonts w:hint="eastAsia" w:ascii="宋体" w:hAnsi="宋体" w:cs="宋体"/>
                <w:sz w:val="24"/>
                <w:szCs w:val="24"/>
                <w:highlight w:val="none"/>
                <w:lang w:val="en-US" w:eastAsia="zh-CN" w:bidi="ar"/>
              </w:rPr>
              <w:t xml:space="preserve">核减</w:t>
            </w:r>
            <w:r>
              <w:rPr>
                <w:rFonts w:hint="eastAsia" w:ascii="宋体" w:hAnsi="宋体" w:eastAsia="宋体" w:cs="宋体"/>
                <w:sz w:val="24"/>
                <w:szCs w:val="24"/>
                <w:highlight w:val="none"/>
                <w:lang w:val="en-US" w:eastAsia="zh-CN" w:bidi="ar"/>
              </w:rPr>
              <w:t xml:space="preserve">（不满一年按实际服务月份折算），</w:t>
            </w:r>
            <w:r>
              <w:rPr>
                <w:rFonts w:hint="eastAsia" w:ascii="宋体" w:hAnsi="宋体" w:cs="Times New Roman"/>
                <w:b/>
                <w:bCs/>
                <w:color w:val="auto"/>
                <w:sz w:val="24"/>
                <w:highlight w:val="none"/>
                <w:lang w:val="en-US" w:eastAsia="zh-CN"/>
              </w:rPr>
              <w:t xml:space="preserve">核减费用</w:t>
            </w:r>
            <w:r>
              <w:rPr>
                <w:rFonts w:hint="eastAsia" w:ascii="宋体" w:hAnsi="宋体" w:eastAsia="宋体" w:cs="宋体"/>
                <w:sz w:val="24"/>
                <w:szCs w:val="24"/>
                <w:highlight w:val="none"/>
                <w:lang w:val="en-US" w:eastAsia="zh-CN" w:bidi="ar"/>
              </w:rPr>
              <w:t xml:space="preserve">在本期应付账款中直接一次性抵扣，拨付剩余应付资金。</w:t>
            </w:r>
            <w:r/>
          </w:p>
          <w:p>
            <w:pPr>
              <w:jc w:val="left"/>
              <w:keepLines w:val="0"/>
              <w:keepNext w:val="0"/>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2、本期拨付金额=合同总价款*20%-日常防控部分服务费</w:t>
            </w:r>
            <w:r>
              <w:rPr>
                <w:rFonts w:hint="eastAsia" w:ascii="宋体" w:hAnsi="宋体" w:cs="Times New Roman"/>
                <w:b/>
                <w:bCs/>
                <w:color w:val="auto"/>
                <w:sz w:val="24"/>
                <w:highlight w:val="none"/>
                <w:lang w:val="en-US" w:eastAsia="zh-CN"/>
              </w:rPr>
              <w:t xml:space="preserve">核减额</w:t>
            </w:r>
            <w:r/>
          </w:p>
        </w:tc>
      </w:tr>
      <w:tr>
        <w:trPr>
          <w:trHeight w:val="1744"/>
        </w:trPr>
        <w:tc>
          <w:tcPr>
            <w:tcMar>
              <w:left w:w="96" w:type="dxa"/>
              <w:top w:w="96" w:type="dxa"/>
              <w:right w:w="96" w:type="dxa"/>
              <w:bottom w:w="96" w:type="dxa"/>
            </w:tcMar>
            <w:tcW w:w="544"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第二期</w:t>
            </w:r>
            <w:r/>
          </w:p>
        </w:tc>
        <w:tc>
          <w:tcPr>
            <w:tcMar>
              <w:left w:w="96" w:type="dxa"/>
              <w:top w:w="96" w:type="dxa"/>
              <w:right w:w="96" w:type="dxa"/>
              <w:bottom w:w="96" w:type="dxa"/>
            </w:tcMar>
            <w:tcW w:w="72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2027年</w:t>
            </w:r>
            <w:r/>
          </w:p>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1月—12月</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支付合同总价款的</w:t>
            </w:r>
            <w:r>
              <w:rPr>
                <w:rFonts w:hint="eastAsia" w:ascii="宋体" w:hAnsi="宋体" w:cs="宋体"/>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对 2027 年度日常防控板块执行</w:t>
            </w:r>
            <w:r>
              <w:rPr>
                <w:rFonts w:hint="eastAsia" w:ascii="宋体" w:hAnsi="宋体" w:cs="Times New Roman"/>
                <w:b/>
                <w:bCs/>
                <w:color w:val="auto"/>
                <w:sz w:val="24"/>
                <w:highlight w:val="none"/>
                <w:lang w:val="en-US" w:eastAsia="zh-CN"/>
              </w:rPr>
              <w:t xml:space="preserve">核减</w:t>
            </w:r>
            <w:r>
              <w:rPr>
                <w:rFonts w:hint="eastAsia" w:ascii="宋体" w:hAnsi="宋体" w:eastAsia="宋体" w:cs="宋体"/>
                <w:sz w:val="24"/>
                <w:szCs w:val="24"/>
                <w:highlight w:val="none"/>
                <w:lang w:val="en-US" w:eastAsia="zh-CN" w:bidi="ar"/>
              </w:rPr>
              <w:t xml:space="preserve">；配套处置、应急防控按实结算</w:t>
            </w:r>
            <w:r/>
          </w:p>
        </w:tc>
        <w:tc>
          <w:tcPr>
            <w:tcMar>
              <w:left w:w="96" w:type="dxa"/>
              <w:top w:w="96" w:type="dxa"/>
              <w:right w:w="96" w:type="dxa"/>
              <w:bottom w:w="96" w:type="dxa"/>
            </w:tcMar>
            <w:tcW w:w="22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1、依据 2027年度考核结果对日常防控服务费予以</w:t>
            </w:r>
            <w:r>
              <w:rPr>
                <w:rFonts w:hint="eastAsia" w:ascii="宋体" w:hAnsi="宋体" w:cs="宋体"/>
                <w:sz w:val="24"/>
                <w:szCs w:val="24"/>
                <w:highlight w:val="none"/>
                <w:lang w:val="en-US" w:eastAsia="zh-CN" w:bidi="ar"/>
              </w:rPr>
              <w:t xml:space="preserve">核减</w:t>
            </w:r>
            <w:r>
              <w:rPr>
                <w:rFonts w:hint="eastAsia" w:ascii="宋体" w:hAnsi="宋体" w:eastAsia="宋体" w:cs="宋体"/>
                <w:sz w:val="24"/>
                <w:szCs w:val="24"/>
                <w:highlight w:val="none"/>
                <w:lang w:val="en-US" w:eastAsia="zh-CN" w:bidi="ar"/>
              </w:rPr>
              <w:t xml:space="preserve">，</w:t>
            </w:r>
            <w:r>
              <w:rPr>
                <w:rFonts w:hint="eastAsia" w:ascii="宋体" w:hAnsi="宋体" w:cs="Times New Roman"/>
                <w:b/>
                <w:bCs/>
                <w:color w:val="auto"/>
                <w:sz w:val="24"/>
                <w:highlight w:val="none"/>
                <w:lang w:val="en-US" w:eastAsia="zh-CN"/>
              </w:rPr>
              <w:t xml:space="preserve">核减费用</w:t>
            </w:r>
            <w:r>
              <w:rPr>
                <w:rFonts w:hint="eastAsia" w:ascii="宋体" w:hAnsi="宋体" w:eastAsia="宋体" w:cs="宋体"/>
                <w:sz w:val="24"/>
                <w:szCs w:val="24"/>
                <w:highlight w:val="none"/>
                <w:lang w:val="en-US" w:eastAsia="zh-CN" w:bidi="ar"/>
              </w:rPr>
              <w:t xml:space="preserve">在本期应付账款中直接一次性抵扣，拨付剩余应付资金。</w:t>
            </w:r>
            <w:r/>
          </w:p>
          <w:p>
            <w:pPr>
              <w:jc w:val="left"/>
              <w:keepLines w:val="0"/>
              <w:keepNext w:val="0"/>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2、本期拨付金额=合同总价款*</w:t>
            </w:r>
            <w:r>
              <w:rPr>
                <w:rFonts w:hint="eastAsia" w:ascii="宋体" w:hAnsi="宋体" w:cs="宋体"/>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%-日常防控部分服务费</w:t>
            </w:r>
            <w:r>
              <w:rPr>
                <w:rFonts w:hint="eastAsia" w:ascii="宋体" w:hAnsi="宋体" w:cs="Times New Roman"/>
                <w:b/>
                <w:bCs/>
                <w:color w:val="auto"/>
                <w:sz w:val="24"/>
                <w:highlight w:val="none"/>
                <w:lang w:val="en-US" w:eastAsia="zh-CN"/>
              </w:rPr>
              <w:t xml:space="preserve">核减额</w:t>
            </w:r>
            <w:r/>
          </w:p>
        </w:tc>
      </w:tr>
      <w:tr>
        <w:trPr>
          <w:trHeight w:val="1744"/>
        </w:trPr>
        <w:tc>
          <w:tcPr>
            <w:tcMar>
              <w:left w:w="96" w:type="dxa"/>
              <w:top w:w="96" w:type="dxa"/>
              <w:right w:w="96" w:type="dxa"/>
              <w:bottom w:w="96" w:type="dxa"/>
            </w:tcMar>
            <w:tcW w:w="544"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第三期</w:t>
            </w:r>
            <w:r/>
          </w:p>
        </w:tc>
        <w:tc>
          <w:tcPr>
            <w:tcMar>
              <w:left w:w="96" w:type="dxa"/>
              <w:top w:w="96" w:type="dxa"/>
              <w:right w:w="96" w:type="dxa"/>
              <w:bottom w:w="96" w:type="dxa"/>
            </w:tcMar>
            <w:tcW w:w="72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2028 年</w:t>
            </w:r>
            <w:r/>
          </w:p>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1月—12月</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支付合同总价款的</w:t>
            </w:r>
            <w:r>
              <w:rPr>
                <w:rFonts w:hint="eastAsia" w:ascii="宋体" w:hAnsi="宋体" w:cs="宋体"/>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对 2028年度日常防控板块执行</w:t>
            </w:r>
            <w:r>
              <w:rPr>
                <w:rFonts w:hint="eastAsia" w:ascii="宋体" w:hAnsi="宋体" w:cs="Times New Roman"/>
                <w:b/>
                <w:bCs/>
                <w:color w:val="auto"/>
                <w:sz w:val="24"/>
                <w:highlight w:val="none"/>
                <w:lang w:val="en-US" w:eastAsia="zh-CN"/>
              </w:rPr>
              <w:t xml:space="preserve">核减</w:t>
            </w:r>
            <w:r>
              <w:rPr>
                <w:rFonts w:hint="eastAsia" w:ascii="宋体" w:hAnsi="宋体" w:eastAsia="宋体" w:cs="宋体"/>
                <w:sz w:val="24"/>
                <w:szCs w:val="24"/>
                <w:highlight w:val="none"/>
                <w:lang w:val="en-US" w:eastAsia="zh-CN" w:bidi="ar"/>
              </w:rPr>
              <w:t xml:space="preserve">；配套处置、应急防控按实结算</w:t>
            </w:r>
            <w:r/>
          </w:p>
        </w:tc>
        <w:tc>
          <w:tcPr>
            <w:tcMar>
              <w:left w:w="96" w:type="dxa"/>
              <w:top w:w="96" w:type="dxa"/>
              <w:right w:w="96" w:type="dxa"/>
              <w:bottom w:w="96" w:type="dxa"/>
            </w:tcMar>
            <w:tcW w:w="22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1、依据 2028年度考核结果对日常防控服务费予以</w:t>
            </w:r>
            <w:r>
              <w:rPr>
                <w:rFonts w:hint="eastAsia" w:ascii="宋体" w:hAnsi="宋体" w:cs="宋体"/>
                <w:sz w:val="24"/>
                <w:szCs w:val="24"/>
                <w:highlight w:val="none"/>
                <w:lang w:val="en-US" w:eastAsia="zh-CN" w:bidi="ar"/>
              </w:rPr>
              <w:t xml:space="preserve">核减</w:t>
            </w:r>
            <w:r>
              <w:rPr>
                <w:rFonts w:hint="eastAsia" w:ascii="宋体" w:hAnsi="宋体" w:eastAsia="宋体" w:cs="宋体"/>
                <w:sz w:val="24"/>
                <w:szCs w:val="24"/>
                <w:highlight w:val="none"/>
                <w:lang w:val="en-US" w:eastAsia="zh-CN" w:bidi="ar"/>
              </w:rPr>
              <w:t xml:space="preserve">，</w:t>
            </w:r>
            <w:r>
              <w:rPr>
                <w:rFonts w:hint="eastAsia" w:ascii="宋体" w:hAnsi="宋体" w:cs="Times New Roman"/>
                <w:b/>
                <w:bCs/>
                <w:color w:val="auto"/>
                <w:sz w:val="24"/>
                <w:highlight w:val="none"/>
                <w:lang w:val="en-US" w:eastAsia="zh-CN"/>
              </w:rPr>
              <w:t xml:space="preserve">核减费用</w:t>
            </w:r>
            <w:r>
              <w:rPr>
                <w:rFonts w:hint="eastAsia" w:ascii="宋体" w:hAnsi="宋体" w:eastAsia="宋体" w:cs="宋体"/>
                <w:sz w:val="24"/>
                <w:szCs w:val="24"/>
                <w:highlight w:val="none"/>
                <w:lang w:val="en-US" w:eastAsia="zh-CN" w:bidi="ar"/>
              </w:rPr>
              <w:t xml:space="preserve">在本期应付账款中直接一次性抵扣，拨付剩余应付资金。</w:t>
            </w:r>
            <w:r/>
          </w:p>
          <w:p>
            <w:pPr>
              <w:jc w:val="left"/>
              <w:keepLines w:val="0"/>
              <w:keepNext w:val="0"/>
              <w:widowControl/>
              <w:rPr>
                <w:highlight w:val="none"/>
              </w:rPr>
              <w:suppressLineNumbers w:val="0"/>
            </w:pPr>
            <w:r>
              <w:rPr>
                <w:rFonts w:hint="eastAsia" w:ascii="宋体" w:hAnsi="宋体" w:eastAsia="宋体" w:cs="宋体"/>
                <w:sz w:val="24"/>
                <w:szCs w:val="24"/>
                <w:highlight w:val="none"/>
                <w:lang w:val="en-US" w:eastAsia="zh-CN" w:bidi="ar"/>
              </w:rPr>
              <w:t xml:space="preserve">2、本期拨付金额=合同总价款*</w:t>
            </w:r>
            <w:r>
              <w:rPr>
                <w:rFonts w:hint="eastAsia" w:ascii="宋体" w:hAnsi="宋体" w:cs="宋体"/>
                <w:sz w:val="24"/>
                <w:szCs w:val="24"/>
                <w:highlight w:val="none"/>
                <w:lang w:val="en-US" w:eastAsia="zh-CN" w:bidi="ar"/>
              </w:rPr>
              <w:t xml:space="preserve">30</w:t>
            </w:r>
            <w:r>
              <w:rPr>
                <w:rFonts w:hint="eastAsia" w:ascii="宋体" w:hAnsi="宋体" w:eastAsia="宋体" w:cs="宋体"/>
                <w:sz w:val="24"/>
                <w:szCs w:val="24"/>
                <w:highlight w:val="none"/>
                <w:lang w:val="en-US" w:eastAsia="zh-CN" w:bidi="ar"/>
              </w:rPr>
              <w:t xml:space="preserve">%-日常防控部分服务费</w:t>
            </w:r>
            <w:r>
              <w:rPr>
                <w:rFonts w:hint="eastAsia" w:ascii="宋体" w:hAnsi="宋体" w:cs="Times New Roman"/>
                <w:b/>
                <w:bCs/>
                <w:color w:val="auto"/>
                <w:sz w:val="24"/>
                <w:highlight w:val="none"/>
                <w:lang w:val="en-US" w:eastAsia="zh-CN"/>
              </w:rPr>
              <w:t xml:space="preserve">核减额</w:t>
            </w:r>
            <w:r/>
          </w:p>
        </w:tc>
      </w:tr>
      <w:tr>
        <w:trPr>
          <w:trHeight w:val="1754"/>
        </w:trPr>
        <w:tc>
          <w:tcPr>
            <w:tcMar>
              <w:left w:w="96" w:type="dxa"/>
              <w:top w:w="96" w:type="dxa"/>
              <w:right w:w="96" w:type="dxa"/>
              <w:bottom w:w="96" w:type="dxa"/>
            </w:tcMar>
            <w:tcW w:w="544"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第四期（尾款）</w:t>
            </w:r>
            <w:r/>
          </w:p>
        </w:tc>
        <w:tc>
          <w:tcPr>
            <w:tcMar>
              <w:left w:w="96" w:type="dxa"/>
              <w:top w:w="96" w:type="dxa"/>
              <w:right w:w="96" w:type="dxa"/>
              <w:bottom w:w="96" w:type="dxa"/>
            </w:tcMar>
            <w:tcW w:w="72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2029 年</w:t>
            </w:r>
            <w:r/>
          </w:p>
          <w:p>
            <w:pPr>
              <w:jc w:val="center"/>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1月—7月</w:t>
            </w:r>
            <w:r/>
          </w:p>
        </w:tc>
        <w:tc>
          <w:tcPr>
            <w:tcMar>
              <w:left w:w="96" w:type="dxa"/>
              <w:top w:w="96" w:type="dxa"/>
              <w:right w:w="96" w:type="dxa"/>
              <w:bottom w:w="96" w:type="dxa"/>
            </w:tcMar>
            <w:tcW w:w="631"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一次性付清剩余全部款项</w:t>
            </w:r>
            <w:r/>
          </w:p>
        </w:tc>
        <w:tc>
          <w:tcPr>
            <w:tcMar>
              <w:left w:w="96" w:type="dxa"/>
              <w:top w:w="96" w:type="dxa"/>
              <w:right w:w="96" w:type="dxa"/>
              <w:bottom w:w="96" w:type="dxa"/>
            </w:tcMar>
            <w:tcW w:w="872" w:type="pct"/>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对 2029年本期日常防控板块执行</w:t>
            </w:r>
            <w:r>
              <w:rPr>
                <w:rFonts w:hint="eastAsia" w:ascii="宋体" w:hAnsi="宋体" w:cs="Times New Roman"/>
                <w:b/>
                <w:bCs/>
                <w:color w:val="auto"/>
                <w:sz w:val="24"/>
                <w:highlight w:val="none"/>
                <w:lang w:val="en-US" w:eastAsia="zh-CN"/>
              </w:rPr>
              <w:t xml:space="preserve">核减</w:t>
            </w:r>
            <w:r>
              <w:rPr>
                <w:rFonts w:hint="eastAsia" w:ascii="宋体" w:hAnsi="宋体" w:eastAsia="宋体" w:cs="宋体"/>
                <w:sz w:val="24"/>
                <w:szCs w:val="24"/>
                <w:highlight w:val="none"/>
                <w:lang w:val="en-US" w:eastAsia="zh-CN" w:bidi="ar"/>
              </w:rPr>
              <w:t xml:space="preserve">；配套处置、应急防控按实结算</w:t>
            </w:r>
            <w:r/>
          </w:p>
        </w:tc>
        <w:tc>
          <w:tcPr>
            <w:tcMar>
              <w:left w:w="96" w:type="dxa"/>
              <w:top w:w="96" w:type="dxa"/>
              <w:right w:w="96" w:type="dxa"/>
              <w:bottom w:w="96" w:type="dxa"/>
            </w:tcMar>
            <w:tcW w:w="2231" w:type="pct"/>
            <w:vAlign w:val="center"/>
            <w:textDirection w:val="lrTb"/>
            <w:noWrap w:val="false"/>
          </w:tcPr>
          <w:p>
            <w:pPr>
              <w:jc w:val="left"/>
              <w:keepLines w:val="0"/>
              <w:keepNext w:val="0"/>
              <w:widowControl/>
              <w:rPr>
                <w:rFonts w:hint="eastAsia" w:ascii="宋体" w:hAnsi="宋体" w:eastAsia="宋体" w:cs="Times New Roman"/>
                <w:b/>
                <w:bCs/>
                <w:color w:val="auto"/>
                <w:sz w:val="24"/>
                <w:highlight w:val="none"/>
                <w:lang w:val="en-US" w:eastAsia="zh-CN"/>
              </w:rPr>
              <w:suppressLineNumbers w:val="0"/>
            </w:pPr>
            <w:r>
              <w:rPr>
                <w:rFonts w:hint="eastAsia" w:ascii="宋体" w:hAnsi="宋体" w:cs="Times New Roman"/>
                <w:b/>
                <w:bCs/>
                <w:color w:val="auto"/>
                <w:sz w:val="24"/>
                <w:highlight w:val="none"/>
                <w:lang w:val="en-US" w:eastAsia="zh-CN"/>
              </w:rPr>
              <w:t xml:space="preserve">结算额</w:t>
            </w:r>
            <w:r>
              <w:rPr>
                <w:rFonts w:hint="eastAsia" w:ascii="宋体" w:hAnsi="宋体" w:eastAsia="宋体" w:cs="Times New Roman"/>
                <w:b/>
                <w:bCs/>
                <w:color w:val="auto"/>
                <w:sz w:val="24"/>
                <w:highlight w:val="none"/>
                <w:lang w:val="en-US" w:eastAsia="zh-CN"/>
              </w:rPr>
              <w:t xml:space="preserve">=日常防控部分（固定总价-考核</w:t>
            </w:r>
            <w:r>
              <w:rPr>
                <w:rFonts w:hint="eastAsia" w:ascii="宋体" w:hAnsi="宋体" w:cs="Times New Roman"/>
                <w:b/>
                <w:bCs/>
                <w:color w:val="auto"/>
                <w:sz w:val="24"/>
                <w:highlight w:val="none"/>
                <w:lang w:val="en-US" w:eastAsia="zh-CN"/>
              </w:rPr>
              <w:t xml:space="preserve">核减</w:t>
            </w:r>
            <w:r>
              <w:rPr>
                <w:rFonts w:hint="eastAsia" w:ascii="宋体" w:hAnsi="宋体" w:eastAsia="宋体" w:cs="Times New Roman"/>
                <w:b/>
                <w:bCs/>
                <w:color w:val="auto"/>
                <w:sz w:val="24"/>
                <w:highlight w:val="none"/>
                <w:lang w:val="en-US" w:eastAsia="zh-CN"/>
              </w:rPr>
              <w:t xml:space="preserve">金额）+配套处置部分（按实结算）+应急防控部分（按实结算）</w:t>
            </w:r>
            <w:r/>
          </w:p>
          <w:p>
            <w:pPr>
              <w:jc w:val="left"/>
              <w:keepLines w:val="0"/>
              <w:keepNext w:val="0"/>
              <w:widowControl/>
              <w:rPr>
                <w:rFonts w:hint="default"/>
                <w:highlight w:val="none"/>
                <w:lang w:val="en-US"/>
              </w:rPr>
              <w:suppressLineNumbers w:val="0"/>
            </w:pPr>
            <w:r>
              <w:rPr>
                <w:rFonts w:hint="eastAsia" w:ascii="宋体" w:hAnsi="宋体" w:cs="宋体"/>
                <w:sz w:val="24"/>
                <w:szCs w:val="24"/>
                <w:highlight w:val="none"/>
                <w:lang w:val="en-US" w:eastAsia="zh-CN" w:bidi="ar"/>
              </w:rPr>
              <w:t xml:space="preserve">尾款金额=结算额</w:t>
            </w:r>
            <w:r>
              <w:rPr>
                <w:rFonts w:hint="eastAsia" w:ascii="宋体" w:hAnsi="宋体" w:eastAsia="宋体" w:cs="宋体"/>
                <w:sz w:val="24"/>
                <w:szCs w:val="24"/>
                <w:highlight w:val="none"/>
                <w:lang w:val="en-US" w:eastAsia="zh-CN" w:bidi="ar"/>
              </w:rPr>
              <w:t xml:space="preserve">-前三期已支付款项</w:t>
            </w:r>
            <w:r/>
          </w:p>
        </w:tc>
      </w:tr>
    </w:tbl>
    <w:p>
      <w:pPr>
        <w:ind w:firstLine="480"/>
        <w:spacing w:line="5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1.4.2 </w:t>
      </w:r>
      <w:r>
        <w:rPr>
          <w:rFonts w:hint="eastAsia" w:ascii="宋体" w:hAnsi="宋体" w:cs="宋体"/>
          <w:color w:val="auto"/>
          <w:sz w:val="24"/>
          <w:highlight w:val="none"/>
          <w:lang w:val="en-US" w:eastAsia="zh-CN"/>
        </w:rPr>
        <w:t xml:space="preserve">考核细则</w:t>
      </w:r>
      <w:r>
        <w:rPr>
          <w:rFonts w:hint="eastAsia" w:ascii="宋体" w:hAnsi="宋体" w:cs="宋体"/>
          <w:color w:val="auto"/>
          <w:sz w:val="24"/>
          <w:highlight w:val="none"/>
        </w:rPr>
        <w:t xml:space="preserve">：</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项目运维服务综合考核工作由采购人统一组织实施。考核分为季度考核、年度考核两类，其中季度考核结果作为年度综合考评重要依据。年度考核实行百分制，考核结果划分为五个等次：85分（含）以上、80分（含）—85分、70分（含）—80分、60分（含）—70分、60分以下，具体考核评分细则详见下表。</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年度日常防控部分费用与年度考核结果挂钩，结算标准如下：</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考核得分85分以上（含85分）：全额拨付固定日常防控部分金额；</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考核得分80-85分（含80分）：扣减固定日常防控部分金额的2%；</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考核得分70-80分（含70分）：扣减固定日常防控部分金额的5%；</w:t>
      </w:r>
      <w:r/>
    </w:p>
    <w:p>
      <w:pPr>
        <w:pStyle w:val="795"/>
        <w:numPr>
          <w:ilvl w:val="0"/>
          <w:numId w:val="0"/>
        </w:num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考核得分60-70分（含60分）：扣减固定日常防控部分金额的20%；</w:t>
      </w:r>
      <w:r/>
    </w:p>
    <w:p>
      <w:pPr>
        <w:pStyle w:val="795"/>
        <w:numPr>
          <w:ilvl w:val="0"/>
          <w:numId w:val="0"/>
        </w:numPr>
        <w:ind w:firstLine="480"/>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考核得分60分以下的：扣减固定日常防控部分金额的40%。</w:t>
      </w:r>
      <w:r/>
    </w:p>
    <w:tbl>
      <w:tblPr>
        <w:tblStyle w:val="780"/>
        <w:tblpPr w:horzAnchor="text" w:tblpXSpec="center" w:vertAnchor="text" w:tblpY="1" w:leftFromText="180" w:topFromText="0" w:rightFromText="180" w:bottomFromText="0"/>
        <w:tblW w:w="97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8"/>
        <w:gridCol w:w="1105"/>
        <w:gridCol w:w="3491"/>
        <w:gridCol w:w="610"/>
        <w:gridCol w:w="3257"/>
        <w:gridCol w:w="818"/>
      </w:tblGrid>
      <w:tr>
        <w:trPr>
          <w:trHeight w:val="0"/>
          <w:tblHeader/>
        </w:trPr>
        <w:tc>
          <w:tcPr>
            <w:tcW w:w="0" w:type="auto"/>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序号</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考核内容</w:t>
            </w:r>
            <w:r/>
          </w:p>
        </w:tc>
        <w:tc>
          <w:tcPr>
            <w:tcW w:w="3491" w:type="dxa"/>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工作要求</w:t>
            </w:r>
            <w:r/>
          </w:p>
        </w:tc>
        <w:tc>
          <w:tcPr>
            <w:tcW w:w="610" w:type="dxa"/>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分值</w:t>
            </w:r>
            <w:r/>
          </w:p>
        </w:tc>
        <w:tc>
          <w:tcPr>
            <w:tcW w:w="0" w:type="auto"/>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评分标准</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备注</w:t>
            </w:r>
            <w:r/>
          </w:p>
        </w:tc>
      </w:tr>
      <w:tr>
        <w:trPr>
          <w:trHeight w:val="0"/>
        </w:trPr>
        <w:tc>
          <w:tcPr>
            <w:tcW w:w="0" w:type="auto"/>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1</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方案制度</w:t>
            </w:r>
            <w:r/>
          </w:p>
        </w:tc>
        <w:tc>
          <w:tcPr>
            <w:tcW w:w="3491" w:type="dxa"/>
            <w:vAlign w:val="center"/>
            <w:textDirection w:val="lrTb"/>
            <w:noWrap w:val="false"/>
          </w:tcPr>
          <w:p>
            <w:pPr>
              <w:ind w:left="0" w:right="0" w:firstLine="0"/>
              <w:jc w:val="left"/>
              <w:keepNext/>
              <w:spacing w:line="240" w:lineRule="auto"/>
              <w:tabs>
                <w:tab w:val="left" w:pos="777" w:leader="none"/>
              </w:tabs>
              <w:rPr>
                <w:rFonts w:hint="eastAsia" w:asciiTheme="minorEastAsia" w:hAnsiTheme="minorEastAsia" w:eastAsiaTheme="minorEastAsia" w:cstheme="minorEastAsia"/>
                <w:b w:val="0"/>
                <w:bCs/>
                <w:sz w:val="20"/>
                <w:szCs w:val="20"/>
                <w:highlight w:val="none"/>
              </w:rPr>
              <w:outlineLvl w:val="0"/>
            </w:pPr>
            <w:r>
              <w:rPr>
                <w:rFonts w:ascii="Times New Roman" w:eastAsia="宋体"/>
                <w:color w:val="000000"/>
                <w:sz w:val="20"/>
                <w:szCs w:val="20"/>
                <w:highlight w:val="none"/>
                <w:lang w:bidi="ar"/>
              </w:rPr>
              <w:t xml:space="preserve">科学制定运行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方案应包括但不限于以下内容：组织机构、人员配备、规章制度、运行管护方案、运行应急预案、内部考核方案、安全生产</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val="en-US" w:eastAsia="zh-CN" w:bidi="ar"/>
              </w:rPr>
              <w:t xml:space="preserve">财务制度</w:t>
            </w:r>
            <w:r>
              <w:rPr>
                <w:rFonts w:ascii="Times New Roman" w:eastAsia="宋体"/>
                <w:color w:val="000000"/>
                <w:sz w:val="20"/>
                <w:szCs w:val="20"/>
                <w:highlight w:val="none"/>
                <w:lang w:bidi="ar"/>
              </w:rPr>
              <w:t xml:space="preserve">等。</w:t>
            </w:r>
            <w:r>
              <w:rPr>
                <w:rFonts w:hint="eastAsia" w:ascii="Times New Roman" w:eastAsia="宋体"/>
                <w:color w:val="000000"/>
                <w:sz w:val="20"/>
                <w:szCs w:val="20"/>
                <w:highlight w:val="none"/>
                <w:lang w:bidi="ar"/>
              </w:rPr>
              <w:t xml:space="preserve">其中，藻水分离站、深井运行、围隔巡查、</w:t>
            </w:r>
            <w:r>
              <w:rPr>
                <w:rFonts w:hint="eastAsia" w:ascii="Times New Roman" w:eastAsia="宋体"/>
                <w:color w:val="000000"/>
                <w:sz w:val="20"/>
                <w:szCs w:val="20"/>
                <w:highlight w:val="none"/>
                <w:lang w:val="en-US" w:eastAsia="zh-CN" w:bidi="ar"/>
              </w:rPr>
              <w:t xml:space="preserve">东氿及太湖</w:t>
            </w:r>
            <w:r>
              <w:rPr>
                <w:rFonts w:hint="eastAsia" w:ascii="Times New Roman" w:eastAsia="宋体"/>
                <w:color w:val="000000"/>
                <w:sz w:val="20"/>
                <w:szCs w:val="20"/>
                <w:highlight w:val="none"/>
                <w:lang w:bidi="ar"/>
              </w:rPr>
              <w:t xml:space="preserve">应急项目等重点内容须制定年度运行方案。</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rPr>
              <w:t xml:space="preserve">10</w:t>
            </w:r>
            <w:r/>
          </w:p>
        </w:tc>
        <w:tc>
          <w:tcPr>
            <w:tcW w:w="3246" w:type="dxa"/>
            <w:vAlign w:val="center"/>
            <w:textDirection w:val="lrTb"/>
            <w:noWrap w:val="false"/>
          </w:tcPr>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lang w:bidi="ar"/>
              </w:rPr>
              <w:t xml:space="preserve">方案科学、可操作性强、内容齐全的得10分；方案比较科学、具有一定可操作性、内容比较齐全的得6</w:t>
            </w:r>
            <w:r>
              <w:rPr>
                <w:rFonts w:hint="eastAsia" w:ascii="Times New Roman" w:eastAsia="宋体"/>
                <w:color w:val="000000"/>
                <w:sz w:val="20"/>
                <w:szCs w:val="20"/>
                <w:highlight w:val="none"/>
                <w:lang w:val="en-US" w:eastAsia="zh-CN" w:bidi="ar"/>
              </w:rPr>
              <w:t xml:space="preserve">-8</w:t>
            </w:r>
            <w:r>
              <w:rPr>
                <w:rFonts w:ascii="Times New Roman" w:eastAsia="宋体"/>
                <w:color w:val="000000"/>
                <w:sz w:val="20"/>
                <w:szCs w:val="20"/>
                <w:highlight w:val="none"/>
                <w:lang w:bidi="ar"/>
              </w:rPr>
              <w:t xml:space="preserve">分；</w:t>
            </w:r>
            <w:r>
              <w:rPr>
                <w:rFonts w:hint="eastAsia" w:ascii="Times New Roman" w:eastAsia="宋体"/>
                <w:color w:val="000000"/>
                <w:sz w:val="20"/>
                <w:szCs w:val="20"/>
                <w:highlight w:val="none"/>
                <w:lang w:bidi="ar"/>
              </w:rPr>
              <w:t xml:space="preserve">方案内容有个别缺失或不够完善的，</w:t>
            </w:r>
            <w:r>
              <w:rPr>
                <w:rFonts w:hint="eastAsia" w:ascii="Times New Roman" w:eastAsia="宋体"/>
                <w:color w:val="000000"/>
                <w:sz w:val="20"/>
                <w:szCs w:val="20"/>
                <w:highlight w:val="none"/>
                <w:lang w:eastAsia="zh-CN" w:bidi="ar"/>
              </w:rPr>
              <w:t xml:space="preserve">每项扣</w:t>
            </w:r>
            <w:r>
              <w:rPr>
                <w:rFonts w:hint="eastAsia" w:ascii="Times New Roman" w:eastAsia="宋体"/>
                <w:color w:val="000000"/>
                <w:sz w:val="20"/>
                <w:szCs w:val="20"/>
                <w:highlight w:val="none"/>
                <w:lang w:val="en-US" w:eastAsia="zh-CN" w:bidi="ar"/>
              </w:rPr>
              <w:t xml:space="preserve">1分</w:t>
            </w:r>
            <w:r>
              <w:rPr>
                <w:rFonts w:hint="eastAsia" w:ascii="Times New Roman" w:eastAsia="宋体"/>
                <w:color w:val="000000"/>
                <w:sz w:val="20"/>
                <w:szCs w:val="20"/>
                <w:highlight w:val="none"/>
                <w:lang w:bidi="ar"/>
              </w:rPr>
              <w:t xml:space="preserve">。</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t xml:space="preserve">第四季度考核</w:t>
            </w:r>
            <w:r/>
          </w:p>
        </w:tc>
      </w:tr>
      <w:tr>
        <w:trPr>
          <w:trHeight w:val="0"/>
        </w:trPr>
        <w:tc>
          <w:tcPr>
            <w:tcW w:w="0" w:type="auto"/>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2</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队伍建设</w:t>
            </w:r>
            <w:r/>
          </w:p>
        </w:tc>
        <w:tc>
          <w:tcPr>
            <w:tcW w:w="3491" w:type="dxa"/>
            <w:vAlign w:val="center"/>
            <w:textDirection w:val="lrTb"/>
            <w:noWrap w:val="false"/>
          </w:tcPr>
          <w:p>
            <w:pPr>
              <w:ind w:left="0" w:right="0" w:firstLine="0"/>
              <w:jc w:val="left"/>
              <w:keepNext/>
              <w:spacing w:line="240" w:lineRule="auto"/>
              <w:widowControl/>
              <w:rPr>
                <w:rFonts w:hint="eastAsia" w:ascii="Times New Roman" w:eastAsia="宋体"/>
                <w:color w:val="000000"/>
                <w:sz w:val="20"/>
                <w:szCs w:val="20"/>
                <w:highlight w:val="none"/>
                <w:lang w:bidi="ar"/>
              </w:rPr>
            </w:pPr>
            <w:r>
              <w:rPr>
                <w:rFonts w:hint="eastAsia" w:ascii="Times New Roman" w:eastAsia="宋体"/>
                <w:color w:val="000000"/>
                <w:sz w:val="20"/>
                <w:szCs w:val="20"/>
                <w:highlight w:val="none"/>
                <w:lang w:bidi="ar"/>
              </w:rPr>
              <w:t xml:space="preserve">根据运行维护方案、相关设施设备运行维护需求及其他相关文件、方案、协议要求，建立专职运行维护队伍，负责设施设备的日常运行管理、维修养护等工作。</w:t>
            </w:r>
            <w:r/>
          </w:p>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bidi="ar"/>
              </w:rPr>
              <w:t xml:space="preserve">运行维护人员须持有国家或行业部门颁发的合法、有效的执业资格证书。</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pPr>
            <w:r>
              <w:rPr>
                <w:rFonts w:hint="eastAsia" w:ascii="Times New Roman" w:eastAsia="宋体"/>
                <w:color w:val="000000"/>
                <w:sz w:val="20"/>
                <w:szCs w:val="20"/>
                <w:highlight w:val="none"/>
                <w:lang w:val="en-US" w:eastAsia="zh-CN"/>
              </w:rPr>
              <w:t xml:space="preserve">10</w:t>
            </w:r>
            <w:r/>
          </w:p>
        </w:tc>
        <w:tc>
          <w:tcPr>
            <w:tcW w:w="3246"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lang w:bidi="ar"/>
              </w:rPr>
              <w:t xml:space="preserve">建立专职运行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队伍，按规定配备相关人员的得</w:t>
            </w:r>
            <w:r>
              <w:rPr>
                <w:rFonts w:hint="eastAsia" w:ascii="Times New Roman" w:eastAsia="宋体"/>
                <w:color w:val="000000"/>
                <w:sz w:val="20"/>
                <w:szCs w:val="20"/>
                <w:highlight w:val="none"/>
                <w:lang w:val="en-US" w:eastAsia="zh-CN" w:bidi="ar"/>
              </w:rPr>
              <w:t xml:space="preserve">10</w:t>
            </w:r>
            <w:r>
              <w:rPr>
                <w:rFonts w:ascii="Times New Roman" w:eastAsia="宋体"/>
                <w:color w:val="000000"/>
                <w:sz w:val="20"/>
                <w:szCs w:val="20"/>
                <w:highlight w:val="none"/>
                <w:lang w:bidi="ar"/>
              </w:rPr>
              <w:t xml:space="preserve">分。运行管护人员配备不足的，</w:t>
            </w:r>
            <w:r>
              <w:rPr>
                <w:rFonts w:hint="eastAsia" w:ascii="Times New Roman" w:eastAsia="宋体"/>
                <w:color w:val="000000"/>
                <w:sz w:val="20"/>
                <w:szCs w:val="20"/>
                <w:highlight w:val="none"/>
                <w:lang w:bidi="ar"/>
              </w:rPr>
              <w:t xml:space="preserve">根据实际情况扣1-10分</w:t>
            </w:r>
            <w:r>
              <w:rPr>
                <w:rFonts w:ascii="Times New Roman" w:eastAsia="宋体"/>
                <w:color w:val="000000"/>
                <w:sz w:val="20"/>
                <w:szCs w:val="20"/>
                <w:highlight w:val="none"/>
                <w:lang w:bidi="ar"/>
              </w:rPr>
              <w:t xml:space="preserve">；运行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人员未按要求执证上岗的，每有1人扣1分；扣完为止。</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428" w:type="dxa"/>
            <w:vAlign w:val="center"/>
            <w:vMerge w:val="restart"/>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rPr>
              <w:t xml:space="preserve">3</w:t>
            </w:r>
            <w:r/>
          </w:p>
        </w:tc>
        <w:tc>
          <w:tcPr>
            <w:tcW w:w="1105" w:type="dxa"/>
            <w:vAlign w:val="center"/>
            <w:vMerge w:val="restart"/>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运行管理</w:t>
            </w:r>
            <w:r/>
          </w:p>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r>
            <w:r/>
          </w:p>
        </w:tc>
        <w:tc>
          <w:tcPr>
            <w:tcW w:w="3491" w:type="dxa"/>
            <w:vAlign w:val="center"/>
            <w:textDirection w:val="lrTb"/>
            <w:noWrap w:val="false"/>
          </w:tcPr>
          <w:p>
            <w:pPr>
              <w:numPr>
                <w:ilvl w:val="0"/>
                <w:numId w:val="10"/>
              </w:numPr>
              <w:ind w:left="0" w:right="0" w:firstLine="0"/>
              <w:jc w:val="left"/>
              <w:keepNext/>
              <w:spacing w:line="240" w:lineRule="auto"/>
              <w:rPr>
                <w:rFonts w:hint="eastAsia" w:ascii="Times New Roman" w:hAnsi="Times New Roman" w:eastAsia="宋体" w:cs="Times New Roman"/>
                <w:b/>
                <w:bCs/>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日常运行项目</w:t>
            </w:r>
            <w:r/>
          </w:p>
          <w:p>
            <w:pPr>
              <w:numPr>
                <w:ilvl w:val="0"/>
                <w:numId w:val="0"/>
              </w:numPr>
              <w:ind w:left="0" w:right="0" w:firstLine="0"/>
              <w:jc w:val="left"/>
              <w:keepNext/>
              <w:spacing w:line="240" w:lineRule="auto"/>
              <w:rPr>
                <w:rFonts w:hint="eastAsia" w:ascii="Times New Roman" w:hAnsi="Times New Roman" w:eastAsia="宋体" w:cs="Times New Roman"/>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蓝藻打捞平台设施</w:t>
            </w:r>
            <w:r>
              <w:rPr>
                <w:rFonts w:hint="eastAsia" w:ascii="Times New Roman" w:hAnsi="Times New Roman" w:eastAsia="宋体" w:cs="Times New Roman"/>
                <w:color w:val="000000"/>
                <w:sz w:val="20"/>
                <w:szCs w:val="20"/>
                <w:highlight w:val="none"/>
                <w:lang w:val="en-US" w:eastAsia="zh-CN" w:bidi="ar"/>
              </w:rPr>
              <w:t xml:space="preserve">：根据蓝藻藻情及打捞处置能力进行科学调度，及时开机打捞，保证平台周围不出现蓝藻大面积积聚、发白、发黑现象。及时清理平台周围浪渣、水草等垃圾，保证打捞设施的平稳、安全运行。</w:t>
            </w:r>
            <w:r/>
          </w:p>
          <w:p>
            <w:pPr>
              <w:numPr>
                <w:ilvl w:val="0"/>
                <w:numId w:val="0"/>
              </w:numPr>
              <w:ind w:left="0" w:right="0" w:firstLine="0"/>
              <w:jc w:val="left"/>
              <w:keepNext/>
              <w:spacing w:line="240" w:lineRule="auto"/>
              <w:rPr>
                <w:rFonts w:hint="eastAsia" w:ascii="Times New Roman" w:hAnsi="Times New Roman" w:eastAsia="宋体" w:cs="Times New Roman"/>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藻水分离站及配套运输管道设施</w:t>
            </w:r>
            <w:r>
              <w:rPr>
                <w:rFonts w:hint="eastAsia" w:ascii="Times New Roman" w:hAnsi="Times New Roman" w:eastAsia="宋体" w:cs="Times New Roman"/>
                <w:color w:val="000000"/>
                <w:sz w:val="20"/>
                <w:szCs w:val="20"/>
                <w:highlight w:val="none"/>
                <w:lang w:val="en-US" w:eastAsia="zh-CN" w:bidi="ar"/>
              </w:rPr>
              <w:t xml:space="preserve">：对输送进入藻水分离站的藻水及时处置，高效运行；对设施设备实时巡查监控，发现问题及时修复，确保设施设备正常运行，生产的藻泥含水率不高于90%。</w:t>
            </w:r>
            <w:r/>
          </w:p>
          <w:p>
            <w:pPr>
              <w:numPr>
                <w:ilvl w:val="0"/>
                <w:numId w:val="0"/>
              </w:numPr>
              <w:ind w:left="0" w:right="0" w:firstLine="0"/>
              <w:jc w:val="left"/>
              <w:keepNext/>
              <w:spacing w:line="240" w:lineRule="auto"/>
              <w:rPr>
                <w:rFonts w:hint="eastAsia" w:ascii="Times New Roman" w:hAnsi="Times New Roman" w:eastAsia="宋体" w:cs="Times New Roman"/>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控藻设施</w:t>
            </w:r>
            <w:r>
              <w:rPr>
                <w:rFonts w:hint="eastAsia" w:ascii="Times New Roman" w:hAnsi="Times New Roman" w:eastAsia="宋体" w:cs="Times New Roman"/>
                <w:color w:val="000000"/>
                <w:sz w:val="20"/>
                <w:szCs w:val="20"/>
                <w:highlight w:val="none"/>
                <w:lang w:val="en-US" w:eastAsia="zh-CN" w:bidi="ar"/>
              </w:rPr>
              <w:t xml:space="preserve">：在宜兴太湖安全度夏期间（3月-11月），蓝藻控藻设施要根据藻情实际需求，全力运行。在</w:t>
            </w:r>
            <w:r>
              <w:rPr>
                <w:rFonts w:hint="eastAsia" w:ascii="Times New Roman" w:hAnsi="Times New Roman" w:eastAsia="宋体" w:cs="Times New Roman"/>
                <w:color w:val="000000"/>
                <w:sz w:val="20"/>
                <w:szCs w:val="20"/>
                <w:highlight w:val="none"/>
                <w:lang w:val="en-US" w:eastAsia="zh-CN" w:bidi="ar"/>
              </w:rPr>
              <w:t xml:space="preserve">蓝藻集中暴发高峰期间，近岸控藻设施及其配套围隔等辅助设施：具备条件的情况下保持24小时连续运行。离岸控藻深井及其配套围隔等辅助设施：具备条件的情况下保持8小时连续运行，并根据实际需要适当延长运行时间。泵压控藻设施：根据指令要求和实际需求，延长运行时间，高效运行。调水设施：当服务水域范围内出现水体异常、发黑、发臭情况时，及时开展调水工作，提升水体流动性，遏制异常水体发展，力促水质好转。在蓝藻打捞处置间歇期间（12月至2月），近岸控藻设施每周连续运行时间不少于4小时，离岸控藻深井每3天连续运行时间不少于2小时。</w:t>
            </w:r>
            <w:r/>
          </w:p>
          <w:p>
            <w:pPr>
              <w:numPr>
                <w:ilvl w:val="0"/>
                <w:numId w:val="0"/>
              </w:numPr>
              <w:ind w:left="0" w:right="0" w:firstLine="0"/>
              <w:jc w:val="left"/>
              <w:keepNext/>
              <w:spacing w:line="240" w:lineRule="auto"/>
              <w:rPr>
                <w:rFonts w:hint="eastAsia" w:ascii="Times New Roman" w:hAnsi="Times New Roman" w:eastAsia="宋体" w:cs="Times New Roman"/>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蓝藻应急防控设施</w:t>
            </w:r>
            <w:r>
              <w:rPr>
                <w:rFonts w:hint="eastAsia" w:ascii="Times New Roman" w:hAnsi="Times New Roman" w:eastAsia="宋体" w:cs="Times New Roman"/>
                <w:color w:val="000000"/>
                <w:sz w:val="20"/>
                <w:szCs w:val="20"/>
                <w:highlight w:val="none"/>
                <w:lang w:val="en-US" w:eastAsia="zh-CN" w:bidi="ar"/>
              </w:rPr>
              <w:t xml:space="preserve">：包含长臂型一体化蓝藻打捞处置船、泵压控藻船、曝气船、长臂船等，根据采购人的指令，及时响应，第一时间调度相应船只在规定时间、地点开展应急作业，确保控制区域蓝藻不发生大面积积聚、发白、发黑现象；不因控藻作业不力，而引发水质异常及湖泛现象。应急曝气装置、在线溶氧监测仪按需启用，实时监测水体溶氧状况，确保设施设备发挥作用。</w:t>
            </w:r>
            <w:r/>
          </w:p>
          <w:p>
            <w:pPr>
              <w:numPr>
                <w:ilvl w:val="0"/>
                <w:numId w:val="0"/>
              </w:numPr>
              <w:ind w:left="0" w:right="0" w:firstLine="0"/>
              <w:jc w:val="left"/>
              <w:keepNext/>
              <w:spacing w:line="240" w:lineRule="auto"/>
              <w:rPr>
                <w:rFonts w:hint="eastAsia" w:asciiTheme="minorEastAsia" w:hAnsiTheme="minorEastAsia" w:eastAsiaTheme="minorEastAsia" w:cstheme="minorEastAsia"/>
                <w:b w:val="0"/>
                <w:bCs/>
                <w:sz w:val="20"/>
                <w:szCs w:val="20"/>
                <w:highlight w:val="none"/>
                <w:lang w:val="en-US" w:eastAsia="zh-CN"/>
              </w:rPr>
            </w:pPr>
            <w:r>
              <w:rPr>
                <w:rFonts w:hint="eastAsia" w:ascii="Times New Roman" w:hAnsi="Times New Roman" w:eastAsia="宋体" w:cs="Times New Roman"/>
                <w:b/>
                <w:bCs/>
                <w:color w:val="000000"/>
                <w:sz w:val="20"/>
                <w:szCs w:val="20"/>
                <w:highlight w:val="none"/>
                <w:lang w:val="en-US" w:eastAsia="zh-CN" w:bidi="ar"/>
              </w:rPr>
              <w:t xml:space="preserve">围隔及附属设施</w:t>
            </w:r>
            <w:r>
              <w:rPr>
                <w:rFonts w:hint="eastAsia" w:ascii="Times New Roman" w:hAnsi="Times New Roman" w:eastAsia="宋体" w:cs="Times New Roman"/>
                <w:color w:val="000000"/>
                <w:sz w:val="20"/>
                <w:szCs w:val="20"/>
                <w:highlight w:val="none"/>
                <w:lang w:val="en-US" w:eastAsia="zh-CN" w:bidi="ar"/>
              </w:rPr>
              <w:t xml:space="preserve">：确保围隔完整、牢固，发挥正常拦藻导藻作用；定期巡查，发现</w:t>
            </w:r>
            <w:r>
              <w:rPr>
                <w:rFonts w:hint="eastAsia" w:cs="Times New Roman"/>
                <w:color w:val="000000"/>
                <w:sz w:val="20"/>
                <w:szCs w:val="20"/>
                <w:highlight w:val="none"/>
                <w:lang w:val="en-US" w:eastAsia="zh-CN" w:bidi="ar"/>
              </w:rPr>
              <w:t xml:space="preserve">破损围隔须及时维修</w:t>
            </w:r>
            <w:r>
              <w:rPr>
                <w:rFonts w:hint="eastAsia" w:ascii="Times New Roman" w:hAnsi="Times New Roman" w:eastAsia="宋体" w:cs="Times New Roman"/>
                <w:color w:val="000000"/>
                <w:sz w:val="20"/>
                <w:szCs w:val="20"/>
                <w:highlight w:val="none"/>
                <w:lang w:val="en-US" w:eastAsia="zh-CN" w:bidi="ar"/>
              </w:rPr>
              <w:t xml:space="preserve">，不得因围隔破损导致蓝藻大面积扩散。</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outlineLvl w:val="0"/>
            </w:pPr>
            <w:r>
              <w:rPr>
                <w:rFonts w:hint="eastAsia" w:ascii="Times New Roman" w:eastAsia="宋体"/>
                <w:color w:val="000000"/>
                <w:sz w:val="20"/>
                <w:szCs w:val="20"/>
                <w:highlight w:val="none"/>
                <w:lang w:val="en-US" w:eastAsia="zh-CN"/>
              </w:rPr>
              <w:t xml:space="preserve">40</w:t>
            </w:r>
            <w:r/>
          </w:p>
        </w:tc>
        <w:tc>
          <w:tcPr>
            <w:tcW w:w="3246" w:type="dxa"/>
            <w:vAlign w:val="center"/>
            <w:textDirection w:val="lrTb"/>
            <w:noWrap w:val="false"/>
          </w:tcPr>
          <w:p>
            <w:pPr>
              <w:ind w:left="0" w:right="0" w:firstLine="0"/>
              <w:jc w:val="left"/>
              <w:keepNext/>
              <w:spacing w:line="240" w:lineRule="auto"/>
              <w:widowControl/>
              <w:rPr>
                <w:rFonts w:hint="eastAsia" w:ascii="Times New Roman" w:eastAsia="宋体"/>
                <w:color w:val="000000"/>
                <w:sz w:val="20"/>
                <w:szCs w:val="20"/>
                <w:highlight w:val="none"/>
                <w:lang w:eastAsia="zh-CN" w:bidi="ar"/>
              </w:rPr>
            </w:pPr>
            <w:r>
              <w:rPr>
                <w:rFonts w:hint="eastAsia" w:ascii="Times New Roman" w:hAnsi="Times New Roman" w:eastAsia="宋体" w:cs="Times New Roman"/>
                <w:b/>
                <w:bCs/>
                <w:color w:val="000000"/>
                <w:sz w:val="20"/>
                <w:szCs w:val="20"/>
                <w:highlight w:val="none"/>
                <w:lang w:val="en-US" w:eastAsia="zh-CN" w:bidi="ar"/>
              </w:rPr>
              <w:t xml:space="preserve">蓝藻打捞平台设施</w:t>
            </w:r>
            <w:r>
              <w:rPr>
                <w:rFonts w:hint="eastAsia" w:ascii="Times New Roman" w:hAnsi="Times New Roman" w:eastAsia="宋体" w:cs="Times New Roman"/>
                <w:color w:val="000000"/>
                <w:sz w:val="20"/>
                <w:szCs w:val="20"/>
                <w:highlight w:val="none"/>
                <w:lang w:val="en-US" w:eastAsia="zh-CN" w:bidi="ar"/>
              </w:rPr>
              <w:t xml:space="preserve">：</w:t>
            </w:r>
            <w:r>
              <w:rPr>
                <w:rFonts w:hint="eastAsia" w:ascii="Times New Roman" w:eastAsia="宋体"/>
                <w:color w:val="000000"/>
                <w:sz w:val="20"/>
                <w:szCs w:val="20"/>
                <w:highlight w:val="none"/>
                <w:lang w:bidi="ar"/>
              </w:rPr>
              <w:t xml:space="preserve">按要求运行的得</w:t>
            </w:r>
            <w:r>
              <w:rPr>
                <w:rFonts w:hint="eastAsia" w:ascii="Times New Roman" w:eastAsia="宋体"/>
                <w:color w:val="000000"/>
                <w:sz w:val="20"/>
                <w:szCs w:val="20"/>
                <w:highlight w:val="none"/>
                <w:lang w:val="en-US" w:eastAsia="zh-CN" w:bidi="ar"/>
              </w:rPr>
              <w:t xml:space="preserve">8</w:t>
            </w:r>
            <w:r>
              <w:rPr>
                <w:rFonts w:hint="eastAsia" w:ascii="Times New Roman" w:eastAsia="宋体"/>
                <w:color w:val="000000"/>
                <w:sz w:val="20"/>
                <w:szCs w:val="20"/>
                <w:highlight w:val="none"/>
                <w:lang w:bidi="ar"/>
              </w:rPr>
              <w:t xml:space="preserve">分</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bidi="ar"/>
              </w:rPr>
              <w:t xml:space="preserve">未按要求及时进行蓝藻打捞</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bidi="ar"/>
              </w:rPr>
              <w:t xml:space="preserve">平台周围浪渣、水草未及时清理的，扣1分/次；因运行不力发生蓝藻大面积积聚</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val="en-US" w:eastAsia="zh-CN" w:bidi="ar"/>
              </w:rPr>
              <w:t xml:space="preserve">发白、发黑</w:t>
            </w:r>
            <w:r>
              <w:rPr>
                <w:rFonts w:hint="eastAsia" w:ascii="Times New Roman" w:eastAsia="宋体"/>
                <w:color w:val="000000"/>
                <w:sz w:val="20"/>
                <w:szCs w:val="20"/>
                <w:highlight w:val="none"/>
                <w:lang w:bidi="ar"/>
              </w:rPr>
              <w:t xml:space="preserve">的，扣</w:t>
            </w:r>
            <w:r>
              <w:rPr>
                <w:rFonts w:hint="eastAsia" w:ascii="Times New Roman" w:eastAsia="宋体"/>
                <w:color w:val="000000"/>
                <w:sz w:val="20"/>
                <w:szCs w:val="20"/>
                <w:highlight w:val="none"/>
                <w:lang w:val="en-US" w:eastAsia="zh-CN" w:bidi="ar"/>
              </w:rPr>
              <w:t xml:space="preserve">2</w:t>
            </w:r>
            <w:r>
              <w:rPr>
                <w:rFonts w:hint="eastAsia" w:ascii="Times New Roman" w:eastAsia="宋体"/>
                <w:color w:val="000000"/>
                <w:sz w:val="20"/>
                <w:szCs w:val="20"/>
                <w:highlight w:val="none"/>
                <w:lang w:bidi="ar"/>
              </w:rPr>
              <w:t xml:space="preserve">分/次</w:t>
            </w:r>
            <w:r>
              <w:rPr>
                <w:rFonts w:hint="eastAsia" w:ascii="Times New Roman" w:eastAsia="宋体"/>
                <w:color w:val="000000"/>
                <w:sz w:val="20"/>
                <w:szCs w:val="20"/>
                <w:highlight w:val="none"/>
                <w:lang w:eastAsia="zh-CN" w:bidi="ar"/>
              </w:rPr>
              <w:t xml:space="preserve">。</w:t>
            </w:r>
            <w:r/>
          </w:p>
          <w:p>
            <w:pPr>
              <w:ind w:left="0" w:right="0" w:firstLine="0"/>
              <w:jc w:val="left"/>
              <w:keepNext/>
              <w:spacing w:line="240" w:lineRule="auto"/>
              <w:widowControl/>
              <w:rPr>
                <w:rFonts w:hint="eastAsia" w:ascii="Times New Roman" w:eastAsia="宋体"/>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藻水分离站及配套运输管道设施</w:t>
            </w:r>
            <w:r>
              <w:rPr>
                <w:rFonts w:hint="eastAsia" w:ascii="Times New Roman" w:hAnsi="Times New Roman" w:eastAsia="宋体" w:cs="Times New Roman"/>
                <w:color w:val="000000"/>
                <w:sz w:val="20"/>
                <w:szCs w:val="20"/>
                <w:highlight w:val="none"/>
                <w:lang w:val="en-US" w:eastAsia="zh-CN" w:bidi="ar"/>
              </w:rPr>
              <w:t xml:space="preserve">：</w:t>
            </w:r>
            <w:r>
              <w:rPr>
                <w:rFonts w:hint="eastAsia" w:ascii="Times New Roman" w:eastAsia="宋体"/>
                <w:color w:val="000000"/>
                <w:sz w:val="20"/>
                <w:szCs w:val="20"/>
                <w:highlight w:val="none"/>
                <w:lang w:eastAsia="zh-CN" w:bidi="ar"/>
              </w:rPr>
              <w:t xml:space="preserve">按要求运行的得</w:t>
            </w:r>
            <w:r>
              <w:rPr>
                <w:rFonts w:hint="eastAsia" w:ascii="Times New Roman" w:hAnsi="Times New Roman" w:eastAsia="宋体" w:cs="Times New Roman"/>
                <w:color w:val="000000"/>
                <w:sz w:val="20"/>
                <w:szCs w:val="20"/>
                <w:highlight w:val="none"/>
                <w:lang w:val="en-US" w:eastAsia="zh-CN" w:bidi="ar"/>
              </w:rPr>
              <w:t xml:space="preserve">8分</w:t>
            </w:r>
            <w:r>
              <w:rPr>
                <w:rFonts w:hint="eastAsia" w:ascii="Times New Roman" w:eastAsia="宋体"/>
                <w:color w:val="000000"/>
                <w:sz w:val="20"/>
                <w:szCs w:val="20"/>
                <w:highlight w:val="none"/>
                <w:lang w:eastAsia="zh-CN" w:bidi="ar"/>
              </w:rPr>
              <w:t xml:space="preserve">。</w:t>
            </w:r>
            <w:r>
              <w:rPr>
                <w:rFonts w:hint="eastAsia"/>
                <w:color w:val="000000"/>
                <w:sz w:val="20"/>
                <w:szCs w:val="20"/>
                <w:highlight w:val="none"/>
                <w:lang w:val="en-US" w:eastAsia="zh-CN" w:bidi="ar"/>
              </w:rPr>
              <w:t xml:space="preserve">藻水分离站及配套管道管理不到位导致无法正常运行的，扣2分/次；</w:t>
            </w:r>
            <w:r>
              <w:rPr>
                <w:rFonts w:hint="eastAsia" w:ascii="Times New Roman" w:eastAsia="宋体"/>
                <w:color w:val="000000"/>
                <w:sz w:val="20"/>
                <w:szCs w:val="20"/>
                <w:highlight w:val="none"/>
                <w:lang w:eastAsia="zh-CN" w:bidi="ar"/>
              </w:rPr>
              <w:t xml:space="preserve">藻水分离处置不到位、藻水分离处置后的湿藻泥含水率高于约定标准</w:t>
            </w:r>
            <w:r>
              <w:rPr>
                <w:rFonts w:hint="eastAsia" w:ascii="Times New Roman" w:eastAsia="宋体"/>
                <w:color w:val="000000"/>
                <w:sz w:val="20"/>
                <w:szCs w:val="20"/>
                <w:highlight w:val="none"/>
                <w:lang w:val="en-US" w:eastAsia="zh-CN" w:bidi="ar"/>
              </w:rPr>
              <w:t xml:space="preserve">的，扣1分/次</w:t>
            </w:r>
            <w:r>
              <w:rPr>
                <w:rFonts w:hint="eastAsia"/>
                <w:color w:val="000000"/>
                <w:sz w:val="20"/>
                <w:szCs w:val="20"/>
                <w:highlight w:val="none"/>
                <w:lang w:val="en-US" w:eastAsia="zh-CN" w:bidi="ar"/>
              </w:rPr>
              <w:t xml:space="preserve">，扣完为止（船舶相关扣分累计最高扣2分）；每座藻水分离站、每艘藻水分离船每月抽测藻泥含水率次数不低于3次。</w:t>
            </w:r>
            <w:r/>
          </w:p>
          <w:p>
            <w:pPr>
              <w:ind w:left="0" w:right="0" w:firstLine="0"/>
              <w:jc w:val="left"/>
              <w:keepNext/>
              <w:spacing w:line="240" w:lineRule="auto"/>
              <w:widowControl/>
              <w:rPr>
                <w:rFonts w:hint="eastAsia" w:ascii="Times New Roman" w:hAnsi="Times New Roman" w:eastAsia="宋体" w:cs="Times New Roman"/>
                <w:b w:val="0"/>
                <w:bCs w:val="0"/>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控藻设施</w:t>
            </w:r>
            <w:r>
              <w:rPr>
                <w:rFonts w:hint="eastAsia" w:ascii="Times New Roman" w:hAnsi="Times New Roman" w:eastAsia="宋体" w:cs="Times New Roman"/>
                <w:b w:val="0"/>
                <w:bCs w:val="0"/>
                <w:color w:val="000000"/>
                <w:sz w:val="20"/>
                <w:szCs w:val="20"/>
                <w:highlight w:val="none"/>
                <w:lang w:val="en-US" w:eastAsia="zh-CN" w:bidi="ar"/>
              </w:rPr>
              <w:t xml:space="preserve">：按要求运行的得</w:t>
            </w:r>
            <w:r>
              <w:rPr>
                <w:rFonts w:hint="eastAsia" w:ascii="Times New Roman" w:hAnsi="Times New Roman" w:eastAsia="宋体" w:cs="Times New Roman"/>
                <w:color w:val="000000"/>
                <w:sz w:val="20"/>
                <w:szCs w:val="20"/>
                <w:highlight w:val="none"/>
                <w:lang w:val="en-US" w:eastAsia="zh-CN" w:bidi="ar"/>
              </w:rPr>
              <w:t xml:space="preserve">8</w:t>
            </w:r>
            <w:r>
              <w:rPr>
                <w:rFonts w:hint="eastAsia" w:ascii="Times New Roman" w:hAnsi="Times New Roman" w:eastAsia="宋体" w:cs="Times New Roman"/>
                <w:b w:val="0"/>
                <w:bCs w:val="0"/>
                <w:color w:val="000000"/>
                <w:sz w:val="20"/>
                <w:szCs w:val="20"/>
                <w:highlight w:val="none"/>
                <w:lang w:val="en-US" w:eastAsia="zh-CN" w:bidi="ar"/>
              </w:rPr>
              <w:t xml:space="preserve">分。未按要求运行时长的，扣1分/次；因调水设施未及时启用，服务水域范围内出现水体异常、发黑、发臭情况的，扣2分/次。</w:t>
            </w:r>
            <w:r/>
          </w:p>
          <w:p>
            <w:pPr>
              <w:ind w:left="0" w:right="0" w:firstLine="0"/>
              <w:jc w:val="left"/>
              <w:keepNext/>
              <w:spacing w:line="240" w:lineRule="auto"/>
              <w:widowControl/>
              <w:rPr>
                <w:rFonts w:hint="eastAsia" w:ascii="Times New Roman" w:hAnsi="Times New Roman" w:eastAsia="宋体" w:cs="Times New Roman"/>
                <w:b w:val="0"/>
                <w:bCs w:val="0"/>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蓝藻应急防控设施</w:t>
            </w:r>
            <w:r>
              <w:rPr>
                <w:rFonts w:hint="eastAsia" w:ascii="Times New Roman" w:hAnsi="Times New Roman" w:eastAsia="宋体" w:cs="Times New Roman"/>
                <w:b w:val="0"/>
                <w:bCs w:val="0"/>
                <w:color w:val="000000"/>
                <w:sz w:val="20"/>
                <w:szCs w:val="20"/>
                <w:highlight w:val="none"/>
                <w:lang w:val="en-US" w:eastAsia="zh-CN" w:bidi="ar"/>
              </w:rPr>
              <w:t xml:space="preserve">：按要求运行的得</w:t>
            </w:r>
            <w:r>
              <w:rPr>
                <w:rFonts w:hint="eastAsia" w:ascii="Times New Roman" w:hAnsi="Times New Roman" w:eastAsia="宋体" w:cs="Times New Roman"/>
                <w:color w:val="000000"/>
                <w:sz w:val="20"/>
                <w:szCs w:val="20"/>
                <w:highlight w:val="none"/>
                <w:lang w:val="en-US" w:eastAsia="zh-CN" w:bidi="ar"/>
              </w:rPr>
              <w:t xml:space="preserve">8</w:t>
            </w:r>
            <w:r>
              <w:rPr>
                <w:rFonts w:hint="eastAsia" w:ascii="Times New Roman" w:hAnsi="Times New Roman" w:eastAsia="宋体" w:cs="Times New Roman"/>
                <w:b w:val="0"/>
                <w:bCs w:val="0"/>
                <w:color w:val="000000"/>
                <w:sz w:val="20"/>
                <w:szCs w:val="20"/>
                <w:highlight w:val="none"/>
                <w:lang w:val="en-US" w:eastAsia="zh-CN" w:bidi="ar"/>
              </w:rPr>
              <w:t xml:space="preserve">分。未及时响应指令的，扣1分/次；因作业不力导致作业区域发生蓝藻大面积积聚、发白、发黑的，扣2分/次。</w:t>
            </w:r>
            <w:r/>
          </w:p>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lang w:val="en-US" w:eastAsia="zh-CN"/>
              </w:rPr>
            </w:pPr>
            <w:r>
              <w:rPr>
                <w:rFonts w:hint="eastAsia" w:ascii="Times New Roman" w:hAnsi="Times New Roman" w:eastAsia="宋体" w:cs="Times New Roman"/>
                <w:b/>
                <w:bCs/>
                <w:color w:val="000000"/>
                <w:sz w:val="20"/>
                <w:szCs w:val="20"/>
                <w:highlight w:val="none"/>
                <w:lang w:val="en-US" w:eastAsia="zh-CN" w:bidi="ar"/>
              </w:rPr>
              <w:t xml:space="preserve">围隔及附属设施</w:t>
            </w:r>
            <w:r>
              <w:rPr>
                <w:rFonts w:hint="eastAsia" w:ascii="Times New Roman" w:hAnsi="Times New Roman" w:eastAsia="宋体" w:cs="Times New Roman"/>
                <w:b w:val="0"/>
                <w:bCs w:val="0"/>
                <w:color w:val="000000"/>
                <w:sz w:val="20"/>
                <w:szCs w:val="20"/>
                <w:highlight w:val="none"/>
                <w:lang w:val="en-US" w:eastAsia="zh-CN" w:bidi="ar"/>
              </w:rPr>
              <w:t xml:space="preserve">：按要求运行的得</w:t>
            </w:r>
            <w:r>
              <w:rPr>
                <w:rFonts w:hint="eastAsia" w:ascii="Times New Roman" w:hAnsi="Times New Roman" w:eastAsia="宋体" w:cs="Times New Roman"/>
                <w:color w:val="000000"/>
                <w:sz w:val="20"/>
                <w:szCs w:val="20"/>
                <w:highlight w:val="none"/>
                <w:lang w:val="en-US" w:eastAsia="zh-CN" w:bidi="ar"/>
              </w:rPr>
              <w:t xml:space="preserve">8</w:t>
            </w:r>
            <w:r>
              <w:rPr>
                <w:rFonts w:hint="eastAsia" w:ascii="Times New Roman" w:hAnsi="Times New Roman" w:eastAsia="宋体" w:cs="Times New Roman"/>
                <w:b w:val="0"/>
                <w:bCs w:val="0"/>
                <w:color w:val="000000"/>
                <w:sz w:val="20"/>
                <w:szCs w:val="20"/>
                <w:highlight w:val="none"/>
                <w:lang w:val="en-US" w:eastAsia="zh-CN" w:bidi="ar"/>
              </w:rPr>
              <w:t xml:space="preserve">分。围隔破损未及时</w:t>
            </w:r>
            <w:r>
              <w:rPr>
                <w:rFonts w:hint="eastAsia" w:cs="Times New Roman"/>
                <w:b w:val="0"/>
                <w:bCs w:val="0"/>
                <w:color w:val="000000"/>
                <w:sz w:val="20"/>
                <w:szCs w:val="20"/>
                <w:highlight w:val="none"/>
                <w:lang w:val="en-US" w:eastAsia="zh-CN" w:bidi="ar"/>
              </w:rPr>
              <w:t xml:space="preserve">维修</w:t>
            </w:r>
            <w:r>
              <w:rPr>
                <w:rFonts w:hint="eastAsia" w:ascii="Times New Roman" w:hAnsi="Times New Roman" w:eastAsia="宋体" w:cs="Times New Roman"/>
                <w:b w:val="0"/>
                <w:bCs w:val="0"/>
                <w:color w:val="000000"/>
                <w:sz w:val="20"/>
                <w:szCs w:val="20"/>
                <w:highlight w:val="none"/>
                <w:lang w:val="en-US" w:eastAsia="zh-CN" w:bidi="ar"/>
              </w:rPr>
              <w:t xml:space="preserve">的，扣1分/次。</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428" w:type="dxa"/>
            <w:vAlign w:val="center"/>
            <w:vMerge w:val="continue"/>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r>
            <w:r/>
          </w:p>
        </w:tc>
        <w:tc>
          <w:tcPr>
            <w:tcW w:w="1105" w:type="dxa"/>
            <w:vAlign w:val="center"/>
            <w:vMerge w:val="continue"/>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r>
            <w:r/>
          </w:p>
        </w:tc>
        <w:tc>
          <w:tcPr>
            <w:tcW w:w="3491" w:type="dxa"/>
            <w:vAlign w:val="center"/>
            <w:textDirection w:val="lrTb"/>
            <w:noWrap w:val="false"/>
          </w:tcPr>
          <w:p>
            <w:pPr>
              <w:numPr>
                <w:ilvl w:val="0"/>
                <w:numId w:val="0"/>
              </w:numPr>
              <w:ind w:left="0" w:right="0" w:firstLine="0"/>
              <w:jc w:val="left"/>
              <w:keepNext/>
              <w:spacing w:line="240" w:lineRule="auto"/>
              <w:rPr>
                <w:rFonts w:hint="default" w:ascii="Times New Roman" w:hAnsi="Times New Roman" w:eastAsia="宋体" w:cs="Times New Roman"/>
                <w:b/>
                <w:bCs/>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2、配套处置项目 </w:t>
            </w:r>
            <w:r/>
          </w:p>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bidi="ar"/>
              </w:rPr>
              <w:t xml:space="preserve">每年须及时制定藻泥及水生植物处置计划，明确处置工作总体安排，确保处置工作有序开展。</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pPr>
            <w:r>
              <w:rPr>
                <w:rFonts w:hint="eastAsia"/>
                <w:color w:val="000000"/>
                <w:sz w:val="20"/>
                <w:szCs w:val="20"/>
                <w:highlight w:val="none"/>
                <w:lang w:val="en-US" w:eastAsia="zh-CN"/>
              </w:rPr>
              <w:t xml:space="preserve">6</w:t>
            </w:r>
            <w:r/>
          </w:p>
        </w:tc>
        <w:tc>
          <w:tcPr>
            <w:tcW w:w="3246" w:type="dxa"/>
            <w:vAlign w:val="center"/>
            <w:textDirection w:val="lrTb"/>
            <w:noWrap w:val="false"/>
          </w:tcPr>
          <w:p>
            <w:pPr>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bidi="ar"/>
              </w:rPr>
              <w:t xml:space="preserve">按要求制定处置计划，处置工作有序开展的得</w:t>
            </w:r>
            <w:r>
              <w:rPr>
                <w:rFonts w:hint="eastAsia"/>
                <w:color w:val="000000"/>
                <w:sz w:val="20"/>
                <w:szCs w:val="20"/>
                <w:highlight w:val="none"/>
                <w:lang w:val="en-US" w:eastAsia="zh-CN" w:bidi="ar"/>
              </w:rPr>
              <w:t xml:space="preserve">6</w:t>
            </w:r>
            <w:r>
              <w:rPr>
                <w:rFonts w:hint="eastAsia" w:ascii="Times New Roman" w:eastAsia="宋体"/>
                <w:color w:val="000000"/>
                <w:sz w:val="20"/>
                <w:szCs w:val="20"/>
                <w:highlight w:val="none"/>
                <w:lang w:bidi="ar"/>
              </w:rPr>
              <w:t xml:space="preserve">分。未</w:t>
            </w:r>
            <w:r>
              <w:rPr>
                <w:rFonts w:hint="eastAsia" w:ascii="Times New Roman" w:eastAsia="宋体"/>
                <w:color w:val="000000"/>
                <w:sz w:val="20"/>
                <w:szCs w:val="20"/>
                <w:highlight w:val="none"/>
                <w:lang w:val="en-US" w:eastAsia="zh-CN" w:bidi="ar"/>
              </w:rPr>
              <w:t xml:space="preserve">及时</w:t>
            </w:r>
            <w:r>
              <w:rPr>
                <w:rFonts w:hint="eastAsia" w:ascii="Times New Roman" w:eastAsia="宋体"/>
                <w:color w:val="000000"/>
                <w:sz w:val="20"/>
                <w:szCs w:val="20"/>
                <w:highlight w:val="none"/>
                <w:lang w:bidi="ar"/>
              </w:rPr>
              <w:t xml:space="preserve">制定处置计划的，扣</w:t>
            </w:r>
            <w:r>
              <w:rPr>
                <w:rFonts w:hint="eastAsia"/>
                <w:color w:val="000000"/>
                <w:sz w:val="20"/>
                <w:szCs w:val="20"/>
                <w:highlight w:val="none"/>
                <w:lang w:val="en-US" w:eastAsia="zh-CN" w:bidi="ar"/>
              </w:rPr>
              <w:t xml:space="preserve">2</w:t>
            </w:r>
            <w:r>
              <w:rPr>
                <w:rFonts w:hint="eastAsia" w:ascii="Times New Roman" w:eastAsia="宋体"/>
                <w:color w:val="000000"/>
                <w:sz w:val="20"/>
                <w:szCs w:val="20"/>
                <w:highlight w:val="none"/>
                <w:lang w:bidi="ar"/>
              </w:rPr>
              <w:t xml:space="preserve">分；处置工作组织不力的，扣</w:t>
            </w:r>
            <w:r>
              <w:rPr>
                <w:rFonts w:hint="eastAsia"/>
                <w:color w:val="000000"/>
                <w:sz w:val="20"/>
                <w:szCs w:val="20"/>
                <w:highlight w:val="none"/>
                <w:lang w:val="en-US" w:eastAsia="zh-CN" w:bidi="ar"/>
              </w:rPr>
              <w:t xml:space="preserve">2</w:t>
            </w:r>
            <w:r>
              <w:rPr>
                <w:rFonts w:hint="eastAsia" w:ascii="Times New Roman" w:eastAsia="宋体"/>
                <w:color w:val="000000"/>
                <w:sz w:val="20"/>
                <w:szCs w:val="20"/>
                <w:highlight w:val="none"/>
                <w:lang w:bidi="ar"/>
              </w:rPr>
              <w:t xml:space="preserve">分</w:t>
            </w:r>
            <w:r>
              <w:rPr>
                <w:rFonts w:hint="eastAsia" w:ascii="Times New Roman" w:eastAsia="宋体"/>
                <w:color w:val="000000"/>
                <w:sz w:val="20"/>
                <w:szCs w:val="20"/>
                <w:highlight w:val="none"/>
                <w:lang w:val="en-US" w:eastAsia="zh-CN" w:bidi="ar"/>
              </w:rPr>
              <w:t xml:space="preserve">/次。</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lang w:val="en-US" w:eastAsia="zh-CN"/>
              </w:rPr>
            </w:pPr>
            <w:r>
              <w:rPr>
                <w:rFonts w:hint="eastAsia" w:asciiTheme="minorEastAsia" w:hAnsiTheme="minorEastAsia" w:eastAsiaTheme="minorEastAsia" w:cstheme="minorEastAsia"/>
                <w:b w:val="0"/>
                <w:bCs/>
                <w:sz w:val="20"/>
                <w:szCs w:val="20"/>
                <w:highlight w:val="none"/>
                <w:lang w:val="en-US" w:eastAsia="zh-CN"/>
              </w:rPr>
              <w:t xml:space="preserve">第四季度考核</w:t>
            </w:r>
            <w:r/>
          </w:p>
        </w:tc>
      </w:tr>
      <w:tr>
        <w:trPr>
          <w:trHeight w:val="0"/>
        </w:trPr>
        <w:tc>
          <w:tcPr>
            <w:tcW w:w="428" w:type="dxa"/>
            <w:vAlign w:val="center"/>
            <w:vMerge w:val="continue"/>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r>
            <w:r/>
          </w:p>
        </w:tc>
        <w:tc>
          <w:tcPr>
            <w:tcW w:w="1105" w:type="dxa"/>
            <w:vAlign w:val="center"/>
            <w:vMerge w:val="continue"/>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r>
            <w:r/>
          </w:p>
        </w:tc>
        <w:tc>
          <w:tcPr>
            <w:tcW w:w="3491" w:type="dxa"/>
            <w:vAlign w:val="center"/>
            <w:textDirection w:val="lrTb"/>
            <w:noWrap w:val="false"/>
          </w:tcPr>
          <w:p>
            <w:pPr>
              <w:numPr>
                <w:ilvl w:val="0"/>
                <w:numId w:val="11"/>
              </w:numPr>
              <w:ind w:left="0" w:right="0" w:firstLine="0"/>
              <w:jc w:val="left"/>
              <w:keepNext/>
              <w:spacing w:line="240" w:lineRule="auto"/>
              <w:rPr>
                <w:rFonts w:hint="eastAsia" w:ascii="Times New Roman" w:hAnsi="Times New Roman" w:eastAsia="宋体" w:cs="Times New Roman"/>
                <w:b/>
                <w:bCs/>
                <w:color w:val="000000"/>
                <w:sz w:val="20"/>
                <w:szCs w:val="20"/>
                <w:highlight w:val="none"/>
                <w:lang w:val="en-US" w:eastAsia="zh-CN" w:bidi="ar"/>
              </w:rPr>
            </w:pPr>
            <w:r>
              <w:rPr>
                <w:rFonts w:hint="eastAsia" w:ascii="Times New Roman" w:hAnsi="Times New Roman" w:eastAsia="宋体" w:cs="Times New Roman"/>
                <w:b/>
                <w:bCs/>
                <w:color w:val="000000"/>
                <w:sz w:val="20"/>
                <w:szCs w:val="20"/>
                <w:highlight w:val="none"/>
                <w:lang w:val="en-US" w:eastAsia="zh-CN" w:bidi="ar"/>
              </w:rPr>
              <w:t xml:space="preserve">应急防控项目</w:t>
            </w:r>
            <w:r/>
          </w:p>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lang w:val="en-US" w:eastAsia="zh-CN"/>
              </w:rPr>
              <w:outlineLvl w:val="0"/>
            </w:pPr>
            <w:r>
              <w:rPr>
                <w:rFonts w:hint="eastAsia" w:ascii="Times New Roman" w:hAnsi="Times New Roman" w:eastAsia="宋体"/>
                <w:color w:val="000000"/>
                <w:sz w:val="20"/>
                <w:szCs w:val="20"/>
                <w:highlight w:val="none"/>
                <w:lang w:val="en-US" w:eastAsia="zh-CN" w:bidi="ar-SA"/>
              </w:rPr>
              <w:t xml:space="preserve">每年须及时制定应急防控计划；建立健全应急响应机制，根据实际需要及时调配应急人工队伍及辅助服务资源，确保浪渣清运等辅助工作按需到位；东氿及太湖沿线按要求开展日常巡查，综合运用冲水曝气、围隔导流等措施快速处置，防止水体黑臭及水质异常。</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outlineLvl w:val="0"/>
            </w:pPr>
            <w:r>
              <w:rPr>
                <w:rFonts w:hint="eastAsia"/>
                <w:color w:val="000000"/>
                <w:sz w:val="20"/>
                <w:szCs w:val="20"/>
                <w:highlight w:val="none"/>
                <w:lang w:val="en-US" w:eastAsia="zh-CN" w:bidi="ar-SA"/>
              </w:rPr>
              <w:t xml:space="preserve">4</w:t>
            </w:r>
            <w:r/>
          </w:p>
        </w:tc>
        <w:tc>
          <w:tcPr>
            <w:tcW w:w="3246" w:type="dxa"/>
            <w:vAlign w:val="center"/>
            <w:textDirection w:val="lrTb"/>
            <w:noWrap w:val="false"/>
          </w:tcPr>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lang w:val="en-US" w:eastAsia="zh-CN"/>
              </w:rPr>
              <w:outlineLvl w:val="0"/>
            </w:pPr>
            <w:r>
              <w:rPr>
                <w:rFonts w:hint="eastAsia" w:ascii="Times New Roman" w:eastAsia="宋体"/>
                <w:color w:val="000000"/>
                <w:sz w:val="20"/>
                <w:szCs w:val="20"/>
                <w:highlight w:val="none"/>
                <w:lang w:val="en-US" w:eastAsia="zh-CN" w:bidi="ar"/>
              </w:rPr>
              <w:t xml:space="preserve">及时</w:t>
            </w:r>
            <w:r>
              <w:rPr>
                <w:rFonts w:hint="eastAsia" w:ascii="Times New Roman" w:eastAsia="宋体"/>
                <w:color w:val="000000"/>
                <w:sz w:val="20"/>
                <w:szCs w:val="20"/>
                <w:highlight w:val="none"/>
                <w:lang w:bidi="ar"/>
              </w:rPr>
              <w:t xml:space="preserve">上报应急防控年度计划，应急响应机制健全</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bidi="ar"/>
              </w:rPr>
              <w:t xml:space="preserve">应急工作按要求开展的</w:t>
            </w:r>
            <w:r>
              <w:rPr>
                <w:rFonts w:hint="eastAsia" w:ascii="Times New Roman" w:eastAsia="宋体"/>
                <w:color w:val="000000"/>
                <w:sz w:val="20"/>
                <w:szCs w:val="20"/>
                <w:highlight w:val="none"/>
                <w:lang w:eastAsia="zh-CN" w:bidi="ar"/>
              </w:rPr>
              <w:t xml:space="preserve">，</w:t>
            </w:r>
            <w:r>
              <w:rPr>
                <w:rFonts w:hint="eastAsia" w:ascii="Times New Roman" w:eastAsia="宋体"/>
                <w:color w:val="000000"/>
                <w:sz w:val="20"/>
                <w:szCs w:val="20"/>
                <w:highlight w:val="none"/>
                <w:lang w:bidi="ar"/>
              </w:rPr>
              <w:t xml:space="preserve">得</w:t>
            </w:r>
            <w:r>
              <w:rPr>
                <w:rFonts w:hint="eastAsia"/>
                <w:color w:val="000000"/>
                <w:sz w:val="20"/>
                <w:szCs w:val="20"/>
                <w:highlight w:val="none"/>
                <w:lang w:val="en-US" w:eastAsia="zh-CN" w:bidi="ar"/>
              </w:rPr>
              <w:t xml:space="preserve">4</w:t>
            </w:r>
            <w:r>
              <w:rPr>
                <w:rFonts w:hint="eastAsia" w:ascii="Times New Roman" w:eastAsia="宋体"/>
                <w:color w:val="000000"/>
                <w:sz w:val="20"/>
                <w:szCs w:val="20"/>
                <w:highlight w:val="none"/>
                <w:lang w:bidi="ar"/>
              </w:rPr>
              <w:t xml:space="preserve">分。应急人工队伍或辅助服务未按需到位的，扣2分/次；巡查不到位或处置不及时导致水体黑臭及水质异常的，扣</w:t>
            </w:r>
            <w:r>
              <w:rPr>
                <w:rFonts w:hint="eastAsia"/>
                <w:color w:val="000000"/>
                <w:sz w:val="20"/>
                <w:szCs w:val="20"/>
                <w:highlight w:val="none"/>
                <w:lang w:val="en-US" w:eastAsia="zh-CN" w:bidi="ar"/>
              </w:rPr>
              <w:t xml:space="preserve">2</w:t>
            </w:r>
            <w:r>
              <w:rPr>
                <w:rFonts w:hint="eastAsia" w:ascii="Times New Roman" w:eastAsia="宋体"/>
                <w:color w:val="000000"/>
                <w:sz w:val="20"/>
                <w:szCs w:val="20"/>
                <w:highlight w:val="none"/>
                <w:lang w:bidi="ar"/>
              </w:rPr>
              <w:t xml:space="preserve">分/次。</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0" w:type="auto"/>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4</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运行维护</w:t>
            </w:r>
            <w:r/>
          </w:p>
        </w:tc>
        <w:tc>
          <w:tcPr>
            <w:tcW w:w="3491" w:type="dxa"/>
            <w:vAlign w:val="center"/>
            <w:textDirection w:val="lrTb"/>
            <w:noWrap w:val="false"/>
          </w:tcPr>
          <w:p>
            <w:pPr>
              <w:ind w:left="0" w:right="0" w:firstLine="0"/>
              <w:jc w:val="left"/>
              <w:keepNext/>
              <w:spacing w:line="240" w:lineRule="auto"/>
              <w:rPr>
                <w:rFonts w:hint="eastAsia" w:ascii="Times New Roman" w:eastAsia="宋体"/>
                <w:color w:val="000000"/>
                <w:sz w:val="20"/>
                <w:szCs w:val="20"/>
                <w:highlight w:val="none"/>
                <w:lang w:bidi="ar"/>
              </w:rPr>
            </w:pPr>
            <w:r>
              <w:rPr>
                <w:rFonts w:ascii="Times New Roman" w:eastAsia="宋体"/>
                <w:color w:val="000000"/>
                <w:sz w:val="20"/>
                <w:szCs w:val="20"/>
                <w:highlight w:val="none"/>
                <w:lang w:bidi="ar"/>
              </w:rPr>
              <w:t xml:space="preserve">正确操作使用设施设备，定期做好设施设备日常维护和故障排除工作，确保设施设备性能处于良好状态，保障设施设备持续、高效、安全运行，发挥正常功能</w:t>
            </w:r>
            <w:r>
              <w:rPr>
                <w:rFonts w:hint="eastAsia" w:ascii="Times New Roman" w:eastAsia="宋体"/>
                <w:color w:val="000000"/>
                <w:sz w:val="20"/>
                <w:szCs w:val="20"/>
                <w:highlight w:val="none"/>
                <w:lang w:bidi="ar"/>
              </w:rPr>
              <w:t xml:space="preserve">；</w:t>
            </w:r>
            <w:r>
              <w:rPr>
                <w:rFonts w:ascii="Times New Roman" w:eastAsia="宋体"/>
                <w:color w:val="000000"/>
                <w:sz w:val="20"/>
                <w:szCs w:val="20"/>
                <w:highlight w:val="none"/>
                <w:lang w:bidi="ar"/>
              </w:rPr>
              <w:t xml:space="preserve">安全度夏期，因设施设备发生故障必须开展应急维</w:t>
            </w:r>
            <w:r>
              <w:rPr>
                <w:rFonts w:hint="eastAsia" w:ascii="Times New Roman" w:eastAsia="宋体"/>
                <w:color w:val="000000"/>
                <w:sz w:val="20"/>
                <w:szCs w:val="20"/>
                <w:highlight w:val="none"/>
                <w:lang w:bidi="ar"/>
              </w:rPr>
              <w:t xml:space="preserve">修时，需及时向市水利局报告，并制定应急预案报请同意后组织实施。</w:t>
            </w:r>
            <w:r/>
          </w:p>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rPr>
            </w:pPr>
            <w:r>
              <w:rPr>
                <w:rFonts w:hint="eastAsia" w:ascii="Times New Roman" w:hAnsi="Times New Roman" w:eastAsia="宋体" w:cs="Times New Roman"/>
                <w:color w:val="000000"/>
                <w:sz w:val="20"/>
                <w:szCs w:val="20"/>
                <w:highlight w:val="none"/>
                <w:lang w:bidi="ar"/>
              </w:rPr>
              <w:t xml:space="preserve">设施设备如需重置或大修，实施前须向</w:t>
            </w:r>
            <w:r>
              <w:rPr>
                <w:rFonts w:hint="eastAsia" w:ascii="Times New Roman" w:hAnsi="Times New Roman" w:eastAsia="宋体" w:cs="Times New Roman"/>
                <w:color w:val="000000"/>
                <w:sz w:val="20"/>
                <w:szCs w:val="20"/>
                <w:highlight w:val="none"/>
                <w:lang w:val="en-US" w:eastAsia="zh-CN" w:bidi="ar"/>
              </w:rPr>
              <w:t xml:space="preserve">采购人</w:t>
            </w:r>
            <w:r>
              <w:rPr>
                <w:rFonts w:hint="eastAsia" w:ascii="Times New Roman" w:hAnsi="Times New Roman" w:eastAsia="宋体" w:cs="Times New Roman"/>
                <w:color w:val="000000"/>
                <w:sz w:val="20"/>
                <w:szCs w:val="20"/>
                <w:highlight w:val="none"/>
                <w:lang w:bidi="ar"/>
              </w:rPr>
              <w:t xml:space="preserve">提交申请及实施方案，经审核同意后方可</w:t>
            </w:r>
            <w:r>
              <w:rPr>
                <w:rFonts w:hint="eastAsia" w:ascii="Times New Roman" w:hAnsi="Times New Roman" w:eastAsia="宋体" w:cs="Times New Roman"/>
                <w:color w:val="000000"/>
                <w:sz w:val="20"/>
                <w:szCs w:val="20"/>
                <w:highlight w:val="none"/>
                <w:lang w:eastAsia="zh-CN" w:bidi="ar"/>
              </w:rPr>
              <w:t xml:space="preserve">进行</w:t>
            </w:r>
            <w:r>
              <w:rPr>
                <w:rFonts w:hint="eastAsia" w:ascii="Times New Roman" w:hAnsi="Times New Roman" w:eastAsia="宋体" w:cs="Times New Roman"/>
                <w:color w:val="000000"/>
                <w:sz w:val="20"/>
                <w:szCs w:val="20"/>
                <w:highlight w:val="none"/>
                <w:lang w:bidi="ar"/>
              </w:rPr>
              <w:t xml:space="preserve">，</w:t>
            </w:r>
            <w:r>
              <w:rPr>
                <w:rFonts w:hint="eastAsia" w:ascii="Times New Roman" w:hAnsi="Times New Roman" w:eastAsia="宋体" w:cs="Times New Roman"/>
                <w:color w:val="000000"/>
                <w:sz w:val="20"/>
                <w:szCs w:val="20"/>
                <w:highlight w:val="none"/>
                <w:lang w:eastAsia="zh-CN" w:bidi="ar"/>
              </w:rPr>
              <w:t xml:space="preserve">并</w:t>
            </w:r>
            <w:r>
              <w:rPr>
                <w:rFonts w:hint="eastAsia" w:ascii="Times New Roman" w:hAnsi="Times New Roman" w:eastAsia="宋体" w:cs="Times New Roman"/>
                <w:color w:val="000000"/>
                <w:sz w:val="20"/>
                <w:szCs w:val="20"/>
                <w:highlight w:val="none"/>
                <w:lang w:bidi="ar"/>
              </w:rPr>
              <w:t xml:space="preserve">接受</w:t>
            </w:r>
            <w:r>
              <w:rPr>
                <w:rFonts w:hint="eastAsia" w:ascii="Times New Roman" w:hAnsi="Times New Roman" w:eastAsia="宋体" w:cs="Times New Roman"/>
                <w:color w:val="000000"/>
                <w:sz w:val="20"/>
                <w:szCs w:val="20"/>
                <w:highlight w:val="none"/>
                <w:lang w:val="en-US" w:eastAsia="zh-CN" w:bidi="ar"/>
              </w:rPr>
              <w:t xml:space="preserve">采购人</w:t>
            </w:r>
            <w:r>
              <w:rPr>
                <w:rFonts w:hint="eastAsia" w:ascii="Times New Roman" w:hAnsi="Times New Roman" w:eastAsia="宋体" w:cs="Times New Roman"/>
                <w:color w:val="000000"/>
                <w:sz w:val="20"/>
                <w:szCs w:val="20"/>
                <w:highlight w:val="none"/>
                <w:lang w:bidi="ar"/>
              </w:rPr>
              <w:t xml:space="preserve">委托的第三方机构监督</w:t>
            </w:r>
            <w:r>
              <w:rPr>
                <w:rFonts w:hint="eastAsia" w:ascii="Times New Roman" w:hAnsi="Times New Roman" w:eastAsia="宋体" w:cs="Times New Roman"/>
                <w:color w:val="000000"/>
                <w:sz w:val="20"/>
                <w:szCs w:val="20"/>
                <w:highlight w:val="none"/>
                <w:lang w:eastAsia="zh-CN" w:bidi="ar"/>
              </w:rPr>
              <w:t xml:space="preserve">。</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rPr>
              <w:t xml:space="preserve">10</w:t>
            </w:r>
            <w:r/>
          </w:p>
        </w:tc>
        <w:tc>
          <w:tcPr>
            <w:tcW w:w="3246" w:type="dxa"/>
            <w:vAlign w:val="center"/>
            <w:textDirection w:val="lrTb"/>
            <w:noWrap w:val="false"/>
          </w:tcPr>
          <w:p>
            <w:pPr>
              <w:ind w:left="0" w:right="0" w:firstLine="0"/>
              <w:jc w:val="left"/>
              <w:keepNext/>
              <w:spacing w:line="240" w:lineRule="auto"/>
              <w:rPr>
                <w:rFonts w:ascii="Times New Roman" w:eastAsia="宋体"/>
                <w:color w:val="000000"/>
                <w:sz w:val="20"/>
                <w:szCs w:val="20"/>
                <w:highlight w:val="none"/>
                <w:lang w:bidi="ar"/>
              </w:rPr>
            </w:pPr>
            <w:r>
              <w:rPr>
                <w:rFonts w:ascii="Times New Roman" w:eastAsia="宋体"/>
                <w:color w:val="000000"/>
                <w:sz w:val="20"/>
                <w:szCs w:val="20"/>
                <w:highlight w:val="none"/>
                <w:lang w:bidi="ar"/>
              </w:rPr>
              <w:t xml:space="preserve">按要求正确操作使用设施设备，做好设施设备日常维护和故障排除工作，设施设备性能处于良好状态，能够保持持续、高效、安全运行，发挥正常功能的，得8分；按规定上报设施设备重置或大修工作计划的，得2分。未正确操作使用设施设备的，扣2分/次；未及时做好设施设备日常维护和故障排除工作，导致设施设备性能不佳，无法持续、高效、安全运行，或无法发挥正常作用的，扣5分/次。</w:t>
            </w:r>
            <w:r/>
          </w:p>
          <w:p>
            <w:pPr>
              <w:ind w:left="0" w:right="0" w:firstLine="0"/>
              <w:jc w:val="left"/>
              <w:keepNext/>
              <w:spacing w:line="240" w:lineRule="auto"/>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eastAsia="zh-CN" w:bidi="ar"/>
              </w:rPr>
              <w:t xml:space="preserve">应急维修、</w:t>
            </w:r>
            <w:r>
              <w:rPr>
                <w:rFonts w:ascii="Times New Roman" w:eastAsia="宋体"/>
                <w:color w:val="000000"/>
                <w:sz w:val="20"/>
                <w:szCs w:val="20"/>
                <w:highlight w:val="none"/>
                <w:lang w:bidi="ar"/>
              </w:rPr>
              <w:t xml:space="preserve">重置或大修工作未上报</w:t>
            </w:r>
            <w:r>
              <w:rPr>
                <w:rFonts w:hint="eastAsia" w:ascii="Times New Roman" w:hAnsi="Times New Roman" w:eastAsia="宋体" w:cs="Times New Roman"/>
                <w:color w:val="000000"/>
                <w:sz w:val="20"/>
                <w:szCs w:val="20"/>
                <w:highlight w:val="none"/>
                <w:lang w:val="en-US" w:eastAsia="zh-CN" w:bidi="ar"/>
              </w:rPr>
              <w:t xml:space="preserve">采购人</w:t>
            </w:r>
            <w:r>
              <w:rPr>
                <w:rFonts w:ascii="Times New Roman" w:eastAsia="宋体"/>
                <w:color w:val="000000"/>
                <w:sz w:val="20"/>
                <w:szCs w:val="20"/>
                <w:highlight w:val="none"/>
                <w:lang w:bidi="ar"/>
              </w:rPr>
              <w:t xml:space="preserve">、未经</w:t>
            </w:r>
            <w:r>
              <w:rPr>
                <w:rFonts w:hint="eastAsia" w:ascii="Times New Roman" w:hAnsi="Times New Roman" w:eastAsia="宋体" w:cs="Times New Roman"/>
                <w:color w:val="000000"/>
                <w:sz w:val="20"/>
                <w:szCs w:val="20"/>
                <w:highlight w:val="none"/>
                <w:lang w:val="en-US" w:eastAsia="zh-CN" w:bidi="ar"/>
              </w:rPr>
              <w:t xml:space="preserve">采购人</w:t>
            </w:r>
            <w:r>
              <w:rPr>
                <w:rFonts w:ascii="Times New Roman" w:eastAsia="宋体"/>
                <w:color w:val="000000"/>
                <w:sz w:val="20"/>
                <w:szCs w:val="20"/>
                <w:highlight w:val="none"/>
                <w:lang w:bidi="ar"/>
              </w:rPr>
              <w:t xml:space="preserve">同意、未在</w:t>
            </w:r>
            <w:r>
              <w:rPr>
                <w:rFonts w:hint="eastAsia" w:ascii="Times New Roman" w:hAnsi="Times New Roman" w:eastAsia="宋体" w:cs="Times New Roman"/>
                <w:color w:val="000000"/>
                <w:sz w:val="20"/>
                <w:szCs w:val="20"/>
                <w:highlight w:val="none"/>
                <w:lang w:val="en-US" w:eastAsia="zh-CN" w:bidi="ar"/>
              </w:rPr>
              <w:t xml:space="preserve">采购人</w:t>
            </w:r>
            <w:r>
              <w:rPr>
                <w:rFonts w:ascii="Times New Roman" w:eastAsia="宋体"/>
                <w:color w:val="000000"/>
                <w:sz w:val="20"/>
                <w:szCs w:val="20"/>
                <w:highlight w:val="none"/>
                <w:lang w:bidi="ar"/>
              </w:rPr>
              <w:t xml:space="preserve">委托的第三方机构的监督下开展的，扣2分。</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0" w:type="auto"/>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5</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工作台账</w:t>
            </w:r>
            <w:r/>
          </w:p>
        </w:tc>
        <w:tc>
          <w:tcPr>
            <w:tcW w:w="3491"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lang w:eastAsia="zh-CN"/>
              </w:rPr>
            </w:pPr>
            <w:r>
              <w:rPr>
                <w:rFonts w:hint="eastAsia" w:ascii="Times New Roman" w:eastAsia="宋体"/>
                <w:color w:val="000000"/>
                <w:sz w:val="20"/>
                <w:szCs w:val="20"/>
                <w:highlight w:val="none"/>
                <w:lang w:bidi="ar"/>
              </w:rPr>
              <w:t xml:space="preserve">建立运行维护工作台帐，及时上报相关工作报表和资料。工作台帐以及资料包括但不限于以下内容：运行台账；维修维护台账；耗油台账；工作制度台账；安全教育、培训台账；安全生产检查台账；内部考核台账等。</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val="en-US" w:eastAsia="zh-CN"/>
              </w:rPr>
              <w:t xml:space="preserve">10</w:t>
            </w:r>
            <w:r/>
          </w:p>
        </w:tc>
        <w:tc>
          <w:tcPr>
            <w:tcW w:w="3246"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lang w:bidi="ar"/>
              </w:rPr>
              <w:t xml:space="preserve">建立运行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工作台帐，及时上报相关工作报表和资料的，得</w:t>
            </w:r>
            <w:r>
              <w:rPr>
                <w:rFonts w:hint="eastAsia" w:ascii="Times New Roman" w:eastAsia="宋体"/>
                <w:color w:val="000000"/>
                <w:sz w:val="20"/>
                <w:szCs w:val="20"/>
                <w:highlight w:val="none"/>
                <w:lang w:val="en-US" w:eastAsia="zh-CN" w:bidi="ar"/>
              </w:rPr>
              <w:t xml:space="preserve">10</w:t>
            </w:r>
            <w:r>
              <w:rPr>
                <w:rFonts w:ascii="Times New Roman" w:eastAsia="宋体"/>
                <w:color w:val="000000"/>
                <w:sz w:val="20"/>
                <w:szCs w:val="20"/>
                <w:highlight w:val="none"/>
                <w:lang w:bidi="ar"/>
              </w:rPr>
              <w:t xml:space="preserve">分。未建立运行管护工作台账的此项不得分；每少一项台账扣</w:t>
            </w:r>
            <w:r>
              <w:rPr>
                <w:rFonts w:hint="eastAsia"/>
                <w:color w:val="000000"/>
                <w:sz w:val="20"/>
                <w:szCs w:val="20"/>
                <w:highlight w:val="none"/>
                <w:lang w:val="en-US" w:eastAsia="zh-CN" w:bidi="ar"/>
              </w:rPr>
              <w:t xml:space="preserve">2</w:t>
            </w:r>
            <w:r>
              <w:rPr>
                <w:rFonts w:ascii="Times New Roman" w:eastAsia="宋体"/>
                <w:color w:val="000000"/>
                <w:sz w:val="20"/>
                <w:szCs w:val="20"/>
                <w:highlight w:val="none"/>
                <w:lang w:bidi="ar"/>
              </w:rPr>
              <w:t xml:space="preserve">分；台账记录内容缺失、不全或不真实的，扣</w:t>
            </w:r>
            <w:r>
              <w:rPr>
                <w:rFonts w:hint="eastAsia" w:ascii="Times New Roman" w:eastAsia="宋体"/>
                <w:color w:val="000000"/>
                <w:sz w:val="20"/>
                <w:szCs w:val="20"/>
                <w:highlight w:val="none"/>
                <w:lang w:val="en-US" w:eastAsia="zh-CN" w:bidi="ar"/>
              </w:rPr>
              <w:t xml:space="preserve">2</w:t>
            </w:r>
            <w:r>
              <w:rPr>
                <w:rFonts w:ascii="Times New Roman" w:eastAsia="宋体"/>
                <w:color w:val="000000"/>
                <w:sz w:val="20"/>
                <w:szCs w:val="20"/>
                <w:highlight w:val="none"/>
                <w:lang w:bidi="ar"/>
              </w:rPr>
              <w:t xml:space="preserve">分；未及时上报相关工作报表和资料的，扣2分/次。</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r>
        <w:trPr>
          <w:trHeight w:val="0"/>
        </w:trPr>
        <w:tc>
          <w:tcPr>
            <w:tcW w:w="42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6</w:t>
            </w:r>
            <w:r/>
          </w:p>
        </w:tc>
        <w:tc>
          <w:tcPr>
            <w:tcW w:w="1105"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rPr>
              <w:t xml:space="preserve">安全生产</w:t>
            </w:r>
            <w:r/>
          </w:p>
        </w:tc>
        <w:tc>
          <w:tcPr>
            <w:tcW w:w="3491"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hint="eastAsia" w:ascii="Times New Roman" w:eastAsia="宋体"/>
                <w:color w:val="000000"/>
                <w:sz w:val="20"/>
                <w:szCs w:val="20"/>
                <w:highlight w:val="none"/>
                <w:lang w:bidi="ar"/>
              </w:rPr>
              <w:t xml:space="preserve">建立太湖蓝藻防控服务项目运行维护工作安全生产制度，落实安全措施，确保安全无事故。</w:t>
            </w:r>
            <w:r/>
          </w:p>
        </w:tc>
        <w:tc>
          <w:tcPr>
            <w:tcW w:w="610" w:type="dxa"/>
            <w:vAlign w:val="center"/>
            <w:textDirection w:val="lrTb"/>
            <w:noWrap w:val="false"/>
          </w:tcPr>
          <w:p>
            <w:pPr>
              <w:ind w:left="0" w:right="0" w:firstLine="0"/>
              <w:jc w:val="center"/>
              <w:keepNext/>
              <w:spacing w:line="240" w:lineRule="auto"/>
              <w:rPr>
                <w:rFonts w:hint="eastAsia" w:asciiTheme="minorEastAsia" w:hAnsiTheme="minorEastAsia" w:eastAsiaTheme="minorEastAsia" w:cstheme="minorEastAsia"/>
                <w:b w:val="0"/>
                <w:bCs/>
                <w:sz w:val="20"/>
                <w:szCs w:val="20"/>
                <w:highlight w:val="none"/>
                <w:lang w:val="en-US" w:eastAsia="zh-CN"/>
              </w:rPr>
            </w:pPr>
            <w:r>
              <w:rPr>
                <w:rFonts w:ascii="Times New Roman" w:eastAsia="宋体"/>
                <w:color w:val="000000"/>
                <w:sz w:val="20"/>
                <w:szCs w:val="20"/>
                <w:highlight w:val="none"/>
              </w:rPr>
              <w:t xml:space="preserve">10</w:t>
            </w:r>
            <w:r/>
          </w:p>
        </w:tc>
        <w:tc>
          <w:tcPr>
            <w:tcW w:w="3257" w:type="dxa"/>
            <w:vAlign w:val="center"/>
            <w:textDirection w:val="lrTb"/>
            <w:noWrap w:val="false"/>
          </w:tcPr>
          <w:p>
            <w:pPr>
              <w:ind w:left="0" w:right="0" w:firstLine="0"/>
              <w:jc w:val="left"/>
              <w:keepNext/>
              <w:spacing w:line="240" w:lineRule="auto"/>
              <w:widowControl/>
              <w:rPr>
                <w:rFonts w:hint="eastAsia" w:asciiTheme="minorEastAsia" w:hAnsiTheme="minorEastAsia" w:eastAsiaTheme="minorEastAsia" w:cstheme="minorEastAsia"/>
                <w:b w:val="0"/>
                <w:bCs/>
                <w:sz w:val="20"/>
                <w:szCs w:val="20"/>
                <w:highlight w:val="none"/>
              </w:rPr>
            </w:pPr>
            <w:r>
              <w:rPr>
                <w:rFonts w:ascii="Times New Roman" w:eastAsia="宋体"/>
                <w:color w:val="000000"/>
                <w:sz w:val="20"/>
                <w:szCs w:val="20"/>
                <w:highlight w:val="none"/>
                <w:lang w:bidi="ar"/>
              </w:rPr>
              <w:t xml:space="preserve">建立运行</w:t>
            </w:r>
            <w:r>
              <w:rPr>
                <w:rFonts w:hint="eastAsia" w:ascii="Times New Roman" w:eastAsia="宋体"/>
                <w:color w:val="000000"/>
                <w:sz w:val="20"/>
                <w:szCs w:val="20"/>
                <w:highlight w:val="none"/>
                <w:lang w:val="en-US" w:eastAsia="zh-CN" w:bidi="ar"/>
              </w:rPr>
              <w:t xml:space="preserve">维护</w:t>
            </w:r>
            <w:r>
              <w:rPr>
                <w:rFonts w:ascii="Times New Roman" w:eastAsia="宋体"/>
                <w:color w:val="000000"/>
                <w:sz w:val="20"/>
                <w:szCs w:val="20"/>
                <w:highlight w:val="none"/>
                <w:lang w:bidi="ar"/>
              </w:rPr>
              <w:t xml:space="preserve">工作安全生产制度，落实安全措施，安全无事故的，得10分。未建立安全生产工作制度的，扣3分；未落实安全防护措施的，扣1分/次；发生安全事故的，此项不得分。</w:t>
            </w:r>
            <w:r/>
          </w:p>
        </w:tc>
        <w:tc>
          <w:tcPr>
            <w:tcW w:w="818" w:type="dxa"/>
            <w:vAlign w:val="center"/>
            <w:textDirection w:val="lrTb"/>
            <w:noWrap w:val="false"/>
          </w:tcPr>
          <w:p>
            <w:pPr>
              <w:jc w:val="center"/>
              <w:widowControl/>
              <w:rPr>
                <w:rFonts w:hint="eastAsia" w:asciiTheme="minorEastAsia" w:hAnsiTheme="minorEastAsia" w:eastAsiaTheme="minorEastAsia" w:cstheme="minorEastAsia"/>
                <w:b w:val="0"/>
                <w:bCs/>
                <w:sz w:val="20"/>
                <w:szCs w:val="20"/>
                <w:highlight w:val="none"/>
              </w:rPr>
            </w:pPr>
            <w:r>
              <w:rPr>
                <w:rFonts w:hint="eastAsia" w:asciiTheme="minorEastAsia" w:hAnsiTheme="minorEastAsia" w:eastAsiaTheme="minorEastAsia" w:cstheme="minorEastAsia"/>
                <w:b w:val="0"/>
                <w:bCs/>
                <w:sz w:val="20"/>
                <w:szCs w:val="20"/>
                <w:highlight w:val="none"/>
                <w:lang w:val="en-US" w:eastAsia="zh-CN"/>
              </w:rPr>
              <w:t xml:space="preserve">每季度考核</w:t>
            </w:r>
            <w:r/>
          </w:p>
        </w:tc>
      </w:tr>
    </w:tbl>
    <w:p>
      <w:pPr>
        <w:ind w:firstLine="480"/>
        <w:spacing w:line="560" w:lineRule="exact"/>
        <w:rPr>
          <w:rFonts w:ascii="宋体" w:hAnsi="宋体" w:cs="宋体"/>
          <w:color w:val="auto"/>
          <w:sz w:val="24"/>
          <w:highlight w:val="none"/>
        </w:rPr>
      </w:pPr>
      <w:r/>
      <w:bookmarkStart w:id="94" w:name="_Toc4760"/>
      <w:r/>
      <w:bookmarkStart w:id="95" w:name="_Toc3625"/>
      <w:r/>
      <w:bookmarkStart w:id="96" w:name="_Toc31421"/>
      <w:r/>
      <w:bookmarkStart w:id="97" w:name="_Toc8772"/>
      <w:r/>
      <w:bookmarkStart w:id="98" w:name="_Toc11108"/>
      <w:r/>
      <w:bookmarkStart w:id="99" w:name="_Toc21423"/>
      <w:r/>
      <w:bookmarkStart w:id="100" w:name="_Toc27250"/>
      <w:r/>
      <w:bookmarkStart w:id="101" w:name="_Toc19554"/>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支付单位：</w:t>
      </w:r>
      <w:r>
        <w:rPr>
          <w:rFonts w:hint="eastAsia" w:ascii="宋体" w:hAnsi="宋体" w:cs="宋体"/>
          <w:color w:val="auto"/>
          <w:sz w:val="24"/>
          <w:highlight w:val="none"/>
          <w:u w:val="single"/>
        </w:rPr>
        <w:t xml:space="preserve">由</w:t>
      </w:r>
      <w:r>
        <w:rPr>
          <w:rFonts w:hint="eastAsia" w:ascii="宋体" w:hAnsi="宋体" w:cs="宋体"/>
          <w:color w:val="auto"/>
          <w:sz w:val="24"/>
          <w:highlight w:val="none"/>
          <w:u w:val="single"/>
          <w:lang w:eastAsia="zh-CN"/>
        </w:rPr>
        <w:t xml:space="preserve">宜兴市水利局</w:t>
      </w:r>
      <w:r>
        <w:rPr>
          <w:rFonts w:hint="eastAsia" w:ascii="宋体" w:hAnsi="宋体" w:cs="宋体"/>
          <w:color w:val="auto"/>
          <w:sz w:val="24"/>
          <w:highlight w:val="none"/>
          <w:u w:val="single"/>
        </w:rPr>
        <w:t xml:space="preserve">进行支付</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1.5 履行期限、地点和方式</w:t>
      </w:r>
      <w:bookmarkEnd w:id="94"/>
      <w:r/>
      <w:bookmarkEnd w:id="95"/>
      <w:r/>
      <w:bookmarkEnd w:id="96"/>
      <w:r/>
      <w:bookmarkEnd w:id="97"/>
      <w:r/>
      <w:bookmarkEnd w:id="98"/>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 违约责任</w:t>
      </w:r>
      <w:bookmarkEnd w:id="99"/>
      <w:r/>
      <w:bookmarkEnd w:id="100"/>
      <w:r/>
      <w:bookmarkEnd w:id="101"/>
      <w:r/>
      <w:r/>
    </w:p>
    <w:p>
      <w:pPr>
        <w:ind w:firstLine="480"/>
        <w:spacing w:line="560" w:lineRule="exact"/>
        <w:rPr>
          <w:rFonts w:hint="eastAsia" w:ascii="宋体" w:hAnsi="宋体" w:cs="宋体"/>
          <w:color w:val="auto"/>
          <w:sz w:val="24"/>
          <w:szCs w:val="24"/>
          <w:highlight w:val="none"/>
        </w:rPr>
      </w:pPr>
      <w:r/>
      <w:bookmarkStart w:id="102" w:name="_Toc16021"/>
      <w:r/>
      <w:bookmarkStart w:id="103" w:name="_Toc15583"/>
      <w:r/>
      <w:bookmarkStart w:id="104" w:name="_Toc28375"/>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0.5</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0.5</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bCs/>
          <w:color w:val="auto"/>
          <w:sz w:val="24"/>
          <w:highlight w:val="none"/>
          <w:lang w:val="zh-CN"/>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rPr>
          <w:rFonts w:hint="eastAsia" w:ascii="宋体" w:hAnsi="宋体" w:cs="宋体"/>
          <w:color w:val="auto"/>
          <w:sz w:val="24"/>
          <w:szCs w:val="24"/>
          <w:highlight w:val="none"/>
          <w:lang w:eastAsia="zh-CN"/>
        </w:rPr>
        <w:t xml:space="preserve">；</w:t>
      </w:r>
      <w:r/>
    </w:p>
    <w:p>
      <w:pPr>
        <w:ind w:firstLine="48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1.6.8因不可抗力产生设施设备维修损失的，单次损失10万元及以内，由乙方在日常防控固定总价内包干承担；单次损失超出10万元部分，纳入应急防控服务范畴，相关费用由甲方据实承担。双方须第一时间采取措施减少损失，未及时止损扩大的损失由责任方自行承担。</w:t>
      </w:r>
      <w:r/>
    </w:p>
    <w:p>
      <w:pPr>
        <w:ind w:firstLine="482"/>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1.7 合同争议的解决</w:t>
      </w:r>
      <w:bookmarkEnd w:id="102"/>
      <w:r/>
      <w:bookmarkEnd w:id="103"/>
      <w:r/>
      <w:bookmarkEnd w:id="104"/>
      <w:r/>
      <w:r/>
    </w:p>
    <w:p>
      <w:pPr>
        <w:ind w:firstLine="480"/>
        <w:spacing w:line="560" w:lineRule="exact"/>
        <w:rPr>
          <w:rFonts w:hint="eastAsia" w:ascii="宋体" w:hAnsi="宋体" w:cs="宋体"/>
          <w:color w:val="auto"/>
          <w:sz w:val="24"/>
          <w:highlight w:val="none"/>
        </w:rPr>
      </w:pPr>
      <w:r/>
      <w:bookmarkStart w:id="105" w:name="_Toc15322"/>
      <w:r/>
      <w:bookmarkStart w:id="106" w:name="_Toc11173"/>
      <w:r/>
      <w:bookmarkStart w:id="107" w:name="_Toc7245"/>
      <w:r>
        <w:rPr>
          <w:rFonts w:hint="eastAsia" w:ascii="宋体" w:hAnsi="宋体" w:cs="宋体"/>
          <w:color w:val="auto"/>
          <w:sz w:val="24"/>
          <w:highlight w:val="none"/>
        </w:rPr>
        <w:t xml:space="preserve">1.7.</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因履行本合同引起的或与本合同有关的争议</w:t>
      </w:r>
      <w:r>
        <w:rPr>
          <w:rFonts w:hint="eastAsia" w:ascii="宋体" w:hAnsi="宋体" w:cs="宋体"/>
          <w:color w:val="auto"/>
          <w:sz w:val="24"/>
          <w:highlight w:val="none"/>
        </w:rPr>
        <w:t xml:space="preserve">，双方当事人均可通过和解或者调解解决；不愿和解、调解或者和解、调解不成的，可以选择下列第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种方式解决：</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①将争议提交</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仲裁委员会</w:t>
      </w:r>
      <w:r>
        <w:rPr>
          <w:rFonts w:hint="eastAsia" w:ascii="宋体" w:hAnsi="宋体" w:cs="宋体"/>
          <w:color w:val="auto"/>
          <w:sz w:val="24"/>
          <w:highlight w:val="none"/>
          <w:lang w:eastAsia="zh-CN"/>
        </w:rPr>
        <w:t xml:space="preserve">依据</w:t>
      </w:r>
      <w:r>
        <w:rPr>
          <w:rFonts w:hint="eastAsia" w:ascii="宋体" w:hAnsi="宋体" w:cs="宋体"/>
          <w:color w:val="auto"/>
          <w:sz w:val="24"/>
          <w:highlight w:val="none"/>
        </w:rPr>
        <w:t xml:space="preserve">申请仲裁时其现行有效的仲裁规则裁决；</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②向甲方所在地（宜兴）人民法院起诉。</w:t>
      </w:r>
      <w:r/>
    </w:p>
    <w:p>
      <w:pPr>
        <w:ind w:firstLine="482"/>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05"/>
      <w:r/>
      <w:bookmarkEnd w:id="106"/>
      <w:r/>
      <w:bookmarkEnd w:id="107"/>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份，供需双方各持二份，报送</w:t>
      </w:r>
      <w:r>
        <w:rPr>
          <w:rFonts w:hint="eastAsia" w:ascii="宋体" w:hAnsi="宋体" w:cs="宋体"/>
          <w:color w:val="auto"/>
          <w:sz w:val="24"/>
          <w:highlight w:val="none"/>
          <w:lang w:eastAsia="zh-CN"/>
        </w:rPr>
        <w:t xml:space="preserve">鸿成工程项目管理有限公司</w:t>
      </w:r>
      <w:r>
        <w:rPr>
          <w:rFonts w:hint="eastAsia" w:ascii="宋体" w:hAnsi="宋体" w:cs="宋体"/>
          <w:color w:val="auto"/>
          <w:sz w:val="24"/>
          <w:highlight w:val="none"/>
        </w:rPr>
        <w:t xml:space="preserve">存档各一份。</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spacing w:line="560" w:lineRule="exact"/>
        <w:rPr>
          <w:rFonts w:hint="eastAsia" w:ascii="宋体" w:hAnsi="宋体" w:cs="宋体"/>
          <w:color w:val="auto"/>
          <w:sz w:val="24"/>
          <w:szCs w:val="24"/>
          <w:highlight w:val="none"/>
          <w:lang w:val="zh-CN"/>
        </w:rPr>
      </w:pPr>
      <w:r/>
      <w:bookmarkStart w:id="108"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803"/>
        <w:ind w:left="1058" w:hanging="2"/>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803"/>
        <w:ind w:firstLine="0"/>
        <w:jc w:val="center"/>
        <w:spacing w:line="560" w:lineRule="exact"/>
        <w:rPr>
          <w:rFonts w:hint="eastAsia" w:hAnsi="宋体" w:cs="宋体"/>
          <w:b/>
          <w:color w:val="auto"/>
          <w:szCs w:val="24"/>
          <w:highlight w:val="none"/>
        </w:rPr>
      </w:pPr>
      <w:r>
        <w:rPr>
          <w:rFonts w:hint="eastAsia"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08"/>
      <w:r/>
      <w:r/>
    </w:p>
    <w:p>
      <w:pPr>
        <w:ind w:firstLine="482"/>
        <w:spacing w:line="560" w:lineRule="exact"/>
        <w:rPr>
          <w:rFonts w:hint="eastAsia" w:ascii="宋体" w:hAnsi="宋体" w:cs="宋体"/>
          <w:b/>
          <w:color w:val="auto"/>
          <w:sz w:val="24"/>
          <w:szCs w:val="24"/>
          <w:highlight w:val="none"/>
        </w:rPr>
      </w:pPr>
      <w:r/>
      <w:bookmarkStart w:id="109" w:name="_Ref467379225"/>
      <w:r/>
      <w:bookmarkStart w:id="110" w:name="_Ref467379094"/>
      <w:r/>
      <w:bookmarkStart w:id="111" w:name="_Ref467379109"/>
      <w:r/>
      <w:bookmarkStart w:id="112" w:name="_Ref467378463"/>
      <w:r/>
      <w:bookmarkStart w:id="113" w:name="_Toc19680"/>
      <w:r/>
      <w:bookmarkStart w:id="114" w:name="_Ref467379205"/>
      <w:r/>
      <w:bookmarkStart w:id="115" w:name="_Ref467378404"/>
      <w:r/>
      <w:bookmarkStart w:id="116" w:name="_Ref467378499"/>
      <w:r/>
      <w:bookmarkStart w:id="117" w:name="_Toc487900349"/>
      <w:r/>
      <w:bookmarkStart w:id="118" w:name="_Toc25079"/>
      <w:r/>
      <w:bookmarkStart w:id="119" w:name="_Ref467379214"/>
      <w:r/>
      <w:bookmarkStart w:id="120" w:name="_Toc14021"/>
      <w:r/>
      <w:bookmarkStart w:id="121" w:name="_Ref467379101"/>
      <w:r/>
      <w:bookmarkStart w:id="122" w:name="_Ref467379195"/>
      <w:r/>
      <w:bookmarkStart w:id="123" w:name="_Toc5228"/>
      <w:r/>
      <w:bookmarkStart w:id="124" w:name="_Toc279701240"/>
      <w:r/>
      <w:bookmarkStart w:id="125" w:name="_Toc31297"/>
      <w:r/>
      <w:bookmarkStart w:id="126" w:name="_Toc259093669"/>
      <w:r>
        <w:rPr>
          <w:rFonts w:hint="eastAsia" w:ascii="宋体" w:hAnsi="宋体" w:cs="宋体"/>
          <w:b/>
          <w:color w:val="auto"/>
          <w:sz w:val="24"/>
          <w:szCs w:val="24"/>
          <w:highlight w:val="none"/>
        </w:rPr>
        <w:t xml:space="preserve">2.1 定义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“合同”系指采购人和成交供应商签订的载明双方当事人所达成的协议，并包括所有的附件、附录和构成合同的其他文件。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“合同价”系指根据合同约定，成交供应商在完全履行合同义务后，采购人应支付给成交供应商的价格。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color w:val="auto"/>
          <w:sz w:val="24"/>
          <w:szCs w:val="24"/>
          <w:highlight w:val="none"/>
        </w:rPr>
      </w:pPr>
      <w:r/>
      <w:bookmarkStart w:id="127" w:name="_Ref467378840"/>
      <w:r>
        <w:rPr>
          <w:rFonts w:hint="eastAsia" w:ascii="宋体" w:hAnsi="宋体" w:cs="宋体"/>
          <w:color w:val="auto"/>
          <w:sz w:val="24"/>
          <w:szCs w:val="24"/>
          <w:highlight w:val="none"/>
        </w:rPr>
        <w:t xml:space="preserve">2.1.4 “甲方”系指与成交供应商签署合同的采购人</w:t>
      </w:r>
      <w:bookmarkEnd w:id="127"/>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szCs w:val="24"/>
          <w:highlight w:val="none"/>
        </w:rPr>
      </w:pPr>
      <w:r/>
      <w:bookmarkStart w:id="128" w:name="_Ref467379400"/>
      <w:r>
        <w:rPr>
          <w:rFonts w:hint="eastAsia" w:ascii="宋体" w:hAnsi="宋体" w:cs="宋体"/>
          <w:color w:val="auto"/>
          <w:sz w:val="24"/>
          <w:szCs w:val="24"/>
          <w:highlight w:val="none"/>
        </w:rPr>
        <w:t xml:space="preserve">2.1.5 “乙方”系指根据合同约定提供服务的成交供应商</w:t>
      </w:r>
      <w:bookmarkEnd w:id="128"/>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szCs w:val="24"/>
          <w:highlight w:val="none"/>
        </w:rPr>
      </w:pPr>
      <w:r/>
      <w:bookmarkStart w:id="129" w:name="_Ref467379436"/>
      <w:r>
        <w:rPr>
          <w:rFonts w:hint="eastAsia" w:ascii="宋体" w:hAnsi="宋体" w:cs="宋体"/>
          <w:color w:val="auto"/>
          <w:sz w:val="24"/>
          <w:szCs w:val="24"/>
          <w:highlight w:val="none"/>
        </w:rPr>
        <w:t xml:space="preserve">2.1.6 “现场”系指合同约定提供服务的地点。</w:t>
      </w:r>
      <w:bookmarkEnd w:id="129"/>
      <w:r/>
      <w:r/>
    </w:p>
    <w:p>
      <w:pPr>
        <w:ind w:firstLine="482"/>
        <w:spacing w:line="560" w:lineRule="exact"/>
        <w:rPr>
          <w:rFonts w:hint="eastAsia" w:ascii="宋体" w:hAnsi="宋体" w:cs="宋体"/>
          <w:b/>
          <w:color w:val="auto"/>
          <w:sz w:val="24"/>
          <w:szCs w:val="24"/>
          <w:highlight w:val="none"/>
        </w:rPr>
      </w:pPr>
      <w:r/>
      <w:bookmarkStart w:id="130" w:name="_Toc259093670"/>
      <w:r/>
      <w:bookmarkStart w:id="131" w:name="_Toc31402"/>
      <w:r/>
      <w:bookmarkStart w:id="132" w:name="_Toc487900350"/>
      <w:r/>
      <w:bookmarkStart w:id="133" w:name="_Toc23289"/>
      <w:r/>
      <w:bookmarkStart w:id="134" w:name="_Toc16752"/>
      <w:r/>
      <w:bookmarkStart w:id="135" w:name="_Toc3769"/>
      <w:r/>
      <w:bookmarkStart w:id="136" w:name="_Toc279701241"/>
      <w:r/>
      <w:bookmarkStart w:id="137" w:name="_Toc19539"/>
      <w:r>
        <w:rPr>
          <w:rFonts w:hint="eastAsia" w:ascii="宋体" w:hAnsi="宋体" w:cs="宋体"/>
          <w:b/>
          <w:color w:val="auto"/>
          <w:sz w:val="24"/>
          <w:szCs w:val="24"/>
          <w:highlight w:val="none"/>
        </w:rPr>
        <w:t xml:space="preserve">2.2 技术规范</w:t>
      </w:r>
      <w:bookmarkEnd w:id="130"/>
      <w:r/>
      <w:bookmarkEnd w:id="131"/>
      <w:r/>
      <w:bookmarkEnd w:id="132"/>
      <w:r/>
      <w:bookmarkEnd w:id="133"/>
      <w:r/>
      <w:bookmarkEnd w:id="134"/>
      <w:r/>
      <w:bookmarkEnd w:id="135"/>
      <w:r/>
      <w:bookmarkEnd w:id="136"/>
      <w:r/>
      <w:bookmarkEnd w:id="13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如果有的话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及其技术规范偏差表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如果被甲方接受的话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color w:val="auto"/>
          <w:sz w:val="24"/>
          <w:szCs w:val="24"/>
          <w:highlight w:val="none"/>
        </w:rPr>
      </w:pPr>
      <w:r/>
      <w:bookmarkStart w:id="138" w:name="_Toc12412"/>
      <w:r/>
      <w:bookmarkStart w:id="139" w:name="_Toc13673"/>
      <w:r/>
      <w:bookmarkStart w:id="140" w:name="_Toc9161"/>
      <w:r/>
      <w:bookmarkStart w:id="141" w:name="_Toc487900351"/>
      <w:r/>
      <w:bookmarkStart w:id="142" w:name="_Toc4133"/>
      <w:r/>
      <w:bookmarkStart w:id="143" w:name="_Toc27945"/>
      <w:r/>
      <w:bookmarkStart w:id="144" w:name="_Toc259093671"/>
      <w:r/>
      <w:bookmarkStart w:id="145" w:name="_Toc279701242"/>
      <w:r>
        <w:rPr>
          <w:rFonts w:hint="eastAsia" w:ascii="宋体" w:hAnsi="宋体" w:cs="宋体"/>
          <w:b/>
          <w:color w:val="auto"/>
          <w:sz w:val="24"/>
          <w:szCs w:val="24"/>
          <w:highlight w:val="none"/>
        </w:rPr>
        <w:t xml:space="preserve">2.3 知识产权</w:t>
      </w:r>
      <w:bookmarkEnd w:id="138"/>
      <w:r/>
      <w:bookmarkEnd w:id="139"/>
      <w:r/>
      <w:bookmarkEnd w:id="140"/>
      <w:r/>
      <w:bookmarkEnd w:id="141"/>
      <w:r/>
      <w:bookmarkEnd w:id="142"/>
      <w:r/>
      <w:bookmarkEnd w:id="143"/>
      <w:r/>
      <w:bookmarkEnd w:id="144"/>
      <w:r/>
      <w:bookmarkEnd w:id="14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乙方享有署名权，并有权为科学研究、学术交流研讨、单位成果宣传、行业评奖评优等原因自行使用项目合同成果，除上述约定外，乙方未经甲方同意不得自行或授权给其他方使用，否则甲方有权要求乙方赔偿实际损失。</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hint="eastAsia" w:ascii="宋体" w:hAnsi="宋体" w:cs="宋体"/>
          <w:color w:val="auto"/>
          <w:sz w:val="24"/>
          <w:szCs w:val="24"/>
          <w:highlight w:val="none"/>
        </w:rPr>
      </w:pPr>
      <w:r/>
      <w:bookmarkStart w:id="146" w:name="_Ref467379657"/>
      <w:r>
        <w:rPr>
          <w:rFonts w:hint="eastAsia" w:ascii="宋体" w:hAnsi="宋体" w:cs="宋体"/>
          <w:color w:val="auto"/>
          <w:sz w:val="24"/>
          <w:szCs w:val="24"/>
          <w:highlight w:val="none"/>
        </w:rPr>
        <w:t xml:space="preserve">2.4.1</w:t>
      </w:r>
      <w:bookmarkEnd w:id="146"/>
      <w:r/>
      <w:bookmarkStart w:id="147" w:name="_Toc186431854"/>
      <w:r/>
      <w:bookmarkStart w:id="148" w:name="_Toc279701247"/>
      <w:r/>
      <w:bookmarkStart w:id="149" w:name="_Toc487900357"/>
      <w:r/>
      <w:bookmarkStart w:id="150" w:name="_Toc259093676"/>
      <w:r/>
      <w:bookmarkStart w:id="151" w:name="_Ref467379807"/>
      <w:r/>
      <w:bookmarkStart w:id="152" w:name="_Ref467379793"/>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47"/>
      <w:r/>
      <w:bookmarkStart w:id="153" w:name="_Toc186431855"/>
      <w:r>
        <w:rPr>
          <w:rFonts w:hint="eastAsia" w:ascii="宋体" w:hAnsi="宋体" w:cs="宋体"/>
          <w:color w:val="auto"/>
          <w:sz w:val="24"/>
          <w:szCs w:val="24"/>
          <w:highlight w:val="none"/>
        </w:rPr>
        <w:t xml:space="preserve">。</w:t>
      </w:r>
      <w:bookmarkEnd w:id="148"/>
      <w:r/>
      <w:bookmarkEnd w:id="149"/>
      <w:r/>
      <w:bookmarkEnd w:id="150"/>
      <w:r/>
      <w:bookmarkEnd w:id="151"/>
      <w:r/>
      <w:bookmarkEnd w:id="152"/>
      <w:r/>
      <w:bookmarkEnd w:id="153"/>
      <w:r/>
      <w:r/>
    </w:p>
    <w:p>
      <w:pPr>
        <w:ind w:firstLine="482"/>
        <w:spacing w:line="560" w:lineRule="exact"/>
        <w:rPr>
          <w:rFonts w:hint="eastAsia" w:ascii="宋体" w:hAnsi="宋体" w:cs="宋体"/>
          <w:b/>
          <w:color w:val="auto"/>
          <w:sz w:val="24"/>
          <w:szCs w:val="24"/>
          <w:highlight w:val="none"/>
        </w:rPr>
      </w:pPr>
      <w:r/>
      <w:bookmarkStart w:id="154" w:name="_Toc279701248"/>
      <w:r/>
      <w:bookmarkStart w:id="155" w:name="_Ref467379923"/>
      <w:r/>
      <w:bookmarkStart w:id="156" w:name="_Toc259093677"/>
      <w:r/>
      <w:bookmarkStart w:id="157" w:name="_Ref467379852"/>
      <w:r/>
      <w:bookmarkStart w:id="158" w:name="_Ref467379863"/>
      <w:r/>
      <w:bookmarkStart w:id="159" w:name="_Toc487900358"/>
      <w:r/>
      <w:bookmarkStart w:id="160" w:name="_Toc13467"/>
      <w:r/>
      <w:bookmarkStart w:id="161" w:name="_Toc30507"/>
      <w:r/>
      <w:bookmarkStart w:id="162" w:name="_Toc13154"/>
      <w:r/>
      <w:bookmarkStart w:id="163" w:name="_Toc16163"/>
      <w:r/>
      <w:bookmarkStart w:id="164" w:name="_Toc18990"/>
      <w:r>
        <w:rPr>
          <w:rFonts w:hint="eastAsia" w:ascii="宋体" w:hAnsi="宋体" w:cs="宋体"/>
          <w:b/>
          <w:color w:val="auto"/>
          <w:sz w:val="24"/>
          <w:szCs w:val="24"/>
          <w:highlight w:val="none"/>
        </w:rPr>
        <w:t xml:space="preserve">2.5 技术资料</w:t>
      </w:r>
      <w:bookmarkEnd w:id="154"/>
      <w:r/>
      <w:bookmarkEnd w:id="155"/>
      <w:r/>
      <w:bookmarkEnd w:id="156"/>
      <w:r/>
      <w:bookmarkEnd w:id="157"/>
      <w:r/>
      <w:bookmarkEnd w:id="158"/>
      <w:r/>
      <w:bookmarkEnd w:id="159"/>
      <w:r>
        <w:rPr>
          <w:rFonts w:hint="eastAsia" w:ascii="宋体" w:hAnsi="宋体" w:cs="宋体"/>
          <w:b/>
          <w:color w:val="auto"/>
          <w:sz w:val="24"/>
          <w:szCs w:val="24"/>
          <w:highlight w:val="none"/>
        </w:rPr>
        <w:t xml:space="preserve">和保密义务</w:t>
      </w:r>
      <w:bookmarkEnd w:id="160"/>
      <w:r/>
      <w:bookmarkEnd w:id="161"/>
      <w:r/>
      <w:bookmarkEnd w:id="162"/>
      <w:r/>
      <w:bookmarkEnd w:id="163"/>
      <w:r/>
      <w:bookmarkEnd w:id="16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color w:val="auto"/>
          <w:sz w:val="24"/>
          <w:szCs w:val="24"/>
          <w:highlight w:val="none"/>
        </w:rPr>
      </w:pPr>
      <w:r/>
      <w:bookmarkStart w:id="165" w:name="_Toc19069"/>
      <w:r/>
      <w:bookmarkStart w:id="166" w:name="_Toc279701252"/>
      <w:r/>
      <w:bookmarkStart w:id="167" w:name="_Toc487900362"/>
      <w:r/>
      <w:bookmarkStart w:id="168" w:name="_Toc259093681"/>
      <w:r>
        <w:rPr>
          <w:rFonts w:hint="eastAsia" w:ascii="宋体" w:hAnsi="宋体" w:cs="宋体"/>
          <w:b/>
          <w:color w:val="auto"/>
          <w:sz w:val="24"/>
          <w:szCs w:val="24"/>
          <w:highlight w:val="none"/>
        </w:rPr>
        <w:t xml:space="preserve">2.6 质量保证</w:t>
      </w:r>
      <w:bookmarkEnd w:id="16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szCs w:val="24"/>
          <w:highlight w:val="none"/>
        </w:rPr>
      </w:pPr>
      <w:r/>
      <w:bookmarkStart w:id="169" w:name="_Toc22267"/>
      <w:r>
        <w:rPr>
          <w:rFonts w:hint="eastAsia" w:ascii="宋体" w:hAnsi="宋体" w:cs="宋体"/>
          <w:b/>
          <w:color w:val="auto"/>
          <w:sz w:val="24"/>
          <w:szCs w:val="24"/>
          <w:highlight w:val="none"/>
        </w:rPr>
        <w:t xml:space="preserve">2.7 延迟</w:t>
      </w:r>
      <w:bookmarkEnd w:id="166"/>
      <w:r/>
      <w:bookmarkEnd w:id="167"/>
      <w:r/>
      <w:bookmarkEnd w:id="168"/>
      <w:r>
        <w:rPr>
          <w:rFonts w:hint="eastAsia" w:ascii="宋体" w:hAnsi="宋体" w:cs="宋体"/>
          <w:b/>
          <w:color w:val="auto"/>
          <w:sz w:val="24"/>
          <w:szCs w:val="24"/>
          <w:highlight w:val="none"/>
        </w:rPr>
        <w:t xml:space="preserve">履行</w:t>
      </w:r>
      <w:bookmarkEnd w:id="16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color w:val="auto"/>
          <w:sz w:val="24"/>
          <w:szCs w:val="24"/>
          <w:highlight w:val="none"/>
        </w:rPr>
      </w:pPr>
      <w:r/>
      <w:bookmarkStart w:id="170" w:name="_Toc10611"/>
      <w:r/>
      <w:bookmarkStart w:id="171" w:name="_Toc279701254"/>
      <w:r/>
      <w:bookmarkStart w:id="172" w:name="_Ref467378121"/>
      <w:r/>
      <w:bookmarkStart w:id="173" w:name="_Toc487900364"/>
      <w:r/>
      <w:bookmarkStart w:id="174" w:name="_Toc259093683"/>
      <w:r>
        <w:rPr>
          <w:rFonts w:hint="eastAsia" w:ascii="宋体" w:hAnsi="宋体" w:cs="宋体"/>
          <w:b/>
          <w:color w:val="auto"/>
          <w:sz w:val="24"/>
          <w:szCs w:val="24"/>
          <w:highlight w:val="none"/>
        </w:rPr>
        <w:t xml:space="preserve">2.8 合同变更</w:t>
      </w:r>
      <w:bookmarkEnd w:id="17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75" w:name="_Toc487900369"/>
      <w:r/>
      <w:bookmarkStart w:id="176" w:name="_Toc279701259"/>
      <w:r/>
      <w:bookmarkStart w:id="177" w:name="_Toc259093688"/>
      <w:r/>
      <w:r/>
    </w:p>
    <w:p>
      <w:pPr>
        <w:ind w:firstLine="482"/>
        <w:spacing w:line="560" w:lineRule="exact"/>
        <w:rPr>
          <w:rFonts w:hint="eastAsia" w:ascii="宋体" w:hAnsi="宋体" w:cs="宋体"/>
          <w:b/>
          <w:color w:val="auto"/>
          <w:sz w:val="24"/>
          <w:szCs w:val="24"/>
          <w:highlight w:val="none"/>
        </w:rPr>
      </w:pPr>
      <w:r/>
      <w:bookmarkStart w:id="178" w:name="_Toc10663"/>
      <w:r/>
      <w:bookmarkStart w:id="179" w:name="_Toc26689"/>
      <w:r/>
      <w:bookmarkStart w:id="180" w:name="_Toc21830"/>
      <w:r/>
      <w:bookmarkStart w:id="181" w:name="_Toc42"/>
      <w:r/>
      <w:bookmarkStart w:id="182" w:name="_Toc23368"/>
      <w:r>
        <w:rPr>
          <w:rFonts w:hint="eastAsia" w:ascii="宋体" w:hAnsi="宋体" w:cs="宋体"/>
          <w:b/>
          <w:color w:val="auto"/>
          <w:sz w:val="24"/>
          <w:szCs w:val="24"/>
          <w:highlight w:val="none"/>
        </w:rPr>
        <w:t xml:space="preserve">2.9 合同转让</w:t>
      </w:r>
      <w:bookmarkEnd w:id="175"/>
      <w:r/>
      <w:bookmarkEnd w:id="176"/>
      <w:r/>
      <w:bookmarkEnd w:id="177"/>
      <w:r>
        <w:rPr>
          <w:rFonts w:hint="eastAsia" w:ascii="宋体" w:hAnsi="宋体" w:cs="宋体"/>
          <w:b/>
          <w:color w:val="auto"/>
          <w:sz w:val="24"/>
          <w:szCs w:val="24"/>
          <w:highlight w:val="none"/>
        </w:rPr>
        <w:t xml:space="preserve">和分包</w:t>
      </w:r>
      <w:bookmarkEnd w:id="178"/>
      <w:r/>
      <w:bookmarkEnd w:id="179"/>
      <w:r/>
      <w:bookmarkEnd w:id="180"/>
      <w:r/>
      <w:bookmarkEnd w:id="181"/>
      <w:r/>
      <w:bookmarkEnd w:id="182"/>
      <w:r/>
      <w:r/>
    </w:p>
    <w:p>
      <w:pPr>
        <w:ind w:firstLine="480"/>
        <w:spacing w:line="560" w:lineRule="exact"/>
        <w:tabs>
          <w:tab w:val="left" w:pos="2700" w:leader="none"/>
        </w:tabs>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合同的权利义务依法不得转让，但</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color w:val="auto"/>
          <w:sz w:val="24"/>
          <w:szCs w:val="24"/>
          <w:highlight w:val="none"/>
        </w:rPr>
      </w:pPr>
      <w:r/>
      <w:bookmarkStart w:id="183" w:name="_Toc25571"/>
      <w:r/>
      <w:bookmarkStart w:id="184" w:name="_Toc14371"/>
      <w:r/>
      <w:bookmarkStart w:id="185" w:name="_Toc26633"/>
      <w:r/>
      <w:bookmarkStart w:id="186" w:name="_Toc32494"/>
      <w:r/>
      <w:bookmarkStart w:id="187" w:name="_Toc4720"/>
      <w:r>
        <w:rPr>
          <w:rFonts w:hint="eastAsia" w:ascii="宋体" w:hAnsi="宋体" w:cs="宋体"/>
          <w:b/>
          <w:color w:val="auto"/>
          <w:sz w:val="24"/>
          <w:szCs w:val="24"/>
          <w:highlight w:val="none"/>
        </w:rPr>
        <w:t xml:space="preserve">2.10 不可抗力</w:t>
      </w:r>
      <w:bookmarkEnd w:id="183"/>
      <w:r/>
      <w:bookmarkEnd w:id="184"/>
      <w:r/>
      <w:bookmarkEnd w:id="185"/>
      <w:r/>
      <w:bookmarkEnd w:id="186"/>
      <w:r/>
      <w:bookmarkEnd w:id="18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cs="宋体"/>
          <w:b/>
          <w:color w:val="auto"/>
          <w:sz w:val="24"/>
          <w:szCs w:val="24"/>
          <w:highlight w:val="none"/>
        </w:rPr>
      </w:pPr>
      <w:r/>
      <w:bookmarkStart w:id="188" w:name="_Toc14115"/>
      <w:r/>
      <w:bookmarkStart w:id="189" w:name="_Toc259093684"/>
      <w:r/>
      <w:bookmarkStart w:id="190" w:name="_Toc23854"/>
      <w:r/>
      <w:bookmarkStart w:id="191" w:name="_Toc487900365"/>
      <w:r/>
      <w:bookmarkStart w:id="192" w:name="_Toc279701255"/>
      <w:r/>
      <w:bookmarkStart w:id="193" w:name="_Toc24465"/>
      <w:r/>
      <w:bookmarkStart w:id="194" w:name="_Toc3638"/>
      <w:r/>
      <w:bookmarkStart w:id="195" w:name="_Toc25783"/>
      <w:r>
        <w:rPr>
          <w:rFonts w:hint="eastAsia" w:ascii="宋体" w:hAnsi="宋体" w:cs="宋体"/>
          <w:b/>
          <w:color w:val="auto"/>
          <w:sz w:val="24"/>
          <w:szCs w:val="24"/>
          <w:highlight w:val="none"/>
        </w:rPr>
        <w:t xml:space="preserve">2.11 税费</w:t>
      </w:r>
      <w:bookmarkEnd w:id="188"/>
      <w:r/>
      <w:bookmarkEnd w:id="189"/>
      <w:r/>
      <w:bookmarkEnd w:id="190"/>
      <w:r/>
      <w:bookmarkEnd w:id="191"/>
      <w:r/>
      <w:bookmarkEnd w:id="192"/>
      <w:r/>
      <w:bookmarkEnd w:id="193"/>
      <w:r/>
      <w:bookmarkEnd w:id="194"/>
      <w:r/>
      <w:bookmarkEnd w:id="19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color w:val="auto"/>
          <w:sz w:val="24"/>
          <w:szCs w:val="24"/>
          <w:highlight w:val="none"/>
        </w:rPr>
      </w:pPr>
      <w:r/>
      <w:bookmarkStart w:id="196" w:name="_Toc7315"/>
      <w:r/>
      <w:bookmarkStart w:id="197" w:name="_Toc25525"/>
      <w:r/>
      <w:bookmarkStart w:id="198" w:name="_Toc487900368"/>
      <w:r/>
      <w:bookmarkStart w:id="199" w:name="_Toc259093687"/>
      <w:r/>
      <w:bookmarkStart w:id="200" w:name="_Toc30105"/>
      <w:r/>
      <w:bookmarkStart w:id="201" w:name="_Toc14814"/>
      <w:r/>
      <w:bookmarkStart w:id="202" w:name="_Toc279701258"/>
      <w:r/>
      <w:bookmarkStart w:id="203" w:name="_Toc26883"/>
      <w:r>
        <w:rPr>
          <w:rFonts w:hint="eastAsia" w:ascii="宋体" w:hAnsi="宋体" w:cs="宋体"/>
          <w:b/>
          <w:color w:val="auto"/>
          <w:sz w:val="24"/>
          <w:szCs w:val="24"/>
          <w:highlight w:val="none"/>
        </w:rPr>
        <w:t xml:space="preserve">2.12 乙方破产</w:t>
      </w:r>
      <w:bookmarkEnd w:id="196"/>
      <w:r/>
      <w:bookmarkEnd w:id="197"/>
      <w:r/>
      <w:bookmarkEnd w:id="198"/>
      <w:r/>
      <w:bookmarkEnd w:id="199"/>
      <w:r/>
      <w:bookmarkEnd w:id="200"/>
      <w:r/>
      <w:bookmarkEnd w:id="201"/>
      <w:r/>
      <w:bookmarkEnd w:id="202"/>
      <w:r/>
      <w:bookmarkEnd w:id="20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color w:val="auto"/>
          <w:sz w:val="24"/>
          <w:szCs w:val="24"/>
          <w:highlight w:val="none"/>
        </w:rPr>
      </w:pPr>
      <w:r/>
      <w:bookmarkStart w:id="204" w:name="_Toc1123"/>
      <w:r/>
      <w:bookmarkStart w:id="205" w:name="_Toc23323"/>
      <w:r/>
      <w:bookmarkStart w:id="206" w:name="_Toc2016"/>
      <w:r>
        <w:rPr>
          <w:rFonts w:hint="eastAsia" w:ascii="宋体" w:hAnsi="宋体" w:cs="宋体"/>
          <w:b/>
          <w:color w:val="auto"/>
          <w:sz w:val="24"/>
          <w:szCs w:val="24"/>
          <w:highlight w:val="none"/>
        </w:rPr>
        <w:t xml:space="preserve">2.13 合同中止、终止</w:t>
      </w:r>
      <w:bookmarkEnd w:id="204"/>
      <w:r/>
      <w:bookmarkEnd w:id="205"/>
      <w:r/>
      <w:bookmarkEnd w:id="20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color w:val="auto"/>
          <w:sz w:val="24"/>
          <w:szCs w:val="24"/>
          <w:highlight w:val="none"/>
        </w:rPr>
      </w:pPr>
      <w:r/>
      <w:bookmarkStart w:id="207" w:name="_Toc1969"/>
      <w:r/>
      <w:bookmarkStart w:id="208" w:name="_Toc17363"/>
      <w:r/>
      <w:bookmarkStart w:id="209" w:name="_Toc14525"/>
      <w:r>
        <w:rPr>
          <w:rFonts w:hint="eastAsia" w:ascii="宋体" w:hAnsi="宋体" w:cs="宋体"/>
          <w:b/>
          <w:color w:val="auto"/>
          <w:sz w:val="24"/>
          <w:szCs w:val="24"/>
          <w:highlight w:val="none"/>
        </w:rPr>
        <w:t xml:space="preserve">2.14 </w:t>
      </w:r>
      <w:bookmarkEnd w:id="207"/>
      <w:r/>
      <w:bookmarkEnd w:id="208"/>
      <w:r/>
      <w:bookmarkEnd w:id="209"/>
      <w:r>
        <w:rPr>
          <w:rFonts w:hint="eastAsia" w:ascii="宋体" w:hAnsi="宋体" w:cs="宋体"/>
          <w:b/>
          <w:color w:val="auto"/>
          <w:sz w:val="24"/>
          <w:szCs w:val="24"/>
          <w:highlight w:val="none"/>
        </w:rPr>
        <w:t xml:space="preserve">检验和验收</w:t>
      </w:r>
      <w:bookmarkEnd w:id="171"/>
      <w:bookmarkEnd w:id="172"/>
      <w:bookmarkEnd w:id="173"/>
      <w:bookmarkEnd w:id="174"/>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bookmarkStart w:id="210" w:name="_Toc259093690"/>
      <w:r/>
      <w:bookmarkStart w:id="211" w:name="_Toc487900371"/>
      <w:r/>
      <w:bookmarkStart w:id="212" w:name="_Toc279701261"/>
      <w:r/>
      <w:bookmarkStart w:id="213" w:name="_Toc31892"/>
      <w:r/>
      <w:bookmarkStart w:id="214" w:name="_Toc25198"/>
      <w:r/>
      <w:bookmarkStart w:id="215" w:name="_Toc2308"/>
      <w:r/>
      <w:bookmarkStart w:id="216" w:name="_Toc12666"/>
      <w:r/>
      <w:bookmarkStart w:id="217" w:name="_Toc9808"/>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2.15 通知</w:t>
      </w:r>
      <w:bookmarkEnd w:id="210"/>
      <w:r/>
      <w:bookmarkEnd w:id="211"/>
      <w:r/>
      <w:bookmarkEnd w:id="212"/>
      <w:r>
        <w:rPr>
          <w:rFonts w:hint="eastAsia" w:ascii="宋体" w:hAnsi="宋体" w:cs="宋体"/>
          <w:b/>
          <w:color w:val="auto"/>
          <w:sz w:val="24"/>
          <w:szCs w:val="24"/>
          <w:highlight w:val="none"/>
        </w:rPr>
        <w:t xml:space="preserve">和送达</w:t>
      </w:r>
      <w:bookmarkEnd w:id="213"/>
      <w:r/>
      <w:bookmarkEnd w:id="214"/>
      <w:r/>
      <w:bookmarkEnd w:id="215"/>
      <w:r/>
      <w:bookmarkEnd w:id="216"/>
      <w:r/>
      <w:bookmarkEnd w:id="217"/>
      <w:r/>
      <w:r/>
    </w:p>
    <w:p>
      <w:pPr>
        <w:ind w:firstLine="480"/>
        <w:spacing w:line="560" w:lineRule="exact"/>
        <w:rPr>
          <w:rFonts w:hint="eastAsia" w:ascii="宋体" w:hAnsi="宋体" w:cs="宋体"/>
          <w:color w:val="auto"/>
          <w:sz w:val="24"/>
          <w:szCs w:val="24"/>
          <w:highlight w:val="none"/>
        </w:rPr>
      </w:pPr>
      <w:r/>
      <w:bookmarkStart w:id="218" w:name="_Toc29220"/>
      <w:r/>
      <w:bookmarkStart w:id="219" w:name="_Toc7073"/>
      <w:r/>
      <w:bookmarkStart w:id="220" w:name="_Toc259093691"/>
      <w:r/>
      <w:bookmarkStart w:id="221" w:name="_Toc279701262"/>
      <w:r/>
      <w:bookmarkStart w:id="222" w:name="_Toc48790037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18"/>
      <w:r/>
      <w:bookmarkEnd w:id="219"/>
      <w:r/>
      <w:r/>
    </w:p>
    <w:p>
      <w:pPr>
        <w:ind w:firstLine="480"/>
        <w:spacing w:line="560" w:lineRule="exact"/>
        <w:rPr>
          <w:rFonts w:hint="eastAsia" w:ascii="宋体" w:hAnsi="宋体" w:cs="宋体"/>
          <w:color w:val="auto"/>
          <w:sz w:val="24"/>
          <w:szCs w:val="24"/>
          <w:highlight w:val="none"/>
        </w:rPr>
      </w:pPr>
      <w:r/>
      <w:bookmarkStart w:id="223" w:name="_Toc27674"/>
      <w:r/>
      <w:bookmarkStart w:id="224"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0"/>
      <w:r/>
      <w:bookmarkEnd w:id="221"/>
      <w:r/>
      <w:bookmarkEnd w:id="222"/>
      <w:r/>
      <w:bookmarkEnd w:id="223"/>
      <w:r/>
      <w:bookmarkEnd w:id="224"/>
      <w:r/>
      <w:r/>
    </w:p>
    <w:p>
      <w:pPr>
        <w:ind w:firstLine="482"/>
        <w:spacing w:line="560" w:lineRule="exact"/>
        <w:rPr>
          <w:rFonts w:hint="eastAsia" w:ascii="宋体" w:hAnsi="宋体" w:cs="宋体"/>
          <w:b/>
          <w:color w:val="auto"/>
          <w:sz w:val="24"/>
          <w:szCs w:val="24"/>
          <w:highlight w:val="none"/>
        </w:rPr>
      </w:pPr>
      <w:r/>
      <w:bookmarkStart w:id="225" w:name="_Toc20808"/>
      <w:r/>
      <w:bookmarkStart w:id="226" w:name="_Toc259093692"/>
      <w:r/>
      <w:bookmarkStart w:id="227" w:name="_Toc5063"/>
      <w:r/>
      <w:bookmarkStart w:id="228" w:name="_Toc28906"/>
      <w:r/>
      <w:bookmarkStart w:id="229" w:name="_Toc27644"/>
      <w:r/>
      <w:bookmarkStart w:id="230" w:name="_Toc279701263"/>
      <w:r/>
      <w:bookmarkStart w:id="231" w:name="_Toc12254"/>
      <w:r/>
      <w:bookmarkStart w:id="232" w:name="_Toc487900373"/>
      <w:r>
        <w:rPr>
          <w:rFonts w:hint="eastAsia" w:ascii="宋体" w:hAnsi="宋体" w:cs="宋体"/>
          <w:b/>
          <w:color w:val="auto"/>
          <w:sz w:val="24"/>
          <w:szCs w:val="24"/>
          <w:highlight w:val="none"/>
        </w:rPr>
        <w:t xml:space="preserve">2.16 合同使用的文字和适用的法律</w:t>
      </w:r>
      <w:bookmarkEnd w:id="225"/>
      <w:r/>
      <w:bookmarkEnd w:id="226"/>
      <w:r/>
      <w:bookmarkEnd w:id="227"/>
      <w:r/>
      <w:bookmarkEnd w:id="228"/>
      <w:r/>
      <w:bookmarkEnd w:id="229"/>
      <w:r/>
      <w:bookmarkEnd w:id="230"/>
      <w:r/>
      <w:bookmarkEnd w:id="231"/>
      <w:r/>
      <w:bookmarkEnd w:id="23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hint="eastAsia" w:ascii="宋体" w:hAnsi="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color w:val="auto"/>
          <w:sz w:val="24"/>
          <w:szCs w:val="24"/>
          <w:highlight w:val="none"/>
        </w:rPr>
        <w:t xml:space="preserve">2.16.2 合同适用中华人民共和国法律。</w:t>
      </w:r>
      <w:bookmarkEnd w:id="74"/>
      <w:bookmarkEnd w:id="75"/>
      <w:r/>
    </w:p>
    <w:p>
      <w:pPr>
        <w:jc w:val="center"/>
        <w:spacing w:line="360" w:lineRule="auto"/>
        <w:rPr>
          <w:rFonts w:hint="eastAsia" w:ascii="黑体" w:eastAsia="黑体"/>
          <w:b/>
          <w:color w:val="auto"/>
          <w:sz w:val="120"/>
          <w:szCs w:val="120"/>
          <w:highlight w:val="none"/>
        </w:rPr>
        <w:outlineLvl w:val="0"/>
      </w:pPr>
      <w:r/>
      <w:bookmarkStart w:id="233" w:name="_Toc3082"/>
      <w:r/>
      <w:bookmarkStart w:id="234" w:name="_Toc26960"/>
      <w:r>
        <w:rPr>
          <w:rFonts w:hint="eastAsia" w:ascii="黑体" w:hAnsi="黑体" w:eastAsia="黑体"/>
          <w:color w:val="auto"/>
          <w:sz w:val="28"/>
          <w:highlight w:val="none"/>
        </w:rPr>
        <w:t xml:space="preserve">第五章 响应文件（格式）</w:t>
      </w:r>
      <w:bookmarkEnd w:id="233"/>
      <w:r/>
      <w:bookmarkEnd w:id="234"/>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响应文件</w:t>
      </w:r>
      <w:r/>
    </w:p>
    <w:p>
      <w:pPr>
        <w:jc w:val="center"/>
        <w:rPr>
          <w:rFonts w:hint="eastAsia" w:ascii="宋体" w:hAnsi="宋体"/>
          <w:b/>
          <w:color w:val="auto"/>
          <w:sz w:val="32"/>
          <w:szCs w:val="32"/>
          <w:highlight w:val="none"/>
        </w:rPr>
      </w:pPr>
      <w:r/>
      <w:bookmarkStart w:id="235" w:name="_Toc2400"/>
      <w:r>
        <w:rPr>
          <w:rFonts w:hint="eastAsia" w:ascii="宋体" w:hAnsi="宋体"/>
          <w:b/>
          <w:color w:val="auto"/>
          <w:sz w:val="32"/>
          <w:szCs w:val="32"/>
          <w:highlight w:val="none"/>
        </w:rPr>
        <w:t xml:space="preserve">项目编号：</w:t>
      </w:r>
      <w:bookmarkEnd w:id="235"/>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u w:val="single"/>
        </w:rPr>
      </w:pPr>
      <w:r/>
      <w:bookmarkStart w:id="236" w:name="_Toc10010"/>
      <w:r>
        <w:rPr>
          <w:rFonts w:hint="eastAsia" w:ascii="宋体" w:hAnsi="宋体"/>
          <w:b/>
          <w:color w:val="auto"/>
          <w:sz w:val="32"/>
          <w:szCs w:val="32"/>
          <w:highlight w:val="none"/>
        </w:rPr>
        <w:t xml:space="preserve">项目名称：</w:t>
      </w:r>
      <w:bookmarkEnd w:id="236"/>
      <w:r>
        <w:rPr>
          <w:rFonts w:hint="eastAsia" w:ascii="宋体" w:hAnsi="宋体"/>
          <w:b/>
          <w:color w:val="auto"/>
          <w:sz w:val="32"/>
          <w:szCs w:val="32"/>
          <w:highlight w:val="none"/>
          <w:u w:val="single"/>
        </w:rPr>
        <w:t xml:space="preserve">                                              </w:t>
      </w:r>
      <w:r/>
    </w:p>
    <w:p>
      <w:pPr>
        <w:rPr>
          <w:rFonts w:hint="eastAsia" w:ascii="宋体" w:hAnsi="宋体"/>
          <w:b/>
          <w:color w:val="auto"/>
          <w:sz w:val="32"/>
          <w:szCs w:val="32"/>
          <w:highlight w:val="none"/>
        </w:rPr>
      </w:pPr>
      <w:r/>
      <w:bookmarkStart w:id="237" w:name="_Toc8670"/>
      <w:r>
        <w:rPr>
          <w:rFonts w:hint="eastAsia" w:ascii="宋体" w:hAnsi="宋体"/>
          <w:b/>
          <w:color w:val="auto"/>
          <w:sz w:val="32"/>
          <w:szCs w:val="32"/>
          <w:highlight w:val="none"/>
        </w:rPr>
        <w:t xml:space="preserve">供应商名称：</w:t>
      </w:r>
      <w:r>
        <w:rPr>
          <w:rFonts w:hint="eastAsia" w:ascii="宋体" w:hAnsi="宋体"/>
          <w:b/>
          <w:color w:val="auto"/>
          <w:sz w:val="32"/>
          <w:szCs w:val="32"/>
          <w:highlight w:val="none"/>
          <w:u w:val="single"/>
        </w:rPr>
        <w:t xml:space="preserve">                                （盖公章）</w:t>
      </w:r>
      <w:bookmarkEnd w:id="237"/>
      <w:r/>
      <w:r/>
    </w:p>
    <w:p>
      <w:pPr>
        <w:rPr>
          <w:rFonts w:hint="eastAsia" w:ascii="宋体" w:hAnsi="宋体"/>
          <w:color w:val="auto"/>
          <w:highlight w:val="none"/>
        </w:rPr>
      </w:pPr>
      <w:r/>
      <w:bookmarkStart w:id="238" w:name="_Toc24371"/>
      <w:r>
        <w:rPr>
          <w:rFonts w:hint="eastAsia" w:ascii="宋体" w:hAnsi="宋体"/>
          <w:b/>
          <w:color w:val="auto"/>
          <w:sz w:val="32"/>
          <w:szCs w:val="32"/>
          <w:highlight w:val="none"/>
        </w:rPr>
        <w:t xml:space="preserve">法定代表人或其被授权代表：</w:t>
      </w:r>
      <w:r>
        <w:rPr>
          <w:rFonts w:hint="eastAsia" w:ascii="宋体" w:hAnsi="宋体"/>
          <w:b/>
          <w:color w:val="auto"/>
          <w:sz w:val="32"/>
          <w:szCs w:val="32"/>
          <w:highlight w:val="none"/>
          <w:u w:val="single"/>
        </w:rPr>
        <w:t xml:space="preserve">                 （签名）</w:t>
      </w:r>
      <w:bookmarkEnd w:id="238"/>
      <w:r/>
      <w:r/>
    </w:p>
    <w:p>
      <w:pPr>
        <w:rPr>
          <w:rFonts w:hint="eastAsia" w:ascii="楷体_GB2312" w:eastAsia="楷体_GB2312"/>
          <w:b/>
          <w:color w:val="auto"/>
          <w:sz w:val="32"/>
          <w:szCs w:val="32"/>
          <w:highlight w:val="none"/>
        </w:rPr>
      </w:pPr>
      <w:r>
        <w:rPr>
          <w:rFonts w:hint="eastAsia" w:ascii="楷体_GB2312" w:eastAsia="楷体_GB2312"/>
          <w:b/>
          <w:color w:val="auto"/>
          <w:sz w:val="32"/>
          <w:szCs w:val="32"/>
          <w:highlight w:val="none"/>
        </w:rPr>
      </w:r>
      <w:r/>
    </w:p>
    <w:p>
      <w:pPr>
        <w:rPr>
          <w:rFonts w:hint="eastAsia" w:ascii="楷体_GB2312" w:eastAsia="楷体_GB2312"/>
          <w:b/>
          <w:color w:val="auto"/>
          <w:sz w:val="32"/>
          <w:szCs w:val="32"/>
          <w:highlight w:val="none"/>
        </w:rPr>
      </w:pPr>
      <w:r>
        <w:rPr>
          <w:rFonts w:hint="eastAsia" w:ascii="楷体_GB2312" w:eastAsia="楷体_GB2312"/>
          <w:b/>
          <w:color w:val="auto"/>
          <w:sz w:val="32"/>
          <w:szCs w:val="32"/>
          <w:highlight w:val="none"/>
        </w:rPr>
      </w:r>
      <w:r/>
    </w:p>
    <w:p>
      <w:pPr>
        <w:rPr>
          <w:rFonts w:hint="eastAsia" w:ascii="楷体_GB2312" w:eastAsia="楷体_GB2312"/>
          <w:b/>
          <w:color w:val="auto"/>
          <w:sz w:val="32"/>
          <w:szCs w:val="32"/>
          <w:highlight w:val="none"/>
        </w:rPr>
      </w:pPr>
      <w:r>
        <w:rPr>
          <w:rFonts w:hint="eastAsia" w:ascii="楷体_GB2312" w:eastAsia="楷体_GB2312"/>
          <w:b/>
          <w:color w:val="auto"/>
          <w:sz w:val="32"/>
          <w:szCs w:val="32"/>
          <w:highlight w:val="none"/>
        </w:rPr>
      </w:r>
      <w:r/>
    </w:p>
    <w:p>
      <w:pPr>
        <w:rPr>
          <w:rFonts w:hint="eastAsia" w:ascii="楷体_GB2312" w:eastAsia="楷体_GB2312"/>
          <w:b/>
          <w:color w:val="auto"/>
          <w:sz w:val="32"/>
          <w:szCs w:val="32"/>
          <w:highlight w:val="none"/>
        </w:rPr>
      </w:pPr>
      <w:r>
        <w:rPr>
          <w:rFonts w:hint="eastAsia" w:ascii="楷体_GB2312" w:eastAsia="楷体_GB2312"/>
          <w:b/>
          <w:color w:val="auto"/>
          <w:sz w:val="32"/>
          <w:szCs w:val="32"/>
          <w:highlight w:val="none"/>
        </w:rPr>
      </w:r>
      <w:r/>
    </w:p>
    <w:p>
      <w:pPr>
        <w:jc w:val="center"/>
        <w:rPr>
          <w:rFonts w:hint="eastAsia" w:ascii="宋体" w:hAnsi="宋体"/>
          <w:b/>
          <w:color w:val="auto"/>
          <w:sz w:val="32"/>
          <w:szCs w:val="32"/>
          <w:highlight w:val="none"/>
        </w:rPr>
      </w:pPr>
      <w:r/>
      <w:bookmarkStart w:id="239" w:name="_Toc1179"/>
      <w:r>
        <w:rPr>
          <w:rFonts w:hint="eastAsia" w:ascii="宋体" w:hAnsi="宋体"/>
          <w:b/>
          <w:color w:val="auto"/>
          <w:sz w:val="32"/>
          <w:szCs w:val="32"/>
          <w:highlight w:val="none"/>
        </w:rPr>
        <w:t xml:space="preserve">日期：</w:t>
      </w:r>
      <w:r>
        <w:rPr>
          <w:rFonts w:hint="eastAsia" w:ascii="宋体" w:hAnsi="宋体"/>
          <w:b/>
          <w:color w:val="auto"/>
          <w:sz w:val="32"/>
          <w:szCs w:val="32"/>
          <w:highlight w:val="none"/>
          <w:u w:val="single"/>
        </w:rPr>
        <w:t xml:space="preserve">      年    月    日</w:t>
      </w:r>
      <w:bookmarkEnd w:id="239"/>
      <w:r/>
      <w:r/>
    </w:p>
    <w:p>
      <w:pPr>
        <w:spacing w:line="360" w:lineRule="auto"/>
        <w:rPr>
          <w:rFonts w:hint="eastAsia" w:ascii="黑体" w:eastAsia="黑体"/>
          <w:bCs/>
          <w:color w:val="auto"/>
          <w:sz w:val="28"/>
          <w:szCs w:val="28"/>
          <w:highlight w:val="none"/>
        </w:rPr>
      </w:pPr>
      <w:r/>
      <w:bookmarkStart w:id="240" w:name="_Toc24602"/>
      <w:r>
        <w:rPr>
          <w:rFonts w:hint="eastAsia" w:ascii="黑体" w:hAnsi="宋体" w:eastAsia="黑体"/>
          <w:bCs/>
          <w:color w:val="auto"/>
          <w:sz w:val="24"/>
          <w:szCs w:val="24"/>
          <w:highlight w:val="none"/>
        </w:rPr>
        <w:br w:type="page" w:clear="all"/>
      </w:r>
      <w:bookmarkStart w:id="241" w:name="_Toc29168"/>
      <w:r>
        <w:rPr>
          <w:rFonts w:hint="eastAsia" w:ascii="黑体" w:hAnsi="宋体" w:eastAsia="黑体"/>
          <w:bCs/>
          <w:color w:val="auto"/>
          <w:sz w:val="24"/>
          <w:szCs w:val="24"/>
          <w:highlight w:val="none"/>
        </w:rPr>
        <w:t xml:space="preserve">（一）报价文件：</w:t>
      </w:r>
      <w:bookmarkEnd w:id="241"/>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宋体" w:hAnsi="宋体"/>
          <w:color w:val="auto"/>
          <w:sz w:val="28"/>
          <w:szCs w:val="28"/>
          <w:highlight w:val="none"/>
        </w:rPr>
      </w:pPr>
      <w:r>
        <w:rPr>
          <w:rFonts w:hint="eastAsia" w:ascii="黑体" w:hAnsi="宋体" w:eastAsia="黑体"/>
          <w:bCs/>
          <w:color w:val="auto"/>
          <w:sz w:val="24"/>
          <w:szCs w:val="24"/>
          <w:highlight w:val="none"/>
        </w:rPr>
        <w:t xml:space="preserve">1、报价表（格式）：</w:t>
      </w:r>
      <w:r/>
    </w:p>
    <w:p>
      <w:pPr>
        <w:jc w:val="center"/>
        <w:spacing w:before="156" w:after="156"/>
        <w:rPr>
          <w:rFonts w:ascii="黑体" w:eastAsia="黑体"/>
          <w:color w:val="auto"/>
          <w:sz w:val="28"/>
          <w:szCs w:val="28"/>
          <w:highlight w:val="none"/>
        </w:rPr>
      </w:pPr>
      <w:r>
        <w:rPr>
          <w:rFonts w:ascii="黑体" w:eastAsia="黑体"/>
          <w:color w:val="auto"/>
          <w:sz w:val="28"/>
          <w:szCs w:val="28"/>
          <w:highlight w:val="none"/>
        </w:rPr>
        <w:t xml:space="preserve">报价表</w:t>
      </w:r>
      <w:r/>
    </w:p>
    <w:p>
      <w:pPr>
        <w:pStyle w:val="793"/>
        <w:widowControl/>
        <w:rPr>
          <w:rFonts w:ascii="Segoe UI" w:hAnsi="Segoe UI" w:eastAsia="Segoe UI" w:cs="Segoe UI"/>
          <w:color w:val="auto"/>
          <w:sz w:val="27"/>
          <w:szCs w:val="27"/>
          <w:highlight w:val="none"/>
        </w:rPr>
      </w:pPr>
      <w:r>
        <w:rPr>
          <w:rFonts w:hint="eastAsia" w:ascii="Segoe UI" w:hAnsi="Segoe UI" w:eastAsia="宋体" w:cs="Segoe UI"/>
          <w:color w:val="auto"/>
          <w:sz w:val="27"/>
          <w:szCs w:val="27"/>
          <w:highlight w:val="none"/>
          <w:lang w:val="en-US" w:eastAsia="zh-CN"/>
        </w:rPr>
        <w:t xml:space="preserve">项目编号：</w:t>
      </w:r>
      <w:r>
        <w:rPr>
          <w:rFonts w:ascii="Segoe UI" w:hAnsi="Segoe UI" w:eastAsia="Segoe UI" w:cs="Segoe UI"/>
          <w:color w:val="auto"/>
          <w:sz w:val="27"/>
          <w:szCs w:val="27"/>
          <w:highlight w:val="none"/>
        </w:rPr>
        <w:t xml:space="preserve">                                  货币单位：人民币元</w:t>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15"/>
        <w:gridCol w:w="3000"/>
        <w:gridCol w:w="2132"/>
        <w:gridCol w:w="1808"/>
      </w:tblGrid>
      <w:tr>
        <w:trPr>
          <w:trHeight w:val="1010"/>
        </w:trPr>
        <w:tc>
          <w:tcPr>
            <w:tcW w:w="2715" w:type="dxa"/>
            <w:vAlign w:val="center"/>
            <w:textDirection w:val="lrTb"/>
            <w:noWrap w:val="false"/>
          </w:tcPr>
          <w:p>
            <w:pPr>
              <w:jc w:val="left"/>
              <w:widowControl/>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项目名称</w:t>
            </w:r>
            <w:r/>
          </w:p>
        </w:tc>
        <w:tc>
          <w:tcPr>
            <w:tcW w:w="3000" w:type="dxa"/>
            <w:vAlign w:val="center"/>
            <w:textDirection w:val="lrTb"/>
            <w:noWrap w:val="false"/>
          </w:tcPr>
          <w:p>
            <w:pPr>
              <w:jc w:val="left"/>
              <w:widowControl/>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报价项目品牌规格型号</w:t>
            </w:r>
            <w:r/>
          </w:p>
        </w:tc>
        <w:tc>
          <w:tcPr>
            <w:tcW w:w="2132" w:type="dxa"/>
            <w:vAlign w:val="center"/>
            <w:textDirection w:val="lrTb"/>
            <w:noWrap w:val="false"/>
          </w:tcPr>
          <w:p>
            <w:pPr>
              <w:jc w:val="left"/>
              <w:widowControl/>
              <w:rPr>
                <w:rFonts w:hint="eastAsia"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单价（小写）</w:t>
            </w:r>
            <w:r/>
          </w:p>
        </w:tc>
        <w:tc>
          <w:tcPr>
            <w:tcW w:w="1808" w:type="dxa"/>
            <w:vAlign w:val="center"/>
            <w:textDirection w:val="lrTb"/>
            <w:noWrap w:val="false"/>
          </w:tcPr>
          <w:p>
            <w:pPr>
              <w:jc w:val="left"/>
              <w:widowControl/>
              <w:rPr>
                <w:rFonts w:hint="eastAsia"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备注</w:t>
            </w:r>
            <w:r/>
          </w:p>
        </w:tc>
      </w:tr>
      <w:tr>
        <w:trPr>
          <w:trHeight w:val="1100"/>
        </w:trPr>
        <w:tc>
          <w:tcPr>
            <w:tcW w:w="2715" w:type="dxa"/>
            <w:vAlign w:val="center"/>
            <w:textDirection w:val="lrTb"/>
            <w:noWrap w:val="false"/>
          </w:tcPr>
          <w:p>
            <w:pPr>
              <w:jc w:val="left"/>
              <w:widowControl/>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项目名称</w:t>
            </w:r>
            <w:r/>
          </w:p>
        </w:tc>
        <w:tc>
          <w:tcPr>
            <w:tcW w:w="3000" w:type="dxa"/>
            <w:vAlign w:val="center"/>
            <w:textDirection w:val="lrTb"/>
            <w:noWrap w:val="false"/>
          </w:tcPr>
          <w:p>
            <w:pPr>
              <w:jc w:val="left"/>
              <w:widowControl/>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详见采购文件</w:t>
            </w:r>
            <w:r/>
          </w:p>
        </w:tc>
        <w:tc>
          <w:tcPr>
            <w:tcW w:w="2132" w:type="dxa"/>
            <w:vAlign w:val="center"/>
            <w:textDirection w:val="lrTb"/>
            <w:noWrap w:val="false"/>
          </w:tcPr>
          <w:p>
            <w:pPr>
              <w:jc w:val="left"/>
              <w:widowControl/>
              <w:rPr>
                <w:color w:val="auto"/>
                <w:sz w:val="24"/>
                <w:szCs w:val="24"/>
                <w:highlight w:val="none"/>
                <w:vertAlign w:val="baseline"/>
              </w:rPr>
            </w:pPr>
            <w:r>
              <w:rPr>
                <w:color w:val="auto"/>
                <w:sz w:val="24"/>
                <w:szCs w:val="24"/>
                <w:highlight w:val="none"/>
                <w:vertAlign w:val="baseline"/>
              </w:rPr>
            </w:r>
            <w:r/>
          </w:p>
        </w:tc>
        <w:tc>
          <w:tcPr>
            <w:tcW w:w="1808" w:type="dxa"/>
            <w:vAlign w:val="center"/>
            <w:textDirection w:val="lrTb"/>
            <w:noWrap w:val="false"/>
          </w:tcPr>
          <w:p>
            <w:pPr>
              <w:jc w:val="left"/>
              <w:widowControl/>
              <w:rPr>
                <w:color w:val="auto"/>
                <w:sz w:val="24"/>
                <w:szCs w:val="24"/>
                <w:highlight w:val="none"/>
                <w:vertAlign w:val="baseline"/>
              </w:rPr>
            </w:pPr>
            <w:r>
              <w:rPr>
                <w:color w:val="auto"/>
                <w:sz w:val="24"/>
                <w:szCs w:val="24"/>
                <w:highlight w:val="none"/>
                <w:vertAlign w:val="baseline"/>
              </w:rPr>
            </w:r>
            <w:r/>
          </w:p>
        </w:tc>
      </w:tr>
      <w:tr>
        <w:trPr>
          <w:trHeight w:val="1052"/>
        </w:trPr>
        <w:tc>
          <w:tcPr>
            <w:gridSpan w:val="4"/>
            <w:tcW w:w="9655" w:type="dxa"/>
            <w:vAlign w:val="center"/>
            <w:textDirection w:val="lrTb"/>
            <w:noWrap w:val="false"/>
          </w:tcPr>
          <w:p>
            <w:pPr>
              <w:jc w:val="left"/>
              <w:widowControl/>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单价（大写）：金额大写</w:t>
            </w:r>
            <w:r/>
          </w:p>
        </w:tc>
      </w:tr>
    </w:tbl>
    <w:p>
      <w:pPr>
        <w:jc w:val="left"/>
        <w:widowControl/>
        <w:rPr>
          <w:color w:val="auto"/>
          <w:sz w:val="24"/>
          <w:szCs w:val="24"/>
          <w:highlight w:val="none"/>
        </w:rPr>
      </w:pPr>
      <w:r>
        <w:rPr>
          <w:color w:val="auto"/>
          <w:sz w:val="24"/>
          <w:szCs w:val="24"/>
          <w:highlight w:val="none"/>
        </w:rPr>
      </w:r>
      <w:r/>
    </w:p>
    <w:p>
      <w:pPr>
        <w:ind w:left="1"/>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供应商盖章：          （电子签章）</w:t>
      </w:r>
      <w:r/>
    </w:p>
    <w:p>
      <w:pPr>
        <w:ind w:left="5460" w:hanging="5460"/>
        <w:jc w:val="left"/>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p>
      <w:pPr>
        <w:ind w:left="5460" w:hanging="5460"/>
        <w:jc w:val="left"/>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日期：</w:t>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p>
      <w:pPr>
        <w:ind w:left="5460" w:hanging="546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注：</w:t>
      </w:r>
      <w:r/>
    </w:p>
    <w:p>
      <w:pPr>
        <w:pStyle w:val="793"/>
        <w:spacing w:before="0" w:beforeAutospacing="0" w:after="0" w:afterAutospacing="0"/>
        <w:widowControl/>
        <w:rPr>
          <w:color w:val="auto"/>
          <w:highlight w:val="none"/>
        </w:rPr>
      </w:pPr>
      <w:r>
        <w:rPr>
          <w:rFonts w:hint="eastAsia"/>
          <w:color w:val="auto"/>
          <w:highlight w:val="none"/>
        </w:rPr>
        <w:t xml:space="preserve">1、报价包括完成项目的所有费用。采购人不再支付报价以外的任何费用。</w:t>
      </w:r>
      <w:r/>
    </w:p>
    <w:p>
      <w:pPr>
        <w:pStyle w:val="793"/>
        <w:spacing w:before="0" w:beforeAutospacing="0" w:after="0" w:afterAutospacing="0"/>
        <w:widowControl/>
        <w:rPr>
          <w:color w:val="auto"/>
          <w:highlight w:val="none"/>
        </w:rPr>
      </w:pPr>
      <w:r>
        <w:rPr>
          <w:color w:val="auto"/>
          <w:highlight w:val="none"/>
        </w:rPr>
        <w:t xml:space="preserve">2、报价以</w:t>
      </w:r>
      <w:r>
        <w:rPr>
          <w:rFonts w:hint="eastAsia"/>
          <w:color w:val="auto"/>
          <w:highlight w:val="none"/>
        </w:rPr>
        <w:t xml:space="preserve">单价</w:t>
      </w:r>
      <w:r>
        <w:rPr>
          <w:color w:val="auto"/>
          <w:highlight w:val="none"/>
        </w:rPr>
        <w:t xml:space="preserve">为准，大小写不一致以大写为准</w:t>
      </w:r>
      <w:r>
        <w:rPr>
          <w:rFonts w:hint="eastAsia"/>
          <w:color w:val="auto"/>
          <w:highlight w:val="none"/>
        </w:rPr>
        <w:t xml:space="preserve">。</w:t>
      </w:r>
      <w:r/>
    </w:p>
    <w:p>
      <w:pPr>
        <w:pStyle w:val="793"/>
        <w:spacing w:before="0" w:beforeAutospacing="0" w:after="0" w:afterAutospacing="0"/>
        <w:widowControl/>
        <w:rPr>
          <w:color w:val="auto"/>
          <w:highlight w:val="none"/>
        </w:rPr>
      </w:pPr>
      <w:r>
        <w:rPr>
          <w:color w:val="auto"/>
          <w:highlight w:val="none"/>
        </w:rPr>
        <w:t xml:space="preserve">3、偏离说明：详见《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793"/>
        <w:jc w:val="right"/>
        <w:widowControl/>
        <w:rPr>
          <w:color w:val="auto"/>
          <w:highlight w:val="none"/>
        </w:rPr>
      </w:pPr>
      <w:r>
        <w:rPr>
          <w:color w:val="auto"/>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宋体" w:hAnsi="宋体"/>
          <w:sz w:val="28"/>
          <w:szCs w:val="28"/>
          <w:highlight w:val="none"/>
        </w:rPr>
      </w:pPr>
      <w:r/>
      <w:bookmarkStart w:id="242" w:name="_Toc4946"/>
      <w:r>
        <w:rPr>
          <w:rFonts w:hint="eastAsia" w:ascii="黑体" w:hAnsi="宋体" w:eastAsia="黑体"/>
          <w:bCs/>
          <w:sz w:val="24"/>
          <w:szCs w:val="24"/>
          <w:highlight w:val="none"/>
        </w:rPr>
        <w:t xml:space="preserve">2、明细报价表（格式）：</w:t>
      </w:r>
      <w:bookmarkEnd w:id="242"/>
      <w:r/>
      <w:r/>
    </w:p>
    <w:p>
      <w:pPr>
        <w:ind w:firstLine="560"/>
        <w:jc w:val="center"/>
        <w:spacing w:before="156"/>
        <w:rPr>
          <w:rFonts w:hint="eastAsia" w:ascii="黑体" w:hAnsi="黑体" w:eastAsia="黑体"/>
          <w:sz w:val="28"/>
          <w:szCs w:val="28"/>
          <w:highlight w:val="none"/>
        </w:rPr>
      </w:pPr>
      <w:r>
        <w:rPr>
          <w:rFonts w:hint="eastAsia" w:ascii="黑体" w:hAnsi="黑体" w:eastAsia="黑体"/>
          <w:sz w:val="28"/>
          <w:szCs w:val="28"/>
          <w:highlight w:val="none"/>
        </w:rPr>
        <w:t xml:space="preserve">明细报价表 </w:t>
      </w:r>
      <w:r/>
    </w:p>
    <w:p>
      <w:pPr>
        <w:jc w:val="center"/>
        <w:rPr>
          <w:rFonts w:hint="eastAsia" w:ascii="宋体" w:hAnsi="宋体" w:eastAsia="宋体"/>
          <w:sz w:val="28"/>
          <w:szCs w:val="28"/>
          <w:highlight w:val="none"/>
          <w:lang w:eastAsia="zh-CN"/>
        </w:rPr>
      </w:pPr>
      <w:r>
        <w:rPr>
          <w:rFonts w:hint="eastAsia" w:ascii="宋体" w:hAnsi="宋体"/>
          <w:sz w:val="28"/>
          <w:szCs w:val="28"/>
          <w:highlight w:val="none"/>
        </w:rPr>
        <w:t xml:space="preserve">供应商名称（盖章）：              项目编号：</w:t>
      </w:r>
      <w:r>
        <w:rPr>
          <w:rFonts w:hint="eastAsia" w:ascii="宋体" w:hAnsi="宋体"/>
          <w:sz w:val="28"/>
          <w:szCs w:val="28"/>
          <w:highlight w:val="none"/>
          <w:lang w:eastAsia="zh-CN"/>
        </w:rPr>
        <w:t xml:space="preserve">JSZC-320282-HCCG-D2026-0046</w:t>
      </w:r>
      <w:r/>
    </w:p>
    <w:tbl>
      <w:tblPr>
        <w:tblStyle w:val="796"/>
        <w:tblW w:w="51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083"/>
        <w:gridCol w:w="1885"/>
        <w:gridCol w:w="1038"/>
        <w:gridCol w:w="841"/>
        <w:gridCol w:w="1966"/>
        <w:gridCol w:w="2164"/>
      </w:tblGrid>
      <w:tr>
        <w:trPr>
          <w:trHeight w:val="1141"/>
          <w:tblHeader/>
        </w:trPr>
        <w:tc>
          <w:tcPr>
            <w:tcW w:w="616" w:type="pct"/>
            <w:vAlign w:val="center"/>
            <w:textDirection w:val="lrTb"/>
            <w:noWrap w:val="false"/>
          </w:tcPr>
          <w:p>
            <w:pPr>
              <w:ind w:left="0" w:right="0" w:firstLine="0"/>
              <w:jc w:val="center"/>
              <w:rPr>
                <w:rFonts w:hint="default"/>
                <w:b/>
                <w:sz w:val="24"/>
                <w:szCs w:val="24"/>
                <w:highlight w:val="none"/>
                <w:vertAlign w:val="baseline"/>
                <w:lang w:val="en-US" w:eastAsia="zh-CN"/>
              </w:rPr>
            </w:pPr>
            <w:r/>
            <w:bookmarkStart w:id="243" w:name="_Toc14859"/>
            <w:r>
              <w:rPr>
                <w:rFonts w:hint="eastAsia"/>
                <w:b/>
                <w:sz w:val="24"/>
                <w:szCs w:val="24"/>
                <w:highlight w:val="none"/>
                <w:vertAlign w:val="baseline"/>
                <w:lang w:val="en-US" w:eastAsia="zh-CN"/>
              </w:rPr>
              <w:t xml:space="preserve">年份</w:t>
            </w:r>
            <w:r/>
          </w:p>
        </w:tc>
        <w:tc>
          <w:tcPr>
            <w:gridSpan w:val="2"/>
            <w:tcW w:w="1449" w:type="pct"/>
            <w:vAlign w:val="center"/>
            <w:textDirection w:val="lrTb"/>
            <w:noWrap w:val="false"/>
          </w:tcPr>
          <w:p>
            <w:pPr>
              <w:ind w:left="0" w:right="0" w:firstLine="0"/>
              <w:jc w:val="center"/>
              <w:rPr>
                <w:rFonts w:hint="default" w:eastAsia="宋体"/>
                <w:b/>
                <w:sz w:val="24"/>
                <w:szCs w:val="24"/>
                <w:highlight w:val="none"/>
                <w:vertAlign w:val="baseline"/>
                <w:lang w:val="en-US" w:eastAsia="zh-CN"/>
              </w:rPr>
            </w:pPr>
            <w:r>
              <w:rPr>
                <w:rFonts w:hint="eastAsia"/>
                <w:b/>
                <w:sz w:val="24"/>
                <w:szCs w:val="24"/>
                <w:highlight w:val="none"/>
                <w:vertAlign w:val="baseline"/>
                <w:lang w:val="en-US" w:eastAsia="zh-CN"/>
              </w:rPr>
              <w:t xml:space="preserve">服务名称</w:t>
            </w:r>
            <w:r/>
          </w:p>
        </w:tc>
        <w:tc>
          <w:tcPr>
            <w:tcW w:w="506" w:type="pct"/>
            <w:vAlign w:val="center"/>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数量</w:t>
            </w:r>
            <w:r/>
          </w:p>
        </w:tc>
        <w:tc>
          <w:tcPr>
            <w:tcW w:w="410" w:type="pct"/>
            <w:vAlign w:val="center"/>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单位</w:t>
            </w:r>
            <w:r/>
          </w:p>
        </w:tc>
        <w:tc>
          <w:tcPr>
            <w:tcW w:w="960" w:type="pct"/>
            <w:vAlign w:val="center"/>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单价（元/年，元/吨）</w:t>
            </w:r>
            <w:r/>
          </w:p>
        </w:tc>
        <w:tc>
          <w:tcPr>
            <w:tcW w:w="1056" w:type="pct"/>
            <w:vAlign w:val="center"/>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小计（元）</w:t>
            </w:r>
            <w:r/>
          </w:p>
        </w:tc>
      </w:tr>
      <w:tr>
        <w:trPr>
          <w:trHeight w:val="551"/>
          <w:tblHeader/>
        </w:trPr>
        <w:tc>
          <w:tcPr>
            <w:tcW w:w="616" w:type="pct"/>
            <w:vAlign w:val="center"/>
            <w:vMerge w:val="restart"/>
            <w:textDirection w:val="lrTb"/>
            <w:noWrap w:val="false"/>
          </w:tcPr>
          <w:p>
            <w:pPr>
              <w:ind w:left="0" w:right="0" w:firstLine="0"/>
              <w:jc w:val="center"/>
              <w:rPr>
                <w:b/>
                <w:sz w:val="24"/>
                <w:szCs w:val="24"/>
                <w:highlight w:val="none"/>
                <w:vertAlign w:val="baseline"/>
              </w:rPr>
            </w:pPr>
            <w:r>
              <w:rPr>
                <w:rFonts w:hint="eastAsia"/>
                <w:b/>
                <w:sz w:val="24"/>
                <w:szCs w:val="24"/>
                <w:highlight w:val="none"/>
                <w:vertAlign w:val="baseline"/>
                <w:lang w:val="en-US" w:eastAsia="zh-CN"/>
              </w:rPr>
              <w:t xml:space="preserve">第一年（2026.8-2027.7）</w:t>
            </w:r>
            <w:r/>
          </w:p>
        </w:tc>
        <w:tc>
          <w:tcPr>
            <w:gridSpan w:val="2"/>
            <w:tcW w:w="1449" w:type="pct"/>
            <w:vAlign w:val="center"/>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日常防控部分</w:t>
            </w:r>
            <w:r/>
          </w:p>
        </w:tc>
        <w:tc>
          <w:tcPr>
            <w:tcW w:w="506"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restart"/>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tcW w:w="528" w:type="pct"/>
            <w:vAlign w:val="center"/>
            <w:vMerge w:val="restart"/>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配套部分</w:t>
            </w:r>
            <w:r/>
          </w:p>
        </w:tc>
        <w:tc>
          <w:tcPr>
            <w:tcW w:w="920" w:type="pct"/>
            <w:vAlign w:val="center"/>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藻泥处置</w:t>
            </w:r>
            <w:r/>
          </w:p>
        </w:tc>
        <w:tc>
          <w:tcPr>
            <w:shd w:val="clear" w:color="auto" w:fill="auto"/>
            <w:tcW w:w="506" w:type="pct"/>
            <w:vAlign w:val="center"/>
            <w:textDirection w:val="lrTb"/>
            <w:noWrap w:val="false"/>
          </w:tcPr>
          <w:p>
            <w:pPr>
              <w:ind w:left="0" w:right="0" w:firstLine="0"/>
              <w:jc w:val="center"/>
              <w:rPr>
                <w:rFonts w:hint="default" w:ascii="Calibri" w:eastAsia="宋体"/>
                <w:sz w:val="24"/>
                <w:szCs w:val="24"/>
                <w:highlight w:val="none"/>
                <w:vertAlign w:val="baseline"/>
                <w:lang w:val="en-US" w:eastAsia="zh-CN"/>
              </w:rPr>
            </w:pPr>
            <w:r>
              <w:rPr>
                <w:rFonts w:hint="eastAsia" w:ascii="Calibri"/>
                <w:sz w:val="24"/>
                <w:szCs w:val="24"/>
                <w:highlight w:val="none"/>
                <w:vertAlign w:val="baseline"/>
                <w:lang w:val="en-US" w:eastAsia="zh-CN"/>
              </w:rPr>
              <w:t xml:space="preserve">55000</w:t>
            </w:r>
            <w:r/>
          </w:p>
        </w:tc>
        <w:tc>
          <w:tcPr>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tcW w:w="528" w:type="pct"/>
            <w:vAlign w:val="center"/>
            <w:vMerge w:val="continue"/>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eastAsia="宋体"/>
                <w:b/>
                <w:sz w:val="24"/>
                <w:szCs w:val="24"/>
                <w:highlight w:val="none"/>
                <w:vertAlign w:val="baseline"/>
                <w:lang w:val="en-US" w:eastAsia="zh-CN"/>
              </w:rPr>
            </w:r>
            <w:r/>
          </w:p>
        </w:tc>
        <w:tc>
          <w:tcPr>
            <w:tcW w:w="920" w:type="pct"/>
            <w:vAlign w:val="center"/>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水生植物处置</w:t>
            </w:r>
            <w:r/>
          </w:p>
        </w:tc>
        <w:tc>
          <w:tcPr>
            <w:shd w:val="clear" w:color="auto" w:fill="auto"/>
            <w:tcW w:w="506" w:type="pct"/>
            <w:vAlign w:val="center"/>
            <w:textDirection w:val="lrTb"/>
            <w:noWrap w:val="false"/>
          </w:tcPr>
          <w:p>
            <w:pPr>
              <w:ind w:left="0" w:right="0" w:firstLine="0"/>
              <w:jc w:val="center"/>
              <w:rPr>
                <w:rFonts w:hint="default" w:ascii="Calibri" w:eastAsia="宋体"/>
                <w:sz w:val="24"/>
                <w:szCs w:val="24"/>
                <w:highlight w:val="none"/>
                <w:vertAlign w:val="baseline"/>
                <w:lang w:val="en-US" w:eastAsia="zh-CN"/>
              </w:rPr>
            </w:pPr>
            <w:r>
              <w:rPr>
                <w:rFonts w:hint="eastAsia" w:ascii="Calibri"/>
                <w:sz w:val="24"/>
                <w:szCs w:val="24"/>
                <w:highlight w:val="none"/>
                <w:vertAlign w:val="baseline"/>
                <w:lang w:val="en-US" w:eastAsia="zh-CN"/>
              </w:rPr>
              <w:t xml:space="preserve">16600</w:t>
            </w:r>
            <w:r/>
          </w:p>
        </w:tc>
        <w:tc>
          <w:tcPr>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gridSpan w:val="2"/>
            <w:tcW w:w="1449" w:type="pct"/>
            <w:vAlign w:val="center"/>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应急防控部分</w:t>
            </w:r>
            <w:r/>
          </w:p>
        </w:tc>
        <w:tc>
          <w:tcPr>
            <w:tcW w:w="506"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restart"/>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t xml:space="preserve">第二年（2027.8-2028.7）</w:t>
            </w:r>
            <w:r/>
          </w:p>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gridSpan w:val="2"/>
            <w:shd w:val="clear" w:color="auto" w:fill="auto"/>
            <w:tcW w:w="1449" w:type="pct"/>
            <w:vAlign w:val="center"/>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日常防控部分</w:t>
            </w:r>
            <w:r/>
          </w:p>
        </w:tc>
        <w:tc>
          <w:tcPr>
            <w:shd w:val="clear" w:color="auto" w:fill="auto"/>
            <w:tcW w:w="506"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shd w:val="clear" w:color="auto" w:fill="auto"/>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restart"/>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shd w:val="clear" w:color="auto" w:fill="auto"/>
            <w:tcW w:w="528" w:type="pct"/>
            <w:vAlign w:val="center"/>
            <w:vMerge w:val="restart"/>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配套部分</w:t>
            </w:r>
            <w:r/>
          </w:p>
        </w:tc>
        <w:tc>
          <w:tcPr>
            <w:shd w:val="clear" w:color="auto" w:fill="auto"/>
            <w:tcW w:w="920" w:type="pct"/>
            <w:vAlign w:val="center"/>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藻泥处置</w:t>
            </w:r>
            <w:r/>
          </w:p>
        </w:tc>
        <w:tc>
          <w:tcPr>
            <w:shd w:val="clear" w:color="auto" w:fill="auto"/>
            <w:tcW w:w="506" w:type="pct"/>
            <w:vAlign w:val="center"/>
            <w:textDirection w:val="lrTb"/>
            <w:noWrap w:val="false"/>
          </w:tcPr>
          <w:p>
            <w:pPr>
              <w:ind w:left="0" w:right="0" w:firstLine="0"/>
              <w:jc w:val="center"/>
              <w:rPr>
                <w:rFonts w:hint="default" w:ascii="Calibri" w:eastAsia="宋体"/>
                <w:sz w:val="24"/>
                <w:szCs w:val="24"/>
                <w:highlight w:val="none"/>
                <w:vertAlign w:val="baseline"/>
                <w:lang w:val="en-US" w:eastAsia="zh-CN"/>
              </w:rPr>
            </w:pPr>
            <w:r>
              <w:rPr>
                <w:rFonts w:hint="eastAsia" w:ascii="Calibri"/>
                <w:sz w:val="24"/>
                <w:szCs w:val="24"/>
                <w:highlight w:val="none"/>
                <w:vertAlign w:val="baseline"/>
                <w:lang w:val="en-US" w:eastAsia="zh-CN"/>
              </w:rPr>
              <w:t xml:space="preserve">55000</w:t>
            </w:r>
            <w:r/>
          </w:p>
        </w:tc>
        <w:tc>
          <w:tcPr>
            <w:shd w:val="clear" w:color="auto" w:fill="auto"/>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shd w:val="clear" w:color="auto" w:fill="auto"/>
            <w:tcW w:w="528" w:type="pct"/>
            <w:vAlign w:val="center"/>
            <w:vMerge w:val="continue"/>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Times New Roman" w:hAnsi="Times New Roman" w:eastAsia="宋体" w:cs="Times New Roman"/>
                <w:b/>
                <w:sz w:val="24"/>
                <w:szCs w:val="24"/>
                <w:highlight w:val="none"/>
                <w:vertAlign w:val="baseline"/>
                <w:lang w:val="en-US" w:eastAsia="zh-CN" w:bidi="ar-SA"/>
              </w:rPr>
            </w:r>
            <w:r/>
          </w:p>
        </w:tc>
        <w:tc>
          <w:tcPr>
            <w:shd w:val="clear" w:color="auto" w:fill="auto"/>
            <w:tcW w:w="920" w:type="pct"/>
            <w:vAlign w:val="center"/>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水生植物处置</w:t>
            </w:r>
            <w:r/>
          </w:p>
        </w:tc>
        <w:tc>
          <w:tcPr>
            <w:shd w:val="clear" w:color="auto" w:fill="auto"/>
            <w:tcW w:w="506" w:type="pct"/>
            <w:vAlign w:val="center"/>
            <w:textDirection w:val="lrTb"/>
            <w:noWrap w:val="false"/>
          </w:tcPr>
          <w:p>
            <w:pPr>
              <w:ind w:left="0" w:right="0" w:firstLine="0"/>
              <w:jc w:val="center"/>
              <w:rPr>
                <w:rFonts w:hint="default" w:ascii="Calibri" w:eastAsia="宋体"/>
                <w:sz w:val="24"/>
                <w:szCs w:val="24"/>
                <w:highlight w:val="none"/>
                <w:vertAlign w:val="baseline"/>
                <w:lang w:val="en-US" w:eastAsia="zh-CN"/>
              </w:rPr>
            </w:pPr>
            <w:r>
              <w:rPr>
                <w:rFonts w:hint="eastAsia" w:ascii="Calibri"/>
                <w:sz w:val="24"/>
                <w:szCs w:val="24"/>
                <w:highlight w:val="none"/>
                <w:vertAlign w:val="baseline"/>
                <w:lang w:val="en-US" w:eastAsia="zh-CN"/>
              </w:rPr>
              <w:t xml:space="preserve">16600</w:t>
            </w:r>
            <w:r/>
          </w:p>
        </w:tc>
        <w:tc>
          <w:tcPr>
            <w:shd w:val="clear" w:color="auto" w:fill="auto"/>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gridSpan w:val="2"/>
            <w:shd w:val="clear" w:color="auto" w:fill="auto"/>
            <w:tcW w:w="1449" w:type="pct"/>
            <w:vAlign w:val="center"/>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应急防控部分</w:t>
            </w:r>
            <w:r/>
          </w:p>
        </w:tc>
        <w:tc>
          <w:tcPr>
            <w:shd w:val="clear" w:color="auto" w:fill="auto"/>
            <w:tcW w:w="506"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shd w:val="clear" w:color="auto" w:fill="auto"/>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restart"/>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t xml:space="preserve">第三年（2028.8-2029.7）</w:t>
            </w:r>
            <w:r/>
          </w:p>
        </w:tc>
        <w:tc>
          <w:tcPr>
            <w:gridSpan w:val="2"/>
            <w:shd w:val="clear" w:color="auto" w:fill="auto"/>
            <w:tcW w:w="1449"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日常防控部分</w:t>
            </w:r>
            <w:r/>
          </w:p>
        </w:tc>
        <w:tc>
          <w:tcPr>
            <w:shd w:val="clear" w:color="auto" w:fill="auto"/>
            <w:tcW w:w="506"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shd w:val="clear" w:color="auto" w:fill="auto"/>
            <w:tcW w:w="410"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restart"/>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shd w:val="clear" w:color="auto" w:fill="auto"/>
            <w:tcW w:w="528" w:type="pct"/>
            <w:vAlign w:val="center"/>
            <w:vMerge w:val="restart"/>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配套部分</w:t>
            </w:r>
            <w:r/>
          </w:p>
        </w:tc>
        <w:tc>
          <w:tcPr>
            <w:shd w:val="clear" w:color="auto" w:fill="auto"/>
            <w:tcW w:w="92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藻泥处置</w:t>
            </w:r>
            <w:r/>
          </w:p>
        </w:tc>
        <w:tc>
          <w:tcPr>
            <w:shd w:val="clear" w:color="auto" w:fill="auto"/>
            <w:tcW w:w="506"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sz w:val="24"/>
                <w:szCs w:val="24"/>
                <w:highlight w:val="none"/>
                <w:vertAlign w:val="baseline"/>
                <w:lang w:val="en-US" w:eastAsia="zh-CN"/>
              </w:rPr>
              <w:t xml:space="preserve">55000</w:t>
            </w:r>
            <w:r/>
          </w:p>
        </w:tc>
        <w:tc>
          <w:tcPr>
            <w:shd w:val="clear" w:color="auto" w:fill="auto"/>
            <w:tcW w:w="410"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shd w:val="clear" w:color="auto" w:fill="auto"/>
            <w:tcW w:w="528" w:type="pct"/>
            <w:vAlign w:val="center"/>
            <w:vMerge w:val="continue"/>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r>
            <w:r/>
          </w:p>
        </w:tc>
        <w:tc>
          <w:tcPr>
            <w:shd w:val="clear" w:color="auto" w:fill="auto"/>
            <w:tcW w:w="92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水生植物处置</w:t>
            </w:r>
            <w:r/>
          </w:p>
        </w:tc>
        <w:tc>
          <w:tcPr>
            <w:shd w:val="clear" w:color="auto" w:fill="auto"/>
            <w:tcW w:w="506"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sz w:val="24"/>
                <w:szCs w:val="24"/>
                <w:highlight w:val="none"/>
                <w:vertAlign w:val="baseline"/>
                <w:lang w:val="en-US" w:eastAsia="zh-CN"/>
              </w:rPr>
              <w:t xml:space="preserve">16600</w:t>
            </w:r>
            <w:r/>
          </w:p>
        </w:tc>
        <w:tc>
          <w:tcPr>
            <w:shd w:val="clear" w:color="auto" w:fill="auto"/>
            <w:tcW w:w="410"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gridSpan w:val="2"/>
            <w:shd w:val="clear" w:color="auto" w:fill="auto"/>
            <w:tcW w:w="1449"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应急防控部分</w:t>
            </w:r>
            <w:r/>
          </w:p>
        </w:tc>
        <w:tc>
          <w:tcPr>
            <w:shd w:val="clear" w:color="auto" w:fill="auto"/>
            <w:tcW w:w="506"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shd w:val="clear" w:color="auto" w:fill="auto"/>
            <w:tcW w:w="410"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789"/>
        </w:trPr>
        <w:tc>
          <w:tcPr>
            <w:gridSpan w:val="3"/>
            <w:tcW w:w="2065" w:type="pct"/>
            <w:vAlign w:val="center"/>
            <w:vMerge w:val="restart"/>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合计（元）</w:t>
            </w:r>
            <w:r/>
          </w:p>
        </w:tc>
        <w:tc>
          <w:tcPr>
            <w:gridSpan w:val="4"/>
            <w:tcW w:w="2934" w:type="pct"/>
            <w:vAlign w:val="center"/>
            <w:textDirection w:val="lrTb"/>
            <w:noWrap w:val="false"/>
          </w:tcPr>
          <w:p>
            <w:pPr>
              <w:ind w:left="0" w:right="0" w:firstLine="0"/>
              <w:jc w:val="left"/>
              <w:rPr>
                <w:rFonts w:hint="eastAsia"/>
                <w:b/>
                <w:sz w:val="24"/>
                <w:szCs w:val="24"/>
                <w:highlight w:val="none"/>
                <w:vertAlign w:val="baseline"/>
                <w:lang w:val="en-US" w:eastAsia="zh-CN"/>
              </w:rPr>
            </w:pPr>
            <w:r>
              <w:rPr>
                <w:rFonts w:hint="eastAsia"/>
                <w:b/>
                <w:sz w:val="24"/>
                <w:szCs w:val="24"/>
                <w:highlight w:val="none"/>
                <w:vertAlign w:val="baseline"/>
                <w:lang w:val="en-US" w:eastAsia="zh-CN"/>
              </w:rPr>
              <w:t xml:space="preserve">小写：</w:t>
            </w:r>
            <w:r/>
          </w:p>
        </w:tc>
      </w:tr>
      <w:tr>
        <w:trPr>
          <w:trHeight w:val="748"/>
        </w:trPr>
        <w:tc>
          <w:tcPr>
            <w:gridSpan w:val="3"/>
            <w:tcW w:w="2065" w:type="pct"/>
            <w:vAlign w:val="center"/>
            <w:vMerge w:val="continue"/>
            <w:textDirection w:val="lrTb"/>
            <w:noWrap w:val="false"/>
          </w:tcPr>
          <w:p>
            <w:pPr>
              <w:ind w:left="0" w:right="0" w:firstLine="0"/>
              <w:jc w:val="left"/>
              <w:rPr>
                <w:rFonts w:hint="default"/>
                <w:b/>
                <w:sz w:val="24"/>
                <w:szCs w:val="24"/>
                <w:highlight w:val="none"/>
                <w:vertAlign w:val="baseline"/>
                <w:lang w:val="en-US" w:eastAsia="zh-CN"/>
              </w:rPr>
            </w:pPr>
            <w:r>
              <w:rPr>
                <w:rFonts w:hint="default"/>
                <w:b/>
                <w:sz w:val="24"/>
                <w:szCs w:val="24"/>
                <w:highlight w:val="none"/>
                <w:vertAlign w:val="baseline"/>
                <w:lang w:val="en-US" w:eastAsia="zh-CN"/>
              </w:rPr>
            </w:r>
            <w:r/>
          </w:p>
        </w:tc>
        <w:tc>
          <w:tcPr>
            <w:gridSpan w:val="4"/>
            <w:tcW w:w="2934" w:type="pct"/>
            <w:vAlign w:val="center"/>
            <w:textDirection w:val="lrTb"/>
            <w:noWrap w:val="false"/>
          </w:tcPr>
          <w:p>
            <w:pPr>
              <w:ind w:left="0" w:right="0" w:firstLine="0"/>
              <w:jc w:val="left"/>
              <w:rPr>
                <w:rFonts w:hint="eastAsia"/>
                <w:b/>
                <w:sz w:val="24"/>
                <w:szCs w:val="24"/>
                <w:highlight w:val="none"/>
                <w:vertAlign w:val="baseline"/>
                <w:lang w:val="en-US" w:eastAsia="zh-CN"/>
              </w:rPr>
            </w:pPr>
            <w:r>
              <w:rPr>
                <w:rFonts w:hint="eastAsia"/>
                <w:b/>
                <w:sz w:val="24"/>
                <w:szCs w:val="24"/>
                <w:highlight w:val="none"/>
                <w:vertAlign w:val="baseline"/>
                <w:lang w:val="en-US" w:eastAsia="zh-CN"/>
              </w:rPr>
              <w:t xml:space="preserve">大写：</w:t>
            </w:r>
            <w:r/>
          </w:p>
        </w:tc>
      </w:tr>
    </w:tbl>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b/>
          <w:szCs w:val="21"/>
          <w:highlight w:val="none"/>
        </w:rPr>
      </w:pPr>
      <w:r>
        <w:rPr>
          <w:rFonts w:hint="eastAsia" w:ascii="宋体" w:hAnsi="宋体"/>
          <w:sz w:val="24"/>
          <w:szCs w:val="24"/>
          <w:highlight w:val="none"/>
        </w:rPr>
        <w:t xml:space="preserve">供应商签名：                                          日期：</w:t>
      </w:r>
      <w:bookmarkEnd w:id="243"/>
      <w:r/>
    </w:p>
    <w:p>
      <w:pPr>
        <w:rPr>
          <w:rFonts w:hint="eastAsia" w:ascii="宋体" w:hAnsi="宋体"/>
          <w:bCs/>
          <w:szCs w:val="21"/>
          <w:highlight w:val="none"/>
        </w:rPr>
      </w:pPr>
      <w:r>
        <w:rPr>
          <w:rFonts w:hint="eastAsia" w:ascii="宋体" w:hAnsi="宋体"/>
          <w:bCs/>
          <w:szCs w:val="21"/>
          <w:highlight w:val="none"/>
        </w:rPr>
      </w:r>
      <w:r/>
    </w:p>
    <w:p>
      <w:pPr>
        <w:ind w:left="420"/>
        <w:jc w:val="left"/>
        <w:rPr>
          <w:rFonts w:hint="eastAsia" w:ascii="宋体" w:hAnsi="宋体"/>
          <w:szCs w:val="21"/>
          <w:highlight w:val="none"/>
          <w:lang w:val="zh-CN"/>
        </w:rPr>
      </w:pPr>
      <w:r/>
      <w:bookmarkStart w:id="244" w:name="OLE_LINK20"/>
      <w:r>
        <w:rPr>
          <w:rFonts w:hint="eastAsia" w:ascii="宋体" w:hAnsi="宋体"/>
          <w:szCs w:val="21"/>
          <w:highlight w:val="none"/>
          <w:lang w:val="zh-CN"/>
        </w:rPr>
        <w:t xml:space="preserve">注：</w:t>
      </w:r>
      <w:r/>
    </w:p>
    <w:p>
      <w:pPr>
        <w:numPr>
          <w:ilvl w:val="0"/>
          <w:numId w:val="12"/>
        </w:numPr>
        <w:ind w:firstLine="420"/>
        <w:jc w:val="left"/>
        <w:rPr>
          <w:rFonts w:hint="eastAsia" w:ascii="宋体" w:hAnsi="宋体"/>
          <w:szCs w:val="21"/>
          <w:highlight w:val="none"/>
          <w:lang w:val="zh-CN"/>
        </w:rPr>
      </w:pPr>
      <w:r>
        <w:rPr>
          <w:rFonts w:hint="eastAsia" w:ascii="宋体" w:hAnsi="宋体"/>
          <w:szCs w:val="21"/>
          <w:highlight w:val="none"/>
          <w:lang w:val="zh-CN"/>
        </w:rPr>
        <w:t xml:space="preserve">“明细报价表”合计需与“报价一览表”合计一致；</w:t>
      </w:r>
      <w:r/>
    </w:p>
    <w:p>
      <w:pPr>
        <w:numPr>
          <w:ilvl w:val="0"/>
          <w:numId w:val="12"/>
        </w:numPr>
        <w:ind w:firstLine="420"/>
        <w:jc w:val="left"/>
        <w:rPr>
          <w:rFonts w:hint="eastAsia" w:ascii="黑体" w:hAnsi="宋体" w:eastAsia="黑体"/>
          <w:bCs/>
          <w:sz w:val="24"/>
          <w:szCs w:val="24"/>
          <w:highlight w:val="none"/>
        </w:rPr>
      </w:pPr>
      <w:r>
        <w:rPr>
          <w:rFonts w:hint="eastAsia" w:ascii="宋体" w:hAnsi="宋体"/>
          <w:szCs w:val="21"/>
          <w:highlight w:val="none"/>
          <w:lang w:val="zh-CN"/>
        </w:rPr>
        <w:t xml:space="preserve">表格不够可自行延长</w:t>
      </w:r>
      <w:r>
        <w:rPr>
          <w:rFonts w:hint="eastAsia" w:ascii="黑体" w:hAnsi="宋体" w:eastAsia="黑体"/>
          <w:bCs/>
          <w:sz w:val="24"/>
          <w:szCs w:val="24"/>
          <w:highlight w:val="none"/>
        </w:rPr>
        <w:t xml:space="preserve">。</w:t>
      </w:r>
      <w:r/>
    </w:p>
    <w:p>
      <w:pPr>
        <w:rPr>
          <w:rFonts w:ascii="宋体" w:hAnsi="宋体"/>
          <w:bCs/>
          <w:szCs w:val="21"/>
          <w:highlight w:val="none"/>
        </w:rPr>
      </w:pPr>
      <w:r>
        <w:rPr>
          <w:rFonts w:ascii="宋体" w:hAnsi="宋体"/>
          <w:bCs/>
          <w:szCs w:val="21"/>
          <w:highlight w:val="none"/>
        </w:rPr>
      </w:r>
      <w:r/>
    </w:p>
    <w:p>
      <w:pPr>
        <w:numPr>
          <w:ilvl w:val="0"/>
          <w:numId w:val="0"/>
        </w:numPr>
        <w:jc w:val="left"/>
        <w:rPr>
          <w:rFonts w:hint="eastAsia" w:ascii="宋体" w:hAnsi="宋体"/>
          <w:szCs w:val="21"/>
          <w:highlight w:val="none"/>
          <w:lang w:val="zh-CN"/>
        </w:rPr>
      </w:pPr>
      <w:r>
        <w:rPr>
          <w:rFonts w:hint="eastAsia" w:ascii="宋体" w:hAnsi="宋体"/>
          <w:szCs w:val="21"/>
          <w:highlight w:val="none"/>
          <w:lang w:val="zh-CN"/>
        </w:rPr>
      </w:r>
      <w:bookmarkEnd w:id="244"/>
      <w:r/>
    </w:p>
    <w:p>
      <w:pPr>
        <w:rPr>
          <w:rFonts w:ascii="宋体" w:hAnsi="宋体"/>
          <w:bCs/>
          <w:szCs w:val="21"/>
          <w:highlight w:val="none"/>
        </w:rPr>
      </w:pPr>
      <w:r>
        <w:rPr>
          <w:rFonts w:ascii="宋体" w:hAnsi="宋体"/>
          <w:bCs/>
          <w:szCs w:val="21"/>
          <w:highlight w:val="none"/>
        </w:rPr>
      </w:r>
      <w:r/>
    </w:p>
    <w:p>
      <w:pPr>
        <w:rPr>
          <w:rFonts w:ascii="宋体" w:hAnsi="宋体"/>
          <w:bCs/>
          <w:szCs w:val="21"/>
          <w:highlight w:val="none"/>
        </w:rPr>
      </w:pPr>
      <w:r>
        <w:rPr>
          <w:rFonts w:ascii="宋体" w:hAnsi="宋体"/>
          <w:bCs/>
          <w:szCs w:val="21"/>
          <w:highlight w:val="none"/>
        </w:rPr>
      </w:r>
      <w:r/>
    </w:p>
    <w:p>
      <w:pPr>
        <w:rPr>
          <w:rFonts w:ascii="宋体" w:hAnsi="宋体"/>
          <w:bCs/>
          <w:szCs w:val="21"/>
          <w:highlight w:val="none"/>
        </w:rPr>
      </w:pPr>
      <w:r>
        <w:rPr>
          <w:rFonts w:ascii="宋体" w:hAnsi="宋体"/>
          <w:bCs/>
          <w:szCs w:val="21"/>
          <w:highlight w:val="none"/>
        </w:rPr>
      </w:r>
      <w:r/>
    </w:p>
    <w:p>
      <w:pPr>
        <w:jc w:val="left"/>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（二）资格证明文件</w:t>
      </w:r>
      <w:r/>
    </w:p>
    <w:p>
      <w:pPr>
        <w:ind w:firstLine="480"/>
        <w:rPr>
          <w:rFonts w:hint="eastAsia" w:ascii="宋体" w:hAnsi="宋体" w:cs="宋体"/>
          <w:bCs/>
          <w:color w:val="auto"/>
          <w:sz w:val="36"/>
          <w:highlight w:val="none"/>
        </w:rPr>
      </w:pPr>
      <w:r>
        <w:rPr>
          <w:rFonts w:hint="eastAsia" w:ascii="宋体" w:hAnsi="宋体" w:cs="宋体"/>
          <w:bCs/>
          <w:color w:val="auto"/>
          <w:sz w:val="24"/>
          <w:szCs w:val="24"/>
          <w:highlight w:val="none"/>
        </w:rPr>
        <w:t xml:space="preserve">1、关于资格的声明函（格式）：</w:t>
      </w:r>
      <w:r/>
    </w:p>
    <w:p>
      <w:pPr>
        <w:jc w:val="center"/>
        <w:spacing w:before="156" w:after="156"/>
        <w:rPr>
          <w:rFonts w:hint="eastAsia" w:ascii="宋体" w:hAnsi="宋体" w:cs="宋体"/>
          <w:b/>
          <w:color w:val="auto"/>
          <w:sz w:val="32"/>
          <w:highlight w:val="none"/>
        </w:rPr>
      </w:pPr>
      <w:r>
        <w:rPr>
          <w:rFonts w:hint="eastAsia" w:ascii="宋体" w:hAnsi="宋体" w:cs="宋体"/>
          <w:b/>
          <w:color w:val="auto"/>
          <w:sz w:val="28"/>
          <w:szCs w:val="28"/>
          <w:highlight w:val="none"/>
        </w:rPr>
        <w:t xml:space="preserve">关于资格的声明函</w:t>
      </w:r>
      <w:r/>
    </w:p>
    <w:p>
      <w:pPr>
        <w:jc w:val="center"/>
        <w:spacing w:line="48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30"/>
          <w:highlight w:val="none"/>
        </w:rPr>
        <w:t xml:space="preserve">                           </w:t>
      </w:r>
      <w:r>
        <w:rPr>
          <w:rFonts w:hint="eastAsia" w:ascii="宋体" w:hAnsi="宋体" w:cs="宋体"/>
          <w:bCs/>
          <w:color w:val="auto"/>
          <w:sz w:val="24"/>
          <w:szCs w:val="24"/>
          <w:highlight w:val="none"/>
        </w:rPr>
        <w:t xml:space="preserve"> </w:t>
      </w:r>
      <w:bookmarkStart w:id="245" w:name="OLE_LINK80"/>
      <w:r>
        <w:rPr>
          <w:rFonts w:hint="eastAsia" w:ascii="宋体" w:hAnsi="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JSZC-320282-HCCG-D2026-0046</w:t>
      </w:r>
      <w:r/>
    </w:p>
    <w:p>
      <w:pPr>
        <w:jc w:val="center"/>
        <w:spacing w:line="480" w:lineRule="auto"/>
        <w:tabs>
          <w:tab w:val="left" w:pos="63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bookmarkEnd w:id="245"/>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宜兴市水利局</w:t>
      </w:r>
      <w:r>
        <w:rPr>
          <w:rFonts w:hint="eastAsia" w:ascii="宋体" w:hAnsi="宋体" w:cs="宋体"/>
          <w:bCs/>
          <w:color w:val="auto"/>
          <w:sz w:val="24"/>
          <w:szCs w:val="24"/>
          <w:highlight w:val="none"/>
        </w:rPr>
        <w:t xml:space="preserve">：</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JSZC-320282-HCCG-D2026-0046</w:t>
      </w:r>
      <w:r>
        <w:rPr>
          <w:rFonts w:hint="eastAsia" w:ascii="宋体" w:hAnsi="宋体" w:cs="宋体"/>
          <w:bCs/>
          <w:color w:val="auto"/>
          <w:sz w:val="24"/>
          <w:szCs w:val="24"/>
          <w:highlight w:val="none"/>
        </w:rPr>
        <w:t xml:space="preserve">）</w:t>
      </w:r>
      <w:bookmarkStart w:id="246" w:name="OLE_LINK243"/>
      <w:r>
        <w:rPr>
          <w:rFonts w:hint="eastAsia" w:ascii="宋体" w:hAnsi="宋体" w:cs="宋体"/>
          <w:bCs/>
          <w:color w:val="auto"/>
          <w:sz w:val="24"/>
          <w:szCs w:val="24"/>
          <w:highlight w:val="none"/>
        </w:rPr>
        <w:t xml:space="preserve">政府采购活动前三年内在经营活动中没有重大违法记录；</w:t>
      </w:r>
      <w:r>
        <w:rPr>
          <w:rFonts w:hint="eastAsia" w:ascii="宋体" w:hAnsi="宋体" w:cs="宋体"/>
          <w:color w:val="auto"/>
          <w:sz w:val="24"/>
          <w:szCs w:val="24"/>
          <w:highlight w:val="none"/>
          <w:lang w:bidi="ar"/>
        </w:rPr>
        <w:t xml:space="preserve">同时，投标时不存在有效期限内的政府采购严重违法失信行为的处罚记录，未被列入失信名单或重大税收违法案件当事人名单</w:t>
      </w:r>
      <w:r>
        <w:rPr>
          <w:rFonts w:hint="eastAsia" w:ascii="宋体" w:hAnsi="宋体" w:cs="宋体"/>
          <w:bCs/>
          <w:color w:val="auto"/>
          <w:sz w:val="24"/>
          <w:szCs w:val="24"/>
          <w:highlight w:val="none"/>
        </w:rPr>
        <w:t xml:space="preserve">。</w:t>
      </w:r>
      <w:bookmarkEnd w:id="246"/>
      <w:r>
        <w:rPr>
          <w:rFonts w:hint="eastAsia" w:ascii="宋体" w:hAnsi="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JSZC-320282-HCCG-D2026-0046</w:t>
      </w:r>
      <w:r>
        <w:rPr>
          <w:rFonts w:hint="eastAsia" w:ascii="宋体" w:hAnsi="宋体" w:cs="宋体"/>
          <w:bCs/>
          <w:color w:val="auto"/>
          <w:sz w:val="24"/>
          <w:szCs w:val="24"/>
          <w:highlight w:val="none"/>
        </w:rPr>
        <w:t xml:space="preserve">）进行投标</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响应文件中所有关于投标资格的文件、证明、陈述均是真实的、准确的。若有违背，我公司（单位）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同意监管部门作出的相关决定并承担由此而产生的一切后果。</w:t>
      </w:r>
      <w:r/>
    </w:p>
    <w:p>
      <w:pPr>
        <w:rPr>
          <w:rFonts w:hint="eastAsia" w:ascii="宋体" w:hAnsi="宋体" w:cs="宋体"/>
          <w:color w:val="auto"/>
          <w:sz w:val="24"/>
          <w:szCs w:val="28"/>
          <w:highlight w:val="none"/>
        </w:rPr>
      </w:pPr>
      <w:r>
        <w:rPr>
          <w:rFonts w:hint="eastAsia" w:ascii="宋体" w:hAnsi="宋体" w:cs="宋体"/>
          <w:bCs/>
          <w:color w:val="auto"/>
          <w:sz w:val="24"/>
          <w:szCs w:val="24"/>
          <w:highlight w:val="none"/>
        </w:rPr>
        <w:t xml:space="preserve">                                    </w:t>
      </w:r>
      <w:bookmarkStart w:id="247" w:name="OLE_LINK81"/>
      <w:r/>
      <w:r/>
    </w:p>
    <w:p>
      <w:pPr>
        <w:jc w:val="center"/>
        <w:spacing w:line="360" w:lineRule="auto"/>
        <w:rPr>
          <w:rFonts w:hint="eastAsia" w:ascii="宋体" w:hAnsi="宋体"/>
          <w:bCs/>
          <w:color w:val="auto"/>
          <w:sz w:val="24"/>
          <w:highlight w:val="none"/>
          <w:lang w:val="zh-CN"/>
        </w:rPr>
      </w:pPr>
      <w:r>
        <w:rPr>
          <w:rFonts w:hint="eastAsia" w:ascii="宋体" w:hAnsi="宋体" w:cs="宋体"/>
          <w:bCs/>
          <w:color w:val="auto"/>
          <w:sz w:val="24"/>
          <w:highlight w:val="none"/>
        </w:rPr>
        <w:t xml:space="preserve">       </w:t>
      </w:r>
      <w:r>
        <w:rPr>
          <w:rFonts w:hint="eastAsia" w:ascii="宋体" w:hAnsi="宋体"/>
          <w:bCs/>
          <w:color w:val="auto"/>
          <w:sz w:val="24"/>
          <w:highlight w:val="none"/>
        </w:rPr>
        <w:t xml:space="preserve"> 供应商（电子签章）：</w:t>
      </w:r>
      <w:bookmarkEnd w:id="247"/>
      <w:r/>
      <w:r/>
    </w:p>
    <w:p>
      <w:pPr>
        <w:spacing w:line="360" w:lineRule="auto"/>
        <w:rPr>
          <w:rFonts w:hint="eastAsia" w:ascii="宋体" w:hAnsi="宋体" w:cs="宋体"/>
          <w:bCs/>
          <w:color w:val="auto"/>
          <w:sz w:val="28"/>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4"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783"/>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rPr>
          <w:rFonts w:hint="eastAsia" w:ascii="宋体" w:hAnsi="宋体"/>
          <w:color w:val="auto"/>
          <w:sz w:val="24"/>
          <w:szCs w:val="28"/>
          <w:highlight w:val="none"/>
        </w:rPr>
      </w:pPr>
      <w:r>
        <w:rPr>
          <w:rFonts w:hint="eastAsia" w:ascii="宋体" w:hAnsi="宋体" w:cs="宋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ind w:firstLine="420"/>
        <w:rPr>
          <w:rFonts w:hint="eastAsia"/>
          <w:color w:val="auto"/>
          <w:highlight w:val="none"/>
        </w:rPr>
        <w:outlineLvl w:val="0"/>
      </w:pPr>
      <w:r/>
      <w:bookmarkStart w:id="248" w:name="_Hlk131928408"/>
      <w:r/>
      <w:r/>
    </w:p>
    <w:p>
      <w:pPr>
        <w:ind w:firstLine="420"/>
        <w:rPr>
          <w:rFonts w:hint="eastAsia"/>
          <w:color w:val="auto"/>
          <w:highlight w:val="none"/>
        </w:rPr>
        <w:outlineLvl w:val="0"/>
      </w:pPr>
      <w:r>
        <w:rPr>
          <w:rFonts w:hint="eastAsia"/>
          <w:color w:val="auto"/>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注：上述所称“重大违法记录”，是指供应商因违法经营受到刑事处罚或者责令停产停业、吊销许可证或者执照、较大数额罚款等行政处罚。</w:t>
      </w:r>
      <w:bookmarkEnd w:id="248"/>
      <w:r/>
      <w:r/>
    </w:p>
    <w:p>
      <w:pPr>
        <w:pStyle w:val="783"/>
        <w:rPr>
          <w:rFonts w:hint="eastAsia"/>
          <w:color w:val="auto"/>
          <w:highlight w:val="none"/>
        </w:rPr>
        <w:sectPr>
          <w:footerReference w:type="default" r:id="rId15"/>
          <w:footnotePr/>
          <w:endnotePr/>
          <w:type w:val="nextPage"/>
          <w:pgSz w:w="11906" w:h="16838" w:orient="portrait"/>
          <w:pgMar w:top="1440" w:right="1078" w:bottom="1440" w:left="1168" w:header="851" w:footer="992" w:gutter="0"/>
          <w:cols w:num="1" w:sep="0" w:space="720" w:equalWidth="1"/>
          <w:docGrid w:linePitch="360"/>
        </w:sectPr>
      </w:pPr>
      <w:r>
        <w:rPr>
          <w:rFonts w:hint="eastAsia"/>
          <w:color w:val="auto"/>
          <w:highlight w:val="none"/>
        </w:rPr>
      </w:r>
      <w:r/>
    </w:p>
    <w:p>
      <w:pPr>
        <w:spacing w:before="156" w:after="156"/>
        <w:rPr>
          <w:rFonts w:hint="eastAsia" w:ascii="黑体" w:hAnsi="黑体" w:eastAsia="黑体"/>
          <w:color w:val="auto"/>
          <w:sz w:val="28"/>
          <w:szCs w:val="28"/>
          <w:highlight w:val="none"/>
        </w:rPr>
      </w:pP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hint="eastAsia" w:ascii="宋体" w:hAnsi="宋体" w:cs="宋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8"/>
          <w:highlight w:val="none"/>
        </w:rPr>
        <w:t xml:space="preserve">                                </w:t>
      </w:r>
      <w:r>
        <w:rPr>
          <w:rFonts w:hint="eastAsia" w:ascii="宋体" w:hAnsi="宋体" w:cs="宋体"/>
          <w:color w:val="auto"/>
          <w:sz w:val="24"/>
          <w:szCs w:val="21"/>
          <w:highlight w:val="none"/>
          <w:lang w:val="zh-CN"/>
        </w:rPr>
        <w:t xml:space="preserve">项目编号：JSZC-320282-HCCG-D2026-0046 </w:t>
      </w:r>
      <w:r/>
    </w:p>
    <w:p>
      <w:pPr>
        <w:ind w:left="42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                                </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 xml:space="preserve">  日期：</w:t>
      </w:r>
      <w:r/>
    </w:p>
    <w:p>
      <w:pPr>
        <w:ind w:left="42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bCs/>
          <w:color w:val="auto"/>
          <w:sz w:val="24"/>
          <w:szCs w:val="24"/>
          <w:highlight w:val="none"/>
          <w:lang w:eastAsia="zh-CN"/>
        </w:rPr>
        <w:t xml:space="preserve">宜兴市水利局</w:t>
      </w:r>
      <w:r>
        <w:rPr>
          <w:rFonts w:hint="eastAsia" w:ascii="宋体" w:hAnsi="宋体" w:cs="宋体"/>
          <w:bCs/>
          <w:color w:val="auto"/>
          <w:sz w:val="24"/>
          <w:szCs w:val="24"/>
          <w:highlight w:val="none"/>
        </w:rPr>
        <w:t xml:space="preserve">、</w:t>
      </w:r>
      <w:r>
        <w:rPr>
          <w:rFonts w:hint="eastAsia" w:ascii="宋体" w:hAnsi="宋体" w:cs="宋体"/>
          <w:color w:val="auto"/>
          <w:sz w:val="24"/>
          <w:szCs w:val="21"/>
          <w:highlight w:val="none"/>
          <w:lang w:val="zh-CN"/>
        </w:rPr>
        <w:t xml:space="preserve">江苏鸿成工程项目管理有限公司：</w:t>
      </w:r>
      <w:r/>
    </w:p>
    <w:p>
      <w:pPr>
        <w:ind w:left="420" w:firstLine="480"/>
        <w:jc w:val="left"/>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系中华人民共和国合法企业。法定地址：</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特授权</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代表我公司（单位）全权办理针对</w:t>
      </w:r>
      <w:r>
        <w:rPr>
          <w:rFonts w:hint="eastAsia" w:ascii="宋体" w:hAnsi="宋体" w:cs="宋体"/>
          <w:color w:val="auto"/>
          <w:sz w:val="24"/>
          <w:szCs w:val="21"/>
          <w:highlight w:val="none"/>
        </w:rPr>
        <w:t xml:space="preserve">本</w:t>
      </w:r>
      <w:r>
        <w:rPr>
          <w:rFonts w:hint="eastAsia" w:ascii="宋体" w:hAnsi="宋体" w:cs="宋体"/>
          <w:color w:val="auto"/>
          <w:sz w:val="24"/>
          <w:szCs w:val="21"/>
          <w:highlight w:val="none"/>
          <w:lang w:val="zh-CN"/>
        </w:rPr>
        <w:t xml:space="preserve">项目</w:t>
      </w:r>
      <w:r>
        <w:rPr>
          <w:rFonts w:hint="eastAsia" w:ascii="宋体" w:hAnsi="宋体"/>
          <w:bCs/>
          <w:color w:val="auto"/>
          <w:sz w:val="24"/>
          <w:szCs w:val="24"/>
          <w:highlight w:val="none"/>
        </w:rPr>
        <w:t xml:space="preserve">（项目编号：</w:t>
      </w:r>
      <w:r>
        <w:rPr>
          <w:rFonts w:hint="eastAsia" w:ascii="宋体" w:hAnsi="宋体" w:cs="宋体"/>
          <w:color w:val="auto"/>
          <w:sz w:val="24"/>
          <w:szCs w:val="21"/>
          <w:highlight w:val="none"/>
          <w:lang w:val="zh-CN"/>
        </w:rPr>
        <w:t xml:space="preserve">JSZC-320282-HCCG-D2026-0046</w:t>
      </w:r>
      <w:r>
        <w:rPr>
          <w:rFonts w:hint="eastAsia" w:ascii="宋体" w:hAnsi="宋体"/>
          <w:bCs/>
          <w:color w:val="auto"/>
          <w:sz w:val="24"/>
          <w:szCs w:val="24"/>
          <w:highlight w:val="none"/>
        </w:rPr>
        <w:t xml:space="preserve">）</w:t>
      </w:r>
      <w:r>
        <w:rPr>
          <w:rFonts w:hint="eastAsia" w:ascii="宋体" w:hAnsi="宋体" w:cs="宋体"/>
          <w:color w:val="auto"/>
          <w:sz w:val="24"/>
          <w:szCs w:val="21"/>
          <w:highlight w:val="none"/>
          <w:lang w:val="zh-CN"/>
        </w:rPr>
        <w:t xml:space="preserve">的投标</w:t>
      </w:r>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姓名：           性别：        年龄：         职务：</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身份证号码：                   手机号码：</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办公电话：                     传真：</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通讯地址：</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被授权代表人签名：                 </w:t>
      </w:r>
      <w:r/>
    </w:p>
    <w:p>
      <w:pPr>
        <w:jc w:val="right"/>
        <w:spacing w:line="360" w:lineRule="auto"/>
        <w:rPr>
          <w:rFonts w:hint="eastAsia" w:ascii="宋体" w:hAnsi="宋体"/>
          <w:bCs/>
          <w:color w:val="auto"/>
          <w:sz w:val="24"/>
          <w:highlight w:val="none"/>
        </w:rPr>
      </w:pPr>
      <w:r>
        <w:rPr>
          <w:rFonts w:hint="eastAsia" w:ascii="宋体" w:hAnsi="宋体" w:cs="宋体"/>
          <w:color w:val="auto"/>
          <w:sz w:val="24"/>
          <w:szCs w:val="21"/>
          <w:highlight w:val="none"/>
          <w:lang w:val="zh-CN"/>
        </w:rPr>
        <w:t xml:space="preserve">                                    </w:t>
      </w:r>
      <w:r>
        <w:rPr>
          <w:rFonts w:hint="eastAsia" w:ascii="宋体" w:hAnsi="宋体"/>
          <w:bCs/>
          <w:color w:val="auto"/>
          <w:sz w:val="24"/>
          <w:highlight w:val="none"/>
        </w:rPr>
        <w:t xml:space="preserve">  供应商（电子签章）：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日期：___年__月__日</w:t>
      </w:r>
      <w:r/>
    </w:p>
    <w:p>
      <w:pPr>
        <w:spacing w:line="360" w:lineRule="auto"/>
        <w:rPr>
          <w:rFonts w:hint="eastAsia" w:ascii="宋体" w:hAnsi="宋体" w:cs="宋体"/>
          <w:bCs/>
          <w:color w:val="auto"/>
          <w:sz w:val="28"/>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6"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2336;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7"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txbxContent>
                </v:textbox>
              </v:shape>
            </w:pict>
          </mc:Fallback>
        </mc:AlternateConten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83"/>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bookmarkStart w:id="249" w:name="_Hlk151362709"/>
      <w:r>
        <w:rPr>
          <w:rFonts w:hint="eastAsia" w:ascii="宋体" w:hAnsi="宋体"/>
          <w:color w:val="auto"/>
          <w:sz w:val="24"/>
          <w:szCs w:val="21"/>
          <w:highlight w:val="none"/>
          <w:lang w:val="zh-CN"/>
        </w:rPr>
        <w:t xml:space="preserve">详见第二章供应商须知相关要求</w:t>
      </w:r>
      <w:bookmarkEnd w:id="249"/>
      <w:r/>
      <w:r/>
    </w:p>
    <w:p>
      <w:pPr>
        <w:jc w:val="left"/>
        <w:rPr>
          <w:color w:val="auto"/>
          <w:sz w:val="24"/>
          <w:szCs w:val="24"/>
          <w:highlight w:val="none"/>
        </w:rPr>
      </w:pPr>
      <w:r>
        <w:rPr>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按第二章供应商须知要求提供相关证明材料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按第二章供应商须知要求提供相关证明材料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详见第二章供应商须知相关要求</w:t>
      </w:r>
      <w:r/>
    </w:p>
    <w:p>
      <w:pPr>
        <w:ind w:left="6370" w:hanging="6370"/>
        <w:jc w:val="left"/>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9、联合体协议书（格式）：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w:t>
      </w:r>
      <w:r>
        <w:rPr>
          <w:rFonts w:hint="eastAsia" w:ascii="宋体" w:hAnsi="宋体"/>
          <w:color w:val="auto"/>
          <w:sz w:val="24"/>
          <w:szCs w:val="21"/>
          <w:highlight w:val="none"/>
        </w:rPr>
        <w:t xml:space="preserve">响应</w:t>
      </w:r>
      <w:r>
        <w:rPr>
          <w:rFonts w:hint="eastAsia" w:ascii="宋体" w:hAnsi="宋体"/>
          <w:color w:val="auto"/>
          <w:sz w:val="24"/>
          <w:szCs w:val="21"/>
          <w:highlight w:val="none"/>
          <w:lang w:val="zh-CN"/>
        </w:rPr>
        <w:t xml:space="preserve">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w:t>
      </w:r>
      <w:r>
        <w:rPr>
          <w:rFonts w:hint="eastAsia" w:ascii="宋体" w:hAnsi="宋体"/>
          <w:color w:val="auto"/>
          <w:sz w:val="24"/>
          <w:szCs w:val="21"/>
          <w:highlight w:val="none"/>
        </w:rPr>
        <w:t xml:space="preserve">采购文件</w:t>
      </w:r>
      <w:r>
        <w:rPr>
          <w:rFonts w:hint="eastAsia" w:ascii="宋体" w:hAnsi="宋体"/>
          <w:color w:val="auto"/>
          <w:sz w:val="24"/>
          <w:szCs w:val="21"/>
          <w:highlight w:val="none"/>
          <w:lang w:val="zh-CN"/>
        </w:rPr>
        <w:t xml:space="preserve">的各项要求，提交</w:t>
      </w:r>
      <w:r>
        <w:rPr>
          <w:rFonts w:hint="eastAsia" w:ascii="宋体" w:hAnsi="宋体"/>
          <w:color w:val="auto"/>
          <w:sz w:val="24"/>
          <w:szCs w:val="21"/>
          <w:highlight w:val="none"/>
        </w:rPr>
        <w:t xml:space="preserve">响应</w:t>
      </w:r>
      <w:r>
        <w:rPr>
          <w:rFonts w:hint="eastAsia" w:ascii="宋体" w:hAnsi="宋体"/>
          <w:color w:val="auto"/>
          <w:sz w:val="24"/>
          <w:szCs w:val="21"/>
          <w:highlight w:val="none"/>
          <w:lang w:val="zh-CN"/>
        </w:rPr>
        <w:t xml:space="preserve">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                                           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cente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日期：___年___月__日</w:t>
      </w:r>
      <w:r/>
    </w:p>
    <w:p>
      <w:pPr>
        <w:ind w:firstLine="6240"/>
        <w:rPr>
          <w:rFonts w:ascii="宋体" w:hAnsi="宋体"/>
          <w:bCs/>
          <w:color w:val="auto"/>
          <w:sz w:val="24"/>
          <w:highlight w:val="none"/>
        </w:rPr>
      </w:pPr>
      <w:r>
        <w:rPr>
          <w:rFonts w:ascii="宋体" w:hAnsi="宋体"/>
          <w:bCs/>
          <w:color w:val="auto"/>
          <w:sz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lang w:val="zh-CN"/>
        </w:rPr>
      </w:pPr>
      <w:r/>
      <w:bookmarkStart w:id="250" w:name="_Hlk151451066"/>
      <w:r>
        <w:rPr>
          <w:rFonts w:hint="eastAsia" w:ascii="宋体" w:hAnsi="宋体"/>
          <w:bCs/>
          <w:color w:val="auto"/>
          <w:sz w:val="24"/>
          <w:szCs w:val="24"/>
          <w:highlight w:val="none"/>
        </w:rPr>
        <w:t xml:space="preserve">注：如采购人要求组成联合体或采购人允许组成联合体且供应商组成联合体的，应提供有效的联合体协议书，否则无需提供。</w:t>
      </w:r>
      <w:bookmarkEnd w:id="250"/>
      <w:r/>
      <w:r/>
    </w:p>
    <w:p>
      <w:pPr>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w:t>
      </w:r>
      <w:bookmarkStart w:id="251" w:name="OLE_LINK82"/>
      <w:r>
        <w:rPr>
          <w:rFonts w:hint="eastAsia" w:ascii="黑体" w:hAnsi="宋体" w:eastAsia="黑体"/>
          <w:bCs/>
          <w:color w:val="auto"/>
          <w:sz w:val="24"/>
          <w:szCs w:val="24"/>
          <w:highlight w:val="none"/>
        </w:rPr>
        <w:t xml:space="preserve">分包情况说明</w:t>
      </w:r>
      <w:bookmarkEnd w:id="251"/>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p>
    <w:p>
      <w:pPr>
        <w:jc w:val="left"/>
        <w:spacing w:line="480" w:lineRule="auto"/>
        <w:rPr>
          <w:rFonts w:ascii="宋体"/>
          <w:bCs/>
          <w:color w:val="auto"/>
          <w:sz w:val="24"/>
          <w:szCs w:val="24"/>
          <w:highlight w:val="none"/>
        </w:rPr>
      </w:pPr>
      <w:r>
        <w:rPr>
          <w:rFonts w:hint="eastAsia" w:ascii="宋体" w:hAnsi="宋体" w:cs="宋体"/>
          <w:bCs/>
          <w:color w:val="auto"/>
          <w:sz w:val="24"/>
          <w:szCs w:val="24"/>
          <w:highlight w:val="none"/>
          <w:lang w:eastAsia="zh-CN"/>
        </w:rPr>
        <w:t xml:space="preserve">宜兴市水利局</w:t>
      </w:r>
      <w:r>
        <w:rPr>
          <w:rFonts w:hint="eastAsia" w:ascii="宋体" w:hAnsi="宋体"/>
          <w:bCs/>
          <w:color w:val="auto"/>
          <w:sz w:val="24"/>
          <w:szCs w:val="24"/>
          <w:highlight w:val="none"/>
        </w:rPr>
        <w:t xml:space="preserve">：</w:t>
      </w:r>
      <w:r/>
    </w:p>
    <w:p>
      <w:pPr>
        <w:ind w:left="420" w:firstLine="480"/>
        <w:jc w:val="left"/>
        <w:spacing w:line="360" w:lineRule="auto"/>
        <w:tabs>
          <w:tab w:val="left" w:pos="255" w:leader="none"/>
        </w:tabs>
        <w:rPr>
          <w:rFonts w:hint="default" w:ascii="宋体" w:hAnsi="宋体" w:eastAsia="宋体"/>
          <w:color w:val="auto"/>
          <w:sz w:val="24"/>
          <w:szCs w:val="21"/>
          <w:highlight w:val="none"/>
          <w:lang w:val="en-US" w:eastAsia="zh-CN"/>
        </w:rPr>
      </w:pPr>
      <w:r>
        <w:rPr>
          <w:rFonts w:hint="eastAsia" w:ascii="宋体" w:hAnsi="宋体" w:cs="宋体"/>
          <w:color w:val="auto"/>
          <w:sz w:val="24"/>
          <w:szCs w:val="24"/>
          <w:highlight w:val="none"/>
        </w:rPr>
        <w:t xml:space="preserve">我公司根据本项目采购文件的规定和采购项目的实际情况，拟在成交后将成交项目的非主体、非关键性工作</w:t>
      </w:r>
      <w:r>
        <w:rPr>
          <w:rFonts w:hint="eastAsia" w:ascii="宋体" w:hAnsi="宋体" w:cs="宋体"/>
          <w:color w:val="auto"/>
          <w:sz w:val="24"/>
          <w:szCs w:val="24"/>
          <w:highlight w:val="none"/>
          <w:u w:val="single"/>
          <w:lang w:val="en-US" w:eastAsia="zh-CN"/>
        </w:rPr>
        <w:t xml:space="preserve">配套部分、应急防控部分等</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w:t>
      </w:r>
      <w:bookmarkStart w:id="264" w:name="_GoBack"/>
      <w:r/>
      <w:bookmarkEnd w:id="264"/>
      <w:r>
        <w:rPr>
          <w:rFonts w:hint="eastAsia" w:ascii="宋体" w:hAnsi="宋体" w:cs="宋体"/>
          <w:color w:val="auto"/>
          <w:sz w:val="24"/>
          <w:szCs w:val="24"/>
          <w:highlight w:val="none"/>
        </w:rPr>
        <w:t xml:space="preserve">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rPr>
          <w:rFonts w:hint="eastAsia" w:ascii="宋体" w:hAnsi="宋体" w:cs="宋体"/>
          <w:color w:val="auto"/>
          <w:sz w:val="24"/>
          <w:szCs w:val="24"/>
          <w:highlight w:val="none"/>
          <w:lang w:val="en-US" w:eastAsia="zh-CN"/>
        </w:rPr>
        <w:t xml:space="preserve">若无法确定分包承担人和分包合同金额（或报价比例）的，则提供承诺函，承诺中标后择优选定具备对应资质的单位实施分包，正式分包单位需报采购人同意。</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firstLine="480"/>
        <w:jc w:val="left"/>
        <w:spacing w:line="360" w:lineRule="auto"/>
        <w:tabs>
          <w:tab w:val="left" w:pos="255" w:leader="none"/>
        </w:tabs>
        <w:rPr>
          <w:color w:val="auto"/>
          <w:sz w:val="24"/>
          <w:szCs w:val="24"/>
          <w:highlight w:val="none"/>
        </w:rPr>
      </w:pPr>
      <w:r>
        <w:rPr>
          <w:rFonts w:hint="eastAsia" w:ascii="宋体" w:hAnsi="宋体"/>
          <w:bCs/>
          <w:color w:val="auto"/>
          <w:sz w:val="24"/>
          <w:highlight w:val="none"/>
        </w:rPr>
        <w:t xml:space="preserve">                          </w:t>
      </w:r>
      <w:bookmarkStart w:id="252" w:name="_Hlk152583725"/>
      <w:r>
        <w:rPr>
          <w:rFonts w:hint="eastAsia" w:ascii="宋体" w:hAnsi="宋体"/>
          <w:bCs/>
          <w:color w:val="auto"/>
          <w:sz w:val="24"/>
          <w:highlight w:val="none"/>
        </w:rPr>
        <w:t xml:space="preserve">    </w:t>
      </w:r>
      <w:r>
        <w:rPr>
          <w:rFonts w:hint="eastAsia"/>
          <w:color w:val="auto"/>
          <w:sz w:val="24"/>
          <w:szCs w:val="24"/>
          <w:highlight w:val="none"/>
        </w:rPr>
        <w:t xml:space="preserve">供应商</w:t>
      </w:r>
      <w:r>
        <w:rPr>
          <w:color w:val="auto"/>
          <w:sz w:val="24"/>
          <w:szCs w:val="24"/>
          <w:highlight w:val="none"/>
        </w:rPr>
        <w:t xml:space="preserve">（电子签章）：</w:t>
      </w:r>
      <w:bookmarkEnd w:id="252"/>
      <w:r/>
      <w:r/>
    </w:p>
    <w:p>
      <w:pPr>
        <w:ind w:firstLine="4080"/>
        <w:jc w:val="left"/>
        <w:spacing w:line="360" w:lineRule="auto"/>
        <w:tabs>
          <w:tab w:val="left" w:pos="255" w:leader="none"/>
        </w:tabs>
        <w:rPr>
          <w:color w:val="auto"/>
          <w:sz w:val="24"/>
          <w:szCs w:val="24"/>
          <w:highlight w:val="none"/>
        </w:rPr>
      </w:pPr>
      <w:r>
        <w:rPr>
          <w:rFonts w:hint="eastAsia" w:ascii="宋体" w:hAnsi="宋体"/>
          <w:color w:val="auto"/>
          <w:sz w:val="24"/>
          <w:szCs w:val="24"/>
          <w:highlight w:val="none"/>
        </w:rPr>
        <w:t xml:space="preserve">日期：___年___月__日</w:t>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注：如采购人要求分包或采购人允许分包且供应商有分包意向的，应提供有效的分包情况说明，否则无需提供。</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480"/>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11、中小企业声明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53" w:name="_Hlk151458964"/>
      <w:r/>
      <w:bookmarkStart w:id="254" w:name="_Hlk151451145"/>
      <w:r>
        <w:rPr>
          <w:rFonts w:hint="eastAsia" w:ascii="宋体" w:hAnsi="宋体"/>
          <w:bCs/>
          <w:color w:val="auto"/>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53"/>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254"/>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12、特定资格要求</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注：如本项目有特定资格要求的，按采购文件要求提供证明材料，否则无需提供。</w:t>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numPr>
          <w:ilvl w:val="0"/>
          <w:numId w:val="14"/>
        </w:numPr>
        <w:ind w:left="6370" w:hanging="6370"/>
        <w:jc w:val="left"/>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符合条件</w:t>
      </w:r>
      <w:r/>
    </w:p>
    <w:p>
      <w:pPr>
        <w:ind w:firstLine="560"/>
        <w:rPr>
          <w:rFonts w:ascii="宋体"/>
          <w:b/>
          <w:bCs/>
          <w:color w:val="auto"/>
          <w:sz w:val="24"/>
          <w:szCs w:val="24"/>
          <w:highlight w:val="none"/>
        </w:rPr>
      </w:pPr>
      <w:r>
        <w:rPr>
          <w:rFonts w:hint="eastAsia" w:ascii="黑体" w:hAnsi="宋体" w:eastAsia="黑体"/>
          <w:bCs/>
          <w:color w:val="auto"/>
          <w:sz w:val="28"/>
          <w:szCs w:val="28"/>
          <w:highlight w:val="none"/>
        </w:rPr>
        <w:t xml:space="preserve">（一）响应函（格式）：</w:t>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响应函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致宜兴市水利局、江苏鸿成工程项目管理有限公司：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我方收到你们JSZC-320282-HCCG-D2026-0046采购文件，经仔细阅读和研究，我方决定参加报价。</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我方愿意按照采购文件的一切要求，提供服务，总报价详见《报价一览表》。</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我方已对照采购设备的技术参数要求，</w:t>
      </w:r>
      <w:bookmarkStart w:id="255" w:name="OLE_LINK50"/>
      <w:r>
        <w:rPr>
          <w:rFonts w:hint="eastAsia" w:ascii="宋体" w:hAnsi="宋体"/>
          <w:bCs/>
          <w:color w:val="auto"/>
          <w:sz w:val="24"/>
          <w:highlight w:val="none"/>
          <w:lang w:val="zh-CN"/>
        </w:rPr>
        <w:t xml:space="preserve">填写了服务的偏离情况，详见</w:t>
      </w:r>
      <w:bookmarkStart w:id="256" w:name="_Hlk131935611"/>
      <w:r>
        <w:rPr>
          <w:rFonts w:hint="eastAsia" w:ascii="宋体" w:hAnsi="宋体"/>
          <w:bCs/>
          <w:color w:val="auto"/>
          <w:sz w:val="24"/>
          <w:highlight w:val="none"/>
          <w:lang w:val="zh-CN"/>
        </w:rPr>
        <w:t xml:space="preserve">《项目技术要求偏离表》</w:t>
      </w:r>
      <w:bookmarkEnd w:id="256"/>
      <w:r>
        <w:rPr>
          <w:rFonts w:hint="eastAsia" w:ascii="宋体" w:hAnsi="宋体"/>
          <w:bCs/>
          <w:color w:val="auto"/>
          <w:sz w:val="24"/>
          <w:highlight w:val="none"/>
          <w:lang w:val="zh-CN"/>
        </w:rPr>
        <w:t xml:space="preserve">。</w:t>
      </w:r>
      <w:bookmarkEnd w:id="255"/>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w:t>
      </w:r>
      <w:r>
        <w:rPr>
          <w:rFonts w:hint="eastAsia" w:ascii="宋体" w:hAnsi="宋体"/>
          <w:bCs/>
          <w:color w:val="auto"/>
          <w:sz w:val="24"/>
          <w:highlight w:val="none"/>
        </w:rPr>
        <w:t xml:space="preserve">采购</w:t>
      </w:r>
      <w:r>
        <w:rPr>
          <w:rFonts w:hint="eastAsia" w:ascii="宋体" w:hAnsi="宋体"/>
          <w:bCs/>
          <w:color w:val="auto"/>
          <w:sz w:val="24"/>
          <w:highlight w:val="none"/>
          <w:lang w:val="zh-CN"/>
        </w:rPr>
        <w:t xml:space="preserve">文件中的规定，本响应文件的有效期为投标截止之日起的60天（含提交当日）。在特殊情况下，可与贵方协商延长响应文件的有效期。</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我方同意按采购文件中的规定，本响应文件的有效期为提交响应文件截止之日起的60天（含提交当日）。在特殊情况下，可与贵方协商延长响应文件的有效期。</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w:t>
      </w:r>
      <w:r>
        <w:rPr>
          <w:rFonts w:hint="eastAsia" w:ascii="宋体" w:hAnsi="宋体"/>
          <w:bCs/>
          <w:color w:val="auto"/>
          <w:sz w:val="24"/>
          <w:highlight w:val="none"/>
        </w:rPr>
        <w:t xml:space="preserve">采购</w:t>
      </w:r>
      <w:r>
        <w:rPr>
          <w:rFonts w:hint="eastAsia" w:ascii="宋体" w:hAnsi="宋体"/>
          <w:bCs/>
          <w:color w:val="auto"/>
          <w:sz w:val="24"/>
          <w:highlight w:val="none"/>
          <w:lang w:val="zh-CN"/>
        </w:rPr>
        <w:t xml:space="preserve">文件、响应文件中规定的每一项要求，按期、按质、按量、按地点，完成服务任务。</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我方愿意根据贵方及单一来源采购人员的要求，提供响应文件中所有材料的原件及相关证明性资料。</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我方认为采购人有权确定成交供应商。</w:t>
      </w:r>
      <w:r>
        <w:rPr>
          <w:rFonts w:hint="eastAsia" w:ascii="宋体" w:hAnsi="宋体"/>
          <w:bCs/>
          <w:color w:val="auto"/>
          <w:sz w:val="24"/>
          <w:szCs w:val="24"/>
          <w:highlight w:val="none"/>
          <w:lang w:val="zh-CN"/>
        </w:rPr>
        <w:t xml:space="preserve">除因不可抗力</w:t>
      </w:r>
      <w:r>
        <w:rPr>
          <w:rFonts w:hint="eastAsia" w:ascii="宋体" w:hAnsi="宋体"/>
          <w:bCs/>
          <w:color w:val="auto"/>
          <w:sz w:val="24"/>
          <w:szCs w:val="24"/>
          <w:highlight w:val="none"/>
        </w:rPr>
        <w:t xml:space="preserve">或采购文件认可的情形以外</w:t>
      </w:r>
      <w:r>
        <w:rPr>
          <w:rFonts w:hint="eastAsia" w:ascii="宋体" w:hAnsi="宋体"/>
          <w:bCs/>
          <w:color w:val="auto"/>
          <w:sz w:val="24"/>
          <w:szCs w:val="24"/>
          <w:highlight w:val="none"/>
          <w:lang w:val="zh-CN"/>
        </w:rPr>
        <w:t xml:space="preserve">，我方绝不放弃成交资格</w:t>
      </w:r>
      <w:r>
        <w:rPr>
          <w:rFonts w:hint="eastAsia" w:ascii="宋体" w:hAnsi="宋体"/>
          <w:bCs/>
          <w:color w:val="auto"/>
          <w:sz w:val="24"/>
          <w:highlight w:val="none"/>
          <w:lang w:val="zh-CN"/>
        </w:rPr>
        <w:t xml:space="preserve">。</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如果我方成交，我方愿意遵守采购文件和成交通知书的规定，在指定时间和地点与采购人签订合同。 </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成交，决不采取不正当手段诋毁、排挤其他供应商，决不与采购人、采购代理机构恶意串通，决不向采购人、采购代理机构工作人员和评委进行商业贿赂，决不在采购过程中与采购人进行协商谈判，决不拒绝有关部门监督检查，如有违反，无条件接受相关管理部门的处罚。</w:t>
      </w: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5"/>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注：没有请填无。</w:t>
      </w:r>
      <w:r/>
    </w:p>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12.</w:t>
      </w:r>
      <w:r>
        <w:rPr>
          <w:rFonts w:hint="eastAsia" w:ascii="宋体" w:hAnsi="宋体"/>
          <w:bCs/>
          <w:color w:val="auto"/>
          <w:sz w:val="24"/>
          <w:highlight w:val="none"/>
          <w:lang w:val="zh-CN"/>
        </w:rPr>
        <w:t xml:space="preserve">与本投标有关的一切正式往来函电，请联系：</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numPr>
          <w:ilvl w:val="0"/>
          <w:numId w:val="0"/>
        </w:num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供应商（电子签章）：</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p>
    <w:p>
      <w:pPr>
        <w:ind w:firstLine="480"/>
        <w:jc w:val="left"/>
        <w:rPr>
          <w:rFonts w:ascii="黑体" w:hAnsi="宋体" w:eastAsia="黑体"/>
          <w:bCs/>
          <w:color w:val="auto"/>
          <w:sz w:val="24"/>
          <w:szCs w:val="24"/>
          <w:highlight w:val="none"/>
        </w:rPr>
      </w:pPr>
      <w:r>
        <w:rPr>
          <w:rFonts w:ascii="黑体" w:eastAsia="黑体"/>
          <w:bCs/>
          <w:color w:val="auto"/>
          <w:sz w:val="28"/>
          <w:szCs w:val="28"/>
          <w:highlight w:val="none"/>
        </w:rPr>
        <w:br w:type="page" w:clear="all"/>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、明细报价表（格式）：</w:t>
      </w:r>
      <w:r/>
    </w:p>
    <w:p>
      <w:pPr>
        <w:jc w:val="center"/>
        <w:rPr>
          <w:rFonts w:hint="eastAsia" w:ascii="黑体" w:hAnsi="黑体" w:eastAsia="黑体"/>
          <w:color w:val="auto"/>
          <w:sz w:val="28"/>
          <w:szCs w:val="28"/>
          <w:highlight w:val="none"/>
        </w:rPr>
      </w:pPr>
      <w:r/>
      <w:bookmarkStart w:id="257" w:name="OLE_LINK3"/>
      <w:r>
        <w:rPr>
          <w:rFonts w:hint="eastAsia" w:ascii="黑体" w:hAnsi="黑体" w:eastAsia="黑体"/>
          <w:color w:val="auto"/>
          <w:sz w:val="28"/>
          <w:szCs w:val="28"/>
          <w:highlight w:val="none"/>
        </w:rPr>
        <w:t xml:space="preserve">明细报价表</w:t>
      </w:r>
      <w:bookmarkEnd w:id="257"/>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r>
      <w:r/>
    </w:p>
    <w:p>
      <w:pPr>
        <w:pStyle w:val="807"/>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项目名称：2026-2029年太湖蓝藻防控运维服务项目                         </w:t>
      </w:r>
      <w:r/>
    </w:p>
    <w:p>
      <w:pPr>
        <w:pStyle w:val="807"/>
        <w:rPr>
          <w:rFonts w:hint="eastAsia" w:ascii="宋体" w:hAnsi="宋体"/>
          <w:bCs/>
          <w:color w:val="auto"/>
          <w:szCs w:val="21"/>
          <w:highlight w:val="none"/>
        </w:rPr>
      </w:pPr>
      <w:r>
        <w:rPr>
          <w:rFonts w:hint="eastAsia" w:ascii="宋体" w:hAnsi="宋体"/>
          <w:color w:val="auto"/>
          <w:sz w:val="24"/>
          <w:szCs w:val="21"/>
          <w:highlight w:val="none"/>
          <w:lang w:val="zh-CN"/>
        </w:rPr>
        <w:t xml:space="preserve">项目编号：JSZC-320282-HCCG-D2026-0046</w:t>
      </w:r>
      <w:r>
        <w:rPr>
          <w:rFonts w:hint="eastAsia" w:ascii="宋体" w:hAnsi="宋体"/>
          <w:bCs/>
          <w:color w:val="auto"/>
          <w:sz w:val="24"/>
          <w:highlight w:val="none"/>
        </w:rPr>
        <w:t xml:space="preserve">                             </w:t>
      </w:r>
      <w:r/>
    </w:p>
    <w:tbl>
      <w:tblPr>
        <w:tblStyle w:val="796"/>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1081"/>
        <w:gridCol w:w="1881"/>
        <w:gridCol w:w="1036"/>
        <w:gridCol w:w="839"/>
        <w:gridCol w:w="1962"/>
        <w:gridCol w:w="2159"/>
      </w:tblGrid>
      <w:tr>
        <w:trPr>
          <w:trHeight w:val="1141"/>
          <w:tblHeader/>
        </w:trPr>
        <w:tc>
          <w:tcPr>
            <w:tcW w:w="616" w:type="pct"/>
            <w:vAlign w:val="center"/>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年份</w:t>
            </w:r>
            <w:r/>
          </w:p>
        </w:tc>
        <w:tc>
          <w:tcPr>
            <w:gridSpan w:val="2"/>
            <w:tcW w:w="1449" w:type="pct"/>
            <w:vAlign w:val="center"/>
            <w:textDirection w:val="lrTb"/>
            <w:noWrap w:val="false"/>
          </w:tcPr>
          <w:p>
            <w:pPr>
              <w:ind w:left="0" w:right="0" w:firstLine="0"/>
              <w:jc w:val="center"/>
              <w:rPr>
                <w:rFonts w:hint="default" w:eastAsia="宋体"/>
                <w:b/>
                <w:sz w:val="24"/>
                <w:szCs w:val="24"/>
                <w:highlight w:val="none"/>
                <w:vertAlign w:val="baseline"/>
                <w:lang w:val="en-US" w:eastAsia="zh-CN"/>
              </w:rPr>
            </w:pPr>
            <w:r>
              <w:rPr>
                <w:rFonts w:hint="eastAsia"/>
                <w:b/>
                <w:sz w:val="24"/>
                <w:szCs w:val="24"/>
                <w:highlight w:val="none"/>
                <w:vertAlign w:val="baseline"/>
                <w:lang w:val="en-US" w:eastAsia="zh-CN"/>
              </w:rPr>
              <w:t xml:space="preserve">服务名称</w:t>
            </w:r>
            <w:r/>
          </w:p>
        </w:tc>
        <w:tc>
          <w:tcPr>
            <w:tcW w:w="506" w:type="pct"/>
            <w:vAlign w:val="center"/>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数量</w:t>
            </w:r>
            <w:r/>
          </w:p>
        </w:tc>
        <w:tc>
          <w:tcPr>
            <w:tcW w:w="410" w:type="pct"/>
            <w:vAlign w:val="center"/>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单位</w:t>
            </w:r>
            <w:r/>
          </w:p>
        </w:tc>
        <w:tc>
          <w:tcPr>
            <w:tcW w:w="960" w:type="pct"/>
            <w:vAlign w:val="center"/>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单价（元/年，元/吨）</w:t>
            </w:r>
            <w:r/>
          </w:p>
        </w:tc>
        <w:tc>
          <w:tcPr>
            <w:tcW w:w="1056" w:type="pct"/>
            <w:vAlign w:val="center"/>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小计（元）</w:t>
            </w:r>
            <w:r/>
          </w:p>
        </w:tc>
      </w:tr>
      <w:tr>
        <w:trPr>
          <w:trHeight w:val="551"/>
          <w:tblHeader/>
        </w:trPr>
        <w:tc>
          <w:tcPr>
            <w:tcW w:w="616" w:type="pct"/>
            <w:vAlign w:val="center"/>
            <w:vMerge w:val="restart"/>
            <w:textDirection w:val="lrTb"/>
            <w:noWrap w:val="false"/>
          </w:tcPr>
          <w:p>
            <w:pPr>
              <w:ind w:left="0" w:right="0" w:firstLine="0"/>
              <w:jc w:val="center"/>
              <w:rPr>
                <w:b/>
                <w:sz w:val="24"/>
                <w:szCs w:val="24"/>
                <w:highlight w:val="none"/>
                <w:vertAlign w:val="baseline"/>
              </w:rPr>
            </w:pPr>
            <w:r>
              <w:rPr>
                <w:rFonts w:hint="eastAsia"/>
                <w:b/>
                <w:sz w:val="24"/>
                <w:szCs w:val="24"/>
                <w:highlight w:val="none"/>
                <w:vertAlign w:val="baseline"/>
                <w:lang w:val="en-US" w:eastAsia="zh-CN"/>
              </w:rPr>
              <w:t xml:space="preserve">第一年（2026.8-2027.7）</w:t>
            </w:r>
            <w:r/>
          </w:p>
        </w:tc>
        <w:tc>
          <w:tcPr>
            <w:gridSpan w:val="2"/>
            <w:tcW w:w="1449" w:type="pct"/>
            <w:vAlign w:val="center"/>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日常防控部分</w:t>
            </w:r>
            <w:r/>
          </w:p>
        </w:tc>
        <w:tc>
          <w:tcPr>
            <w:tcW w:w="506"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restart"/>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tcW w:w="529" w:type="pct"/>
            <w:vAlign w:val="center"/>
            <w:vMerge w:val="restart"/>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配套部分</w:t>
            </w:r>
            <w:r/>
          </w:p>
        </w:tc>
        <w:tc>
          <w:tcPr>
            <w:tcW w:w="920" w:type="pct"/>
            <w:vAlign w:val="center"/>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藻泥处置</w:t>
            </w:r>
            <w:r/>
          </w:p>
        </w:tc>
        <w:tc>
          <w:tcPr>
            <w:shd w:val="clear" w:color="auto" w:fill="auto"/>
            <w:tcW w:w="506" w:type="pct"/>
            <w:vAlign w:val="center"/>
            <w:textDirection w:val="lrTb"/>
            <w:noWrap w:val="false"/>
          </w:tcPr>
          <w:p>
            <w:pPr>
              <w:ind w:left="0" w:right="0" w:firstLine="0"/>
              <w:jc w:val="center"/>
              <w:rPr>
                <w:rFonts w:hint="default" w:ascii="Calibri" w:eastAsia="宋体"/>
                <w:sz w:val="24"/>
                <w:szCs w:val="24"/>
                <w:highlight w:val="none"/>
                <w:vertAlign w:val="baseline"/>
                <w:lang w:val="en-US" w:eastAsia="zh-CN"/>
              </w:rPr>
            </w:pPr>
            <w:r>
              <w:rPr>
                <w:rFonts w:hint="eastAsia" w:ascii="Calibri"/>
                <w:sz w:val="24"/>
                <w:szCs w:val="24"/>
                <w:highlight w:val="none"/>
                <w:vertAlign w:val="baseline"/>
                <w:lang w:val="en-US" w:eastAsia="zh-CN"/>
              </w:rPr>
              <w:t xml:space="preserve">55000</w:t>
            </w:r>
            <w:r/>
          </w:p>
        </w:tc>
        <w:tc>
          <w:tcPr>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tcW w:w="529" w:type="pct"/>
            <w:vAlign w:val="center"/>
            <w:vMerge w:val="continue"/>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eastAsia="宋体"/>
                <w:b/>
                <w:sz w:val="24"/>
                <w:szCs w:val="24"/>
                <w:highlight w:val="none"/>
                <w:vertAlign w:val="baseline"/>
                <w:lang w:val="en-US" w:eastAsia="zh-CN"/>
              </w:rPr>
            </w:r>
            <w:r/>
          </w:p>
        </w:tc>
        <w:tc>
          <w:tcPr>
            <w:tcW w:w="920" w:type="pct"/>
            <w:vAlign w:val="center"/>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水生植物处置</w:t>
            </w:r>
            <w:r/>
          </w:p>
        </w:tc>
        <w:tc>
          <w:tcPr>
            <w:shd w:val="clear" w:color="auto" w:fill="auto"/>
            <w:tcW w:w="506" w:type="pct"/>
            <w:vAlign w:val="center"/>
            <w:textDirection w:val="lrTb"/>
            <w:noWrap w:val="false"/>
          </w:tcPr>
          <w:p>
            <w:pPr>
              <w:ind w:left="0" w:right="0" w:firstLine="0"/>
              <w:jc w:val="center"/>
              <w:rPr>
                <w:rFonts w:hint="default" w:ascii="Calibri" w:eastAsia="宋体"/>
                <w:sz w:val="24"/>
                <w:szCs w:val="24"/>
                <w:highlight w:val="none"/>
                <w:vertAlign w:val="baseline"/>
                <w:lang w:val="en-US" w:eastAsia="zh-CN"/>
              </w:rPr>
            </w:pPr>
            <w:r>
              <w:rPr>
                <w:rFonts w:hint="eastAsia" w:ascii="Calibri"/>
                <w:sz w:val="24"/>
                <w:szCs w:val="24"/>
                <w:highlight w:val="none"/>
                <w:vertAlign w:val="baseline"/>
                <w:lang w:val="en-US" w:eastAsia="zh-CN"/>
              </w:rPr>
              <w:t xml:space="preserve">16600</w:t>
            </w:r>
            <w:r/>
          </w:p>
        </w:tc>
        <w:tc>
          <w:tcPr>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gridSpan w:val="2"/>
            <w:tcW w:w="1449" w:type="pct"/>
            <w:vAlign w:val="center"/>
            <w:textDirection w:val="lrTb"/>
            <w:noWrap w:val="false"/>
          </w:tcPr>
          <w:p>
            <w:pPr>
              <w:ind w:left="0" w:right="0" w:firstLine="0"/>
              <w:jc w:val="center"/>
              <w:rPr>
                <w:rFonts w:hint="eastAsia" w:eastAsia="宋体"/>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应急防控部分</w:t>
            </w:r>
            <w:r/>
          </w:p>
        </w:tc>
        <w:tc>
          <w:tcPr>
            <w:tcW w:w="506"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restart"/>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t xml:space="preserve">第二年（2027.8-2028.7）</w:t>
            </w:r>
            <w:r/>
          </w:p>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gridSpan w:val="2"/>
            <w:shd w:val="clear" w:color="auto" w:fill="auto"/>
            <w:tcW w:w="1449" w:type="pct"/>
            <w:vAlign w:val="center"/>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日常防控部分</w:t>
            </w:r>
            <w:r/>
          </w:p>
        </w:tc>
        <w:tc>
          <w:tcPr>
            <w:shd w:val="clear" w:color="auto" w:fill="auto"/>
            <w:tcW w:w="506"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shd w:val="clear" w:color="auto" w:fill="auto"/>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restart"/>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shd w:val="clear" w:color="auto" w:fill="auto"/>
            <w:tcW w:w="529" w:type="pct"/>
            <w:vAlign w:val="center"/>
            <w:vMerge w:val="restart"/>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配套部分</w:t>
            </w:r>
            <w:r/>
          </w:p>
        </w:tc>
        <w:tc>
          <w:tcPr>
            <w:shd w:val="clear" w:color="auto" w:fill="auto"/>
            <w:tcW w:w="920" w:type="pct"/>
            <w:vAlign w:val="center"/>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藻泥处置</w:t>
            </w:r>
            <w:r/>
          </w:p>
        </w:tc>
        <w:tc>
          <w:tcPr>
            <w:shd w:val="clear" w:color="auto" w:fill="auto"/>
            <w:tcW w:w="1036" w:type="dxa"/>
            <w:vAlign w:val="center"/>
            <w:textDirection w:val="lrTb"/>
            <w:noWrap w:val="false"/>
          </w:tcPr>
          <w:p>
            <w:pPr>
              <w:ind w:left="0" w:right="0" w:firstLine="0"/>
              <w:jc w:val="center"/>
              <w:rPr>
                <w:rFonts w:hint="default" w:ascii="Calibri" w:eastAsia="宋体"/>
                <w:sz w:val="24"/>
                <w:szCs w:val="24"/>
                <w:highlight w:val="none"/>
                <w:vertAlign w:val="baseline"/>
                <w:lang w:val="en-US" w:eastAsia="zh-CN"/>
              </w:rPr>
            </w:pPr>
            <w:r>
              <w:rPr>
                <w:rFonts w:hint="eastAsia" w:ascii="Calibri"/>
                <w:sz w:val="24"/>
                <w:szCs w:val="24"/>
                <w:highlight w:val="none"/>
                <w:vertAlign w:val="baseline"/>
                <w:lang w:val="en-US" w:eastAsia="zh-CN"/>
              </w:rPr>
              <w:t xml:space="preserve">55000</w:t>
            </w:r>
            <w:r/>
          </w:p>
        </w:tc>
        <w:tc>
          <w:tcPr>
            <w:shd w:val="clear" w:color="auto" w:fill="auto"/>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shd w:val="clear" w:color="auto" w:fill="auto"/>
            <w:tcW w:w="529" w:type="pct"/>
            <w:vAlign w:val="center"/>
            <w:vMerge w:val="continue"/>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Times New Roman" w:hAnsi="Times New Roman" w:eastAsia="宋体" w:cs="Times New Roman"/>
                <w:b/>
                <w:sz w:val="24"/>
                <w:szCs w:val="24"/>
                <w:highlight w:val="none"/>
                <w:vertAlign w:val="baseline"/>
                <w:lang w:val="en-US" w:eastAsia="zh-CN" w:bidi="ar-SA"/>
              </w:rPr>
            </w:r>
            <w:r/>
          </w:p>
        </w:tc>
        <w:tc>
          <w:tcPr>
            <w:shd w:val="clear" w:color="auto" w:fill="auto"/>
            <w:tcW w:w="920" w:type="pct"/>
            <w:vAlign w:val="center"/>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水生植物处置</w:t>
            </w:r>
            <w:r/>
          </w:p>
        </w:tc>
        <w:tc>
          <w:tcPr>
            <w:shd w:val="clear" w:color="auto" w:fill="auto"/>
            <w:tcW w:w="1036" w:type="dxa"/>
            <w:vAlign w:val="center"/>
            <w:textDirection w:val="lrTb"/>
            <w:noWrap w:val="false"/>
          </w:tcPr>
          <w:p>
            <w:pPr>
              <w:ind w:left="0" w:right="0" w:firstLine="0"/>
              <w:jc w:val="center"/>
              <w:rPr>
                <w:rFonts w:hint="default" w:ascii="Calibri" w:eastAsia="宋体"/>
                <w:sz w:val="24"/>
                <w:szCs w:val="24"/>
                <w:highlight w:val="none"/>
                <w:vertAlign w:val="baseline"/>
                <w:lang w:val="en-US" w:eastAsia="zh-CN"/>
              </w:rPr>
            </w:pPr>
            <w:r>
              <w:rPr>
                <w:rFonts w:hint="eastAsia" w:ascii="Calibri"/>
                <w:sz w:val="24"/>
                <w:szCs w:val="24"/>
                <w:highlight w:val="none"/>
                <w:vertAlign w:val="baseline"/>
                <w:lang w:val="en-US" w:eastAsia="zh-CN"/>
              </w:rPr>
              <w:t xml:space="preserve">16600</w:t>
            </w:r>
            <w:r/>
          </w:p>
        </w:tc>
        <w:tc>
          <w:tcPr>
            <w:shd w:val="clear" w:color="auto" w:fill="auto"/>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gridSpan w:val="2"/>
            <w:shd w:val="clear" w:color="auto" w:fill="auto"/>
            <w:tcW w:w="1449" w:type="pct"/>
            <w:vAlign w:val="center"/>
            <w:textDirection w:val="lrTb"/>
            <w:noWrap w:val="false"/>
          </w:tcPr>
          <w:p>
            <w:pPr>
              <w:ind w:left="0" w:right="0" w:firstLine="0"/>
              <w:jc w:val="center"/>
              <w:rPr>
                <w:rFonts w:hint="eastAsia" w:ascii="Times New Roman" w:hAnsi="Times New Roman" w:eastAsia="宋体" w:cs="Times New Roman"/>
                <w:b/>
                <w:sz w:val="24"/>
                <w:szCs w:val="24"/>
                <w:highlight w:val="none"/>
                <w:vertAlign w:val="baseline"/>
                <w:lang w:val="en-US" w:eastAsia="zh-CN" w:bidi="ar-SA"/>
              </w:rPr>
            </w:pPr>
            <w:r>
              <w:rPr>
                <w:rFonts w:hint="eastAsia" w:ascii="Calibri" w:eastAsia="宋体"/>
                <w:sz w:val="24"/>
                <w:szCs w:val="24"/>
                <w:highlight w:val="none"/>
                <w:vertAlign w:val="baseline"/>
                <w:lang w:val="en-US" w:eastAsia="zh-CN"/>
              </w:rPr>
              <w:t xml:space="preserve">应急防控部分</w:t>
            </w:r>
            <w:r/>
          </w:p>
        </w:tc>
        <w:tc>
          <w:tcPr>
            <w:shd w:val="clear" w:color="auto" w:fill="auto"/>
            <w:tcW w:w="506"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shd w:val="clear" w:color="auto" w:fill="auto"/>
            <w:tcW w:w="41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restart"/>
            <w:textDirection w:val="lrTb"/>
            <w:noWrap w:val="false"/>
          </w:tcPr>
          <w:p>
            <w:pPr>
              <w:ind w:left="0" w:right="0" w:firstLine="0"/>
              <w:jc w:val="center"/>
              <w:rPr>
                <w:rFonts w:hint="eastAsia"/>
                <w:b/>
                <w:sz w:val="24"/>
                <w:szCs w:val="24"/>
                <w:highlight w:val="none"/>
                <w:vertAlign w:val="baseline"/>
                <w:lang w:val="en-US" w:eastAsia="zh-CN"/>
              </w:rPr>
            </w:pPr>
            <w:r>
              <w:rPr>
                <w:rFonts w:hint="eastAsia"/>
                <w:b/>
                <w:sz w:val="24"/>
                <w:szCs w:val="24"/>
                <w:highlight w:val="none"/>
                <w:vertAlign w:val="baseline"/>
                <w:lang w:val="en-US" w:eastAsia="zh-CN"/>
              </w:rPr>
              <w:t xml:space="preserve">第三年（2028.8-2029.7）</w:t>
            </w:r>
            <w:r/>
          </w:p>
        </w:tc>
        <w:tc>
          <w:tcPr>
            <w:gridSpan w:val="2"/>
            <w:shd w:val="clear" w:color="auto" w:fill="auto"/>
            <w:tcW w:w="1449"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日常防控部分</w:t>
            </w:r>
            <w:r/>
          </w:p>
        </w:tc>
        <w:tc>
          <w:tcPr>
            <w:shd w:val="clear" w:color="auto" w:fill="auto"/>
            <w:tcW w:w="506"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shd w:val="clear" w:color="auto" w:fill="auto"/>
            <w:tcW w:w="410"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restart"/>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shd w:val="clear" w:color="auto" w:fill="auto"/>
            <w:tcW w:w="529" w:type="pct"/>
            <w:vAlign w:val="center"/>
            <w:vMerge w:val="restart"/>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配套部分</w:t>
            </w:r>
            <w:r/>
          </w:p>
        </w:tc>
        <w:tc>
          <w:tcPr>
            <w:shd w:val="clear" w:color="auto" w:fill="auto"/>
            <w:tcW w:w="92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藻泥处置</w:t>
            </w:r>
            <w:r/>
          </w:p>
        </w:tc>
        <w:tc>
          <w:tcPr>
            <w:shd w:val="clear" w:color="auto" w:fill="auto"/>
            <w:tcW w:w="1036" w:type="dxa"/>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sz w:val="24"/>
                <w:szCs w:val="24"/>
                <w:highlight w:val="none"/>
                <w:vertAlign w:val="baseline"/>
                <w:lang w:val="en-US" w:eastAsia="zh-CN"/>
              </w:rPr>
              <w:t xml:space="preserve">55000</w:t>
            </w:r>
            <w:r/>
          </w:p>
        </w:tc>
        <w:tc>
          <w:tcPr>
            <w:shd w:val="clear" w:color="auto" w:fill="auto"/>
            <w:tcW w:w="410"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shd w:val="clear" w:color="auto" w:fill="auto"/>
            <w:tcW w:w="529" w:type="pct"/>
            <w:vAlign w:val="center"/>
            <w:vMerge w:val="continue"/>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r>
            <w:r/>
          </w:p>
        </w:tc>
        <w:tc>
          <w:tcPr>
            <w:shd w:val="clear" w:color="auto" w:fill="auto"/>
            <w:tcW w:w="920"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水生植物处置</w:t>
            </w:r>
            <w:r/>
          </w:p>
        </w:tc>
        <w:tc>
          <w:tcPr>
            <w:shd w:val="clear" w:color="auto" w:fill="auto"/>
            <w:tcW w:w="1036" w:type="dxa"/>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sz w:val="24"/>
                <w:szCs w:val="24"/>
                <w:highlight w:val="none"/>
                <w:vertAlign w:val="baseline"/>
                <w:lang w:val="en-US" w:eastAsia="zh-CN"/>
              </w:rPr>
              <w:t xml:space="preserve">16600</w:t>
            </w:r>
            <w:r/>
          </w:p>
        </w:tc>
        <w:tc>
          <w:tcPr>
            <w:shd w:val="clear" w:color="auto" w:fill="auto"/>
            <w:tcW w:w="410"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吨</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551"/>
          <w:tblHeader/>
        </w:trPr>
        <w:tc>
          <w:tcPr>
            <w:tcW w:w="616" w:type="pct"/>
            <w:vAlign w:val="center"/>
            <w:vMerge w:val="continue"/>
            <w:textDirection w:val="lrTb"/>
            <w:noWrap w:val="false"/>
          </w:tcPr>
          <w:p>
            <w:pPr>
              <w:ind w:left="0" w:right="0" w:firstLine="0"/>
              <w:jc w:val="both"/>
              <w:rPr>
                <w:rFonts w:hint="eastAsia"/>
                <w:b/>
                <w:sz w:val="24"/>
                <w:szCs w:val="24"/>
                <w:highlight w:val="none"/>
                <w:vertAlign w:val="baseline"/>
                <w:lang w:val="en-US" w:eastAsia="zh-CN"/>
              </w:rPr>
            </w:pPr>
            <w:r>
              <w:rPr>
                <w:rFonts w:hint="eastAsia"/>
                <w:b/>
                <w:sz w:val="24"/>
                <w:szCs w:val="24"/>
                <w:highlight w:val="none"/>
                <w:vertAlign w:val="baseline"/>
                <w:lang w:val="en-US" w:eastAsia="zh-CN"/>
              </w:rPr>
            </w:r>
            <w:r/>
          </w:p>
        </w:tc>
        <w:tc>
          <w:tcPr>
            <w:gridSpan w:val="2"/>
            <w:shd w:val="clear" w:color="auto" w:fill="auto"/>
            <w:tcW w:w="1449" w:type="pct"/>
            <w:vAlign w:val="center"/>
            <w:textDirection w:val="lrTb"/>
            <w:noWrap w:val="false"/>
          </w:tcPr>
          <w:p>
            <w:pPr>
              <w:ind w:left="0" w:right="0" w:firstLine="0"/>
              <w:jc w:val="center"/>
              <w:rPr>
                <w:rFonts w:hint="eastAsia" w:ascii="Calibri" w:eastAsia="宋体"/>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应急防控部分</w:t>
            </w:r>
            <w:r/>
          </w:p>
        </w:tc>
        <w:tc>
          <w:tcPr>
            <w:shd w:val="clear" w:color="auto" w:fill="auto"/>
            <w:tcW w:w="506"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1</w:t>
            </w:r>
            <w:r/>
          </w:p>
        </w:tc>
        <w:tc>
          <w:tcPr>
            <w:shd w:val="clear" w:color="auto" w:fill="auto"/>
            <w:tcW w:w="410" w:type="pct"/>
            <w:vAlign w:val="center"/>
            <w:textDirection w:val="lrTb"/>
            <w:noWrap w:val="false"/>
          </w:tcPr>
          <w:p>
            <w:pPr>
              <w:ind w:left="0" w:right="0" w:firstLine="0"/>
              <w:jc w:val="center"/>
              <w:rPr>
                <w:rFonts w:hint="eastAsia"/>
                <w:b/>
                <w:sz w:val="24"/>
                <w:szCs w:val="24"/>
                <w:highlight w:val="none"/>
                <w:vertAlign w:val="baseline"/>
                <w:lang w:val="en-US" w:eastAsia="zh-CN"/>
              </w:rPr>
            </w:pPr>
            <w:r>
              <w:rPr>
                <w:rFonts w:hint="eastAsia" w:ascii="Calibri" w:eastAsia="宋体"/>
                <w:sz w:val="24"/>
                <w:szCs w:val="24"/>
                <w:highlight w:val="none"/>
                <w:vertAlign w:val="baseline"/>
                <w:lang w:val="en-US" w:eastAsia="zh-CN"/>
              </w:rPr>
              <w:t xml:space="preserve">年</w:t>
            </w:r>
            <w:r/>
          </w:p>
        </w:tc>
        <w:tc>
          <w:tcPr>
            <w:tcW w:w="960" w:type="pct"/>
            <w:vAlign w:val="center"/>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c>
          <w:tcPr>
            <w:tcW w:w="1056" w:type="pct"/>
            <w:vAlign w:val="center"/>
            <w:vMerge w:val="continue"/>
            <w:textDirection w:val="lrTb"/>
            <w:noWrap w:val="false"/>
          </w:tcPr>
          <w:p>
            <w:pPr>
              <w:ind w:left="0" w:right="0" w:firstLine="0"/>
              <w:jc w:val="center"/>
              <w:rPr>
                <w:b/>
                <w:sz w:val="24"/>
                <w:szCs w:val="24"/>
                <w:highlight w:val="none"/>
                <w:vertAlign w:val="baseline"/>
              </w:rPr>
            </w:pPr>
            <w:r>
              <w:rPr>
                <w:b/>
                <w:sz w:val="24"/>
                <w:szCs w:val="24"/>
                <w:highlight w:val="none"/>
                <w:vertAlign w:val="baseline"/>
              </w:rPr>
            </w:r>
            <w:r/>
          </w:p>
        </w:tc>
      </w:tr>
      <w:tr>
        <w:trPr>
          <w:trHeight w:val="789"/>
        </w:trPr>
        <w:tc>
          <w:tcPr>
            <w:gridSpan w:val="3"/>
            <w:tcW w:w="2065" w:type="pct"/>
            <w:vAlign w:val="center"/>
            <w:vMerge w:val="restart"/>
            <w:textDirection w:val="lrTb"/>
            <w:noWrap w:val="false"/>
          </w:tcPr>
          <w:p>
            <w:pPr>
              <w:ind w:left="0" w:right="0" w:firstLine="0"/>
              <w:jc w:val="center"/>
              <w:rPr>
                <w:rFonts w:hint="default"/>
                <w:b/>
                <w:sz w:val="24"/>
                <w:szCs w:val="24"/>
                <w:highlight w:val="none"/>
                <w:vertAlign w:val="baseline"/>
                <w:lang w:val="en-US" w:eastAsia="zh-CN"/>
              </w:rPr>
            </w:pPr>
            <w:r>
              <w:rPr>
                <w:rFonts w:hint="eastAsia"/>
                <w:b/>
                <w:sz w:val="24"/>
                <w:szCs w:val="24"/>
                <w:highlight w:val="none"/>
                <w:vertAlign w:val="baseline"/>
                <w:lang w:val="en-US" w:eastAsia="zh-CN"/>
              </w:rPr>
              <w:t xml:space="preserve">合计（元）</w:t>
            </w:r>
            <w:r/>
          </w:p>
        </w:tc>
        <w:tc>
          <w:tcPr>
            <w:gridSpan w:val="4"/>
            <w:tcW w:w="2934" w:type="pct"/>
            <w:vAlign w:val="center"/>
            <w:textDirection w:val="lrTb"/>
            <w:noWrap w:val="false"/>
          </w:tcPr>
          <w:p>
            <w:pPr>
              <w:ind w:left="0" w:right="0" w:firstLine="0"/>
              <w:jc w:val="left"/>
              <w:rPr>
                <w:rFonts w:hint="eastAsia"/>
                <w:b/>
                <w:sz w:val="24"/>
                <w:szCs w:val="24"/>
                <w:highlight w:val="none"/>
                <w:vertAlign w:val="baseline"/>
                <w:lang w:val="en-US" w:eastAsia="zh-CN"/>
              </w:rPr>
            </w:pPr>
            <w:r>
              <w:rPr>
                <w:rFonts w:hint="eastAsia"/>
                <w:b/>
                <w:sz w:val="24"/>
                <w:szCs w:val="24"/>
                <w:highlight w:val="none"/>
                <w:vertAlign w:val="baseline"/>
                <w:lang w:val="en-US" w:eastAsia="zh-CN"/>
              </w:rPr>
              <w:t xml:space="preserve">小写：</w:t>
            </w:r>
            <w:r/>
          </w:p>
        </w:tc>
      </w:tr>
      <w:tr>
        <w:trPr>
          <w:trHeight w:val="748"/>
        </w:trPr>
        <w:tc>
          <w:tcPr>
            <w:gridSpan w:val="3"/>
            <w:tcW w:w="2065" w:type="pct"/>
            <w:vAlign w:val="center"/>
            <w:vMerge w:val="continue"/>
            <w:textDirection w:val="lrTb"/>
            <w:noWrap w:val="false"/>
          </w:tcPr>
          <w:p>
            <w:pPr>
              <w:ind w:left="0" w:right="0" w:firstLine="0"/>
              <w:jc w:val="left"/>
              <w:rPr>
                <w:rFonts w:hint="default"/>
                <w:b/>
                <w:sz w:val="24"/>
                <w:szCs w:val="24"/>
                <w:highlight w:val="none"/>
                <w:vertAlign w:val="baseline"/>
                <w:lang w:val="en-US" w:eastAsia="zh-CN"/>
              </w:rPr>
            </w:pPr>
            <w:r>
              <w:rPr>
                <w:rFonts w:hint="default"/>
                <w:b/>
                <w:sz w:val="24"/>
                <w:szCs w:val="24"/>
                <w:highlight w:val="none"/>
                <w:vertAlign w:val="baseline"/>
                <w:lang w:val="en-US" w:eastAsia="zh-CN"/>
              </w:rPr>
            </w:r>
            <w:r/>
          </w:p>
        </w:tc>
        <w:tc>
          <w:tcPr>
            <w:gridSpan w:val="4"/>
            <w:tcW w:w="2934" w:type="pct"/>
            <w:vAlign w:val="center"/>
            <w:textDirection w:val="lrTb"/>
            <w:noWrap w:val="false"/>
          </w:tcPr>
          <w:p>
            <w:pPr>
              <w:ind w:left="0" w:right="0" w:firstLine="0"/>
              <w:jc w:val="left"/>
              <w:rPr>
                <w:rFonts w:hint="eastAsia"/>
                <w:b/>
                <w:sz w:val="24"/>
                <w:szCs w:val="24"/>
                <w:highlight w:val="none"/>
                <w:vertAlign w:val="baseline"/>
                <w:lang w:val="en-US" w:eastAsia="zh-CN"/>
              </w:rPr>
            </w:pPr>
            <w:r>
              <w:rPr>
                <w:rFonts w:hint="eastAsia"/>
                <w:b/>
                <w:sz w:val="24"/>
                <w:szCs w:val="24"/>
                <w:highlight w:val="none"/>
                <w:vertAlign w:val="baseline"/>
                <w:lang w:val="en-US" w:eastAsia="zh-CN"/>
              </w:rPr>
              <w:t xml:space="preserve">大写：</w:t>
            </w:r>
            <w:r/>
          </w:p>
        </w:tc>
      </w:tr>
    </w:tbl>
    <w:p>
      <w:pPr>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7440"/>
        <w:spacing w:line="360" w:lineRule="auto"/>
        <w:rPr>
          <w:rFonts w:hint="eastAsia" w:ascii="宋体" w:hAnsi="宋体"/>
          <w:bCs/>
          <w:color w:val="auto"/>
          <w:szCs w:val="21"/>
          <w:highlight w:val="none"/>
        </w:rPr>
      </w:pPr>
      <w:r>
        <w:rPr>
          <w:rFonts w:hint="eastAsia" w:ascii="宋体" w:hAnsi="宋体"/>
          <w:bCs/>
          <w:color w:val="auto"/>
          <w:sz w:val="24"/>
          <w:highlight w:val="none"/>
        </w:rPr>
        <w:t xml:space="preserve">供应商（电子签章）：</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注： </w:t>
      </w:r>
      <w:r>
        <w:rPr>
          <w:rFonts w:hint="eastAsia" w:ascii="宋体" w:hAnsi="宋体"/>
          <w:bCs/>
          <w:color w:val="auto"/>
          <w:szCs w:val="21"/>
          <w:highlight w:val="none"/>
          <w:lang w:eastAsia="zh-CN"/>
        </w:rPr>
        <w:t xml:space="preserve">供应商</w:t>
      </w:r>
      <w:r>
        <w:rPr>
          <w:rFonts w:hint="eastAsia" w:ascii="宋体" w:hAnsi="宋体"/>
          <w:bCs/>
          <w:color w:val="auto"/>
          <w:szCs w:val="21"/>
          <w:highlight w:val="none"/>
        </w:rPr>
        <w:t xml:space="preserve">应当根据“第三章 项目技术要求和有关说明”的内容详细填写明细报价表，须包括本次采购的所有细项及提供服务的一切费用，表格不够可自行延长</w:t>
      </w:r>
      <w:bookmarkStart w:id="258" w:name="_Hlk160008571"/>
      <w:r/>
      <w:bookmarkStart w:id="259" w:name="_Hlk160009870"/>
      <w:r>
        <w:rPr>
          <w:rFonts w:hint="eastAsia" w:ascii="宋体" w:hAnsi="宋体"/>
          <w:bCs/>
          <w:color w:val="auto"/>
          <w:szCs w:val="21"/>
          <w:highlight w:val="none"/>
        </w:rPr>
        <w:t xml:space="preserve">；</w:t>
      </w:r>
      <w:bookmarkEnd w:id="258"/>
      <w:r>
        <w:rPr>
          <w:rFonts w:hint="eastAsia" w:ascii="宋体" w:hAnsi="宋体"/>
          <w:bCs/>
          <w:color w:val="auto"/>
          <w:szCs w:val="21"/>
          <w:highlight w:val="none"/>
        </w:rPr>
        <w:t xml:space="preserve">如本表单价计算的结果与总价不一致，以单价为准修正总价。</w:t>
      </w:r>
      <w:bookmarkEnd w:id="240"/>
      <w:r/>
      <w:bookmarkEnd w:id="259"/>
      <w:r/>
      <w:bookmarkStart w:id="260" w:name="_Toc8000"/>
      <w:r/>
      <w:r/>
    </w:p>
    <w:p>
      <w:pPr>
        <w:pStyle w:val="808"/>
        <w:ind w:firstLine="480"/>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rPr>
        <w:t xml:space="preserve">3、</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pStyle w:val="807"/>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项目名称：2026-2029年太湖蓝藻防控运维服务项目                         </w:t>
      </w:r>
      <w:r/>
    </w:p>
    <w:p>
      <w:pPr>
        <w:pStyle w:val="807"/>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项目编号：JSZC-320282-HCCG-D2026-0046 </w:t>
      </w:r>
      <w:r/>
    </w:p>
    <w:p>
      <w:pPr>
        <w:pStyle w:val="807"/>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供应商（电子签章）：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）供应商应对照采购文件“第三章 项目技术要求和有关说明”的相关要求，将自身响应的偏离情况（与采购文件要求不一致的地方）详细填入上表，并注明“正偏离/负偏离”；若未填写上表，视为完全响应；</w:t>
      </w:r>
      <w:r/>
    </w:p>
    <w:p>
      <w:pPr>
        <w:ind w:left="420" w:firstLine="420"/>
        <w:spacing w:line="360" w:lineRule="auto"/>
        <w:rPr>
          <w:rFonts w:hint="eastAsia" w:ascii="宋体" w:hAnsi="宋体"/>
          <w:bCs/>
          <w:color w:val="auto"/>
          <w:szCs w:val="21"/>
          <w:highlight w:val="none"/>
          <w:lang w:val="zh-CN"/>
        </w:rPr>
      </w:pPr>
      <w:r>
        <w:rPr>
          <w:rFonts w:hint="eastAsia" w:ascii="宋体" w:hAnsi="宋体"/>
          <w:bCs/>
          <w:color w:val="auto"/>
          <w:szCs w:val="21"/>
          <w:highlight w:val="none"/>
        </w:rPr>
        <w:t xml:space="preserve">（2）采购文件第三章“项目技术要求和有关说明”中若有要求提供相关证明材料的，</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rPr>
          <w:rFonts w:ascii="宋体" w:hAnsi="宋体"/>
          <w:bCs/>
          <w:color w:val="auto"/>
          <w:szCs w:val="21"/>
          <w:highlight w:val="none"/>
        </w:rPr>
      </w:pPr>
      <w:r>
        <w:rPr>
          <w:rFonts w:ascii="宋体" w:hAnsi="宋体"/>
          <w:bCs/>
          <w:color w:val="auto"/>
          <w:szCs w:val="21"/>
          <w:highlight w:val="none"/>
        </w:rPr>
      </w:r>
      <w:r/>
    </w:p>
    <w:p>
      <w:pPr>
        <w:rPr>
          <w:rFonts w:ascii="宋体" w:hAnsi="宋体"/>
          <w:bCs/>
          <w:color w:val="auto"/>
          <w:szCs w:val="21"/>
          <w:highlight w:val="none"/>
        </w:rPr>
      </w:pPr>
      <w:r>
        <w:rPr>
          <w:rFonts w:ascii="宋体" w:hAnsi="宋体"/>
          <w:bCs/>
          <w:color w:val="auto"/>
          <w:szCs w:val="21"/>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bookmarkEnd w:id="260"/>
      <w:r/>
    </w:p>
    <w:p>
      <w:pPr>
        <w:spacing w:after="156"/>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rPr>
        <w:t xml:space="preserve">4</w:t>
      </w:r>
      <w:r>
        <w:rPr>
          <w:rFonts w:hint="eastAsia" w:ascii="黑体" w:hAnsi="宋体" w:eastAsia="黑体"/>
          <w:bCs/>
          <w:color w:val="auto"/>
          <w:sz w:val="24"/>
          <w:szCs w:val="24"/>
          <w:highlight w:val="none"/>
          <w:lang w:val="zh-CN"/>
        </w:rPr>
        <w:t xml:space="preserve">、服务内容详细说明（格式自拟）</w:t>
      </w:r>
      <w:r/>
    </w:p>
    <w:p>
      <w:pPr>
        <w:ind w:firstLine="480"/>
        <w:jc w:val="left"/>
        <w:spacing w:after="156"/>
        <w:rPr>
          <w:rFonts w:ascii="宋体" w:hAnsi="宋体"/>
          <w:color w:val="auto"/>
          <w:sz w:val="24"/>
          <w:szCs w:val="24"/>
          <w:highlight w:val="none"/>
        </w:rPr>
      </w:pPr>
      <w:r>
        <w:rPr>
          <w:rFonts w:hint="eastAsia" w:ascii="宋体" w:hAnsi="宋体"/>
          <w:color w:val="auto"/>
          <w:sz w:val="24"/>
          <w:szCs w:val="24"/>
          <w:highlight w:val="none"/>
        </w:rPr>
        <w:t xml:space="preserve">供应商根据“第三章 项目技术要求和有关说明”提出的技术、服务、人员等实质性要求，提供项目实施详细说明及相关证明材料。采购文件中要求进行承诺的，应当进行承诺。</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tabs>
          <w:tab w:val="left" w:pos="255" w:leader="none"/>
        </w:tabs>
        <w:rPr>
          <w:rFonts w:hint="eastAsia" w:ascii="宋体" w:hAnsi="宋体"/>
          <w:b/>
          <w:bCs/>
          <w:color w:val="auto"/>
          <w:sz w:val="24"/>
          <w:szCs w:val="24"/>
          <w:highlight w:val="none"/>
          <w:lang w:val="zh-CN"/>
        </w:rPr>
      </w:pPr>
      <w:r>
        <w:rPr>
          <w:rFonts w:hint="eastAsia" w:ascii="宋体" w:hAnsi="宋体"/>
          <w:b/>
          <w:bCs/>
          <w:color w:val="auto"/>
          <w:sz w:val="24"/>
          <w:szCs w:val="24"/>
          <w:highlight w:val="none"/>
        </w:rPr>
        <w:t xml:space="preserve">5、采购文件</w:t>
      </w:r>
      <w:r>
        <w:rPr>
          <w:rFonts w:hint="eastAsia" w:ascii="宋体" w:hAnsi="宋体"/>
          <w:b/>
          <w:bCs/>
          <w:color w:val="auto"/>
          <w:sz w:val="24"/>
          <w:szCs w:val="24"/>
          <w:highlight w:val="none"/>
          <w:lang w:val="zh-CN"/>
        </w:rPr>
        <w:t xml:space="preserve">第三章“项目技术要求和有关说明”中要求提供的相关证明材料（如有自行添加）</w:t>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（四）企业报价折扣证明</w:t>
      </w:r>
      <w:r/>
    </w:p>
    <w:p>
      <w:pPr>
        <w:ind w:firstLine="480"/>
        <w:jc w:val="left"/>
        <w:spacing w:line="360" w:lineRule="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t xml:space="preserve">1</w:t>
      </w:r>
      <w:r>
        <w:rPr>
          <w:rFonts w:ascii="黑体" w:hAnsi="宋体" w:eastAsia="黑体"/>
          <w:bCs/>
          <w:color w:val="auto"/>
          <w:sz w:val="24"/>
          <w:szCs w:val="24"/>
          <w:highlight w:val="none"/>
          <w:lang w:val="zh-CN"/>
        </w:rPr>
        <w:t xml:space="preserve">.</w:t>
      </w:r>
      <w:r>
        <w:rPr>
          <w:rFonts w:hint="eastAsia" w:ascii="黑体" w:hAnsi="宋体" w:eastAsia="黑体"/>
          <w:bCs/>
          <w:color w:val="auto"/>
          <w:sz w:val="24"/>
          <w:szCs w:val="24"/>
          <w:highlight w:val="none"/>
          <w:lang w:val="zh-CN"/>
        </w:rPr>
        <w:t xml:space="preserve"> 企业报价折扣证明（格式）</w:t>
      </w:r>
      <w:r/>
    </w:p>
    <w:p>
      <w:pPr>
        <w:ind w:left="420" w:firstLine="560"/>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企业报价折扣证明</w:t>
      </w:r>
      <w:r/>
    </w:p>
    <w:p>
      <w:pPr>
        <w:pStyle w:val="807"/>
        <w:ind w:firstLine="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项目名称：2026-2029年太湖蓝藻防控运维服务项目                         </w:t>
      </w:r>
      <w:r/>
    </w:p>
    <w:p>
      <w:pPr>
        <w:pStyle w:val="807"/>
        <w:ind w:firstLine="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项目编号：JSZC-320282-HCCG-D2026-0046</w:t>
      </w:r>
      <w:r/>
    </w:p>
    <w:p>
      <w:pPr>
        <w:pStyle w:val="807"/>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响应文件中须提供的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cantSplit/>
          <w:jc w:val="center"/>
          <w:trHeight w:val="1354"/>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供应商《中小企业声明函》</w:t>
            </w:r>
            <w:bookmarkStart w:id="261" w:name="OLE_LINK65"/>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bookmarkEnd w:id="261"/>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62" w:name="OLE_LINK73"/>
            <w:r>
              <w:rPr>
                <w:rFonts w:hint="eastAsia" w:ascii="宋体" w:hAnsi="宋体" w:cs="宋体"/>
                <w:color w:val="auto"/>
                <w:szCs w:val="21"/>
                <w:highlight w:val="none"/>
                <w:lang w:val="zh-CN"/>
              </w:rPr>
              <w:t xml:space="preserve">供应商《残疾人福利性单位声明函》</w:t>
            </w:r>
            <w:bookmarkEnd w:id="262"/>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pStyle w:val="807"/>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center"/>
        <w:spacing w:before="156" w:line="360" w:lineRule="auto"/>
        <w:rPr>
          <w:color w:val="auto"/>
          <w:sz w:val="24"/>
          <w:szCs w:val="24"/>
          <w:highlight w:val="none"/>
        </w:rPr>
      </w:pPr>
      <w:r>
        <w:rPr>
          <w:rFonts w:hint="eastAsia"/>
          <w:color w:val="auto"/>
          <w:sz w:val="24"/>
          <w:szCs w:val="24"/>
          <w:highlight w:val="none"/>
        </w:rPr>
        <w:t xml:space="preserve">                                          供应商</w:t>
      </w:r>
      <w:r>
        <w:rPr>
          <w:color w:val="auto"/>
          <w:sz w:val="24"/>
          <w:szCs w:val="24"/>
          <w:highlight w:val="none"/>
        </w:rPr>
        <w:t xml:space="preserve">（电子签章）：</w:t>
      </w:r>
      <w:r/>
    </w:p>
    <w:p>
      <w:pPr>
        <w:jc w:val="left"/>
        <w:spacing w:line="240" w:lineRule="atLeas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spacing w:line="240" w:lineRule="atLeas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spacing w:line="360" w:lineRule="auto"/>
        <w:tabs>
          <w:tab w:val="left" w:pos="255" w:leader="none"/>
        </w:tabs>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（2）成交供应商</w:t>
      </w:r>
      <w:r>
        <w:rPr>
          <w:rFonts w:hint="eastAsia" w:ascii="宋体" w:hAnsi="宋体" w:cs="宋体"/>
          <w:b/>
          <w:bCs/>
          <w:color w:val="auto"/>
          <w:szCs w:val="21"/>
          <w:highlight w:val="none"/>
          <w:lang w:val="zh-CN"/>
        </w:rPr>
        <w:t xml:space="preserve">《中小企业声明函》《残疾人福利性单位声明函》，采购人将随中标公告一并公示。</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附件1：中小企业声明函（格式）：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中小企业声明函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highlight w:val="none"/>
        </w:rPr>
        <w:t xml:space="preserve">                             </w:t>
      </w:r>
      <w:r>
        <w:rPr>
          <w:rFonts w:hint="eastAsia"/>
          <w:color w:val="auto"/>
          <w:sz w:val="24"/>
          <w:szCs w:val="24"/>
          <w:highlight w:val="none"/>
        </w:rPr>
        <w:t xml:space="preserve">供应商</w:t>
      </w:r>
      <w:r>
        <w:rPr>
          <w:color w:val="auto"/>
          <w:sz w:val="24"/>
          <w:szCs w:val="24"/>
          <w:highlight w:val="none"/>
        </w:rPr>
        <w:t xml:space="preserve">（电子签章）：</w:t>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ind w:firstLine="421"/>
        <w:spacing w:line="360" w:lineRule="auto"/>
        <w:rPr>
          <w:rFonts w:ascii="宋体" w:hAnsi="宋体"/>
          <w:bCs/>
          <w:color w:val="auto"/>
          <w:szCs w:val="21"/>
          <w:highlight w:val="none"/>
        </w:rPr>
      </w:pPr>
      <w:r>
        <w:rPr>
          <w:rFonts w:hint="eastAsia" w:ascii="宋体" w:hAnsi="宋体"/>
          <w:bCs/>
          <w:color w:val="auto"/>
          <w:szCs w:val="21"/>
          <w:highlight w:val="none"/>
        </w:rPr>
        <w:t xml:space="preserve">（2）供应商按照本办法规定提供声明函内容不实的，属于提供虚假材料谋取成交，依照《中华人民共和国政府采购法》等国家有关规定追究相应责任。</w:t>
      </w:r>
      <w:r/>
    </w:p>
    <w:p>
      <w:pPr>
        <w:ind w:firstLine="421"/>
        <w:spacing w:line="360" w:lineRule="auto"/>
        <w:rPr>
          <w:rFonts w:hint="eastAsia" w:ascii="宋体" w:hAnsi="宋体"/>
          <w:color w:val="auto"/>
          <w:szCs w:val="21"/>
          <w:highlight w:val="none"/>
          <w:lang w:val="zh-CN"/>
        </w:rPr>
      </w:pPr>
      <w:r/>
      <w:bookmarkStart w:id="263" w:name="_Hlk131935698"/>
      <w:r>
        <w:rPr>
          <w:rFonts w:hint="eastAsia" w:ascii="宋体" w:hAnsi="宋体"/>
          <w:color w:val="auto"/>
          <w:szCs w:val="21"/>
          <w:highlight w:val="none"/>
          <w:lang w:val="zh-CN"/>
        </w:rPr>
        <w:t xml:space="preserve">（3）在服务采购项目中，服务由中小企业承接，即提供服务的人员为中小企业依照《中华人民共和国劳动合同法》订立劳动合同的从业人员。成交供应商《中小企业声明函》《残疾人福利性单位声明函》，采购人将随中标公告一并公示。</w:t>
      </w:r>
      <w:bookmarkEnd w:id="263"/>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pStyle w:val="807"/>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807"/>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807"/>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807"/>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807"/>
        <w:rPr>
          <w:rFonts w:hint="eastAsia"/>
          <w:color w:val="auto"/>
          <w:highlight w:val="none"/>
        </w:rPr>
      </w:pPr>
      <w:r>
        <w:rPr>
          <w:rFonts w:hint="eastAsia" w:ascii="黑体" w:hAnsi="宋体" w:eastAsia="黑体"/>
          <w:bCs/>
          <w:color w:val="auto"/>
          <w:sz w:val="24"/>
          <w:szCs w:val="24"/>
          <w:highlight w:val="none"/>
        </w:rPr>
        <w:t xml:space="preserve">附件2：残疾人福利性单位声明函（格式）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）的规定，本单位为符合条件的残疾人福利性单位，且本单位参加______单位的______项目采购活动（项目编号：</w:t>
      </w:r>
      <w:r>
        <w:rPr>
          <w:rFonts w:hint="eastAsia" w:ascii="宋体" w:hAnsi="宋体"/>
          <w:bCs/>
          <w:color w:val="auto"/>
          <w:sz w:val="24"/>
          <w:szCs w:val="24"/>
          <w:highlight w:val="none"/>
          <w:lang w:eastAsia="zh-CN"/>
        </w:rPr>
        <w:t xml:space="preserve">JSZC-320282-HCCG-D2026-0046</w:t>
      </w:r>
      <w:r>
        <w:rPr>
          <w:rFonts w:hint="eastAsia" w:ascii="宋体" w:hAnsi="宋体"/>
          <w:bCs/>
          <w:color w:val="auto"/>
          <w:sz w:val="24"/>
          <w:szCs w:val="24"/>
          <w:highlight w:val="none"/>
        </w:rPr>
        <w:t xml:space="preserve">），服务全部由本单位提供。</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08"/>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供应商</w:t>
      </w:r>
      <w:r>
        <w:rPr>
          <w:color w:val="auto"/>
          <w:sz w:val="24"/>
          <w:szCs w:val="24"/>
          <w:highlight w:val="none"/>
        </w:rPr>
        <w:t xml:space="preserve">（电子签章）：</w:t>
      </w:r>
      <w:r/>
    </w:p>
    <w:p>
      <w:pPr>
        <w:spacing w:line="360" w:lineRule="auto"/>
        <w:rPr>
          <w:rFonts w:ascii="宋体"/>
          <w:bCs/>
          <w:color w:val="auto"/>
          <w:sz w:val="24"/>
          <w:szCs w:val="24"/>
          <w:highlight w:val="none"/>
        </w:rPr>
      </w:pPr>
      <w:r>
        <w:rPr>
          <w:rFonts w:ascii="宋体"/>
          <w:bCs/>
          <w:color w:val="auto"/>
          <w:sz w:val="24"/>
          <w:szCs w:val="24"/>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ascii="宋体" w:hAnsi="宋体"/>
          <w:color w:val="auto"/>
          <w:sz w:val="24"/>
          <w:szCs w:val="21"/>
          <w:highlight w:val="none"/>
        </w:rPr>
      </w:pPr>
      <w:r>
        <w:rPr>
          <w:rFonts w:ascii="宋体" w:hAnsi="宋体"/>
          <w:color w:val="auto"/>
          <w:sz w:val="24"/>
          <w:szCs w:val="21"/>
          <w:highlight w:val="none"/>
        </w:rPr>
      </w:r>
      <w:r/>
    </w:p>
    <w:p>
      <w:pPr>
        <w:pStyle w:val="807"/>
        <w:ind w:firstLine="0"/>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left="420"/>
        <w:spacing w:line="360" w:lineRule="auto"/>
        <w:tabs>
          <w:tab w:val="left" w:pos="255" w:leader="none"/>
        </w:tabs>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Cambria Math">
    <w:panose1 w:val="02040503050406030204"/>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etween w:val="none" w:color="auto"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etween w:val="none" w:color="auto" w:sz="0" w:space="0"/>
      </w:pBdr>
      <w:framePr w:wrap="around" w:vAnchor="text" w:hAnchor="margin" w:xAlign="center" w:yAlign="top"/>
    </w:pPr>
    <w:r>
      <w:fldChar w:fldCharType="begin"/>
    </w:r>
    <w:r>
      <w:rPr>
        <w:rStyle w:val="797"/>
      </w:rPr>
      <w:instrText xml:space="preserve"> PAGE  </w:instrText>
    </w:r>
    <w:r>
      <w:fldChar w:fldCharType="separate"/>
    </w:r>
    <w:r>
      <w:rPr>
        <w:rStyle w:val="797"/>
      </w:rPr>
      <w:t xml:space="preserve">- 1 -</w:t>
    </w:r>
    <w:r>
      <w:fldChar w:fldCharType="end"/>
    </w:r>
    <w:r/>
  </w:p>
  <w:p>
    <w:pPr>
      <w:pStyle w:val="7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879" w:leader="none"/>
        <w:tab w:val="left" w:pos="5676" w:leader="none"/>
      </w:tabs>
    </w:pPr>
    <w:r>
      <w:rPr>
        <w:rFonts w:hint="eastAsia"/>
      </w:rPr>
      <w:tab/>
    </w:r>
    <w:r>
      <w:rPr>
        <w:rFonts w:hint="eastAsia"/>
      </w:rPr>
      <w:tab/>
    </w:r>
    <w:r>
      <w:rPr>
        <w:rFonts w:hint="eastAsia"/>
      </w:rPr>
      <w:tab/>
    </w:r>
    <w:r>
      <w:rPr>
        <w:rFonts w:hint="eastAsia"/>
      </w:rPr>
      <w:tab/>
    </w:r>
    <w:r/>
  </w:p>
  <w:p>
    <w:pPr>
      <w:pStyle w:val="78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879" w:leader="none"/>
        <w:tab w:val="left" w:pos="56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27</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27</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p>
    <w:pPr>
      <w:pStyle w:val="78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7"/>
                          </w:pPr>
                          <w:r>
                            <w:fldChar w:fldCharType="begin"/>
                          </w:r>
                          <w:r>
                            <w:rPr>
                              <w:rStyle w:val="797"/>
                            </w:rPr>
                            <w:instrText xml:space="preserve"> PAGE  </w:instrText>
                          </w:r>
                          <w:r>
                            <w:fldChar w:fldCharType="separate"/>
                          </w:r>
                          <w:r>
                            <w:rPr>
                              <w:rStyle w:val="797"/>
                            </w:rPr>
                            <w:t xml:space="preserve">- 35 -</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pPr>
                    <w:r>
                      <w:fldChar w:fldCharType="begin"/>
                    </w:r>
                    <w:r>
                      <w:rPr>
                        <w:rStyle w:val="797"/>
                      </w:rPr>
                      <w:instrText xml:space="preserve"> PAGE  </w:instrText>
                    </w:r>
                    <w:r>
                      <w:fldChar w:fldCharType="separate"/>
                    </w:r>
                    <w:r>
                      <w:rPr>
                        <w:rStyle w:val="797"/>
                      </w:rPr>
                      <w:t xml:space="preserve">- 35 -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right"/>
      <w:rPr>
        <w:rFonts w:ascii="楷体" w:hAnsi="楷体" w:eastAsia="楷体" w:cs="楷体"/>
        <w:bCs/>
        <w:sz w:val="21"/>
        <w:szCs w:val="21"/>
        <w:highlight w:val="yellow"/>
      </w:rPr>
    </w:pPr>
    <w:r>
      <w:rPr>
        <w:rFonts w:hint="eastAsia" w:ascii="楷体" w:hAnsi="楷体" w:eastAsia="楷体" w:cs="楷体"/>
        <w:bCs/>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3"/>
  </w:num>
  <w:num w:numId="4">
    <w:abstractNumId w:val="13"/>
  </w:num>
  <w:num w:numId="5">
    <w:abstractNumId w:val="12"/>
  </w:num>
  <w:num w:numId="6">
    <w:abstractNumId w:val="5"/>
  </w:num>
  <w:num w:numId="7">
    <w:abstractNumId w:val="4"/>
  </w:num>
  <w:num w:numId="8">
    <w:abstractNumId w:val="6"/>
  </w:num>
  <w:num w:numId="9">
    <w:abstractNumId w:val="11"/>
  </w:num>
  <w:num w:numId="10">
    <w:abstractNumId w:val="9"/>
  </w:num>
  <w:num w:numId="11">
    <w:abstractNumId w:val="1"/>
  </w:num>
  <w:num w:numId="12">
    <w:abstractNumId w:val="14"/>
  </w:num>
  <w:num w:numId="13">
    <w:abstractNumId w:val="0"/>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9"/>
    <w:link w:val="770"/>
    <w:uiPriority w:val="9"/>
    <w:rPr>
      <w:rFonts w:ascii="Arial" w:hAnsi="Arial" w:eastAsia="Arial" w:cs="Arial"/>
      <w:sz w:val="40"/>
      <w:szCs w:val="40"/>
    </w:rPr>
  </w:style>
  <w:style w:type="character" w:styleId="15">
    <w:name w:val="Heading 2 Char"/>
    <w:basedOn w:val="779"/>
    <w:link w:val="771"/>
    <w:uiPriority w:val="9"/>
    <w:rPr>
      <w:rFonts w:ascii="Arial" w:hAnsi="Arial" w:eastAsia="Arial" w:cs="Arial"/>
      <w:sz w:val="34"/>
    </w:rPr>
  </w:style>
  <w:style w:type="character" w:styleId="17">
    <w:name w:val="Heading 3 Char"/>
    <w:basedOn w:val="779"/>
    <w:link w:val="772"/>
    <w:uiPriority w:val="9"/>
    <w:rPr>
      <w:rFonts w:ascii="Arial" w:hAnsi="Arial" w:eastAsia="Arial" w:cs="Arial"/>
      <w:sz w:val="30"/>
      <w:szCs w:val="30"/>
    </w:rPr>
  </w:style>
  <w:style w:type="character" w:styleId="19">
    <w:name w:val="Heading 4 Char"/>
    <w:basedOn w:val="779"/>
    <w:link w:val="773"/>
    <w:uiPriority w:val="9"/>
    <w:rPr>
      <w:rFonts w:ascii="Arial" w:hAnsi="Arial" w:eastAsia="Arial" w:cs="Arial"/>
      <w:b/>
      <w:bCs/>
      <w:sz w:val="26"/>
      <w:szCs w:val="26"/>
    </w:rPr>
  </w:style>
  <w:style w:type="character" w:styleId="21">
    <w:name w:val="Heading 5 Char"/>
    <w:basedOn w:val="779"/>
    <w:link w:val="774"/>
    <w:uiPriority w:val="9"/>
    <w:rPr>
      <w:rFonts w:ascii="Arial" w:hAnsi="Arial" w:eastAsia="Arial" w:cs="Arial"/>
      <w:b/>
      <w:bCs/>
      <w:sz w:val="24"/>
      <w:szCs w:val="24"/>
    </w:rPr>
  </w:style>
  <w:style w:type="character" w:styleId="23">
    <w:name w:val="Heading 6 Char"/>
    <w:basedOn w:val="779"/>
    <w:link w:val="775"/>
    <w:uiPriority w:val="9"/>
    <w:rPr>
      <w:rFonts w:ascii="Arial" w:hAnsi="Arial" w:eastAsia="Arial" w:cs="Arial"/>
      <w:b/>
      <w:bCs/>
      <w:sz w:val="22"/>
      <w:szCs w:val="22"/>
    </w:rPr>
  </w:style>
  <w:style w:type="character" w:styleId="25">
    <w:name w:val="Heading 7 Char"/>
    <w:basedOn w:val="779"/>
    <w:link w:val="776"/>
    <w:uiPriority w:val="9"/>
    <w:rPr>
      <w:rFonts w:ascii="Arial" w:hAnsi="Arial" w:eastAsia="Arial" w:cs="Arial"/>
      <w:b/>
      <w:bCs/>
      <w:i/>
      <w:iCs/>
      <w:sz w:val="22"/>
      <w:szCs w:val="22"/>
    </w:rPr>
  </w:style>
  <w:style w:type="character" w:styleId="27">
    <w:name w:val="Heading 8 Char"/>
    <w:basedOn w:val="779"/>
    <w:link w:val="777"/>
    <w:uiPriority w:val="9"/>
    <w:rPr>
      <w:rFonts w:ascii="Arial" w:hAnsi="Arial" w:eastAsia="Arial" w:cs="Arial"/>
      <w:i/>
      <w:iCs/>
      <w:sz w:val="22"/>
      <w:szCs w:val="22"/>
    </w:rPr>
  </w:style>
  <w:style w:type="character" w:styleId="29">
    <w:name w:val="Heading 9 Char"/>
    <w:basedOn w:val="779"/>
    <w:link w:val="77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9"/>
    <w:next w:val="769"/>
    <w:link w:val="34"/>
    <w:uiPriority w:val="10"/>
    <w:qFormat/>
    <w:pPr>
      <w:contextualSpacing/>
      <w:spacing w:before="300" w:after="200"/>
    </w:pPr>
    <w:rPr>
      <w:sz w:val="48"/>
      <w:szCs w:val="48"/>
    </w:rPr>
  </w:style>
  <w:style w:type="character" w:styleId="34">
    <w:name w:val="Title Char"/>
    <w:basedOn w:val="779"/>
    <w:link w:val="33"/>
    <w:uiPriority w:val="10"/>
    <w:rPr>
      <w:sz w:val="48"/>
      <w:szCs w:val="48"/>
    </w:rPr>
  </w:style>
  <w:style w:type="paragraph" w:styleId="35">
    <w:name w:val="Subtitle"/>
    <w:basedOn w:val="769"/>
    <w:next w:val="769"/>
    <w:link w:val="36"/>
    <w:uiPriority w:val="11"/>
    <w:qFormat/>
    <w:pPr>
      <w:spacing w:before="200" w:after="200"/>
    </w:pPr>
    <w:rPr>
      <w:sz w:val="24"/>
      <w:szCs w:val="24"/>
    </w:rPr>
  </w:style>
  <w:style w:type="character" w:styleId="36">
    <w:name w:val="Subtitle Char"/>
    <w:basedOn w:val="779"/>
    <w:link w:val="35"/>
    <w:uiPriority w:val="11"/>
    <w:rPr>
      <w:sz w:val="24"/>
      <w:szCs w:val="24"/>
    </w:rPr>
  </w:style>
  <w:style w:type="paragraph" w:styleId="37">
    <w:name w:val="Quote"/>
    <w:basedOn w:val="769"/>
    <w:next w:val="769"/>
    <w:link w:val="38"/>
    <w:uiPriority w:val="29"/>
    <w:qFormat/>
    <w:pPr>
      <w:ind w:left="720" w:right="720"/>
    </w:pPr>
    <w:rPr>
      <w:i/>
    </w:rPr>
  </w:style>
  <w:style w:type="character" w:styleId="38">
    <w:name w:val="Quote Char"/>
    <w:link w:val="37"/>
    <w:uiPriority w:val="29"/>
    <w:rPr>
      <w:i/>
    </w:rPr>
  </w:style>
  <w:style w:type="paragraph" w:styleId="39">
    <w:name w:val="Intense Quote"/>
    <w:basedOn w:val="769"/>
    <w:next w:val="7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9"/>
    <w:link w:val="788"/>
    <w:uiPriority w:val="99"/>
  </w:style>
  <w:style w:type="character" w:styleId="44">
    <w:name w:val="Footer Char"/>
    <w:basedOn w:val="779"/>
    <w:link w:val="787"/>
    <w:uiPriority w:val="99"/>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character" w:styleId="46">
    <w:name w:val="Caption Char"/>
    <w:basedOn w:val="45"/>
    <w:link w:val="787"/>
    <w:uiPriority w:val="99"/>
  </w:style>
  <w:style w:type="table" w:styleId="48">
    <w:name w:val="Table Grid Light"/>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9"/>
    <w:uiPriority w:val="99"/>
    <w:unhideWhenUsed/>
    <w:rPr>
      <w:vertAlign w:val="superscript"/>
    </w:rPr>
  </w:style>
  <w:style w:type="paragraph" w:styleId="177">
    <w:name w:val="endnote text"/>
    <w:basedOn w:val="7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9"/>
    <w:uiPriority w:val="99"/>
    <w:semiHidden/>
    <w:unhideWhenUsed/>
    <w:rPr>
      <w:vertAlign w:val="superscript"/>
    </w:rPr>
  </w:style>
  <w:style w:type="paragraph" w:styleId="182">
    <w:name w:val="toc 3"/>
    <w:basedOn w:val="769"/>
    <w:next w:val="769"/>
    <w:uiPriority w:val="39"/>
    <w:unhideWhenUsed/>
    <w:pPr>
      <w:ind w:left="567" w:right="0" w:firstLine="0"/>
      <w:spacing w:after="57"/>
    </w:pPr>
  </w:style>
  <w:style w:type="paragraph" w:styleId="183">
    <w:name w:val="toc 4"/>
    <w:basedOn w:val="769"/>
    <w:next w:val="769"/>
    <w:uiPriority w:val="39"/>
    <w:unhideWhenUsed/>
    <w:pPr>
      <w:ind w:left="850" w:right="0" w:firstLine="0"/>
      <w:spacing w:after="57"/>
    </w:pPr>
  </w:style>
  <w:style w:type="paragraph" w:styleId="184">
    <w:name w:val="toc 5"/>
    <w:basedOn w:val="769"/>
    <w:next w:val="769"/>
    <w:uiPriority w:val="39"/>
    <w:unhideWhenUsed/>
    <w:pPr>
      <w:ind w:left="1134" w:right="0" w:firstLine="0"/>
      <w:spacing w:after="57"/>
    </w:pPr>
  </w:style>
  <w:style w:type="paragraph" w:styleId="185">
    <w:name w:val="toc 6"/>
    <w:basedOn w:val="769"/>
    <w:next w:val="769"/>
    <w:uiPriority w:val="39"/>
    <w:unhideWhenUsed/>
    <w:pPr>
      <w:ind w:left="1417" w:right="0" w:firstLine="0"/>
      <w:spacing w:after="57"/>
    </w:pPr>
  </w:style>
  <w:style w:type="paragraph" w:styleId="186">
    <w:name w:val="toc 7"/>
    <w:basedOn w:val="769"/>
    <w:next w:val="769"/>
    <w:uiPriority w:val="39"/>
    <w:unhideWhenUsed/>
    <w:pPr>
      <w:ind w:left="1701" w:right="0" w:firstLine="0"/>
      <w:spacing w:after="57"/>
    </w:pPr>
  </w:style>
  <w:style w:type="paragraph" w:styleId="187">
    <w:name w:val="toc 8"/>
    <w:basedOn w:val="769"/>
    <w:next w:val="769"/>
    <w:uiPriority w:val="39"/>
    <w:unhideWhenUsed/>
    <w:pPr>
      <w:ind w:left="1984" w:right="0" w:firstLine="0"/>
      <w:spacing w:after="57"/>
    </w:pPr>
  </w:style>
  <w:style w:type="paragraph" w:styleId="188">
    <w:name w:val="toc 9"/>
    <w:basedOn w:val="769"/>
    <w:next w:val="7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9"/>
    <w:next w:val="769"/>
    <w:uiPriority w:val="99"/>
    <w:unhideWhenUsed/>
    <w:pPr>
      <w:spacing w:after="0" w:afterAutospacing="0"/>
    </w:pPr>
  </w:style>
  <w:style w:type="paragraph" w:styleId="76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0">
    <w:name w:val="Heading 1"/>
    <w:basedOn w:val="769"/>
    <w:next w:val="769"/>
    <w:uiPriority w:val="0"/>
    <w:qFormat/>
    <w:pPr>
      <w:keepLines/>
      <w:keepNext/>
      <w:spacing w:before="340" w:beforeAutospacing="0" w:after="330" w:afterAutospacing="0" w:line="576" w:lineRule="auto"/>
      <w:outlineLvl w:val="0"/>
    </w:pPr>
    <w:rPr>
      <w:b/>
      <w:sz w:val="44"/>
    </w:rPr>
  </w:style>
  <w:style w:type="paragraph" w:styleId="771">
    <w:name w:val="Heading 2"/>
    <w:basedOn w:val="769"/>
    <w:next w:val="769"/>
    <w:uiPriority w:val="0"/>
    <w:qFormat/>
    <w:pPr>
      <w:keepLines/>
      <w:keepNext/>
      <w:spacing w:before="260" w:beforeAutospacing="0" w:after="260" w:afterAutospacing="0" w:line="413" w:lineRule="auto"/>
      <w:outlineLvl w:val="1"/>
    </w:pPr>
    <w:rPr>
      <w:rFonts w:ascii="Arial" w:hAnsi="Arial" w:eastAsia="黑体"/>
      <w:b/>
      <w:sz w:val="32"/>
    </w:rPr>
  </w:style>
  <w:style w:type="paragraph" w:styleId="772">
    <w:name w:val="Heading 3"/>
    <w:basedOn w:val="769"/>
    <w:next w:val="769"/>
    <w:uiPriority w:val="0"/>
    <w:qFormat/>
    <w:pPr>
      <w:keepLines/>
      <w:keepNext/>
      <w:spacing w:before="260" w:beforeAutospacing="0" w:after="260" w:afterAutospacing="0" w:line="413" w:lineRule="auto"/>
      <w:outlineLvl w:val="2"/>
    </w:pPr>
    <w:rPr>
      <w:b/>
      <w:sz w:val="32"/>
    </w:rPr>
  </w:style>
  <w:style w:type="paragraph" w:styleId="773">
    <w:name w:val="Heading 4"/>
    <w:basedOn w:val="769"/>
    <w:next w:val="769"/>
    <w:uiPriority w:val="0"/>
    <w:qFormat/>
    <w:pPr>
      <w:keepLines/>
      <w:keepNext/>
      <w:spacing w:before="280" w:beforeAutospacing="0" w:after="290" w:afterAutospacing="0" w:line="372" w:lineRule="auto"/>
      <w:outlineLvl w:val="3"/>
    </w:pPr>
    <w:rPr>
      <w:rFonts w:ascii="Arial" w:hAnsi="Arial" w:eastAsia="黑体"/>
      <w:b/>
      <w:sz w:val="28"/>
    </w:rPr>
  </w:style>
  <w:style w:type="paragraph" w:styleId="774">
    <w:name w:val="Heading 5"/>
    <w:basedOn w:val="769"/>
    <w:next w:val="769"/>
    <w:uiPriority w:val="0"/>
    <w:qFormat/>
    <w:pPr>
      <w:keepLines/>
      <w:keepNext/>
      <w:spacing w:before="280" w:beforeAutospacing="0" w:after="290" w:afterAutospacing="0" w:line="372" w:lineRule="auto"/>
      <w:outlineLvl w:val="4"/>
    </w:pPr>
    <w:rPr>
      <w:b/>
      <w:sz w:val="28"/>
    </w:rPr>
  </w:style>
  <w:style w:type="paragraph" w:styleId="775">
    <w:name w:val="Heading 6"/>
    <w:basedOn w:val="769"/>
    <w:next w:val="769"/>
    <w:uiPriority w:val="0"/>
    <w:qFormat/>
    <w:pPr>
      <w:keepLines/>
      <w:keepNext/>
      <w:spacing w:before="240" w:beforeAutospacing="0" w:after="64" w:afterAutospacing="0" w:line="317" w:lineRule="auto"/>
      <w:outlineLvl w:val="5"/>
    </w:pPr>
    <w:rPr>
      <w:rFonts w:ascii="Arial" w:hAnsi="Arial" w:eastAsia="黑体"/>
      <w:b/>
      <w:sz w:val="24"/>
    </w:rPr>
  </w:style>
  <w:style w:type="paragraph" w:styleId="776">
    <w:name w:val="Heading 7"/>
    <w:basedOn w:val="769"/>
    <w:next w:val="769"/>
    <w:uiPriority w:val="0"/>
    <w:qFormat/>
    <w:pPr>
      <w:keepLines/>
      <w:keepNext/>
      <w:spacing w:before="240" w:beforeAutospacing="0" w:after="64" w:afterAutospacing="0" w:line="317" w:lineRule="auto"/>
      <w:outlineLvl w:val="6"/>
    </w:pPr>
    <w:rPr>
      <w:b/>
      <w:sz w:val="24"/>
    </w:rPr>
  </w:style>
  <w:style w:type="paragraph" w:styleId="777">
    <w:name w:val="Heading 8"/>
    <w:basedOn w:val="769"/>
    <w:next w:val="769"/>
    <w:uiPriority w:val="0"/>
    <w:qFormat/>
    <w:pPr>
      <w:keepLines/>
      <w:keepNext/>
      <w:spacing w:before="240" w:beforeAutospacing="0" w:after="64" w:afterAutospacing="0" w:line="317" w:lineRule="auto"/>
      <w:outlineLvl w:val="7"/>
    </w:pPr>
    <w:rPr>
      <w:rFonts w:ascii="Arial" w:hAnsi="Arial" w:eastAsia="黑体"/>
      <w:sz w:val="24"/>
    </w:rPr>
  </w:style>
  <w:style w:type="paragraph" w:styleId="778">
    <w:name w:val="Heading 9"/>
    <w:basedOn w:val="769"/>
    <w:next w:val="769"/>
    <w:uiPriority w:val="0"/>
    <w:qFormat/>
    <w:pPr>
      <w:keepLines/>
      <w:keepNext/>
      <w:spacing w:before="240" w:beforeAutospacing="0" w:after="64" w:afterAutospacing="0" w:line="317" w:lineRule="auto"/>
      <w:outlineLvl w:val="8"/>
    </w:pPr>
    <w:rPr>
      <w:rFonts w:ascii="Arial" w:hAnsi="Arial" w:eastAsia="黑体"/>
      <w:sz w:val="21"/>
    </w:rPr>
  </w:style>
  <w:style w:type="character" w:styleId="779" w:default="1">
    <w:name w:val="Default Paragraph Font"/>
    <w:uiPriority w:val="0"/>
    <w:qFormat/>
  </w:style>
  <w:style w:type="table" w:styleId="780" w:default="1">
    <w:name w:val="Normal Table"/>
    <w:uiPriority w:val="0"/>
    <w:semiHidden/>
    <w:qFormat/>
    <w:tblPr>
      <w:tblCellMar>
        <w:left w:w="108" w:type="dxa"/>
        <w:top w:w="0" w:type="dxa"/>
        <w:right w:w="108" w:type="dxa"/>
        <w:bottom w:w="0" w:type="dxa"/>
      </w:tblCellMar>
    </w:tblPr>
  </w:style>
  <w:style w:type="paragraph" w:styleId="781">
    <w:name w:val="Normal Indent"/>
    <w:basedOn w:val="769"/>
    <w:uiPriority w:val="0"/>
    <w:qFormat/>
    <w:pPr>
      <w:ind w:firstLine="420"/>
    </w:pPr>
  </w:style>
  <w:style w:type="paragraph" w:styleId="782">
    <w:name w:val="annotation text"/>
    <w:basedOn w:val="769"/>
    <w:uiPriority w:val="0"/>
    <w:qFormat/>
    <w:pPr>
      <w:jc w:val="left"/>
    </w:pPr>
  </w:style>
  <w:style w:type="paragraph" w:styleId="783">
    <w:name w:val="Body Text"/>
    <w:basedOn w:val="769"/>
    <w:next w:val="769"/>
    <w:uiPriority w:val="0"/>
    <w:qFormat/>
    <w:rPr>
      <w:rFonts w:cs="Times New Roman"/>
      <w:sz w:val="20"/>
      <w:szCs w:val="20"/>
    </w:rPr>
  </w:style>
  <w:style w:type="paragraph" w:styleId="784">
    <w:name w:val="Body Text Indent"/>
    <w:basedOn w:val="769"/>
    <w:uiPriority w:val="99"/>
    <w:unhideWhenUsed/>
    <w:qFormat/>
    <w:pPr>
      <w:ind w:left="420"/>
      <w:spacing w:after="120"/>
    </w:pPr>
  </w:style>
  <w:style w:type="paragraph" w:styleId="785">
    <w:name w:val="index 4"/>
    <w:basedOn w:val="769"/>
    <w:next w:val="769"/>
    <w:uiPriority w:val="0"/>
    <w:unhideWhenUsed/>
    <w:qFormat/>
    <w:pPr>
      <w:ind w:left="600"/>
    </w:pPr>
  </w:style>
  <w:style w:type="paragraph" w:styleId="786">
    <w:name w:val="Balloon Text"/>
    <w:basedOn w:val="769"/>
    <w:uiPriority w:val="0"/>
    <w:semiHidden/>
    <w:qFormat/>
    <w:rPr>
      <w:sz w:val="18"/>
      <w:szCs w:val="18"/>
    </w:rPr>
  </w:style>
  <w:style w:type="paragraph" w:styleId="787">
    <w:name w:val="Footer"/>
    <w:basedOn w:val="769"/>
    <w:uiPriority w:val="0"/>
    <w:qFormat/>
    <w:pPr>
      <w:jc w:val="left"/>
      <w:tabs>
        <w:tab w:val="center" w:pos="4153" w:leader="none"/>
        <w:tab w:val="right" w:pos="8306" w:leader="none"/>
      </w:tabs>
    </w:pPr>
    <w:rPr>
      <w:sz w:val="18"/>
    </w:rPr>
  </w:style>
  <w:style w:type="paragraph" w:styleId="788">
    <w:name w:val="Header"/>
    <w:basedOn w:val="76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789">
    <w:name w:val="toc 1"/>
    <w:basedOn w:val="769"/>
    <w:next w:val="769"/>
    <w:uiPriority w:val="0"/>
    <w:qFormat/>
  </w:style>
  <w:style w:type="paragraph" w:styleId="790">
    <w:name w:val="Body Text Indent 3"/>
    <w:basedOn w:val="769"/>
    <w:uiPriority w:val="0"/>
    <w:qFormat/>
    <w:pPr>
      <w:ind w:left="420"/>
      <w:jc w:val="left"/>
      <w:spacing w:after="120"/>
      <w:widowControl/>
    </w:pPr>
    <w:rPr>
      <w:sz w:val="16"/>
      <w:szCs w:val="16"/>
    </w:rPr>
  </w:style>
  <w:style w:type="paragraph" w:styleId="791">
    <w:name w:val="toc 2"/>
    <w:basedOn w:val="769"/>
    <w:next w:val="769"/>
    <w:uiPriority w:val="0"/>
    <w:qFormat/>
    <w:pPr>
      <w:ind w:left="420"/>
    </w:pPr>
  </w:style>
  <w:style w:type="paragraph" w:styleId="792">
    <w:name w:val="Body Text 2"/>
    <w:basedOn w:val="769"/>
    <w:uiPriority w:val="0"/>
    <w:qFormat/>
    <w:pPr>
      <w:spacing w:after="120" w:line="480" w:lineRule="auto"/>
    </w:pPr>
    <w:rPr>
      <w:rFonts w:cs="Times New Roman"/>
      <w:sz w:val="20"/>
      <w:szCs w:val="20"/>
    </w:rPr>
  </w:style>
  <w:style w:type="paragraph" w:styleId="793">
    <w:name w:val="Normal (Web)"/>
    <w:basedOn w:val="769"/>
    <w:uiPriority w:val="99"/>
    <w:qFormat/>
    <w:pPr>
      <w:jc w:val="left"/>
      <w:spacing w:before="100" w:beforeAutospacing="1" w:after="100" w:afterAutospacing="1"/>
    </w:pPr>
    <w:rPr>
      <w:sz w:val="24"/>
      <w:szCs w:val="24"/>
    </w:rPr>
  </w:style>
  <w:style w:type="paragraph" w:styleId="794">
    <w:name w:val="annotation subject"/>
    <w:basedOn w:val="782"/>
    <w:next w:val="782"/>
    <w:uiPriority w:val="0"/>
    <w:semiHidden/>
    <w:qFormat/>
    <w:rPr>
      <w:b/>
      <w:bCs/>
    </w:rPr>
  </w:style>
  <w:style w:type="paragraph" w:styleId="795">
    <w:name w:val="Body Text First Indent 2"/>
    <w:basedOn w:val="784"/>
    <w:uiPriority w:val="99"/>
    <w:unhideWhenUsed/>
    <w:qFormat/>
    <w:pPr>
      <w:ind w:firstLine="420"/>
    </w:pPr>
  </w:style>
  <w:style w:type="table" w:styleId="796">
    <w:name w:val="Table Grid"/>
    <w:basedOn w:val="7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page number"/>
    <w:basedOn w:val="779"/>
    <w:uiPriority w:val="0"/>
    <w:qFormat/>
  </w:style>
  <w:style w:type="character" w:styleId="798">
    <w:name w:val="FollowedHyperlink"/>
    <w:uiPriority w:val="0"/>
    <w:qFormat/>
    <w:rPr>
      <w:color w:val="auto"/>
      <w:u w:val="none"/>
    </w:rPr>
  </w:style>
  <w:style w:type="character" w:styleId="799">
    <w:name w:val="annotation reference"/>
    <w:basedOn w:val="779"/>
    <w:uiPriority w:val="0"/>
    <w:semiHidden/>
    <w:qFormat/>
    <w:rPr>
      <w:sz w:val="21"/>
      <w:szCs w:val="21"/>
    </w:rPr>
  </w:style>
  <w:style w:type="paragraph" w:styleId="800">
    <w:name w:val="List Paragraph"/>
    <w:basedOn w:val="769"/>
    <w:uiPriority w:val="0"/>
    <w:qFormat/>
    <w:pPr>
      <w:ind w:firstLine="420"/>
    </w:pPr>
    <w:rPr>
      <w:sz w:val="21"/>
    </w:rPr>
  </w:style>
  <w:style w:type="paragraph" w:styleId="801" w:customStyle="1">
    <w:name w:val="Default Paragraph Font Para Char"/>
    <w:basedOn w:val="769"/>
    <w:uiPriority w:val="0"/>
    <w:qFormat/>
    <w:pPr>
      <w:jc w:val="left"/>
      <w:spacing w:after="160" w:line="240" w:lineRule="exact"/>
      <w:widowControl/>
    </w:pPr>
  </w:style>
  <w:style w:type="paragraph" w:styleId="802" w:customStyle="1">
    <w:name w:val="索引 11"/>
    <w:basedOn w:val="769"/>
    <w:next w:val="769"/>
    <w:uiPriority w:val="0"/>
    <w:qFormat/>
    <w:pPr>
      <w:spacing w:line="360" w:lineRule="auto"/>
    </w:pPr>
    <w:rPr>
      <w:rFonts w:ascii="仿宋_GB2312" w:eastAsia="仿宋_GB2312"/>
      <w:sz w:val="24"/>
      <w:szCs w:val="20"/>
    </w:rPr>
  </w:style>
  <w:style w:type="paragraph" w:styleId="803" w:customStyle="1">
    <w:name w:val="正文缩进1"/>
    <w:basedOn w:val="769"/>
    <w:uiPriority w:val="0"/>
    <w:qFormat/>
    <w:pPr>
      <w:ind w:firstLine="420"/>
      <w:jc w:val="left"/>
    </w:pPr>
    <w:rPr>
      <w:rFonts w:ascii="宋体" w:hAnsi="Calibri" w:eastAsia="宋体" w:cs="Times New Roman"/>
      <w:sz w:val="24"/>
      <w:szCs w:val="22"/>
    </w:rPr>
  </w:style>
  <w:style w:type="paragraph" w:styleId="804" w:customStyle="1">
    <w:name w:val="纯文本1"/>
    <w:basedOn w:val="769"/>
    <w:uiPriority w:val="0"/>
    <w:qFormat/>
    <w:rPr>
      <w:rFonts w:ascii="宋体" w:hAnsi="Courier New" w:eastAsia="宋体" w:cs="Times New Roman"/>
      <w:szCs w:val="22"/>
    </w:rPr>
  </w:style>
  <w:style w:type="paragraph" w:styleId="805" w:customStyle="1">
    <w:name w:val="普通文字"/>
    <w:basedOn w:val="769"/>
    <w:next w:val="769"/>
    <w:uiPriority w:val="0"/>
    <w:qFormat/>
    <w:rPr>
      <w:rFonts w:ascii="宋体"/>
      <w:sz w:val="24"/>
      <w:u w:val="none"/>
    </w:rPr>
  </w:style>
  <w:style w:type="paragraph" w:styleId="806" w:customStyle="1">
    <w:name w:val="！正文"/>
    <w:basedOn w:val="769"/>
    <w:uiPriority w:val="0"/>
    <w:qFormat/>
    <w:pPr>
      <w:ind w:firstLine="480"/>
    </w:pPr>
    <w:rPr>
      <w:rFonts w:ascii="宋体" w:hAnsi="宋体" w:cs="宋体"/>
      <w:bCs/>
      <w:sz w:val="24"/>
      <w:szCs w:val="24"/>
    </w:rPr>
  </w:style>
  <w:style w:type="paragraph" w:styleId="807" w:customStyle="1">
    <w:name w:val="正文文本首行缩进"/>
    <w:basedOn w:val="808"/>
    <w:uiPriority w:val="0"/>
    <w:qFormat/>
    <w:pPr>
      <w:ind w:firstLine="420"/>
      <w:spacing w:after="120"/>
      <w:tabs>
        <w:tab w:val="left" w:pos="2020" w:leader="none"/>
        <w:tab w:val="center" w:pos="4535" w:leader="none"/>
      </w:tabs>
    </w:pPr>
    <w:rPr>
      <w:rFonts w:ascii="Times New Roman"/>
      <w:sz w:val="21"/>
    </w:rPr>
  </w:style>
  <w:style w:type="paragraph" w:styleId="808" w:customStyle="1">
    <w:name w:val="正文文本1"/>
    <w:basedOn w:val="769"/>
    <w:uiPriority w:val="0"/>
    <w:qFormat/>
    <w:rPr>
      <w:rFonts w:cs="Times New Roman"/>
      <w:sz w:val="20"/>
      <w:szCs w:val="20"/>
    </w:rPr>
  </w:style>
  <w:style w:type="paragraph" w:styleId="809" w:customStyle="1">
    <w:name w:val="样式 标题 2 + 宋体 段前: 1 行"/>
    <w:basedOn w:val="771"/>
    <w:uiPriority w:val="0"/>
    <w:qFormat/>
    <w:pPr>
      <w:ind w:left="5806" w:hanging="420"/>
      <w:jc w:val="center"/>
      <w:keepLines w:val="0"/>
      <w:keepNext w:val="0"/>
      <w:spacing w:before="0" w:after="0" w:line="560" w:lineRule="exact"/>
      <w:tabs>
        <w:tab w:val="left" w:pos="5386" w:leader="none"/>
      </w:tabs>
      <w:outlineLvl w:val="0"/>
    </w:pPr>
    <w:rPr>
      <w:rFonts w:ascii="黑体" w:hAnsi="黑体" w:eastAsia="黑体" w:cs="微软雅黑"/>
      <w:b w:val="0"/>
      <w:spacing w:val="20"/>
      <w:sz w:val="44"/>
      <w:szCs w:val="44"/>
    </w:rPr>
  </w:style>
  <w:style w:type="numbering" w:styleId="116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1f87e86d-5d58-4f28-901d-fb00096f561c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34EFB71</paraID>
      <start xmlns="http://schemas.wps.cn/vas-ai-hub/contract-review">79</start>
      <end xmlns="http://schemas.wps.cn/vas-ai-hub/contract-review">80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52b02e5e-f5f7-4aef-bf1c-d66393cb066a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33615018</paraID>
      <start xmlns="http://schemas.wps.cn/vas-ai-hub/contract-review">4</start>
      <end xmlns="http://schemas.wps.cn/vas-ai-hub/contract-review">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8503c616-2839-4a87-85a0-b4b48e19ef0d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38EE5CA8</paraID>
      <start xmlns="http://schemas.wps.cn/vas-ai-hub/contract-review">64</start>
      <end xmlns="http://schemas.wps.cn/vas-ai-hub/contract-review">65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82ed8e38-1a49-4e8a-9dbd-0c535bf3f1c1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38EE5CA8</paraID>
      <start xmlns="http://schemas.wps.cn/vas-ai-hub/contract-review">69</start>
      <end xmlns="http://schemas.wps.cn/vas-ai-hub/contract-review">71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37ae4475-8be8-4573-91ea-bf709e66b147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38EE5CA8</paraID>
      <start xmlns="http://schemas.wps.cn/vas-ai-hub/contract-review">76</start>
      <end xmlns="http://schemas.wps.cn/vas-ai-hub/contract-review">77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a8ac2802-fef4-42df-b84b-6cea061eb34d</errorID>
      <errorWord xmlns="http://schemas.wps.cn/vas-ai-hub/contract-review">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苏省</item>
      </candidateList>
      <explain xmlns="http://schemas.wps.cn/vas-ai-hub/contract-review"/>
      <paraID xmlns="http://schemas.wps.cn/vas-ai-hub/contract-review">579B0C3F</paraID>
      <start xmlns="http://schemas.wps.cn/vas-ai-hub/contract-review">35</start>
      <end xmlns="http://schemas.wps.cn/vas-ai-hub/contract-review">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d31ef3d2-b85b-47de-941b-51ba81cfc730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579B0C3F</paraID>
      <start xmlns="http://schemas.wps.cn/vas-ai-hub/contract-review">75</start>
      <end xmlns="http://schemas.wps.cn/vas-ai-hub/contract-review">76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4e970b97-5ea1-4255-8242-6c4ba8c752a2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6242461A</paraID>
      <start xmlns="http://schemas.wps.cn/vas-ai-hub/contract-review">19</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3d1b8a2e-7f13-4d9f-acd6-be584eda522b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6242461A</paraID>
      <start xmlns="http://schemas.wps.cn/vas-ai-hub/contract-review">69</start>
      <end xmlns="http://schemas.wps.cn/vas-ai-hub/contract-review">70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611c0fe9-334f-4442-bb30-afbb6d1b48ff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21581754</paraID>
      <start xmlns="http://schemas.wps.cn/vas-ai-hub/contract-review">279</start>
      <end xmlns="http://schemas.wps.cn/vas-ai-hub/contract-review">280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ee752aaf-2afc-4b83-9f6e-75499cf015c5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21581754</paraID>
      <start xmlns="http://schemas.wps.cn/vas-ai-hub/contract-review">285</start>
      <end xmlns="http://schemas.wps.cn/vas-ai-hub/contract-review">286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4540c87e-078a-40fd-a6eb-fd3d41a23ae4</errorID>
      <errorWord xmlns="http://schemas.wps.cn/vas-ai-hub/contract-review">将均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将</item>
      </candidateList>
      <explain xmlns="http://schemas.wps.cn/vas-ai-hub/contract-review">（jiāng）将要；（jiàng）勇将、上将、游泳健将；（qiāng）请求，将子无怒。</explain>
      <paraID xmlns="http://schemas.wps.cn/vas-ai-hub/contract-review">190BEC00</paraID>
      <start xmlns="http://schemas.wps.cn/vas-ai-hub/contract-review">107</start>
      <end xmlns="http://schemas.wps.cn/vas-ai-hub/contract-review">109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24d9643e-7749-4053-8732-244988a86cdf</errorID>
      <errorWord xmlns="http://schemas.wps.cn/vas-ai-hub/contract-review">视为是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视为</item>
      </candidateList>
      <explain xmlns="http://schemas.wps.cn/vas-ai-hub/contract-review"/>
      <paraID xmlns="http://schemas.wps.cn/vas-ai-hub/contract-review">190BEC00</paraID>
      <start xmlns="http://schemas.wps.cn/vas-ai-hub/contract-review">110</start>
      <end xmlns="http://schemas.wps.cn/vas-ai-hub/contract-review">113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1f7cd2ac-8304-4dd7-9030-2a11df85e9fa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585390DD</paraID>
      <start xmlns="http://schemas.wps.cn/vas-ai-hub/contract-review">15</start>
      <end xmlns="http://schemas.wps.cn/vas-ai-hub/contract-review">16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75bbf55e-8e32-468e-a450-a0376053c146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6281647F</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95e60e1f-44f2-4b54-b29f-6f24f953a66b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1239170B</paraID>
      <start xmlns="http://schemas.wps.cn/vas-ai-hub/contract-review">17</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ccf96bb4-c263-4c98-bfc8-94e9b4bd5a7c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1239170B</paraID>
      <start xmlns="http://schemas.wps.cn/vas-ai-hub/contract-review">35</start>
      <end xmlns="http://schemas.wps.cn/vas-ai-hub/contract-review">37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3b662e54-7100-40e6-b91c-0cbea01a6490</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1239170B</paraID>
      <start xmlns="http://schemas.wps.cn/vas-ai-hub/contract-review">56</start>
      <end xmlns="http://schemas.wps.cn/vas-ai-hub/contract-review">60</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44f2455e-29d5-4cb5-8789-3ee0b39b5fcc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3A0F1189</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e0b85755-5872-41e7-8f1b-9f0487e2830b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7FEA9708</paraID>
      <start xmlns="http://schemas.wps.cn/vas-ai-hub/contract-review">49</start>
      <end xmlns="http://schemas.wps.cn/vas-ai-hub/contract-review">51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799d7e43-586d-44ed-adca-0e702ac2ff33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7FEA9708</paraID>
      <start xmlns="http://schemas.wps.cn/vas-ai-hub/contract-review">58</start>
      <end xmlns="http://schemas.wps.cn/vas-ai-hub/contract-review">60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eceb6009-7673-41ff-83f0-c13d0819e7de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7FEA9708</paraID>
      <start xmlns="http://schemas.wps.cn/vas-ai-hub/contract-review">63</start>
      <end xmlns="http://schemas.wps.cn/vas-ai-hub/contract-review">65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98ae1317-1f45-4eb4-a6da-53938dac92b0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3ED35654</paraID>
      <start xmlns="http://schemas.wps.cn/vas-ai-hub/contract-review">33</start>
      <end xmlns="http://schemas.wps.cn/vas-ai-hub/contract-review">34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0d2e29ce-ef06-4129-b7f8-8520dd32f899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3ED35654</paraID>
      <start xmlns="http://schemas.wps.cn/vas-ai-hub/contract-review">57</start>
      <end xmlns="http://schemas.wps.cn/vas-ai-hub/contract-review">58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0d39841b-da2e-49af-9c4e-c20fed4bbb77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AA015DC</paraID>
      <start xmlns="http://schemas.wps.cn/vas-ai-hub/contract-review">16</start>
      <end xmlns="http://schemas.wps.cn/vas-ai-hub/contract-review">19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a246d7ca-45d7-412c-a00a-34cc782a16f7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AA015DC</paraID>
      <start xmlns="http://schemas.wps.cn/vas-ai-hub/contract-review">21</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3307dc68-c4b3-443d-a515-ba94ebae8f63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AA015DC</paraID>
      <start xmlns="http://schemas.wps.cn/vas-ai-hub/contract-review">26</start>
      <end xmlns="http://schemas.wps.cn/vas-ai-hub/contract-review">29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1b922bf0-7e34-4f4b-90bb-7f08dca43a01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AA015DC</paraID>
      <start xmlns="http://schemas.wps.cn/vas-ai-hub/contract-review">32</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b232ef93-7b7b-4a29-b7e2-7bb425cb4665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AA015DC</paraID>
      <start xmlns="http://schemas.wps.cn/vas-ai-hub/contract-review">51</start>
      <end xmlns="http://schemas.wps.cn/vas-ai-hub/contract-review">54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4b2369d6-728d-41cb-bdbd-e7c4b098182c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AA015DC</paraID>
      <start xmlns="http://schemas.wps.cn/vas-ai-hub/contract-review">56</start>
      <end xmlns="http://schemas.wps.cn/vas-ai-hub/contract-review">59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422fc7b3-7cb3-42a1-80b1-5a55ea860ec5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AA015DC</paraID>
      <start xmlns="http://schemas.wps.cn/vas-ai-hub/contract-review">61</start>
      <end xmlns="http://schemas.wps.cn/vas-ai-hub/contract-review">64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481cd4eb-3264-447d-a62c-9b9a4c64da1e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AA015DC</paraID>
      <start xmlns="http://schemas.wps.cn/vas-ai-hub/contract-review">66</start>
      <end xmlns="http://schemas.wps.cn/vas-ai-hub/contract-review">69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eb216b30-7711-459b-94b2-9e79f8546ff3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37332725</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09b6b451-73bf-4de2-a0c9-22ba383c8f14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720E818E</paraID>
      <start xmlns="http://schemas.wps.cn/vas-ai-hub/contract-review">89</start>
      <end xmlns="http://schemas.wps.cn/vas-ai-hub/contract-review">90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c58f7763-8f21-42a8-bf6a-cba81908d4b0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11BD9459</paraID>
      <start xmlns="http://schemas.wps.cn/vas-ai-hub/contract-review">81</start>
      <end xmlns="http://schemas.wps.cn/vas-ai-hub/contract-review">83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8e340c93-482b-4690-8967-8b731f2a96b1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19E15DFB</paraID>
      <start xmlns="http://schemas.wps.cn/vas-ai-hub/contract-review">10</start>
      <end xmlns="http://schemas.wps.cn/vas-ai-hub/contract-review">11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d1e887fc-f6f1-4abc-b802-576f9d8d1794</errorID>
      <errorWord xmlns="http://schemas.wps.cn/vas-ai-hub/contract-review">[2016]48号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〔2016〕48号</item>
      </candidateList>
      <explain xmlns="http://schemas.wps.cn/vas-ai-hub/contract-review">发文字号格式错误。</explain>
      <paraID xmlns="http://schemas.wps.cn/vas-ai-hub/contract-review">19E15DFB</paraID>
      <start xmlns="http://schemas.wps.cn/vas-ai-hub/contract-review">16</start>
      <end xmlns="http://schemas.wps.cn/vas-ai-hub/contract-review">25</end>
      <status xmlns="http://schemas.wps.cn/vas-ai-hub/contract-review">modified</status>
      <modifiedWord xmlns="http://schemas.wps.cn/vas-ai-hub/contract-review">〔2016〕48号</modifiedWord>
      <trackRevisions xmlns="http://schemas.wps.cn/vas-ai-hub/contract-review">false</trackRevisions>
    </reviewItem>
    <reviewItem xmlns="http://schemas.wps.cn/vas-ai-hub/contract-review">
      <errorID xmlns="http://schemas.wps.cn/vas-ai-hub/contract-review">161e64f4-026e-420d-a147-5f18f1b170f1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632B341</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49b5ca24-f108-4f40-b4c9-28a1e7bac1b1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2455C6B7</paraID>
      <start xmlns="http://schemas.wps.cn/vas-ai-hub/contract-review">23</start>
      <end xmlns="http://schemas.wps.cn/vas-ai-hub/contract-review">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0b14e9d3-97cf-4bd2-88c9-05bf0c07ee4a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2455C6B7</paraID>
      <start xmlns="http://schemas.wps.cn/vas-ai-hub/contract-review">28</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65654f52-716c-44d2-89bd-2c9929f45bb5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2455C6B7</paraID>
      <start xmlns="http://schemas.wps.cn/vas-ai-hub/contract-review">35</start>
      <end xmlns="http://schemas.wps.cn/vas-ai-hub/contract-review">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46a48ceb-601e-4862-b380-27433ca17232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F4A070E</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c5f8122d-98ef-449e-8e28-ab3d39ce9682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D955592</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818443b0-695f-4f58-a9b5-e90190b03bbe</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75C7837D</paraID>
      <start xmlns="http://schemas.wps.cn/vas-ai-hub/contract-review">269</start>
      <end xmlns="http://schemas.wps.cn/vas-ai-hub/contract-review">271</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62d45899-f68b-4d10-9f13-a29a82a65609</errorID>
      <errorWord xmlns="http://schemas.wps.cn/vas-ai-hub/contract-review">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可以</item>
      </candidateList>
      <explain xmlns="http://schemas.wps.cn/vas-ai-hub/contract-review">〈口〉〈形〉❶好；不坏；过得去：这篇文章写得还～。❷厉害：你这张嘴真～｜天气实在热得～。</explain>
      <paraID xmlns="http://schemas.wps.cn/vas-ai-hub/contract-review">75C7837D</paraID>
      <start xmlns="http://schemas.wps.cn/vas-ai-hub/contract-review">271</start>
      <end xmlns="http://schemas.wps.cn/vas-ai-hub/contract-review">272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bb9496dd-b87c-49e3-80e4-49a7e0797227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3A78B4C5</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a7cd976f-1aaf-40be-b2c4-1cd456048a01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D44B186</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00893600-971b-444f-b514-fb314a519663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510A1664</paraID>
      <start xmlns="http://schemas.wps.cn/vas-ai-hub/contract-review">81</start>
      <end xmlns="http://schemas.wps.cn/vas-ai-hub/contract-review">82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b538c88c-404d-459a-8c67-bef545ad0777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5732B16E</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6dcc3a05-f330-4e31-ba62-cf6002e09a42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1A75FCDD</paraID>
      <start xmlns="http://schemas.wps.cn/vas-ai-hub/contract-review">119</start>
      <end xmlns="http://schemas.wps.cn/vas-ai-hub/contract-review">121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c922027c-eecb-4ff0-bb81-ae7021b6a904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1A75FCDD</paraID>
      <start xmlns="http://schemas.wps.cn/vas-ai-hub/contract-review">142</start>
      <end xmlns="http://schemas.wps.cn/vas-ai-hub/contract-review">143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3c690eed-6b61-4978-bc01-d348e8e3f134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1A75FCDD</paraID>
      <start xmlns="http://schemas.wps.cn/vas-ai-hub/contract-review">143</start>
      <end xmlns="http://schemas.wps.cn/vas-ai-hub/contract-review">144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414f2a8d-4edf-42b8-8a13-44dbd743b2bb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1A75FCDD</paraID>
      <start xmlns="http://schemas.wps.cn/vas-ai-hub/contract-review">150</start>
      <end xmlns="http://schemas.wps.cn/vas-ai-hub/contract-review">151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c5795801-3dc7-475e-8045-7bdbed708385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1A75FCDD</paraID>
      <start xmlns="http://schemas.wps.cn/vas-ai-hub/contract-review">151</start>
      <end xmlns="http://schemas.wps.cn/vas-ai-hub/contract-review">152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cca4fb3f-33c3-409c-a9e0-b969fe88ae51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1A75FCDD</paraID>
      <start xmlns="http://schemas.wps.cn/vas-ai-hub/contract-review">161</start>
      <end xmlns="http://schemas.wps.cn/vas-ai-hub/contract-review">162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960cda96-cf21-4dd1-a062-92ec53267e73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1A75FCDD</paraID>
      <start xmlns="http://schemas.wps.cn/vas-ai-hub/contract-review">169</start>
      <end xmlns="http://schemas.wps.cn/vas-ai-hub/contract-review">170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2ebd9cee-abba-4628-998b-33ba0656b75a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1A75FCDD</paraID>
      <start xmlns="http://schemas.wps.cn/vas-ai-hub/contract-review">204</start>
      <end xmlns="http://schemas.wps.cn/vas-ai-hub/contract-review">205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b49d6019-853a-469e-b275-edde4c113a45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1A75FCDD</paraID>
      <start xmlns="http://schemas.wps.cn/vas-ai-hub/contract-review">208</start>
      <end xmlns="http://schemas.wps.cn/vas-ai-hub/contract-review">209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b1abdb35-a909-49ff-a2b4-4209138f07e7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7E2EF5E4</paraID>
      <start xmlns="http://schemas.wps.cn/vas-ai-hub/contract-review">89</start>
      <end xmlns="http://schemas.wps.cn/vas-ai-hub/contract-review">90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a37cbf22-b49a-41e0-97c3-06eacfb6fc6a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7E2EF5E4</paraID>
      <start xmlns="http://schemas.wps.cn/vas-ai-hub/contract-review">95</start>
      <end xmlns="http://schemas.wps.cn/vas-ai-hub/contract-review">96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bb0d21bb-2151-47f9-8348-9b57af6034a7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266C803F</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61ca6ef1-0d79-4403-b99c-67fe8ddbe307</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2D6D04AE</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613ed1d4-a63a-44d2-8231-818c600a8a48</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1D8F10BB</paraID>
      <start xmlns="http://schemas.wps.cn/vas-ai-hub/contract-review">33</start>
      <end xmlns="http://schemas.wps.cn/vas-ai-hub/contract-review">37</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43beadec-ad5e-4c60-a9f9-ab605724993f</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583BB48</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074c6e99-a00f-4479-91d1-7e32a0d405d7</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4018187B</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535f16f2-49ed-4536-a0d5-d6181e64abd0</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66F17670</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3d6d881f-1e37-4957-ae0a-04d50aa23f05</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1E6D4F13</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c888c02c-1b32-4ba2-84b3-85181be5e6cc</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1383A2B9</paraID>
      <start xmlns="http://schemas.wps.cn/vas-ai-hub/contract-review">30</start>
      <end xmlns="http://schemas.wps.cn/vas-ai-hub/contract-review">32</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99e8dd2e-c835-4bf7-b1b6-8484122199d5</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1237A5D6</paraID>
      <start xmlns="http://schemas.wps.cn/vas-ai-hub/contract-review">0</start>
      <end xmlns="http://schemas.wps.cn/vas-ai-hub/contract-review">4</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bc3f248e-bf11-48c2-ae5c-9d9c49a43d37</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269218B0</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a1ad0c71-857f-48a2-a130-5f398c17c4eb</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6BFA841C</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b4cbe1da-e040-4e90-8f22-c8171fe4c8df</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7DDB0EB2</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d8032aed-da32-4f84-9266-6b4c357c6e6c</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1D1104A9</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ca6c8687-ee1a-4446-badf-d8c62bef158a</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507723BF</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f1418cab-bb86-42fe-bb98-d0b59517e972</errorID>
      <errorWord xmlns="http://schemas.wps.cn/vas-ai-hub/contract-review">须要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需要</item>
      </candidateList>
      <explain xmlns="http://schemas.wps.cn/vas-ai-hub/contract-review">存在发音相同字词的误用。</explain>
      <paraID xmlns="http://schemas.wps.cn/vas-ai-hub/contract-review">280E47F5</paraID>
      <start xmlns="http://schemas.wps.cn/vas-ai-hub/contract-review">44</start>
      <end xmlns="http://schemas.wps.cn/vas-ai-hub/contract-review">46</end>
      <status xmlns="http://schemas.wps.cn/vas-ai-hub/contract-review">modified</status>
      <modifiedWord xmlns="http://schemas.wps.cn/vas-ai-hub/contract-review">需要</modifiedWord>
      <trackRevisions xmlns="http://schemas.wps.cn/vas-ai-hub/contract-review">false</trackRevisions>
    </reviewItem>
    <reviewItem xmlns="http://schemas.wps.cn/vas-ai-hub/contract-review">
      <errorID xmlns="http://schemas.wps.cn/vas-ai-hub/contract-review">7aab29e2-b81d-4458-87e4-d6e364f6490a</errorID>
      <errorWord xmlns="http://schemas.wps.cn/vas-ai-hub/contract-review">书面申明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书面声明</item>
      </candidateList>
      <explain xmlns="http://schemas.wps.cn/vas-ai-hub/contract-review">存在发音相近字词的误用。</explain>
      <paraID xmlns="http://schemas.wps.cn/vas-ai-hub/contract-review">280E47F5</paraID>
      <start xmlns="http://schemas.wps.cn/vas-ai-hub/contract-review">60</start>
      <end xmlns="http://schemas.wps.cn/vas-ai-hub/contract-review">64</end>
      <status xmlns="http://schemas.wps.cn/vas-ai-hub/contract-review">modified</status>
      <modifiedWord xmlns="http://schemas.wps.cn/vas-ai-hub/contract-review">书面声明</modifiedWord>
      <trackRevisions xmlns="http://schemas.wps.cn/vas-ai-hub/contract-review">false</trackRevisions>
    </reviewItem>
    <reviewItem xmlns="http://schemas.wps.cn/vas-ai-hub/contract-review">
      <errorID xmlns="http://schemas.wps.cn/vas-ai-hub/contract-review">444e83d4-4c89-4d81-a642-aba0d2920109</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500C231E</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5f6e6c8d-fb09-4951-acd1-0ad58530edef</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7634A1CC</paraID>
      <start xmlns="http://schemas.wps.cn/vas-ai-hub/contract-review">12</start>
      <end xmlns="http://schemas.wps.cn/vas-ai-hub/contract-review">16</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98fd9d72-f43e-405b-9759-7c55a7b2af16</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62641ECB</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b81eb29b-495e-42a7-86b0-15b1c383fcae</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4CA21102</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9e79aa0d-5b5e-44fe-a839-8823d85fd0e1</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CB17024</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30072864-59aa-4333-a036-9f6333665a39</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〈动〉提出疑问：～问难。</explain>
      <paraID xmlns="http://schemas.wps.cn/vas-ai-hub/contract-review">3172EF0F</paraID>
      <start xmlns="http://schemas.wps.cn/vas-ai-hub/contract-review">59</start>
      <end xmlns="http://schemas.wps.cn/vas-ai-hub/contract-review">63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224e1f4c-e4fd-4707-b090-de3f044137ee</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〈动〉提出疑问：～问难。</explain>
      <paraID xmlns="http://schemas.wps.cn/vas-ai-hub/contract-review">3172EF0F</paraID>
      <start xmlns="http://schemas.wps.cn/vas-ai-hub/contract-review">194</start>
      <end xmlns="http://schemas.wps.cn/vas-ai-hub/contract-review">198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5182b551-5eaf-4fd7-bae7-c99e27387d4a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》第</item>
      </candidateList>
      <explain xmlns="http://schemas.wps.cn/vas-ai-hub/contract-review"/>
      <paraID xmlns="http://schemas.wps.cn/vas-ai-hub/contract-review">38F36CE4</paraID>
      <start xmlns="http://schemas.wps.cn/vas-ai-hub/contract-review">15</start>
      <end xmlns="http://schemas.wps.cn/vas-ai-hub/contract-review">17</end>
      <status xmlns="http://schemas.wps.cn/vas-ai-hub/contract-review">modified</status>
      <modifiedWord xmlns="http://schemas.wps.cn/vas-ai-hub/contract-review">》第</modifiedWord>
      <trackRevisions xmlns="http://schemas.wps.cn/vas-ai-hub/contract-review">false</trackRevisions>
    </reviewItem>
    <reviewItem xmlns="http://schemas.wps.cn/vas-ai-hub/contract-review">
      <errorID xmlns="http://schemas.wps.cn/vas-ai-hub/contract-review">7e2f049b-0029-4bfa-a86a-9904d480106a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4ADC5FBB</paraID>
      <start xmlns="http://schemas.wps.cn/vas-ai-hub/contract-review">59</start>
      <end xmlns="http://schemas.wps.cn/vas-ai-hub/contract-review">61</end>
      <status xmlns="http://schemas.wps.cn/vas-ai-hub/contract-review">modified</status>
      <modifiedWord xmlns="http://schemas.wps.cn/vas-ai-hub/contract-review">、以</modifiedWord>
      <trackRevisions xmlns="http://schemas.wps.cn/vas-ai-hub/contract-review">false</trackRevisions>
    </reviewItem>
    <reviewItem xmlns="http://schemas.wps.cn/vas-ai-hub/contract-review">
      <errorID xmlns="http://schemas.wps.cn/vas-ai-hub/contract-review">c44d4c47-755d-4b98-9f35-c23d6357de91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105407D4</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9361a184-e92b-4e32-b5a9-e064bc904b4a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7322D432</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deb755de-d9f3-4a6a-9730-542b7d598f43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7B0625F7</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69bfd0c2-253f-419e-a5df-3f4fd047744d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5D37EF09</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f5382f04-b29b-4513-b188-9046cabf202f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62BFC128</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bf7132e6-c4fa-4c43-b363-e56d4668fc84</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5BE3ADEE</paraID>
      <start xmlns="http://schemas.wps.cn/vas-ai-hub/contract-review">5</start>
      <end xmlns="http://schemas.wps.cn/vas-ai-hub/contract-review">7</end>
      <status xmlns="http://schemas.wps.cn/vas-ai-hub/contract-review">modified</status>
      <modifiedWord xmlns="http://schemas.wps.cn/vas-ai-hub/contract-review">属于</modifiedWord>
      <trackRevisions xmlns="http://schemas.wps.cn/vas-ai-hub/contract-review">false</trackRevisions>
    </reviewItem>
    <reviewItem xmlns="http://schemas.wps.cn/vas-ai-hub/contract-review">
      <errorID xmlns="http://schemas.wps.cn/vas-ai-hub/contract-review">3fc29732-6412-4779-9c9b-8ff8bd7a446d</errorID>
      <errorWord xmlns="http://schemas.wps.cn/vas-ai-hub/contract-review">行为时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行为</item>
      </candidateList>
      <explain xmlns="http://schemas.wps.cn/vas-ai-hub/contract-review">〈名〉受思想支配而表现出来的活动：～不端｜揭露不法～。</explain>
      <paraID xmlns="http://schemas.wps.cn/vas-ai-hub/contract-review"> 79C2878</paraID>
      <start xmlns="http://schemas.wps.cn/vas-ai-hub/contract-review">45</start>
      <end xmlns="http://schemas.wps.cn/vas-ai-hub/contract-review">47</end>
      <status xmlns="http://schemas.wps.cn/vas-ai-hub/contract-review">modified</status>
      <modifiedWord xmlns="http://schemas.wps.cn/vas-ai-hub/contract-review">行为</modifiedWord>
      <trackRevisions xmlns="http://schemas.wps.cn/vas-ai-hub/contract-review">false</trackRevisions>
    </reviewItem>
    <reviewItem xmlns="http://schemas.wps.cn/vas-ai-hub/contract-review">
      <errorID xmlns="http://schemas.wps.cn/vas-ai-hub/contract-review">5753290a-7422-44f9-9379-8719ffd38696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56631E3B</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27f68b9d-ace1-49c6-9149-7793458d4b2c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7940DAFA</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77da4400-829e-41a5-a228-e5c89491fc88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8179F4B</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1f2447fa-40fb-4cbb-a09b-38de5f5477df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8179F4B</paraID>
      <start xmlns="http://schemas.wps.cn/vas-ai-hub/contract-review">63</start>
      <end xmlns="http://schemas.wps.cn/vas-ai-hub/contract-review">64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e0d83e60-e159-4b9b-89a5-feb2a3f28568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8179F4B</paraID>
      <start xmlns="http://schemas.wps.cn/vas-ai-hub/contract-review">79</start>
      <end xmlns="http://schemas.wps.cn/vas-ai-hub/contract-review">80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4536b49f-a30e-4af7-933a-01c6fd158df9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61040045</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2f802d60-99eb-41f8-aa67-4e23f7be7494</errorID>
      <errorWord xmlns="http://schemas.wps.cn/vas-ai-hub/contract-review">半年度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半年</item>
      </candidateList>
      <explain xmlns="http://schemas.wps.cn/vas-ai-hub/contract-review"/>
      <paraID xmlns="http://schemas.wps.cn/vas-ai-hub/contract-review">61040045</paraID>
      <start xmlns="http://schemas.wps.cn/vas-ai-hub/contract-review">8</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b2d3527b-a41c-40fb-b445-4b6e5c219d38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7D223DC</paraID>
      <start xmlns="http://schemas.wps.cn/vas-ai-hub/contract-review">13</start>
      <end xmlns="http://schemas.wps.cn/vas-ai-hub/contract-review">15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c2dcecae-24ef-433c-94ee-b1dfe7dc5f21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7D223DC</paraID>
      <start xmlns="http://schemas.wps.cn/vas-ai-hub/contract-review">69</start>
      <end xmlns="http://schemas.wps.cn/vas-ai-hub/contract-review">70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44cb92e8-2c35-4700-971e-2d8e00c8cc4e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7D223DC</paraID>
      <start xmlns="http://schemas.wps.cn/vas-ai-hub/contract-review">77</start>
      <end xmlns="http://schemas.wps.cn/vas-ai-hub/contract-review">78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4fd1e69a-9f79-450d-89aa-a4a8484a1a3d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7D223DC</paraID>
      <start xmlns="http://schemas.wps.cn/vas-ai-hub/contract-review">89</start>
      <end xmlns="http://schemas.wps.cn/vas-ai-hub/contract-review">90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0ceaa13c-743f-4b16-9ca0-c30096c18015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7D223DC</paraID>
      <start xmlns="http://schemas.wps.cn/vas-ai-hub/contract-review">97</start>
      <end xmlns="http://schemas.wps.cn/vas-ai-hub/contract-review">98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a4e9ecef-ae74-42ca-a9a9-dba1187a3a84</errorID>
      <errorWord xmlns="http://schemas.wps.cn/vas-ai-hub/contract-review">个文件</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份文件</item>
      </candidateList>
      <explain xmlns="http://schemas.wps.cn/vas-ai-hub/contract-review"/>
      <paraID xmlns="http://schemas.wps.cn/vas-ai-hub/contract-review">28DD5C99</paraID>
      <start xmlns="http://schemas.wps.cn/vas-ai-hub/contract-review">78</start>
      <end xmlns="http://schemas.wps.cn/vas-ai-hub/contract-review">81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65d9b6ae-33f0-4f1f-aa94-b3d6e7f0dfdc</errorID>
      <errorWord xmlns="http://schemas.wps.cn/vas-ai-hub/contract-review">适用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使用</item>
      </candidateList>
      <explain xmlns="http://schemas.wps.cn/vas-ai-hub/contract-review">〈动〉使人员、器物、资金等为某种目的服务：～干部｜合理～资金。</explain>
      <paraID xmlns="http://schemas.wps.cn/vas-ai-hub/contract-review">28DD5C99</paraID>
      <start xmlns="http://schemas.wps.cn/vas-ai-hub/contract-review">84</start>
      <end xmlns="http://schemas.wps.cn/vas-ai-hub/contract-review">86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2265ef7f-410f-4b30-b80e-a23dffc26da5</errorID>
      <errorWord xmlns="http://schemas.wps.cn/vas-ai-hub/contract-review">依</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依据</item>
      </candidateList>
      <explain xmlns="http://schemas.wps.cn/vas-ai-hub/contract-review"/>
      <paraID xmlns="http://schemas.wps.cn/vas-ai-hub/contract-review">5F8E7BA2</paraID>
      <start xmlns="http://schemas.wps.cn/vas-ai-hub/contract-review">13</start>
      <end xmlns="http://schemas.wps.cn/vas-ai-hub/contract-review">15</end>
      <status xmlns="http://schemas.wps.cn/vas-ai-hub/contract-review">modified</status>
      <modifiedWord xmlns="http://schemas.wps.cn/vas-ai-hub/contract-review">依据</modifiedWord>
      <trackRevisions xmlns="http://schemas.wps.cn/vas-ai-hub/contract-review">false</trackRevisions>
    </reviewItem>
    <reviewItem xmlns="http://schemas.wps.cn/vas-ai-hub/contract-review">
      <errorID xmlns="http://schemas.wps.cn/vas-ai-hub/contract-review">bf09e13c-05b2-4fc9-840d-b7a36285237c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6C070B16</paraID>
      <start xmlns="http://schemas.wps.cn/vas-ai-hub/contract-review">42</start>
      <end xmlns="http://schemas.wps.cn/vas-ai-hub/contract-review">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dde2578e-5095-45af-aabf-d3741b4373fc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7CCD7D58</paraID>
      <start xmlns="http://schemas.wps.cn/vas-ai-hub/contract-review">2</start>
      <end xmlns="http://schemas.wps.cn/vas-ai-hub/contract-review">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35455cdc-51b1-4412-ab23-7662115e0805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7CCD7D58</paraID>
      <start xmlns="http://schemas.wps.cn/vas-ai-hub/contract-review">41</start>
      <end xmlns="http://schemas.wps.cn/vas-ai-hub/contract-review">42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9bd095f4-a982-4b16-bd55-77e02c017e53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10FE45A0</paraID>
      <start xmlns="http://schemas.wps.cn/vas-ai-hub/contract-review">2</start>
      <end xmlns="http://schemas.wps.cn/vas-ai-hub/contract-review">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0db6cfba-3426-49cb-b5c8-accadeb78b99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10FE45A0</paraID>
      <start xmlns="http://schemas.wps.cn/vas-ai-hub/contract-review">41</start>
      <end xmlns="http://schemas.wps.cn/vas-ai-hub/contract-review">42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678213e7-61f8-41a0-a6e1-f2fde32c6a5a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176C036E</paraID>
      <start xmlns="http://schemas.wps.cn/vas-ai-hub/contract-review">31</start>
      <end xmlns="http://schemas.wps.cn/vas-ai-hub/contract-review">32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b41a0751-0e90-4736-8622-2ce1eaae1fd1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176C036E</paraID>
      <start xmlns="http://schemas.wps.cn/vas-ai-hub/contract-review">37</start>
      <end xmlns="http://schemas.wps.cn/vas-ai-hub/contract-review">38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0aa6bc4f-ce6e-402e-b8e0-d4564bb1e5be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176C036E</paraID>
      <start xmlns="http://schemas.wps.cn/vas-ai-hub/contract-review">47</start>
      <end xmlns="http://schemas.wps.cn/vas-ai-hub/contract-review">48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e0c0dade-33b8-4102-91e4-174de42595fb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176C036E</paraID>
      <start xmlns="http://schemas.wps.cn/vas-ai-hub/contract-review">57</start>
      <end xmlns="http://schemas.wps.cn/vas-ai-hub/contract-review">58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730943c0-2256-4e41-ace8-0a7d966dfd30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497D91E5</paraID>
      <start xmlns="http://schemas.wps.cn/vas-ai-hub/contract-review">44</start>
      <end xmlns="http://schemas.wps.cn/vas-ai-hub/contract-review">45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32a63cfe-2f41-4ef8-acf1-96ab376ad939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497D91E5</paraID>
      <start xmlns="http://schemas.wps.cn/vas-ai-hub/contract-review">56</start>
      <end xmlns="http://schemas.wps.cn/vas-ai-hub/contract-review">57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bad604a5-1ffb-4786-945d-f5fefe1f0dce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497D91E5</paraID>
      <start xmlns="http://schemas.wps.cn/vas-ai-hub/contract-review">83</start>
      <end xmlns="http://schemas.wps.cn/vas-ai-hub/contract-review">84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1bc14a4f-928a-4329-b588-01c9adbfbce7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497D91E5</paraID>
      <start xmlns="http://schemas.wps.cn/vas-ai-hub/contract-review">90</start>
      <end xmlns="http://schemas.wps.cn/vas-ai-hub/contract-review">91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037c2fc1-e7c6-4192-ac23-4d7ef405a49a</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497D91E5</paraID>
      <start xmlns="http://schemas.wps.cn/vas-ai-hub/contract-review">102</start>
      <end xmlns="http://schemas.wps.cn/vas-ai-hub/contract-review">106</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b4aa0192-d733-4022-a008-460d12255eed</errorID>
      <errorWord xmlns="http://schemas.wps.cn/vas-ai-hub/contract-review">书就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书写</item>
      </candidateList>
      <explain xmlns="http://schemas.wps.cn/vas-ai-hub/contract-review"/>
      <paraID xmlns="http://schemas.wps.cn/vas-ai-hub/contract-review"> 27E63E0</paraID>
      <start xmlns="http://schemas.wps.cn/vas-ai-hub/contract-review">13</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475e2f98-7710-45f1-b785-f40ea4b85f01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3E59F056</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f9469e32-be2d-4e5f-9f0e-c1e8dea9fd35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2DCEE911</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63c3a6fc-21f0-4533-95d7-b6a11e171252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4404715B</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784cd0c3-7106-4fc8-ba35-baab66ef75c3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20DDCB91</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29320feb-e85d-4222-9ef5-9add45986603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C73730D</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2bf59ac2-e3cf-43ff-bef2-be400b1e843e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7EFB53A</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c588470d-171a-4d31-95f6-1d8446a9d23d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33D6DB59</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36eccaed-3de1-4d34-8b50-36ec68789905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1EBBC545</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1d570eff-79ba-45b8-aeb6-52c27a828c65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646FC557</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74af1ed0-7172-4c9b-9638-8657e2dd426d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1C9EC2A6</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e4598852-27c1-45a2-9228-93a0d0d4949a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754A308</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c8e5e0b1-51af-4c7c-820c-60a989a50d78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504C62AC</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e64a88b0-7231-47c3-94c1-0bdffdd3920a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FE73AD0</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61b1da16-7656-4ff0-9380-f913042b7cf3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6EFEACFF</paraID>
      <start xmlns="http://schemas.wps.cn/vas-ai-hub/contract-review">1</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181b2406-8a9e-4741-8709-7565c531b0cf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31691A1B</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99fd3b61-43e5-4597-b624-ab4058f5c249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63289ED3</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2dc93f70-7073-410d-9f20-b357add16d1a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7604A1</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2c820736-a8f1-454a-9b1b-e805abfdbb3f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4F9C75B9</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4cfe55ad-527e-48e0-bed5-9462f46e670e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640A060F</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a48e34af-450d-44f5-8f89-e375bda20767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6142645D</paraID>
      <start xmlns="http://schemas.wps.cn/vas-ai-hub/contract-review">1</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3ec52346-0f75-4279-9eba-3f2073941f67</errorID>
      <errorWord xmlns="http://schemas.wps.cn/vas-ai-hub/contract-review">无需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无须</item>
      </candidateList>
      <explain xmlns="http://schemas.wps.cn/vas-ai-hub/contract-review"/>
      <paraID xmlns="http://schemas.wps.cn/vas-ai-hub/contract-review">28AF375C</paraID>
      <start xmlns="http://schemas.wps.cn/vas-ai-hub/contract-review">44</start>
      <end xmlns="http://schemas.wps.cn/vas-ai-hub/contract-review">46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eb32bdc2-6d92-43c3-86c8-e32f73b15eb0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602431E4</paraID>
      <start xmlns="http://schemas.wps.cn/vas-ai-hub/contract-review">1</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17d1830c-cbaf-4fc3-928a-54faa1edb59d</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234E75F0</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7ab896d0-693d-49af-a590-537b646db14e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2EDB0D63</paraID>
      <start xmlns="http://schemas.wps.cn/vas-ai-hub/contract-review">1</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e08ed457-1f92-49c9-ba0d-2e623f7b1819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58522A79</paraID>
      <start xmlns="http://schemas.wps.cn/vas-ai-hub/contract-review">4</start>
      <end xmlns="http://schemas.wps.cn/vas-ai-hub/contract-review">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2a3d19e3-7af2-4941-94a9-8845351310b8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58522A79</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adbabc99-9b83-49e4-b690-51a08e53ad3f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7DFE55B9</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fe690a4e-b340-4fbc-bc26-16bfc4bd23ea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2D676D39</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b37b06ab-42a5-47c7-8faf-3080b9341ef3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3A7A6681</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de4c805d-676f-4962-bc72-1ae5838202e6</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  579F9E</paraID>
      <start xmlns="http://schemas.wps.cn/vas-ai-hub/contract-review">5</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9c947fa2-8e39-49a2-ac27-5774df64fd8d</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7F2194B7</paraID>
      <start xmlns="http://schemas.wps.cn/vas-ai-hub/contract-review">49</start>
      <end xmlns="http://schemas.wps.cn/vas-ai-hub/contract-review">59</end>
      <status xmlns="http://schemas.wps.cn/vas-ai-hub/contract-review">modified</status>
      <modifiedWord xmlns="http://schemas.wps.cn/vas-ai-hub/contract-review">〔2017〕141号</modifiedWord>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D103E4-9D1B-435E-8013-260D900152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朱煜章</cp:lastModifiedBy>
  <cp:revision>3</cp:revision>
  <dcterms:created xsi:type="dcterms:W3CDTF">2015-07-01T18:07:00Z</dcterms:created>
  <dcterms:modified xsi:type="dcterms:W3CDTF">2026-08-04T06:25:04Z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eyJoZGlkIjoiYzZkNzQ4ZWFiZmQ4NTRhOWRkZTk3YTMwMjlmMmZhYmUiLCJ1c2VySWQiOiIyNzAzNTcwNDcifQ==</vt:lpwstr>
  </property>
  <property fmtid="{D5CDD505-2E9C-101B-9397-08002B2CF9AE}" pid="4" name="ICV">
    <vt:lpwstr>AA54C051C6854BC9B6B4434E1456CF24_13</vt:lpwstr>
  </property>
</Properties>
</file>