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46F8CB">
      <w:pPr>
        <w:spacing w:before="120" w:after="120" w:line="360" w:lineRule="auto"/>
        <w:jc w:val="left"/>
        <w:rPr>
          <w:rFonts w:ascii="Arial" w:hAnsi="Arial" w:eastAsia="黑体"/>
          <w:b/>
          <w:bCs/>
          <w:color w:val="000000" w:themeColor="text1"/>
          <w:sz w:val="84"/>
          <w:szCs w:val="24"/>
          <w:highlight w:val="none"/>
          <w14:textFill>
            <w14:solidFill>
              <w14:schemeClr w14:val="tx1"/>
            </w14:solidFill>
          </w14:textFill>
        </w:rPr>
      </w:pPr>
      <w:bookmarkStart w:id="168" w:name="_GoBack"/>
    </w:p>
    <w:p w14:paraId="52437C04">
      <w:pPr>
        <w:spacing w:before="120" w:after="120" w:line="360" w:lineRule="auto"/>
        <w:jc w:val="center"/>
        <w:rPr>
          <w:rFonts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t>竞争性磋商文件</w:t>
      </w:r>
    </w:p>
    <w:p w14:paraId="0307503F">
      <w:pPr>
        <w:pStyle w:val="8"/>
        <w:rPr>
          <w:rFonts w:ascii="Arial" w:eastAsia="黑体"/>
          <w:b/>
          <w:bCs/>
          <w:color w:val="000000" w:themeColor="text1"/>
          <w:sz w:val="84"/>
          <w:szCs w:val="24"/>
          <w:highlight w:val="none"/>
          <w14:textFill>
            <w14:solidFill>
              <w14:schemeClr w14:val="tx1"/>
            </w14:solidFill>
          </w14:textFill>
        </w:rPr>
      </w:pPr>
    </w:p>
    <w:p w14:paraId="57F10DAB">
      <w:pPr>
        <w:pageBreakBefore w:val="0"/>
        <w:spacing w:before="120" w:after="120" w:line="240" w:lineRule="auto"/>
        <w:ind w:left="2525" w:hanging="1807"/>
        <w:jc w:val="left"/>
        <w:outlineLvl w:val="9"/>
        <w:rPr>
          <w:rFonts w:hint="eastAsia" w:ascii="Arial" w:hAnsi="Arial" w:eastAsia="宋体" w:cs="Times New Roman"/>
          <w:b w:val="0"/>
          <w:bCs w:val="0"/>
          <w:color w:val="000000" w:themeColor="text1"/>
          <w:sz w:val="36"/>
          <w:szCs w:val="28"/>
          <w:highlight w:val="none"/>
          <w:u w:val="none"/>
          <w:lang w:eastAsia="zh-CN"/>
          <w14:textFill>
            <w14:solidFill>
              <w14:schemeClr w14:val="tx1"/>
            </w14:solidFill>
          </w14:textFill>
        </w:rPr>
      </w:pPr>
      <w:r>
        <w:rPr>
          <w:rFonts w:hint="eastAsia" w:ascii="Arial" w:hAnsi="Arial" w:eastAsia="宋体" w:cs="Times New Roman"/>
          <w:b w:val="0"/>
          <w:bCs w:val="0"/>
          <w:color w:val="000000" w:themeColor="text1"/>
          <w:sz w:val="36"/>
          <w:szCs w:val="28"/>
          <w:highlight w:val="none"/>
          <w14:textFill>
            <w14:solidFill>
              <w14:schemeClr w14:val="tx1"/>
            </w14:solidFill>
          </w14:textFill>
        </w:rPr>
        <w:t>项目名称：</w:t>
      </w:r>
      <w:r>
        <w:rPr>
          <w:rFonts w:hint="eastAsia" w:ascii="Arial" w:hAnsi="Arial" w:cs="Times New Roman"/>
          <w:b w:val="0"/>
          <w:bCs w:val="0"/>
          <w:color w:val="000000" w:themeColor="text1"/>
          <w:sz w:val="36"/>
          <w:szCs w:val="28"/>
          <w:highlight w:val="none"/>
          <w:u w:val="none"/>
          <w:lang w:eastAsia="zh-CN"/>
          <w14:textFill>
            <w14:solidFill>
              <w14:schemeClr w14:val="tx1"/>
            </w14:solidFill>
          </w14:textFill>
        </w:rPr>
        <w:t>海安市人民医院无线网络系统重建(含3年维保)项目</w:t>
      </w:r>
    </w:p>
    <w:p w14:paraId="5F2DBEEE">
      <w:pPr>
        <w:pageBreakBefore w:val="0"/>
        <w:spacing w:before="120" w:after="120" w:line="240" w:lineRule="auto"/>
        <w:ind w:left="2525" w:hanging="1807"/>
        <w:jc w:val="left"/>
        <w:outlineLvl w:val="9"/>
        <w:rPr>
          <w:rFonts w:hint="eastAsia" w:ascii="Arial" w:hAnsi="Arial" w:eastAsia="宋体" w:cs="Times New Roman"/>
          <w:b w:val="0"/>
          <w:bCs w:val="0"/>
          <w:color w:val="000000" w:themeColor="text1"/>
          <w:sz w:val="36"/>
          <w:szCs w:val="28"/>
          <w:highlight w:val="none"/>
          <w:lang w:val="en-US" w:eastAsia="zh-CN"/>
          <w14:textFill>
            <w14:solidFill>
              <w14:schemeClr w14:val="tx1"/>
            </w14:solidFill>
          </w14:textFill>
        </w:rPr>
      </w:pPr>
      <w:r>
        <w:rPr>
          <w:rFonts w:hint="eastAsia" w:ascii="Arial" w:hAnsi="Arial" w:eastAsia="宋体" w:cs="Times New Roman"/>
          <w:b w:val="0"/>
          <w:bCs w:val="0"/>
          <w:color w:val="000000" w:themeColor="text1"/>
          <w:sz w:val="36"/>
          <w:szCs w:val="28"/>
          <w:highlight w:val="none"/>
          <w14:textFill>
            <w14:solidFill>
              <w14:schemeClr w14:val="tx1"/>
            </w14:solidFill>
          </w14:textFill>
        </w:rPr>
        <w:t>项目编号：JSZC-320685-JSBH-C2026-0004</w:t>
      </w:r>
    </w:p>
    <w:p w14:paraId="0A1E96C3">
      <w:pPr>
        <w:spacing w:before="120" w:after="120" w:line="360" w:lineRule="auto"/>
        <w:ind w:firstLine="1470"/>
        <w:jc w:val="left"/>
        <w:rPr>
          <w:b/>
          <w:color w:val="000000" w:themeColor="text1"/>
          <w:sz w:val="30"/>
          <w:szCs w:val="30"/>
          <w:highlight w:val="none"/>
          <w14:textFill>
            <w14:solidFill>
              <w14:schemeClr w14:val="tx1"/>
            </w14:solidFill>
          </w14:textFill>
        </w:rPr>
      </w:pPr>
    </w:p>
    <w:p w14:paraId="01C0BE97">
      <w:pPr>
        <w:spacing w:line="360" w:lineRule="auto"/>
        <w:jc w:val="left"/>
        <w:rPr>
          <w:rFonts w:ascii="宋体" w:hAnsi="宋体"/>
          <w:color w:val="000000" w:themeColor="text1"/>
          <w:sz w:val="24"/>
          <w:szCs w:val="24"/>
          <w:highlight w:val="none"/>
          <w14:textFill>
            <w14:solidFill>
              <w14:schemeClr w14:val="tx1"/>
            </w14:solidFill>
          </w14:textFill>
        </w:rPr>
      </w:pPr>
    </w:p>
    <w:p w14:paraId="514004F1">
      <w:pPr>
        <w:spacing w:line="360" w:lineRule="auto"/>
        <w:jc w:val="left"/>
        <w:rPr>
          <w:rFonts w:ascii="宋体" w:hAnsi="宋体"/>
          <w:color w:val="000000" w:themeColor="text1"/>
          <w:sz w:val="24"/>
          <w:szCs w:val="24"/>
          <w:highlight w:val="none"/>
          <w14:textFill>
            <w14:solidFill>
              <w14:schemeClr w14:val="tx1"/>
            </w14:solidFill>
          </w14:textFill>
        </w:rPr>
      </w:pPr>
    </w:p>
    <w:p w14:paraId="3B33B893">
      <w:pPr>
        <w:spacing w:line="360" w:lineRule="auto"/>
        <w:jc w:val="left"/>
        <w:rPr>
          <w:rFonts w:ascii="宋体" w:hAnsi="宋体"/>
          <w:color w:val="000000" w:themeColor="text1"/>
          <w:sz w:val="24"/>
          <w:szCs w:val="24"/>
          <w:highlight w:val="none"/>
          <w14:textFill>
            <w14:solidFill>
              <w14:schemeClr w14:val="tx1"/>
            </w14:solidFill>
          </w14:textFill>
        </w:rPr>
      </w:pPr>
    </w:p>
    <w:p w14:paraId="01F13097">
      <w:pPr>
        <w:spacing w:line="360" w:lineRule="auto"/>
        <w:jc w:val="left"/>
        <w:rPr>
          <w:rFonts w:ascii="宋体" w:hAnsi="宋体"/>
          <w:color w:val="000000" w:themeColor="text1"/>
          <w:sz w:val="24"/>
          <w:szCs w:val="24"/>
          <w:highlight w:val="none"/>
          <w14:textFill>
            <w14:solidFill>
              <w14:schemeClr w14:val="tx1"/>
            </w14:solidFill>
          </w14:textFill>
        </w:rPr>
      </w:pPr>
    </w:p>
    <w:p w14:paraId="452F4F2F">
      <w:pPr>
        <w:spacing w:line="360" w:lineRule="auto"/>
        <w:jc w:val="left"/>
        <w:rPr>
          <w:rFonts w:ascii="宋体" w:hAnsi="宋体"/>
          <w:color w:val="000000" w:themeColor="text1"/>
          <w:sz w:val="24"/>
          <w:szCs w:val="24"/>
          <w:highlight w:val="none"/>
          <w14:textFill>
            <w14:solidFill>
              <w14:schemeClr w14:val="tx1"/>
            </w14:solidFill>
          </w14:textFill>
        </w:rPr>
      </w:pPr>
    </w:p>
    <w:p w14:paraId="143701CD">
      <w:pPr>
        <w:spacing w:line="360" w:lineRule="auto"/>
        <w:jc w:val="left"/>
        <w:rPr>
          <w:rFonts w:ascii="宋体" w:hAnsi="宋体"/>
          <w:color w:val="000000" w:themeColor="text1"/>
          <w:sz w:val="24"/>
          <w:szCs w:val="24"/>
          <w:highlight w:val="none"/>
          <w14:textFill>
            <w14:solidFill>
              <w14:schemeClr w14:val="tx1"/>
            </w14:solidFill>
          </w14:textFill>
        </w:rPr>
      </w:pPr>
    </w:p>
    <w:p w14:paraId="04937E81">
      <w:pPr>
        <w:spacing w:line="360" w:lineRule="auto"/>
        <w:jc w:val="left"/>
        <w:rPr>
          <w:rFonts w:ascii="宋体" w:hAnsi="宋体"/>
          <w:color w:val="000000" w:themeColor="text1"/>
          <w:sz w:val="24"/>
          <w:szCs w:val="24"/>
          <w:highlight w:val="none"/>
          <w14:textFill>
            <w14:solidFill>
              <w14:schemeClr w14:val="tx1"/>
            </w14:solidFill>
          </w14:textFill>
        </w:rPr>
      </w:pPr>
    </w:p>
    <w:p w14:paraId="2F3159B7">
      <w:pPr>
        <w:spacing w:line="360" w:lineRule="auto"/>
        <w:jc w:val="left"/>
        <w:rPr>
          <w:rFonts w:ascii="宋体" w:hAnsi="宋体"/>
          <w:color w:val="000000" w:themeColor="text1"/>
          <w:sz w:val="24"/>
          <w:szCs w:val="24"/>
          <w:highlight w:val="none"/>
          <w14:textFill>
            <w14:solidFill>
              <w14:schemeClr w14:val="tx1"/>
            </w14:solidFill>
          </w14:textFill>
        </w:rPr>
      </w:pPr>
    </w:p>
    <w:p w14:paraId="57BFF391">
      <w:pPr>
        <w:spacing w:line="360" w:lineRule="auto"/>
        <w:jc w:val="left"/>
        <w:rPr>
          <w:rFonts w:ascii="宋体" w:hAnsi="宋体"/>
          <w:color w:val="000000" w:themeColor="text1"/>
          <w:sz w:val="24"/>
          <w:szCs w:val="24"/>
          <w:highlight w:val="none"/>
          <w14:textFill>
            <w14:solidFill>
              <w14:schemeClr w14:val="tx1"/>
            </w14:solidFill>
          </w14:textFill>
        </w:rPr>
      </w:pPr>
    </w:p>
    <w:p w14:paraId="6A168C35">
      <w:pPr>
        <w:spacing w:line="360" w:lineRule="auto"/>
        <w:jc w:val="left"/>
        <w:rPr>
          <w:rFonts w:ascii="宋体" w:hAnsi="宋体"/>
          <w:color w:val="000000" w:themeColor="text1"/>
          <w:sz w:val="24"/>
          <w:szCs w:val="24"/>
          <w:highlight w:val="none"/>
          <w14:textFill>
            <w14:solidFill>
              <w14:schemeClr w14:val="tx1"/>
            </w14:solidFill>
          </w14:textFill>
        </w:rPr>
      </w:pPr>
    </w:p>
    <w:p w14:paraId="6377F28C">
      <w:pPr>
        <w:spacing w:before="120" w:after="120" w:line="360" w:lineRule="auto"/>
        <w:jc w:val="center"/>
        <w:rPr>
          <w:rFonts w:hint="eastAsia" w:ascii="Arial" w:hAnsi="Arial" w:eastAsia="宋体"/>
          <w:b/>
          <w:bCs/>
          <w:color w:val="000000" w:themeColor="text1"/>
          <w:sz w:val="32"/>
          <w:szCs w:val="24"/>
          <w:highlight w:val="none"/>
          <w:lang w:eastAsia="zh-CN"/>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采购人：</w:t>
      </w:r>
      <w:r>
        <w:rPr>
          <w:rFonts w:hint="eastAsia" w:ascii="Arial" w:hAnsi="Arial"/>
          <w:b/>
          <w:bCs/>
          <w:color w:val="000000" w:themeColor="text1"/>
          <w:sz w:val="32"/>
          <w:szCs w:val="24"/>
          <w:highlight w:val="none"/>
          <w:lang w:eastAsia="zh-CN"/>
          <w14:textFill>
            <w14:solidFill>
              <w14:schemeClr w14:val="tx1"/>
            </w14:solidFill>
          </w14:textFill>
        </w:rPr>
        <w:t>海安市人民医院</w:t>
      </w:r>
    </w:p>
    <w:p w14:paraId="31696A60">
      <w:pPr>
        <w:spacing w:before="120" w:after="120" w:line="360" w:lineRule="auto"/>
        <w:jc w:val="center"/>
        <w:rPr>
          <w:rFonts w:ascii="Arial" w:hAnsi="Arial"/>
          <w:b/>
          <w:bCs/>
          <w:color w:val="000000" w:themeColor="text1"/>
          <w:sz w:val="32"/>
          <w:szCs w:val="24"/>
          <w:highlight w:val="none"/>
          <w:u w:val="none"/>
          <w14:textFill>
            <w14:solidFill>
              <w14:schemeClr w14:val="tx1"/>
            </w14:solidFill>
          </w14:textFill>
        </w:rPr>
      </w:pPr>
      <w:r>
        <w:rPr>
          <w:rFonts w:hint="eastAsia" w:ascii="Arial" w:hAnsi="Arial"/>
          <w:b/>
          <w:bCs/>
          <w:color w:val="000000" w:themeColor="text1"/>
          <w:sz w:val="32"/>
          <w:szCs w:val="24"/>
          <w:highlight w:val="none"/>
          <w:u w:val="none"/>
          <w:lang w:val="en-US" w:eastAsia="zh-CN"/>
          <w14:textFill>
            <w14:solidFill>
              <w14:schemeClr w14:val="tx1"/>
            </w14:solidFill>
          </w14:textFill>
        </w:rPr>
        <w:t>2026</w:t>
      </w:r>
      <w:r>
        <w:rPr>
          <w:rFonts w:hint="eastAsia" w:ascii="Arial" w:hAnsi="Arial"/>
          <w:b/>
          <w:bCs/>
          <w:color w:val="000000" w:themeColor="text1"/>
          <w:sz w:val="32"/>
          <w:szCs w:val="24"/>
          <w:highlight w:val="none"/>
          <w:u w:val="none"/>
          <w14:textFill>
            <w14:solidFill>
              <w14:schemeClr w14:val="tx1"/>
            </w14:solidFill>
          </w14:textFill>
        </w:rPr>
        <w:t>年</w:t>
      </w:r>
      <w:r>
        <w:rPr>
          <w:rFonts w:hint="eastAsia" w:ascii="Arial" w:hAnsi="Arial"/>
          <w:b/>
          <w:bCs/>
          <w:color w:val="000000" w:themeColor="text1"/>
          <w:sz w:val="32"/>
          <w:szCs w:val="24"/>
          <w:highlight w:val="none"/>
          <w:u w:val="none"/>
          <w:lang w:val="en-US" w:eastAsia="zh-CN"/>
          <w14:textFill>
            <w14:solidFill>
              <w14:schemeClr w14:val="tx1"/>
            </w14:solidFill>
          </w14:textFill>
        </w:rPr>
        <w:t>08</w:t>
      </w:r>
      <w:r>
        <w:rPr>
          <w:rFonts w:hint="eastAsia" w:ascii="Arial" w:hAnsi="Arial"/>
          <w:b/>
          <w:bCs/>
          <w:color w:val="000000" w:themeColor="text1"/>
          <w:sz w:val="32"/>
          <w:szCs w:val="24"/>
          <w:highlight w:val="none"/>
          <w:u w:val="none"/>
          <w14:textFill>
            <w14:solidFill>
              <w14:schemeClr w14:val="tx1"/>
            </w14:solidFill>
          </w14:textFill>
        </w:rPr>
        <w:t>月</w:t>
      </w:r>
    </w:p>
    <w:p w14:paraId="5F183E58">
      <w:pPr>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br w:type="page" w:clear="all"/>
      </w:r>
    </w:p>
    <w:p w14:paraId="6EBDE7F1">
      <w:pPr>
        <w:pStyle w:val="8"/>
        <w:rPr>
          <w:rFonts w:ascii="Arial"/>
          <w:color w:val="000000" w:themeColor="text1"/>
          <w:sz w:val="24"/>
          <w:szCs w:val="24"/>
          <w:highlight w:val="none"/>
          <w14:textFill>
            <w14:solidFill>
              <w14:schemeClr w14:val="tx1"/>
            </w14:solidFill>
          </w14:textFill>
        </w:rPr>
      </w:pPr>
    </w:p>
    <w:p w14:paraId="4FF7A43F">
      <w:pPr>
        <w:pStyle w:val="8"/>
        <w:rPr>
          <w:rFonts w:ascii="Arial"/>
          <w:color w:val="000000" w:themeColor="text1"/>
          <w:sz w:val="24"/>
          <w:szCs w:val="24"/>
          <w:highlight w:val="none"/>
          <w14:textFill>
            <w14:solidFill>
              <w14:schemeClr w14:val="tx1"/>
            </w14:solidFill>
          </w14:textFill>
        </w:rPr>
      </w:pPr>
    </w:p>
    <w:p w14:paraId="2ABD144E">
      <w:pPr>
        <w:spacing w:line="480" w:lineRule="auto"/>
        <w:jc w:val="center"/>
        <w:outlineLvl w:val="0"/>
        <w:rPr>
          <w:rFonts w:ascii="黑体" w:hAnsi="Arial" w:eastAsia="黑体"/>
          <w:b/>
          <w:color w:val="000000" w:themeColor="text1"/>
          <w:sz w:val="44"/>
          <w:szCs w:val="21"/>
          <w:highlight w:val="none"/>
          <w14:textFill>
            <w14:solidFill>
              <w14:schemeClr w14:val="tx1"/>
            </w14:solidFill>
          </w14:textFill>
        </w:rPr>
      </w:pPr>
      <w:bookmarkStart w:id="0" w:name="_Toc120614210"/>
      <w:bookmarkStart w:id="1" w:name="_Toc523127445"/>
      <w:bookmarkStart w:id="2" w:name="_Toc20823272"/>
      <w:bookmarkStart w:id="3" w:name="_Toc479757206"/>
      <w:bookmarkStart w:id="4" w:name="_Toc513029200"/>
      <w:bookmarkStart w:id="5" w:name="_Toc16938516"/>
      <w:r>
        <w:rPr>
          <w:rFonts w:hint="eastAsia" w:ascii="黑体" w:hAnsi="Arial" w:eastAsia="黑体"/>
          <w:b/>
          <w:color w:val="000000" w:themeColor="text1"/>
          <w:sz w:val="44"/>
          <w:szCs w:val="21"/>
          <w:highlight w:val="none"/>
          <w14:textFill>
            <w14:solidFill>
              <w14:schemeClr w14:val="tx1"/>
            </w14:solidFill>
          </w14:textFill>
        </w:rPr>
        <w:t>总  目  录</w:t>
      </w:r>
    </w:p>
    <w:p w14:paraId="74D02856">
      <w:pPr>
        <w:spacing w:line="480" w:lineRule="auto"/>
        <w:rPr>
          <w:rFonts w:ascii="仿宋_GB2312" w:hAnsi="Arial" w:eastAsia="仿宋_GB2312"/>
          <w:b/>
          <w:color w:val="000000" w:themeColor="text1"/>
          <w:sz w:val="28"/>
          <w:szCs w:val="21"/>
          <w:highlight w:val="none"/>
          <w14:textFill>
            <w14:solidFill>
              <w14:schemeClr w14:val="tx1"/>
            </w14:solidFill>
          </w14:textFill>
        </w:rPr>
      </w:pPr>
    </w:p>
    <w:p w14:paraId="7BAE0678">
      <w:pPr>
        <w:numPr>
          <w:ilvl w:val="0"/>
          <w:numId w:val="4"/>
        </w:numPr>
        <w:spacing w:line="480" w:lineRule="auto"/>
        <w:outlineLvl w:val="0"/>
        <w:rPr>
          <w:rFonts w:ascii="黑体" w:hAnsi="Showcard Gothic" w:eastAsia="黑体"/>
          <w:color w:val="000000" w:themeColor="text1"/>
          <w:sz w:val="32"/>
          <w:szCs w:val="21"/>
          <w:highlight w:val="none"/>
          <w14:textFill>
            <w14:solidFill>
              <w14:schemeClr w14:val="tx1"/>
            </w14:solidFill>
          </w14:textFill>
        </w:rPr>
      </w:pPr>
      <w:r>
        <w:rPr>
          <w:rFonts w:hint="eastAsia" w:ascii="黑体" w:hAnsi="宋体" w:eastAsia="黑体"/>
          <w:color w:val="000000" w:themeColor="text1"/>
          <w:sz w:val="36"/>
          <w:szCs w:val="21"/>
          <w:highlight w:val="none"/>
          <w:lang w:val="en-US" w:eastAsia="zh-CN"/>
          <w14:textFill>
            <w14:solidFill>
              <w14:schemeClr w14:val="tx1"/>
            </w14:solidFill>
          </w14:textFill>
        </w:rPr>
        <w:t>磋商</w:t>
      </w:r>
      <w:r>
        <w:rPr>
          <w:rFonts w:hint="eastAsia" w:ascii="黑体" w:hAnsi="宋体" w:eastAsia="黑体"/>
          <w:color w:val="000000" w:themeColor="text1"/>
          <w:sz w:val="36"/>
          <w:szCs w:val="21"/>
          <w:highlight w:val="none"/>
          <w14:textFill>
            <w14:solidFill>
              <w14:schemeClr w14:val="tx1"/>
            </w14:solidFill>
          </w14:textFill>
        </w:rPr>
        <w:t>邀请</w:t>
      </w:r>
    </w:p>
    <w:p w14:paraId="044987F8">
      <w:pPr>
        <w:numPr>
          <w:ilvl w:val="0"/>
          <w:numId w:val="4"/>
        </w:numPr>
        <w:spacing w:line="480" w:lineRule="auto"/>
        <w:outlineLvl w:val="0"/>
        <w:rPr>
          <w:rFonts w:ascii="黑体" w:hAnsi="Showcard Gothic" w:eastAsia="黑体"/>
          <w:color w:val="000000" w:themeColor="text1"/>
          <w:sz w:val="36"/>
          <w:szCs w:val="21"/>
          <w:highlight w:val="none"/>
          <w14:textFill>
            <w14:solidFill>
              <w14:schemeClr w14:val="tx1"/>
            </w14:solidFill>
          </w14:textFill>
        </w:rPr>
      </w:pPr>
      <w:r>
        <w:rPr>
          <w:rFonts w:hint="eastAsia" w:ascii="黑体" w:hAnsi="宋体" w:eastAsia="黑体"/>
          <w:bCs/>
          <w:color w:val="000000" w:themeColor="text1"/>
          <w:sz w:val="36"/>
          <w:szCs w:val="36"/>
          <w:highlight w:val="none"/>
          <w14:textFill>
            <w14:solidFill>
              <w14:schemeClr w14:val="tx1"/>
            </w14:solidFill>
          </w14:textFill>
        </w:rPr>
        <w:t>供应商须知</w:t>
      </w:r>
    </w:p>
    <w:p w14:paraId="5573C0B7">
      <w:pPr>
        <w:numPr>
          <w:ilvl w:val="0"/>
          <w:numId w:val="4"/>
        </w:numPr>
        <w:spacing w:line="480" w:lineRule="auto"/>
        <w:outlineLvl w:val="0"/>
        <w:rPr>
          <w:rFonts w:ascii="黑体" w:hAnsi="Showcard Gothic" w:eastAsia="黑体"/>
          <w:color w:val="000000" w:themeColor="text1"/>
          <w:sz w:val="36"/>
          <w:szCs w:val="21"/>
          <w:highlight w:val="none"/>
          <w14:textFill>
            <w14:solidFill>
              <w14:schemeClr w14:val="tx1"/>
            </w14:solidFill>
          </w14:textFill>
        </w:rPr>
      </w:pPr>
      <w:r>
        <w:rPr>
          <w:rFonts w:hint="eastAsia" w:ascii="黑体" w:hAnsi="宋体" w:eastAsia="黑体"/>
          <w:color w:val="000000" w:themeColor="text1"/>
          <w:sz w:val="36"/>
          <w:szCs w:val="21"/>
          <w:highlight w:val="none"/>
          <w14:textFill>
            <w14:solidFill>
              <w14:schemeClr w14:val="tx1"/>
            </w14:solidFill>
          </w14:textFill>
        </w:rPr>
        <w:t>采购需求</w:t>
      </w:r>
    </w:p>
    <w:p w14:paraId="4CF70E9A">
      <w:pPr>
        <w:numPr>
          <w:ilvl w:val="0"/>
          <w:numId w:val="4"/>
        </w:numPr>
        <w:spacing w:line="480" w:lineRule="auto"/>
        <w:outlineLvl w:val="0"/>
        <w:rPr>
          <w:rFonts w:ascii="黑体" w:hAnsi="Showcard Gothic" w:eastAsia="黑体"/>
          <w:color w:val="000000" w:themeColor="text1"/>
          <w:sz w:val="36"/>
          <w:szCs w:val="21"/>
          <w:highlight w:val="none"/>
          <w14:textFill>
            <w14:solidFill>
              <w14:schemeClr w14:val="tx1"/>
            </w14:solidFill>
          </w14:textFill>
        </w:rPr>
      </w:pPr>
      <w:r>
        <w:rPr>
          <w:rFonts w:hint="eastAsia" w:ascii="黑体" w:hAnsi="宋体" w:eastAsia="黑体"/>
          <w:bCs/>
          <w:color w:val="000000" w:themeColor="text1"/>
          <w:sz w:val="36"/>
          <w:szCs w:val="36"/>
          <w:highlight w:val="none"/>
          <w14:textFill>
            <w14:solidFill>
              <w14:schemeClr w14:val="tx1"/>
            </w14:solidFill>
          </w14:textFill>
        </w:rPr>
        <w:t>评审方法与评审标准</w:t>
      </w:r>
    </w:p>
    <w:p w14:paraId="1438BEAA">
      <w:pPr>
        <w:numPr>
          <w:ilvl w:val="0"/>
          <w:numId w:val="4"/>
        </w:numPr>
        <w:spacing w:line="480" w:lineRule="auto"/>
        <w:outlineLvl w:val="0"/>
        <w:rPr>
          <w:rFonts w:ascii="黑体" w:hAnsi="Showcard Gothic" w:eastAsia="黑体"/>
          <w:color w:val="000000" w:themeColor="text1"/>
          <w:sz w:val="36"/>
          <w:szCs w:val="21"/>
          <w:highlight w:val="none"/>
          <w14:textFill>
            <w14:solidFill>
              <w14:schemeClr w14:val="tx1"/>
            </w14:solidFill>
          </w14:textFill>
        </w:rPr>
      </w:pPr>
      <w:r>
        <w:rPr>
          <w:rFonts w:hint="eastAsia" w:ascii="黑体" w:hAnsi="宋体" w:eastAsia="黑体"/>
          <w:color w:val="000000" w:themeColor="text1"/>
          <w:sz w:val="36"/>
          <w:szCs w:val="21"/>
          <w:highlight w:val="none"/>
          <w14:textFill>
            <w14:solidFill>
              <w14:schemeClr w14:val="tx1"/>
            </w14:solidFill>
          </w14:textFill>
        </w:rPr>
        <w:t>响应文件格式</w:t>
      </w:r>
    </w:p>
    <w:p w14:paraId="0746C421">
      <w:pPr>
        <w:rPr>
          <w:color w:val="000000" w:themeColor="text1"/>
          <w:szCs w:val="21"/>
          <w:highlight w:val="none"/>
          <w14:textFill>
            <w14:solidFill>
              <w14:schemeClr w14:val="tx1"/>
            </w14:solidFill>
          </w14:textFill>
        </w:rPr>
      </w:pPr>
    </w:p>
    <w:p w14:paraId="4320C355">
      <w:pPr>
        <w:rPr>
          <w:color w:val="000000" w:themeColor="text1"/>
          <w:szCs w:val="21"/>
          <w:highlight w:val="none"/>
          <w14:textFill>
            <w14:solidFill>
              <w14:schemeClr w14:val="tx1"/>
            </w14:solidFill>
          </w14:textFill>
        </w:rPr>
        <w:sectPr>
          <w:headerReference r:id="rId3" w:type="default"/>
          <w:footerReference r:id="rId4" w:type="default"/>
          <w:footerReference r:id="rId5" w:type="even"/>
          <w:pgSz w:w="11906" w:h="16838"/>
          <w:pgMar w:top="1440" w:right="1080" w:bottom="1440" w:left="1080" w:header="851" w:footer="907" w:gutter="0"/>
          <w:pgNumType w:start="0"/>
          <w:cols w:space="720" w:num="1"/>
          <w:titlePg/>
          <w:docGrid w:linePitch="360" w:charSpace="0"/>
        </w:sectPr>
      </w:pPr>
    </w:p>
    <w:p w14:paraId="31EA5849">
      <w:pPr>
        <w:keepNext/>
        <w:spacing w:line="560" w:lineRule="exact"/>
        <w:jc w:val="center"/>
        <w:outlineLvl w:val="0"/>
        <w:rPr>
          <w:rFonts w:ascii="黑体" w:eastAsia="黑体"/>
          <w:bCs/>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第一章  </w:t>
      </w:r>
      <w:bookmarkEnd w:id="0"/>
      <w:r>
        <w:rPr>
          <w:rFonts w:hint="eastAsia" w:ascii="黑体" w:eastAsia="黑体"/>
          <w:color w:val="000000" w:themeColor="text1"/>
          <w:sz w:val="44"/>
          <w:szCs w:val="44"/>
          <w:highlight w:val="none"/>
          <w:lang w:eastAsia="zh-CN"/>
          <w14:textFill>
            <w14:solidFill>
              <w14:schemeClr w14:val="tx1"/>
            </w14:solidFill>
          </w14:textFill>
        </w:rPr>
        <w:t>磋商</w:t>
      </w:r>
      <w:r>
        <w:rPr>
          <w:rFonts w:hint="eastAsia" w:ascii="黑体" w:eastAsia="黑体"/>
          <w:color w:val="000000" w:themeColor="text1"/>
          <w:sz w:val="44"/>
          <w:szCs w:val="44"/>
          <w:highlight w:val="none"/>
          <w14:textFill>
            <w14:solidFill>
              <w14:schemeClr w14:val="tx1"/>
            </w14:solidFill>
          </w14:textFill>
        </w:rPr>
        <w:t>邀请</w:t>
      </w:r>
    </w:p>
    <w:p w14:paraId="015B3FC0">
      <w:pPr>
        <w:keepNext w:val="0"/>
        <w:keepLines w:val="0"/>
        <w:pageBreakBefore w:val="0"/>
        <w:widowControl w:val="0"/>
        <w:spacing w:line="490" w:lineRule="exact"/>
        <w:ind w:firstLine="482"/>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受</w:t>
      </w:r>
      <w:r>
        <w:rPr>
          <w:rFonts w:hint="eastAsia" w:ascii="宋体" w:hAnsi="宋体" w:cs="宋体"/>
          <w:color w:val="000000" w:themeColor="text1"/>
          <w:sz w:val="24"/>
          <w:szCs w:val="24"/>
          <w:highlight w:val="none"/>
          <w:u w:val="single"/>
          <w:lang w:eastAsia="zh-CN"/>
          <w14:textFill>
            <w14:solidFill>
              <w14:schemeClr w14:val="tx1"/>
            </w14:solidFill>
          </w14:textFill>
        </w:rPr>
        <w:t>海安市人民医院</w:t>
      </w:r>
      <w:r>
        <w:rPr>
          <w:rFonts w:hint="eastAsia" w:ascii="宋体" w:hAnsi="宋体"/>
          <w:color w:val="000000" w:themeColor="text1"/>
          <w:sz w:val="24"/>
          <w:szCs w:val="24"/>
          <w:highlight w:val="none"/>
          <w14:textFill>
            <w14:solidFill>
              <w14:schemeClr w14:val="tx1"/>
            </w14:solidFill>
          </w14:textFill>
        </w:rPr>
        <w:t>的委托，</w:t>
      </w:r>
      <w:r>
        <w:rPr>
          <w:rFonts w:hint="eastAsia" w:ascii="宋体" w:hAnsi="宋体" w:cs="宋体"/>
          <w:color w:val="000000" w:themeColor="text1"/>
          <w:sz w:val="24"/>
          <w:szCs w:val="24"/>
          <w:highlight w:val="none"/>
          <w:u w:val="single"/>
          <w:lang w:eastAsia="zh-CN"/>
          <w14:textFill>
            <w14:solidFill>
              <w14:schemeClr w14:val="tx1"/>
            </w14:solidFill>
          </w14:textFill>
        </w:rPr>
        <w:t>江苏佰鸿工程项目管理有限公司</w:t>
      </w:r>
      <w:r>
        <w:rPr>
          <w:rFonts w:hint="eastAsia" w:ascii="宋体" w:hAnsi="宋体"/>
          <w:color w:val="000000" w:themeColor="text1"/>
          <w:sz w:val="24"/>
          <w:szCs w:val="24"/>
          <w:highlight w:val="none"/>
          <w14:textFill>
            <w14:solidFill>
              <w14:schemeClr w14:val="tx1"/>
            </w14:solidFill>
          </w14:textFill>
        </w:rPr>
        <w:t>就</w:t>
      </w:r>
      <w:r>
        <w:rPr>
          <w:rFonts w:hint="eastAsia" w:ascii="宋体" w:hAnsi="宋体" w:cs="宋体"/>
          <w:color w:val="000000" w:themeColor="text1"/>
          <w:sz w:val="24"/>
          <w:szCs w:val="24"/>
          <w:highlight w:val="none"/>
          <w:u w:val="single"/>
          <w:lang w:eastAsia="zh-CN"/>
          <w14:textFill>
            <w14:solidFill>
              <w14:schemeClr w14:val="tx1"/>
            </w14:solidFill>
          </w14:textFill>
        </w:rPr>
        <w:t>海安市人民医院无线网络系统重建(含3年维保)项目</w:t>
      </w:r>
      <w:r>
        <w:rPr>
          <w:rFonts w:hint="eastAsia" w:ascii="宋体" w:hAnsi="宋体"/>
          <w:color w:val="000000" w:themeColor="text1"/>
          <w:sz w:val="24"/>
          <w:szCs w:val="24"/>
          <w:highlight w:val="none"/>
          <w14:textFill>
            <w14:solidFill>
              <w14:schemeClr w14:val="tx1"/>
            </w14:solidFill>
          </w14:textFill>
        </w:rPr>
        <w:t>(</w:t>
      </w:r>
      <w:r>
        <w:rPr>
          <w:rFonts w:hint="eastAsia" w:ascii="Segoe UI" w:hAnsi="Segoe UI" w:eastAsia="宋体" w:cs="Segoe UI"/>
          <w:i w:val="0"/>
          <w:iCs w:val="0"/>
          <w:caps w:val="0"/>
          <w:color w:val="000000" w:themeColor="text1"/>
          <w:spacing w:val="0"/>
          <w:sz w:val="21"/>
          <w:szCs w:val="21"/>
          <w:highlight w:val="none"/>
          <w:shd w:val="clear" w:color="auto" w:fill="FFFFFF"/>
          <w:lang w:val="en-US" w:eastAsia="zh-CN"/>
          <w14:textFill>
            <w14:solidFill>
              <w14:schemeClr w14:val="tx1"/>
            </w14:solidFill>
          </w14:textFill>
        </w:rPr>
        <w:t>JSZC-320685-JSBH-C2026-0004</w:t>
      </w:r>
      <w:r>
        <w:rPr>
          <w:rFonts w:hint="eastAsia" w:ascii="宋体" w:hAnsi="宋体"/>
          <w:color w:val="000000" w:themeColor="text1"/>
          <w:sz w:val="24"/>
          <w:szCs w:val="24"/>
          <w:highlight w:val="none"/>
          <w14:textFill>
            <w14:solidFill>
              <w14:schemeClr w14:val="tx1"/>
            </w14:solidFill>
          </w14:textFill>
        </w:rPr>
        <w:t>)项目进行</w:t>
      </w:r>
      <w:r>
        <w:rPr>
          <w:rFonts w:hint="eastAsia" w:ascii="宋体" w:hAnsi="宋体"/>
          <w:color w:val="000000" w:themeColor="text1"/>
          <w:sz w:val="24"/>
          <w:szCs w:val="24"/>
          <w:highlight w:val="none"/>
          <w:u w:val="single"/>
          <w14:textFill>
            <w14:solidFill>
              <w14:schemeClr w14:val="tx1"/>
            </w14:solidFill>
          </w14:textFill>
        </w:rPr>
        <w:t>竞争性</w:t>
      </w:r>
      <w:r>
        <w:rPr>
          <w:rFonts w:hint="eastAsia" w:ascii="宋体" w:hAnsi="宋体"/>
          <w:color w:val="000000" w:themeColor="text1"/>
          <w:sz w:val="24"/>
          <w:szCs w:val="24"/>
          <w:highlight w:val="none"/>
          <w:u w:val="single"/>
          <w:lang w:eastAsia="zh-CN"/>
          <w14:textFill>
            <w14:solidFill>
              <w14:schemeClr w14:val="tx1"/>
            </w14:solidFill>
          </w14:textFill>
        </w:rPr>
        <w:t>磋商</w:t>
      </w:r>
      <w:r>
        <w:rPr>
          <w:rFonts w:hint="eastAsia" w:ascii="宋体" w:hAnsi="宋体"/>
          <w:color w:val="000000" w:themeColor="text1"/>
          <w:sz w:val="24"/>
          <w:szCs w:val="24"/>
          <w:highlight w:val="none"/>
          <w14:textFill>
            <w14:solidFill>
              <w14:schemeClr w14:val="tx1"/>
            </w14:solidFill>
          </w14:textFill>
        </w:rPr>
        <w:t>采购，欢迎符合条件的供应商参加</w:t>
      </w:r>
      <w:r>
        <w:rPr>
          <w:rFonts w:hint="eastAsia" w:ascii="宋体" w:hAnsi="宋体"/>
          <w:color w:val="000000" w:themeColor="text1"/>
          <w:sz w:val="24"/>
          <w:szCs w:val="24"/>
          <w:highlight w:val="none"/>
          <w:lang w:eastAsia="zh-CN"/>
          <w14:textFill>
            <w14:solidFill>
              <w14:schemeClr w14:val="tx1"/>
            </w14:solidFill>
          </w14:textFill>
        </w:rPr>
        <w:t>磋商</w:t>
      </w:r>
      <w:r>
        <w:rPr>
          <w:rFonts w:hint="eastAsia" w:ascii="宋体" w:hAnsi="宋体"/>
          <w:color w:val="000000" w:themeColor="text1"/>
          <w:sz w:val="24"/>
          <w:szCs w:val="24"/>
          <w:highlight w:val="none"/>
          <w14:textFill>
            <w14:solidFill>
              <w14:schemeClr w14:val="tx1"/>
            </w14:solidFill>
          </w14:textFill>
        </w:rPr>
        <w:t>。</w:t>
      </w:r>
    </w:p>
    <w:p w14:paraId="6F7BF1BA">
      <w:pPr>
        <w:keepNext w:val="0"/>
        <w:keepLines w:val="0"/>
        <w:pageBreakBefore w:val="0"/>
        <w:widowControl w:val="0"/>
        <w:pBdr>
          <w:top w:val="single" w:color="auto" w:sz="4" w:space="1"/>
          <w:left w:val="single" w:color="auto" w:sz="4" w:space="4"/>
          <w:bottom w:val="single" w:color="auto" w:sz="4" w:space="1"/>
          <w:right w:val="single" w:color="auto" w:sz="4" w:space="4"/>
        </w:pBdr>
        <w:spacing w:line="49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项目概况</w:t>
      </w:r>
    </w:p>
    <w:p w14:paraId="0D332A7C">
      <w:pPr>
        <w:keepNext w:val="0"/>
        <w:keepLines w:val="0"/>
        <w:pageBreakBefore w:val="0"/>
        <w:widowControl w:val="0"/>
        <w:pBdr>
          <w:top w:val="single" w:color="auto" w:sz="4" w:space="1"/>
          <w:left w:val="single" w:color="auto" w:sz="4" w:space="4"/>
          <w:bottom w:val="single" w:color="auto" w:sz="4" w:space="1"/>
          <w:right w:val="single" w:color="auto" w:sz="4" w:space="4"/>
        </w:pBdr>
        <w:spacing w:line="490" w:lineRule="exact"/>
        <w:ind w:firstLine="482"/>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lang w:eastAsia="zh-CN"/>
          <w14:textFill>
            <w14:solidFill>
              <w14:schemeClr w14:val="tx1"/>
            </w14:solidFill>
          </w14:textFill>
        </w:rPr>
        <w:t>海安市人民医院无线网络系统重建(含3年维保)项目</w:t>
      </w:r>
      <w:r>
        <w:rPr>
          <w:rFonts w:hint="eastAsia" w:ascii="宋体" w:hAnsi="宋体"/>
          <w:color w:val="000000" w:themeColor="text1"/>
          <w:sz w:val="24"/>
          <w:szCs w:val="24"/>
          <w:highlight w:val="none"/>
          <w14:textFill>
            <w14:solidFill>
              <w14:schemeClr w14:val="tx1"/>
            </w14:solidFill>
          </w14:textFill>
        </w:rPr>
        <w:t>竞争性</w:t>
      </w:r>
      <w:r>
        <w:rPr>
          <w:rFonts w:hint="eastAsia" w:ascii="宋体" w:hAnsi="宋体"/>
          <w:color w:val="000000" w:themeColor="text1"/>
          <w:sz w:val="24"/>
          <w:szCs w:val="24"/>
          <w:highlight w:val="none"/>
          <w:lang w:eastAsia="zh-CN"/>
          <w14:textFill>
            <w14:solidFill>
              <w14:schemeClr w14:val="tx1"/>
            </w14:solidFill>
          </w14:textFill>
        </w:rPr>
        <w:t>磋商</w:t>
      </w:r>
      <w:r>
        <w:rPr>
          <w:rFonts w:hint="eastAsia" w:ascii="宋体" w:hAnsi="宋体"/>
          <w:color w:val="000000" w:themeColor="text1"/>
          <w:sz w:val="24"/>
          <w:szCs w:val="24"/>
          <w:highlight w:val="none"/>
          <w14:textFill>
            <w14:solidFill>
              <w14:schemeClr w14:val="tx1"/>
            </w14:solidFill>
          </w14:textFill>
        </w:rPr>
        <w:t>项目的潜在供应商可在</w:t>
      </w:r>
      <w:r>
        <w:rPr>
          <w:rFonts w:hint="eastAsia" w:ascii="宋体" w:hAnsi="宋体"/>
          <w:color w:val="000000" w:themeColor="text1"/>
          <w:sz w:val="24"/>
          <w:szCs w:val="24"/>
          <w:highlight w:val="none"/>
          <w:u w:val="single"/>
          <w14:textFill>
            <w14:solidFill>
              <w14:schemeClr w14:val="tx1"/>
            </w14:solidFill>
          </w14:textFill>
        </w:rPr>
        <w:t>“江苏政府采购网”自行免费下载</w:t>
      </w:r>
      <w:r>
        <w:rPr>
          <w:rFonts w:hint="eastAsia" w:ascii="宋体" w:hAnsi="宋体"/>
          <w:color w:val="000000" w:themeColor="text1"/>
          <w:sz w:val="24"/>
          <w:szCs w:val="24"/>
          <w:highlight w:val="none"/>
          <w:lang w:eastAsia="zh-CN"/>
          <w14:textFill>
            <w14:solidFill>
              <w14:schemeClr w14:val="tx1"/>
            </w14:solidFill>
          </w14:textFill>
        </w:rPr>
        <w:t>磋商</w:t>
      </w:r>
      <w:r>
        <w:rPr>
          <w:rFonts w:hint="eastAsia" w:ascii="宋体" w:hAnsi="宋体"/>
          <w:color w:val="000000" w:themeColor="text1"/>
          <w:sz w:val="24"/>
          <w:szCs w:val="24"/>
          <w:highlight w:val="none"/>
          <w14:textFill>
            <w14:solidFill>
              <w14:schemeClr w14:val="tx1"/>
            </w14:solidFill>
          </w14:textFill>
        </w:rPr>
        <w:t>文件，并于</w:t>
      </w:r>
      <w:r>
        <w:rPr>
          <w:rFonts w:hint="eastAsia" w:ascii="宋体" w:hAnsi="宋体"/>
          <w:color w:val="000000" w:themeColor="text1"/>
          <w:sz w:val="24"/>
          <w:szCs w:val="24"/>
          <w:highlight w:val="none"/>
          <w:u w:val="single"/>
          <w14:textFill>
            <w14:solidFill>
              <w14:schemeClr w14:val="tx1"/>
            </w14:solidFill>
          </w14:textFill>
        </w:rPr>
        <w:t>202</w:t>
      </w:r>
      <w:r>
        <w:rPr>
          <w:rFonts w:hint="eastAsia" w:ascii="宋体" w:hAnsi="宋体"/>
          <w:color w:val="000000" w:themeColor="text1"/>
          <w:sz w:val="24"/>
          <w:szCs w:val="24"/>
          <w:highlight w:val="none"/>
          <w:u w:val="single"/>
          <w:lang w:val="en-US" w:eastAsia="zh-CN"/>
          <w14:textFill>
            <w14:solidFill>
              <w14:schemeClr w14:val="tx1"/>
            </w14:solidFill>
          </w14:textFill>
        </w:rPr>
        <w:t>6</w:t>
      </w:r>
      <w:r>
        <w:rPr>
          <w:rFonts w:hint="eastAsia" w:ascii="宋体" w:hAnsi="宋体"/>
          <w:bCs/>
          <w:color w:val="000000" w:themeColor="text1"/>
          <w:sz w:val="24"/>
          <w:szCs w:val="24"/>
          <w:highlight w:val="none"/>
          <w:u w:val="single"/>
          <w14:textFill>
            <w14:solidFill>
              <w14:schemeClr w14:val="tx1"/>
            </w14:solidFill>
          </w14:textFill>
        </w:rPr>
        <w:t>年</w:t>
      </w:r>
      <w:r>
        <w:rPr>
          <w:rFonts w:hint="eastAsia" w:ascii="宋体" w:hAnsi="宋体"/>
          <w:bCs/>
          <w:color w:val="000000" w:themeColor="text1"/>
          <w:sz w:val="24"/>
          <w:szCs w:val="24"/>
          <w:highlight w:val="none"/>
          <w:u w:val="single"/>
          <w:lang w:val="en-US" w:eastAsia="zh-CN"/>
          <w14:textFill>
            <w14:solidFill>
              <w14:schemeClr w14:val="tx1"/>
            </w14:solidFill>
          </w14:textFill>
        </w:rPr>
        <w:t>08</w:t>
      </w:r>
      <w:r>
        <w:rPr>
          <w:rFonts w:hint="eastAsia" w:ascii="宋体" w:hAnsi="宋体"/>
          <w:bCs/>
          <w:color w:val="000000" w:themeColor="text1"/>
          <w:sz w:val="24"/>
          <w:szCs w:val="24"/>
          <w:highlight w:val="none"/>
          <w:u w:val="single"/>
          <w14:textFill>
            <w14:solidFill>
              <w14:schemeClr w14:val="tx1"/>
            </w14:solidFill>
          </w14:textFill>
        </w:rPr>
        <w:t>月</w:t>
      </w:r>
      <w:r>
        <w:rPr>
          <w:rFonts w:hint="eastAsia" w:ascii="宋体" w:hAnsi="宋体"/>
          <w:bCs/>
          <w:color w:val="000000" w:themeColor="text1"/>
          <w:sz w:val="24"/>
          <w:szCs w:val="24"/>
          <w:highlight w:val="none"/>
          <w:u w:val="single"/>
          <w:lang w:val="en-US" w:eastAsia="zh-CN"/>
          <w14:textFill>
            <w14:solidFill>
              <w14:schemeClr w14:val="tx1"/>
            </w14:solidFill>
          </w14:textFill>
        </w:rPr>
        <w:t>17</w:t>
      </w:r>
      <w:r>
        <w:rPr>
          <w:rFonts w:hint="eastAsia" w:ascii="宋体" w:hAnsi="宋体"/>
          <w:bCs/>
          <w:color w:val="000000" w:themeColor="text1"/>
          <w:sz w:val="24"/>
          <w:szCs w:val="24"/>
          <w:highlight w:val="none"/>
          <w:u w:val="single"/>
          <w14:textFill>
            <w14:solidFill>
              <w14:schemeClr w14:val="tx1"/>
            </w14:solidFill>
          </w14:textFill>
        </w:rPr>
        <w:t>日</w:t>
      </w:r>
      <w:r>
        <w:rPr>
          <w:rFonts w:hint="eastAsia" w:ascii="宋体" w:hAnsi="宋体"/>
          <w:bCs/>
          <w:color w:val="000000" w:themeColor="text1"/>
          <w:sz w:val="24"/>
          <w:szCs w:val="24"/>
          <w:highlight w:val="none"/>
          <w:u w:val="single"/>
          <w:lang w:val="en-US" w:eastAsia="zh-CN"/>
          <w14:textFill>
            <w14:solidFill>
              <w14:schemeClr w14:val="tx1"/>
            </w14:solidFill>
          </w14:textFill>
        </w:rPr>
        <w:t>09</w:t>
      </w:r>
      <w:r>
        <w:rPr>
          <w:rFonts w:hint="eastAsia" w:ascii="宋体" w:hAnsi="宋体"/>
          <w:bCs/>
          <w:color w:val="000000" w:themeColor="text1"/>
          <w:sz w:val="24"/>
          <w:szCs w:val="24"/>
          <w:highlight w:val="none"/>
          <w:u w:val="single"/>
          <w14:textFill>
            <w14:solidFill>
              <w14:schemeClr w14:val="tx1"/>
            </w14:solidFill>
          </w14:textFill>
        </w:rPr>
        <w:t>点</w:t>
      </w:r>
      <w:r>
        <w:rPr>
          <w:rFonts w:hint="eastAsia" w:ascii="宋体" w:hAnsi="宋体"/>
          <w:bCs/>
          <w:color w:val="000000" w:themeColor="text1"/>
          <w:sz w:val="24"/>
          <w:szCs w:val="24"/>
          <w:highlight w:val="none"/>
          <w:u w:val="single"/>
          <w:lang w:val="en-US" w:eastAsia="zh-CN"/>
          <w14:textFill>
            <w14:solidFill>
              <w14:schemeClr w14:val="tx1"/>
            </w14:solidFill>
          </w14:textFill>
        </w:rPr>
        <w:t>00</w:t>
      </w:r>
      <w:r>
        <w:rPr>
          <w:rFonts w:hint="eastAsia" w:ascii="宋体" w:hAnsi="宋体"/>
          <w:bCs/>
          <w:color w:val="000000" w:themeColor="text1"/>
          <w:sz w:val="24"/>
          <w:szCs w:val="24"/>
          <w:highlight w:val="none"/>
          <w:u w:val="single"/>
          <w14:textFill>
            <w14:solidFill>
              <w14:schemeClr w14:val="tx1"/>
            </w14:solidFill>
          </w14:textFill>
        </w:rPr>
        <w:t>分</w:t>
      </w:r>
      <w:r>
        <w:rPr>
          <w:rFonts w:hint="eastAsia" w:ascii="宋体" w:hAnsi="宋体"/>
          <w:bCs/>
          <w:color w:val="000000" w:themeColor="text1"/>
          <w:sz w:val="24"/>
          <w:szCs w:val="24"/>
          <w:highlight w:val="none"/>
          <w:u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北京时间）前递交响应文件</w:t>
      </w:r>
      <w:r>
        <w:rPr>
          <w:rFonts w:hint="eastAsia" w:ascii="宋体" w:hAnsi="宋体"/>
          <w:color w:val="000000" w:themeColor="text1"/>
          <w:sz w:val="24"/>
          <w:szCs w:val="24"/>
          <w:highlight w:val="none"/>
          <w14:textFill>
            <w14:solidFill>
              <w14:schemeClr w14:val="tx1"/>
            </w14:solidFill>
          </w14:textFill>
        </w:rPr>
        <w:t>。</w:t>
      </w:r>
    </w:p>
    <w:p w14:paraId="57A9047B">
      <w:pPr>
        <w:keepNext/>
        <w:keepLines/>
        <w:pageBreakBefore w:val="0"/>
        <w:widowControl w:val="0"/>
        <w:spacing w:line="480" w:lineRule="exact"/>
        <w:ind w:firstLine="498"/>
        <w:outlineLvl w:val="2"/>
        <w:rPr>
          <w:rFonts w:hint="eastAsia"/>
          <w:b/>
          <w:bCs/>
          <w:color w:val="000000" w:themeColor="text1"/>
          <w:sz w:val="32"/>
          <w:szCs w:val="32"/>
          <w:highlight w:val="none"/>
          <w14:textFill>
            <w14:solidFill>
              <w14:schemeClr w14:val="tx1"/>
            </w14:solidFill>
          </w14:textFill>
        </w:rPr>
      </w:pPr>
      <w:bookmarkStart w:id="6" w:name="_Toc35393790"/>
      <w:bookmarkStart w:id="7" w:name="_Toc28359002"/>
      <w:bookmarkStart w:id="8" w:name="_Toc38985263"/>
      <w:bookmarkStart w:id="9" w:name="_Toc28359079"/>
      <w:bookmarkStart w:id="10" w:name="_Toc35393621"/>
      <w:bookmarkStart w:id="11" w:name="_Hlk24379207"/>
      <w:r>
        <w:rPr>
          <w:rFonts w:hint="eastAsia"/>
          <w:b/>
          <w:bCs/>
          <w:color w:val="000000" w:themeColor="text1"/>
          <w:sz w:val="32"/>
          <w:szCs w:val="32"/>
          <w:highlight w:val="none"/>
          <w14:textFill>
            <w14:solidFill>
              <w14:schemeClr w14:val="tx1"/>
            </w14:solidFill>
          </w14:textFill>
        </w:rPr>
        <w:t>一、项目基本情况</w:t>
      </w:r>
      <w:bookmarkEnd w:id="6"/>
      <w:bookmarkEnd w:id="7"/>
      <w:bookmarkEnd w:id="8"/>
      <w:bookmarkEnd w:id="9"/>
      <w:bookmarkEnd w:id="10"/>
      <w:bookmarkEnd w:id="11"/>
    </w:p>
    <w:p w14:paraId="787C538E">
      <w:pPr>
        <w:keepNext w:val="0"/>
        <w:keepLines w:val="0"/>
        <w:pageBreakBefore w:val="0"/>
        <w:widowControl w:val="0"/>
        <w:spacing w:line="480" w:lineRule="exact"/>
        <w:ind w:firstLine="482"/>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1.项目编号：JSZC-320685-JSBH-C2026-0004</w:t>
      </w:r>
    </w:p>
    <w:p w14:paraId="43838A6D">
      <w:pPr>
        <w:keepNext w:val="0"/>
        <w:keepLines w:val="0"/>
        <w:pageBreakBefore w:val="0"/>
        <w:widowControl w:val="0"/>
        <w:spacing w:line="480" w:lineRule="exact"/>
        <w:ind w:firstLine="482"/>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2.项目名称：</w:t>
      </w:r>
      <w:r>
        <w:rPr>
          <w:rFonts w:hint="eastAsia" w:ascii="宋体" w:hAnsi="宋体" w:cs="宋体"/>
          <w:color w:val="000000" w:themeColor="text1"/>
          <w:sz w:val="24"/>
          <w:szCs w:val="24"/>
          <w:highlight w:val="none"/>
          <w:lang w:eastAsia="zh-CN"/>
          <w14:textFill>
            <w14:solidFill>
              <w14:schemeClr w14:val="tx1"/>
            </w14:solidFill>
          </w14:textFill>
        </w:rPr>
        <w:t>海安市人民医院无线网络系统重建(含3年维保)项目</w:t>
      </w:r>
    </w:p>
    <w:p w14:paraId="3EA8CD24">
      <w:pPr>
        <w:keepNext w:val="0"/>
        <w:keepLines w:val="0"/>
        <w:pageBreakBefore w:val="0"/>
        <w:widowControl w:val="0"/>
        <w:spacing w:line="480" w:lineRule="exact"/>
        <w:ind w:firstLine="482"/>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3.项目类型：</w:t>
      </w:r>
      <w:r>
        <w:rPr>
          <w:rFonts w:hint="eastAsia" w:ascii="宋体" w:hAnsi="宋体" w:cs="宋体"/>
          <w:color w:val="000000" w:themeColor="text1"/>
          <w:sz w:val="24"/>
          <w:szCs w:val="24"/>
          <w:highlight w:val="none"/>
          <w:lang w:val="en-US" w:eastAsia="zh-CN"/>
          <w14:textFill>
            <w14:solidFill>
              <w14:schemeClr w14:val="tx1"/>
            </w14:solidFill>
          </w14:textFill>
        </w:rPr>
        <w:t>服务类</w:t>
      </w:r>
    </w:p>
    <w:p w14:paraId="0C53356E">
      <w:pPr>
        <w:keepNext w:val="0"/>
        <w:keepLines w:val="0"/>
        <w:pageBreakBefore w:val="0"/>
        <w:widowControl w:val="0"/>
        <w:spacing w:line="480" w:lineRule="exact"/>
        <w:ind w:firstLine="482"/>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4.项目行业：</w:t>
      </w:r>
      <w:r>
        <w:rPr>
          <w:rFonts w:hint="eastAsia" w:ascii="宋体" w:hAnsi="宋体"/>
          <w:color w:val="000000" w:themeColor="text1"/>
          <w:sz w:val="24"/>
          <w:szCs w:val="24"/>
          <w:highlight w:val="none"/>
          <w:lang w:val="en-US" w:eastAsia="zh-CN"/>
          <w14:textFill>
            <w14:solidFill>
              <w14:schemeClr w14:val="tx1"/>
            </w14:solidFill>
          </w14:textFill>
        </w:rPr>
        <w:t>软件和信息技术服务业</w:t>
      </w:r>
    </w:p>
    <w:p w14:paraId="46DF92F0">
      <w:pPr>
        <w:keepNext w:val="0"/>
        <w:keepLines w:val="0"/>
        <w:pageBreakBefore w:val="0"/>
        <w:widowControl w:val="0"/>
        <w:spacing w:line="480" w:lineRule="exact"/>
        <w:ind w:firstLine="482"/>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5.预算金额：</w:t>
      </w:r>
      <w:r>
        <w:rPr>
          <w:rFonts w:hint="eastAsia" w:ascii="宋体" w:hAnsi="宋体"/>
          <w:color w:val="000000" w:themeColor="text1"/>
          <w:sz w:val="24"/>
          <w:szCs w:val="24"/>
          <w:highlight w:val="none"/>
          <w:lang w:val="en-US" w:eastAsia="zh-CN"/>
          <w14:textFill>
            <w14:solidFill>
              <w14:schemeClr w14:val="tx1"/>
            </w14:solidFill>
          </w14:textFill>
        </w:rPr>
        <w:t>200万元</w:t>
      </w:r>
    </w:p>
    <w:p w14:paraId="5E7F46F7">
      <w:pPr>
        <w:keepNext w:val="0"/>
        <w:keepLines w:val="0"/>
        <w:pageBreakBefore w:val="0"/>
        <w:widowControl w:val="0"/>
        <w:spacing w:line="480" w:lineRule="exact"/>
        <w:ind w:firstLine="482"/>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6.最高限价：</w:t>
      </w:r>
      <w:r>
        <w:rPr>
          <w:rFonts w:hint="eastAsia" w:ascii="宋体" w:hAnsi="宋体"/>
          <w:color w:val="000000" w:themeColor="text1"/>
          <w:sz w:val="24"/>
          <w:szCs w:val="24"/>
          <w:highlight w:val="none"/>
          <w:lang w:val="en-US" w:eastAsia="zh-CN"/>
          <w14:textFill>
            <w14:solidFill>
              <w14:schemeClr w14:val="tx1"/>
            </w14:solidFill>
          </w14:textFill>
        </w:rPr>
        <w:t>186</w:t>
      </w:r>
      <w:r>
        <w:rPr>
          <w:rFonts w:hint="eastAsia" w:ascii="宋体" w:hAnsi="宋体"/>
          <w:color w:val="000000" w:themeColor="text1"/>
          <w:sz w:val="24"/>
          <w:szCs w:val="24"/>
          <w:highlight w:val="none"/>
          <w14:textFill>
            <w14:solidFill>
              <w14:schemeClr w14:val="tx1"/>
            </w14:solidFill>
          </w14:textFill>
        </w:rPr>
        <w:t xml:space="preserve">万元，报价超过最高限价的将作为无效响应处理。 </w:t>
      </w:r>
    </w:p>
    <w:p w14:paraId="2084DED6">
      <w:pPr>
        <w:keepNext w:val="0"/>
        <w:keepLines w:val="0"/>
        <w:pageBreakBefore w:val="0"/>
        <w:widowControl w:val="0"/>
        <w:spacing w:line="480" w:lineRule="exact"/>
        <w:ind w:firstLine="482"/>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7.采购需求：</w:t>
      </w:r>
      <w:r>
        <w:rPr>
          <w:rFonts w:hint="eastAsia" w:ascii="宋体" w:hAnsi="宋体" w:cs="宋体"/>
          <w:color w:val="000000" w:themeColor="text1"/>
          <w:sz w:val="24"/>
          <w:szCs w:val="24"/>
          <w:highlight w:val="none"/>
          <w14:textFill>
            <w14:solidFill>
              <w14:schemeClr w14:val="tx1"/>
            </w14:solidFill>
          </w14:textFill>
        </w:rPr>
        <w:t>详细内容见本采购文件第三章，</w:t>
      </w:r>
      <w:r>
        <w:rPr>
          <w:rFonts w:ascii="宋体" w:hAnsi="宋体" w:cs="宋体"/>
          <w:color w:val="000000" w:themeColor="text1"/>
          <w:sz w:val="24"/>
          <w:szCs w:val="24"/>
          <w:highlight w:val="none"/>
          <w14:textFill>
            <w14:solidFill>
              <w14:schemeClr w14:val="tx1"/>
            </w14:solidFill>
          </w14:textFill>
        </w:rPr>
        <w:t>请仔细研究。</w:t>
      </w:r>
    </w:p>
    <w:p w14:paraId="01AEF1CF">
      <w:pPr>
        <w:keepNext w:val="0"/>
        <w:keepLines w:val="0"/>
        <w:pageBreakBefore w:val="0"/>
        <w:widowControl w:val="0"/>
        <w:spacing w:line="480" w:lineRule="exact"/>
        <w:ind w:firstLine="482"/>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8.合同履行期限：详见磋商文件。</w:t>
      </w:r>
    </w:p>
    <w:p w14:paraId="2B0EA5F9">
      <w:pPr>
        <w:keepNext/>
        <w:keepLines/>
        <w:pageBreakBefore w:val="0"/>
        <w:widowControl w:val="0"/>
        <w:spacing w:line="480" w:lineRule="exact"/>
        <w:ind w:firstLine="498"/>
        <w:outlineLvl w:val="2"/>
        <w:rPr>
          <w:b/>
          <w:bCs/>
          <w:color w:val="000000" w:themeColor="text1"/>
          <w:sz w:val="32"/>
          <w:szCs w:val="32"/>
          <w:highlight w:val="none"/>
          <w14:textFill>
            <w14:solidFill>
              <w14:schemeClr w14:val="tx1"/>
            </w14:solidFill>
          </w14:textFill>
        </w:rPr>
      </w:pPr>
      <w:bookmarkStart w:id="12" w:name="_Toc35393622"/>
      <w:bookmarkStart w:id="13" w:name="_Toc38985264"/>
      <w:bookmarkStart w:id="14" w:name="_Toc28359080"/>
      <w:bookmarkStart w:id="15" w:name="_Toc28359003"/>
      <w:bookmarkStart w:id="16" w:name="_Toc35393791"/>
      <w:r>
        <w:rPr>
          <w:rFonts w:hint="eastAsia"/>
          <w:b/>
          <w:bCs/>
          <w:color w:val="000000" w:themeColor="text1"/>
          <w:sz w:val="32"/>
          <w:szCs w:val="32"/>
          <w:highlight w:val="none"/>
          <w14:textFill>
            <w14:solidFill>
              <w14:schemeClr w14:val="tx1"/>
            </w14:solidFill>
          </w14:textFill>
        </w:rPr>
        <w:t>二、申请人的资格要求：</w:t>
      </w:r>
      <w:bookmarkEnd w:id="12"/>
      <w:bookmarkEnd w:id="13"/>
      <w:bookmarkEnd w:id="14"/>
      <w:bookmarkEnd w:id="15"/>
      <w:bookmarkEnd w:id="16"/>
    </w:p>
    <w:p w14:paraId="3E138B1F">
      <w:pPr>
        <w:keepNext w:val="0"/>
        <w:keepLines w:val="0"/>
        <w:pageBreakBefore w:val="0"/>
        <w:widowControl w:val="0"/>
        <w:spacing w:line="480" w:lineRule="exact"/>
        <w:ind w:firstLine="480"/>
        <w:rPr>
          <w:rFonts w:hint="eastAsia" w:ascii="宋体" w:hAnsi="宋体"/>
          <w:color w:val="000000" w:themeColor="text1"/>
          <w:sz w:val="24"/>
          <w:szCs w:val="24"/>
          <w:highlight w:val="none"/>
          <w14:textFill>
            <w14:solidFill>
              <w14:schemeClr w14:val="tx1"/>
            </w14:solidFill>
          </w14:textFill>
        </w:rPr>
      </w:pPr>
      <w:bookmarkStart w:id="17" w:name="_Toc35393792"/>
      <w:bookmarkStart w:id="18" w:name="_Toc35393623"/>
      <w:bookmarkStart w:id="19" w:name="_Toc28359004"/>
      <w:bookmarkStart w:id="20" w:name="_Toc28359081"/>
      <w:bookmarkStart w:id="21" w:name="_Toc38985265"/>
      <w:r>
        <w:rPr>
          <w:rFonts w:hint="eastAsia" w:ascii="宋体" w:hAnsi="宋体"/>
          <w:color w:val="000000" w:themeColor="text1"/>
          <w:sz w:val="24"/>
          <w:szCs w:val="24"/>
          <w:highlight w:val="none"/>
          <w14:textFill>
            <w14:solidFill>
              <w14:schemeClr w14:val="tx1"/>
            </w14:solidFill>
          </w14:textFill>
        </w:rPr>
        <w:t>（一</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通用资格要求</w:t>
      </w:r>
    </w:p>
    <w:p w14:paraId="3EA69339">
      <w:pPr>
        <w:keepNext w:val="0"/>
        <w:keepLines w:val="0"/>
        <w:pageBreakBefore w:val="0"/>
        <w:widowControl w:val="0"/>
        <w:spacing w:line="480" w:lineRule="exact"/>
        <w:ind w:firstLine="482"/>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满足《中华人民共和国政府采购法》第二十二条规定。（按附件1格式进行声明，响应文件中无需提供其他证明材料）</w:t>
      </w:r>
    </w:p>
    <w:p w14:paraId="45097983">
      <w:pPr>
        <w:keepNext w:val="0"/>
        <w:keepLines w:val="0"/>
        <w:pageBreakBefore w:val="0"/>
        <w:widowControl w:val="0"/>
        <w:spacing w:line="480" w:lineRule="exact"/>
        <w:ind w:firstLine="482"/>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2.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响应文件中无需提供其他证明材料）</w:t>
      </w:r>
    </w:p>
    <w:p w14:paraId="5E8A474E">
      <w:pPr>
        <w:keepNext w:val="0"/>
        <w:keepLines w:val="0"/>
        <w:pageBreakBefore w:val="0"/>
        <w:widowControl w:val="0"/>
        <w:spacing w:line="480" w:lineRule="exact"/>
        <w:ind w:firstLine="482"/>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491699D2">
      <w:pPr>
        <w:keepNext w:val="0"/>
        <w:keepLines w:val="0"/>
        <w:pageBreakBefore w:val="0"/>
        <w:widowControl w:val="0"/>
        <w:spacing w:line="480" w:lineRule="exact"/>
        <w:ind w:firstLine="482"/>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4.本项目不接受联合体投标。</w:t>
      </w:r>
    </w:p>
    <w:p w14:paraId="58863FB1">
      <w:pPr>
        <w:keepNext w:val="0"/>
        <w:keepLines w:val="0"/>
        <w:pageBreakBefore w:val="0"/>
        <w:widowControl w:val="0"/>
        <w:spacing w:line="480" w:lineRule="exact"/>
        <w:ind w:firstLine="482"/>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5.本项目不接受进口产品投标。</w:t>
      </w:r>
    </w:p>
    <w:p w14:paraId="344B2636">
      <w:pPr>
        <w:keepNext w:val="0"/>
        <w:keepLines w:val="0"/>
        <w:pageBreakBefore w:val="0"/>
        <w:widowControl w:val="0"/>
        <w:spacing w:line="480" w:lineRule="exact"/>
        <w:ind w:firstLine="482"/>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6.本项目</w:t>
      </w:r>
      <w:r>
        <w:rPr>
          <w:rFonts w:hint="eastAsia" w:ascii="宋体" w:hAnsi="宋体"/>
          <w:color w:val="000000" w:themeColor="text1"/>
          <w:sz w:val="24"/>
          <w:szCs w:val="24"/>
          <w:highlight w:val="none"/>
          <w14:textFill>
            <w14:solidFill>
              <w14:schemeClr w14:val="tx1"/>
            </w14:solidFill>
          </w14:textFill>
        </w:rPr>
        <w:t>接受分包</w:t>
      </w:r>
      <w:r>
        <w:rPr>
          <w:rFonts w:hint="eastAsia" w:ascii="宋体" w:hAnsi="宋体"/>
          <w:color w:val="000000" w:themeColor="text1"/>
          <w:sz w:val="24"/>
          <w:szCs w:val="24"/>
          <w:highlight w:val="none"/>
          <w14:textFill>
            <w14:solidFill>
              <w14:schemeClr w14:val="tx1"/>
            </w14:solidFill>
          </w14:textFill>
        </w:rPr>
        <w:t>。</w:t>
      </w:r>
    </w:p>
    <w:p w14:paraId="74B973C0">
      <w:pPr>
        <w:keepNext w:val="0"/>
        <w:keepLines w:val="0"/>
        <w:pageBreakBefore w:val="0"/>
        <w:widowControl w:val="0"/>
        <w:spacing w:line="480" w:lineRule="exact"/>
        <w:ind w:firstLine="482"/>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本项目中标方若非中小企业则需向中小企业分包，分包内容包含设备</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安装、调试、维护，人员驻场</w:t>
      </w:r>
      <w:r>
        <w:rPr>
          <w:rFonts w:hint="eastAsia" w:ascii="宋体" w:hAnsi="宋体" w:eastAsia="宋体" w:cs="Times New Roman"/>
          <w:color w:val="000000" w:themeColor="text1"/>
          <w:sz w:val="24"/>
          <w:szCs w:val="24"/>
          <w:highlight w:val="none"/>
          <w14:textFill>
            <w14:solidFill>
              <w14:schemeClr w14:val="tx1"/>
            </w14:solidFill>
          </w14:textFill>
        </w:rPr>
        <w:t>等</w:t>
      </w:r>
      <w:r>
        <w:rPr>
          <w:rFonts w:hint="eastAsia" w:ascii="宋体" w:hAnsi="宋体" w:eastAsia="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14:textFill>
            <w14:solidFill>
              <w14:schemeClr w14:val="tx1"/>
            </w14:solidFill>
          </w14:textFill>
        </w:rPr>
        <w:t>分包比例不低于合同总金额的</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40%</w:t>
      </w:r>
      <w:r>
        <w:rPr>
          <w:rFonts w:hint="eastAsia" w:ascii="宋体" w:hAnsi="宋体" w:eastAsia="宋体" w:cs="Times New Roman"/>
          <w:color w:val="000000" w:themeColor="text1"/>
          <w:sz w:val="24"/>
          <w:szCs w:val="24"/>
          <w:highlight w:val="none"/>
          <w14:textFill>
            <w14:solidFill>
              <w14:schemeClr w14:val="tx1"/>
            </w14:solidFill>
          </w14:textFill>
        </w:rPr>
        <w:t>。</w:t>
      </w:r>
    </w:p>
    <w:p w14:paraId="3B991B63">
      <w:pPr>
        <w:keepNext w:val="0"/>
        <w:keepLines w:val="0"/>
        <w:pageBreakBefore w:val="0"/>
        <w:widowControl w:val="0"/>
        <w:spacing w:line="480" w:lineRule="exact"/>
        <w:ind w:firstLine="482"/>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en-US" w:eastAsia="zh-CN"/>
          <w14:textFill>
            <w14:solidFill>
              <w14:schemeClr w14:val="tx1"/>
            </w14:solidFill>
          </w14:textFill>
        </w:rPr>
        <w:t>二</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落实政府采购政策需满足的资格要求：</w:t>
      </w:r>
    </w:p>
    <w:p w14:paraId="3C03EB66">
      <w:pPr>
        <w:keepNext w:val="0"/>
        <w:keepLines w:val="0"/>
        <w:pageBreakBefore w:val="0"/>
        <w:widowControl w:val="0"/>
        <w:spacing w:line="480" w:lineRule="exact"/>
        <w:ind w:firstLine="482"/>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本项目为</w:t>
      </w:r>
      <w:r>
        <w:rPr>
          <w:rFonts w:hint="eastAsia" w:ascii="宋体" w:hAnsi="宋体"/>
          <w:color w:val="000000" w:themeColor="text1"/>
          <w:sz w:val="24"/>
          <w:szCs w:val="24"/>
          <w:highlight w:val="none"/>
          <w:lang w:val="en-US" w:eastAsia="zh-CN"/>
          <w14:textFill>
            <w14:solidFill>
              <w14:schemeClr w14:val="tx1"/>
            </w14:solidFill>
          </w14:textFill>
        </w:rPr>
        <w:t>非</w:t>
      </w:r>
      <w:r>
        <w:rPr>
          <w:rFonts w:hint="eastAsia" w:ascii="宋体" w:hAnsi="宋体"/>
          <w:color w:val="000000" w:themeColor="text1"/>
          <w:sz w:val="24"/>
          <w:szCs w:val="24"/>
          <w:highlight w:val="none"/>
          <w14:textFill>
            <w14:solidFill>
              <w14:schemeClr w14:val="tx1"/>
            </w14:solidFill>
          </w14:textFill>
        </w:rPr>
        <w:t>专门面向中小微企业</w:t>
      </w:r>
      <w:r>
        <w:rPr>
          <w:rFonts w:hint="eastAsia" w:ascii="宋体" w:hAnsi="宋体"/>
          <w:color w:val="000000" w:themeColor="text1"/>
          <w:sz w:val="24"/>
          <w:szCs w:val="24"/>
          <w:highlight w:val="none"/>
          <w:lang w:val="en-US" w:eastAsia="zh-CN"/>
          <w14:textFill>
            <w14:solidFill>
              <w14:schemeClr w14:val="tx1"/>
            </w14:solidFill>
          </w14:textFill>
        </w:rPr>
        <w:t>采购项目。</w:t>
      </w:r>
    </w:p>
    <w:p w14:paraId="4DAD75D0">
      <w:pPr>
        <w:keepNext w:val="0"/>
        <w:keepLines w:val="0"/>
        <w:pageBreakBefore w:val="0"/>
        <w:widowControl w:val="0"/>
        <w:spacing w:line="480" w:lineRule="exact"/>
        <w:ind w:firstLine="480"/>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en-US" w:eastAsia="zh-CN"/>
          <w14:textFill>
            <w14:solidFill>
              <w14:schemeClr w14:val="tx1"/>
            </w14:solidFill>
          </w14:textFill>
        </w:rPr>
        <w:t>三</w:t>
      </w:r>
      <w:r>
        <w:rPr>
          <w:rFonts w:hint="eastAsia" w:ascii="宋体" w:hAnsi="宋体"/>
          <w:color w:val="000000" w:themeColor="text1"/>
          <w:sz w:val="24"/>
          <w:szCs w:val="24"/>
          <w:highlight w:val="none"/>
          <w14:textFill>
            <w14:solidFill>
              <w14:schemeClr w14:val="tx1"/>
            </w14:solidFill>
          </w14:textFill>
        </w:rPr>
        <w:t>）本项目的特定资格要求</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lang w:val="en-US" w:eastAsia="zh-CN"/>
          <w14:textFill>
            <w14:solidFill>
              <w14:schemeClr w14:val="tx1"/>
            </w14:solidFill>
          </w14:textFill>
        </w:rPr>
        <w:t>无。</w:t>
      </w:r>
    </w:p>
    <w:p w14:paraId="5FF0F347">
      <w:pPr>
        <w:keepNext/>
        <w:keepLines/>
        <w:pageBreakBefore w:val="0"/>
        <w:widowControl w:val="0"/>
        <w:spacing w:line="480" w:lineRule="exact"/>
        <w:ind w:firstLine="498"/>
        <w:outlineLvl w:val="2"/>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三、获取</w:t>
      </w:r>
      <w:bookmarkEnd w:id="17"/>
      <w:bookmarkEnd w:id="18"/>
      <w:bookmarkEnd w:id="19"/>
      <w:bookmarkEnd w:id="20"/>
      <w:bookmarkEnd w:id="21"/>
      <w:r>
        <w:rPr>
          <w:rFonts w:hint="eastAsia"/>
          <w:b/>
          <w:bCs/>
          <w:color w:val="000000" w:themeColor="text1"/>
          <w:sz w:val="32"/>
          <w:szCs w:val="32"/>
          <w:highlight w:val="none"/>
          <w:lang w:eastAsia="zh-CN"/>
          <w14:textFill>
            <w14:solidFill>
              <w14:schemeClr w14:val="tx1"/>
            </w14:solidFill>
          </w14:textFill>
        </w:rPr>
        <w:t>磋商</w:t>
      </w:r>
      <w:r>
        <w:rPr>
          <w:rFonts w:hint="eastAsia"/>
          <w:b/>
          <w:bCs/>
          <w:color w:val="000000" w:themeColor="text1"/>
          <w:sz w:val="32"/>
          <w:szCs w:val="32"/>
          <w:highlight w:val="none"/>
          <w14:textFill>
            <w14:solidFill>
              <w14:schemeClr w14:val="tx1"/>
            </w14:solidFill>
          </w14:textFill>
        </w:rPr>
        <w:t>文件</w:t>
      </w:r>
    </w:p>
    <w:p w14:paraId="22577DFD">
      <w:pPr>
        <w:keepNext w:val="0"/>
        <w:keepLines w:val="0"/>
        <w:pageBreakBefore w:val="0"/>
        <w:widowControl w:val="0"/>
        <w:spacing w:line="480" w:lineRule="exact"/>
        <w:ind w:firstLine="540"/>
        <w:rPr>
          <w:rFonts w:ascii="宋体" w:hAnsi="宋体" w:cs="宋体"/>
          <w:b/>
          <w:color w:val="000000" w:themeColor="text1"/>
          <w:sz w:val="24"/>
          <w:szCs w:val="24"/>
          <w:highlight w:val="none"/>
          <w14:textFill>
            <w14:solidFill>
              <w14:schemeClr w14:val="tx1"/>
            </w14:solidFill>
          </w14:textFill>
        </w:rPr>
      </w:pPr>
      <w:bookmarkStart w:id="22" w:name="_Toc28359082"/>
      <w:bookmarkStart w:id="23" w:name="_Toc28359005"/>
      <w:bookmarkStart w:id="24" w:name="_Toc35393624"/>
      <w:bookmarkStart w:id="25" w:name="_Toc35393793"/>
      <w:bookmarkStart w:id="26" w:name="_Toc38985266"/>
      <w:r>
        <w:rPr>
          <w:rFonts w:hint="eastAsia" w:ascii="宋体" w:hAnsi="宋体" w:cs="宋体"/>
          <w:color w:val="000000" w:themeColor="text1"/>
          <w:sz w:val="24"/>
          <w:szCs w:val="24"/>
          <w:highlight w:val="none"/>
          <w14:textFill>
            <w14:solidFill>
              <w14:schemeClr w14:val="tx1"/>
            </w14:solidFill>
          </w14:textFill>
        </w:rPr>
        <w:t>1.时间：自公告发布之日起至</w:t>
      </w:r>
      <w:r>
        <w:rPr>
          <w:rFonts w:hint="eastAsia" w:ascii="宋体" w:hAnsi="宋体" w:cs="宋体"/>
          <w:color w:val="000000" w:themeColor="text1"/>
          <w:sz w:val="24"/>
          <w:szCs w:val="24"/>
          <w:highlight w:val="none"/>
          <w14:textFill>
            <w14:solidFill>
              <w14:schemeClr w14:val="tx1"/>
            </w14:solidFill>
          </w14:textFill>
        </w:rPr>
        <w:t>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08</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17</w:t>
      </w:r>
      <w:r>
        <w:rPr>
          <w:rFonts w:hint="eastAsia" w:ascii="宋体" w:hAnsi="宋体" w:cs="宋体"/>
          <w:color w:val="000000" w:themeColor="text1"/>
          <w:sz w:val="24"/>
          <w:szCs w:val="24"/>
          <w:highlight w:val="none"/>
          <w14:textFill>
            <w14:solidFill>
              <w14:schemeClr w14:val="tx1"/>
            </w14:solidFill>
          </w14:textFill>
        </w:rPr>
        <w:t>日</w:t>
      </w:r>
      <w:r>
        <w:rPr>
          <w:rFonts w:hint="eastAsia" w:ascii="宋体" w:hAnsi="宋体" w:cs="宋体"/>
          <w:color w:val="000000" w:themeColor="text1"/>
          <w:sz w:val="24"/>
          <w:szCs w:val="24"/>
          <w:highlight w:val="none"/>
          <w14:textFill>
            <w14:solidFill>
              <w14:schemeClr w14:val="tx1"/>
            </w14:solidFill>
          </w14:textFill>
        </w:rPr>
        <w:t>（提供期限自本公告发布之日起不得少于</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个工作日）。</w:t>
      </w:r>
    </w:p>
    <w:p w14:paraId="653F5CA6">
      <w:pPr>
        <w:keepNext w:val="0"/>
        <w:keepLines w:val="0"/>
        <w:pageBreakBefore w:val="0"/>
        <w:widowControl w:val="0"/>
        <w:spacing w:line="480" w:lineRule="exact"/>
        <w:ind w:firstLine="54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地点</w:t>
      </w:r>
      <w:r>
        <w:rPr>
          <w:rFonts w:hint="eastAsia" w:ascii="宋体" w:hAnsi="宋体" w:cs="宋体"/>
          <w:color w:val="000000" w:themeColor="text1"/>
          <w:sz w:val="24"/>
          <w:szCs w:val="24"/>
          <w:highlight w:val="none"/>
          <w14:textFill>
            <w14:solidFill>
              <w14:schemeClr w14:val="tx1"/>
            </w14:solidFill>
          </w14:textFill>
        </w:rPr>
        <w:t>：在“江苏政府采购网”自行免费下载</w:t>
      </w:r>
      <w:r>
        <w:rPr>
          <w:rFonts w:hint="eastAsia" w:ascii="宋体" w:hAnsi="宋体" w:cs="宋体"/>
          <w:color w:val="000000" w:themeColor="text1"/>
          <w:sz w:val="24"/>
          <w:szCs w:val="24"/>
          <w:highlight w:val="none"/>
          <w:lang w:eastAsia="zh-CN"/>
          <w14:textFill>
            <w14:solidFill>
              <w14:schemeClr w14:val="tx1"/>
            </w14:solidFill>
          </w14:textFill>
        </w:rPr>
        <w:t>磋商</w:t>
      </w:r>
      <w:r>
        <w:rPr>
          <w:rFonts w:hint="eastAsia" w:ascii="宋体" w:hAnsi="宋体" w:cs="宋体"/>
          <w:color w:val="000000" w:themeColor="text1"/>
          <w:sz w:val="24"/>
          <w:szCs w:val="24"/>
          <w:highlight w:val="none"/>
          <w14:textFill>
            <w14:solidFill>
              <w14:schemeClr w14:val="tx1"/>
            </w14:solidFill>
          </w14:textFill>
        </w:rPr>
        <w:t>文件。</w:t>
      </w:r>
    </w:p>
    <w:p w14:paraId="4D55D248">
      <w:pPr>
        <w:keepNext w:val="0"/>
        <w:keepLines w:val="0"/>
        <w:pageBreakBefore w:val="0"/>
        <w:widowControl w:val="0"/>
        <w:spacing w:line="480" w:lineRule="exact"/>
        <w:ind w:firstLine="5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3.获取方式：本项目采用网上注册登记方式。</w:t>
      </w:r>
    </w:p>
    <w:p w14:paraId="5DE6CDEF">
      <w:pPr>
        <w:keepNext w:val="0"/>
        <w:keepLines w:val="0"/>
        <w:pageBreakBefore w:val="0"/>
        <w:widowControl w:val="0"/>
        <w:spacing w:line="48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3.1潜在供应商访问电子招标响应交易平台的网络地址和方法：</w:t>
      </w:r>
    </w:p>
    <w:p w14:paraId="2B4164E5">
      <w:pPr>
        <w:keepNext w:val="0"/>
        <w:keepLines w:val="0"/>
        <w:pageBreakBefore w:val="0"/>
        <w:widowControl w:val="0"/>
        <w:spacing w:line="48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481F68B6">
      <w:pPr>
        <w:keepNext w:val="0"/>
        <w:keepLines w:val="0"/>
        <w:pageBreakBefore w:val="0"/>
        <w:widowControl w:val="0"/>
        <w:spacing w:line="48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3.2潜在供应商访问“苏采云”系统的网络地址和方法：“苏采云”系统的网址：http://jszfcg.jsczt.cn/。</w:t>
      </w:r>
    </w:p>
    <w:p w14:paraId="44F86322">
      <w:pPr>
        <w:keepNext w:val="0"/>
        <w:keepLines w:val="0"/>
        <w:pageBreakBefore w:val="0"/>
        <w:widowControl w:val="0"/>
        <w:spacing w:line="48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3.3“CA数字证书”的获取：</w:t>
      </w:r>
    </w:p>
    <w:p w14:paraId="20118B84">
      <w:pPr>
        <w:keepNext w:val="0"/>
        <w:keepLines w:val="0"/>
        <w:pageBreakBefore w:val="0"/>
        <w:widowControl w:val="0"/>
        <w:spacing w:line="48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0BE4B825">
      <w:pPr>
        <w:keepNext w:val="0"/>
        <w:keepLines w:val="0"/>
        <w:pageBreakBefore w:val="0"/>
        <w:widowControl w:val="0"/>
        <w:spacing w:line="48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3.4采购文件（后缀名为“.kedt”）、供应商操作手册及政府采购客户端工具可通过“苏采云”系统--已报名项目--报名详情页面内相应链接进行下载。</w:t>
      </w:r>
    </w:p>
    <w:p w14:paraId="762C53D2">
      <w:pPr>
        <w:keepNext w:val="0"/>
        <w:keepLines w:val="0"/>
        <w:pageBreakBefore w:val="0"/>
        <w:widowControl w:val="0"/>
        <w:spacing w:line="48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3.5招标代理机构（采购代理机构）将数据电文形式的采购文件加载至“苏采云”系统，供潜在供应商下载或者查阅。  </w:t>
      </w:r>
    </w:p>
    <w:p w14:paraId="063845E9">
      <w:pPr>
        <w:keepNext w:val="0"/>
        <w:keepLines w:val="0"/>
        <w:pageBreakBefore w:val="0"/>
        <w:widowControl w:val="0"/>
        <w:spacing w:line="48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3.6请潜在供应商提前安装相应的控件（详见《江苏省政府采购管理交易系统（苏采云）供应商操作手册》）并使用谷歌浏览器登录“苏采云”系统参与不见面开评标。</w:t>
      </w:r>
    </w:p>
    <w:p w14:paraId="5C7EFBE2">
      <w:pPr>
        <w:keepNext w:val="0"/>
        <w:keepLines w:val="0"/>
        <w:pageBreakBefore w:val="0"/>
        <w:widowControl w:val="0"/>
        <w:spacing w:line="480" w:lineRule="exact"/>
        <w:ind w:firstLine="53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注：如潜在供应商未按上述要求操作，将自行承担所产生的风险。</w:t>
      </w:r>
    </w:p>
    <w:p w14:paraId="3CB59616">
      <w:pPr>
        <w:keepNext/>
        <w:keepLines/>
        <w:pageBreakBefore w:val="0"/>
        <w:widowControl w:val="0"/>
        <w:spacing w:line="480" w:lineRule="exact"/>
        <w:ind w:firstLine="498"/>
        <w:outlineLvl w:val="2"/>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四、提交</w:t>
      </w:r>
      <w:bookmarkEnd w:id="22"/>
      <w:bookmarkEnd w:id="23"/>
      <w:r>
        <w:rPr>
          <w:rFonts w:hint="eastAsia"/>
          <w:b/>
          <w:bCs/>
          <w:color w:val="000000" w:themeColor="text1"/>
          <w:sz w:val="32"/>
          <w:szCs w:val="32"/>
          <w:highlight w:val="none"/>
          <w14:textFill>
            <w14:solidFill>
              <w14:schemeClr w14:val="tx1"/>
            </w14:solidFill>
          </w14:textFill>
        </w:rPr>
        <w:t>响应文件截止时间</w:t>
      </w:r>
      <w:bookmarkEnd w:id="24"/>
      <w:bookmarkEnd w:id="25"/>
      <w:bookmarkEnd w:id="26"/>
    </w:p>
    <w:p w14:paraId="2A67634C">
      <w:pPr>
        <w:keepNext w:val="0"/>
        <w:keepLines w:val="0"/>
        <w:pageBreakBefore w:val="0"/>
        <w:widowControl w:val="0"/>
        <w:spacing w:line="480" w:lineRule="exact"/>
        <w:ind w:firstLine="482"/>
        <w:rPr>
          <w:rFonts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u w:val="none"/>
          <w14:textFill>
            <w14:solidFill>
              <w14:schemeClr w14:val="tx1"/>
            </w14:solidFill>
          </w14:textFill>
        </w:rPr>
        <w:t>1.</w:t>
      </w:r>
      <w:r>
        <w:rPr>
          <w:rFonts w:hint="eastAsia" w:ascii="宋体" w:hAnsi="宋体"/>
          <w:bCs/>
          <w:color w:val="000000" w:themeColor="text1"/>
          <w:sz w:val="24"/>
          <w:szCs w:val="24"/>
          <w:highlight w:val="none"/>
          <w:u w:val="single"/>
          <w14:textFill>
            <w14:solidFill>
              <w14:schemeClr w14:val="tx1"/>
            </w14:solidFill>
          </w14:textFill>
        </w:rPr>
        <w:t>202</w:t>
      </w:r>
      <w:r>
        <w:rPr>
          <w:rFonts w:hint="eastAsia" w:ascii="宋体" w:hAnsi="宋体"/>
          <w:bCs/>
          <w:color w:val="000000" w:themeColor="text1"/>
          <w:sz w:val="24"/>
          <w:szCs w:val="24"/>
          <w:highlight w:val="none"/>
          <w:u w:val="single"/>
          <w:lang w:val="en-US" w:eastAsia="zh-CN"/>
          <w14:textFill>
            <w14:solidFill>
              <w14:schemeClr w14:val="tx1"/>
            </w14:solidFill>
          </w14:textFill>
        </w:rPr>
        <w:t>6</w:t>
      </w:r>
      <w:r>
        <w:rPr>
          <w:rFonts w:hint="eastAsia" w:ascii="宋体" w:hAnsi="宋体"/>
          <w:bCs/>
          <w:color w:val="000000" w:themeColor="text1"/>
          <w:sz w:val="24"/>
          <w:szCs w:val="24"/>
          <w:highlight w:val="none"/>
          <w:u w:val="single"/>
          <w14:textFill>
            <w14:solidFill>
              <w14:schemeClr w14:val="tx1"/>
            </w14:solidFill>
          </w14:textFill>
        </w:rPr>
        <w:t>年</w:t>
      </w:r>
      <w:r>
        <w:rPr>
          <w:rFonts w:hint="eastAsia" w:ascii="宋体" w:hAnsi="宋体"/>
          <w:bCs/>
          <w:color w:val="000000" w:themeColor="text1"/>
          <w:sz w:val="24"/>
          <w:szCs w:val="24"/>
          <w:highlight w:val="none"/>
          <w:u w:val="single"/>
          <w:lang w:val="en-US" w:eastAsia="zh-CN"/>
          <w14:textFill>
            <w14:solidFill>
              <w14:schemeClr w14:val="tx1"/>
            </w14:solidFill>
          </w14:textFill>
        </w:rPr>
        <w:t>08</w:t>
      </w:r>
      <w:r>
        <w:rPr>
          <w:rFonts w:hint="eastAsia" w:ascii="宋体" w:hAnsi="宋体"/>
          <w:bCs/>
          <w:color w:val="000000" w:themeColor="text1"/>
          <w:sz w:val="24"/>
          <w:szCs w:val="24"/>
          <w:highlight w:val="none"/>
          <w:u w:val="single"/>
          <w14:textFill>
            <w14:solidFill>
              <w14:schemeClr w14:val="tx1"/>
            </w14:solidFill>
          </w14:textFill>
        </w:rPr>
        <w:t>月</w:t>
      </w:r>
      <w:r>
        <w:rPr>
          <w:rFonts w:hint="eastAsia" w:ascii="宋体" w:hAnsi="宋体"/>
          <w:bCs/>
          <w:color w:val="000000" w:themeColor="text1"/>
          <w:sz w:val="24"/>
          <w:szCs w:val="24"/>
          <w:highlight w:val="none"/>
          <w:u w:val="single"/>
          <w:lang w:val="en-US" w:eastAsia="zh-CN"/>
          <w14:textFill>
            <w14:solidFill>
              <w14:schemeClr w14:val="tx1"/>
            </w14:solidFill>
          </w14:textFill>
        </w:rPr>
        <w:t>17</w:t>
      </w:r>
      <w:r>
        <w:rPr>
          <w:rFonts w:hint="eastAsia" w:ascii="宋体" w:hAnsi="宋体"/>
          <w:bCs/>
          <w:color w:val="000000" w:themeColor="text1"/>
          <w:sz w:val="24"/>
          <w:szCs w:val="24"/>
          <w:highlight w:val="none"/>
          <w:u w:val="single"/>
          <w14:textFill>
            <w14:solidFill>
              <w14:schemeClr w14:val="tx1"/>
            </w14:solidFill>
          </w14:textFill>
        </w:rPr>
        <w:t>日</w:t>
      </w:r>
      <w:r>
        <w:rPr>
          <w:rFonts w:hint="eastAsia" w:ascii="宋体" w:hAnsi="宋体"/>
          <w:bCs/>
          <w:color w:val="000000" w:themeColor="text1"/>
          <w:sz w:val="24"/>
          <w:szCs w:val="24"/>
          <w:highlight w:val="none"/>
          <w:u w:val="single"/>
          <w:lang w:val="en-US" w:eastAsia="zh-CN"/>
          <w14:textFill>
            <w14:solidFill>
              <w14:schemeClr w14:val="tx1"/>
            </w14:solidFill>
          </w14:textFill>
        </w:rPr>
        <w:t>09</w:t>
      </w:r>
      <w:r>
        <w:rPr>
          <w:rFonts w:hint="eastAsia" w:ascii="宋体" w:hAnsi="宋体"/>
          <w:bCs/>
          <w:color w:val="000000" w:themeColor="text1"/>
          <w:sz w:val="24"/>
          <w:szCs w:val="24"/>
          <w:highlight w:val="none"/>
          <w:u w:val="single"/>
          <w14:textFill>
            <w14:solidFill>
              <w14:schemeClr w14:val="tx1"/>
            </w14:solidFill>
          </w14:textFill>
        </w:rPr>
        <w:t>点</w:t>
      </w:r>
      <w:r>
        <w:rPr>
          <w:rFonts w:hint="eastAsia" w:ascii="宋体" w:hAnsi="宋体"/>
          <w:bCs/>
          <w:color w:val="000000" w:themeColor="text1"/>
          <w:sz w:val="24"/>
          <w:szCs w:val="24"/>
          <w:highlight w:val="none"/>
          <w:u w:val="single"/>
          <w:lang w:val="en-US" w:eastAsia="zh-CN"/>
          <w14:textFill>
            <w14:solidFill>
              <w14:schemeClr w14:val="tx1"/>
            </w14:solidFill>
          </w14:textFill>
        </w:rPr>
        <w:t>00</w:t>
      </w:r>
      <w:r>
        <w:rPr>
          <w:rFonts w:hint="eastAsia" w:ascii="宋体" w:hAnsi="宋体"/>
          <w:bCs/>
          <w:color w:val="000000" w:themeColor="text1"/>
          <w:sz w:val="24"/>
          <w:szCs w:val="24"/>
          <w:highlight w:val="none"/>
          <w:u w:val="single"/>
          <w14:textFill>
            <w14:solidFill>
              <w14:schemeClr w14:val="tx1"/>
            </w14:solidFill>
          </w14:textFill>
        </w:rPr>
        <w:t>分</w:t>
      </w:r>
      <w:r>
        <w:rPr>
          <w:rFonts w:hint="eastAsia" w:ascii="宋体" w:hAnsi="宋体"/>
          <w:bCs/>
          <w:color w:val="000000" w:themeColor="text1"/>
          <w:sz w:val="24"/>
          <w:szCs w:val="24"/>
          <w:highlight w:val="none"/>
          <w14:textFill>
            <w14:solidFill>
              <w14:schemeClr w14:val="tx1"/>
            </w14:solidFill>
          </w14:textFill>
        </w:rPr>
        <w:t>（北京时间）。</w:t>
      </w:r>
      <w:r>
        <w:rPr>
          <w:rFonts w:hint="eastAsia" w:ascii="宋体" w:hAnsi="宋体" w:cs="宋体"/>
          <w:color w:val="000000" w:themeColor="text1"/>
          <w:sz w:val="24"/>
          <w:szCs w:val="24"/>
          <w:highlight w:val="none"/>
          <w14:textFill>
            <w14:solidFill>
              <w14:schemeClr w14:val="tx1"/>
            </w14:solidFill>
          </w14:textFill>
        </w:rPr>
        <w:t>（自</w:t>
      </w:r>
      <w:r>
        <w:rPr>
          <w:rFonts w:hint="eastAsia" w:ascii="宋体" w:hAnsi="宋体" w:cs="宋体"/>
          <w:color w:val="000000" w:themeColor="text1"/>
          <w:sz w:val="24"/>
          <w:szCs w:val="24"/>
          <w:highlight w:val="none"/>
          <w:lang w:eastAsia="zh-CN"/>
          <w14:textFill>
            <w14:solidFill>
              <w14:schemeClr w14:val="tx1"/>
            </w14:solidFill>
          </w14:textFill>
        </w:rPr>
        <w:t>磋商</w:t>
      </w:r>
      <w:r>
        <w:rPr>
          <w:rFonts w:hint="eastAsia" w:ascii="宋体" w:hAnsi="宋体" w:cs="宋体"/>
          <w:color w:val="000000" w:themeColor="text1"/>
          <w:sz w:val="24"/>
          <w:szCs w:val="24"/>
          <w:highlight w:val="none"/>
          <w14:textFill>
            <w14:solidFill>
              <w14:schemeClr w14:val="tx1"/>
            </w14:solidFill>
          </w14:textFill>
        </w:rPr>
        <w:t>文件开始发出之日起至供应商提交响应文件截止之日止，不得少于</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cs="宋体"/>
          <w:color w:val="000000" w:themeColor="text1"/>
          <w:sz w:val="24"/>
          <w:szCs w:val="24"/>
          <w:highlight w:val="none"/>
          <w14:textFill>
            <w14:solidFill>
              <w14:schemeClr w14:val="tx1"/>
            </w14:solidFill>
          </w14:textFill>
        </w:rPr>
        <w:t>日）</w:t>
      </w:r>
    </w:p>
    <w:p w14:paraId="2E29E634">
      <w:pPr>
        <w:keepNext w:val="0"/>
        <w:keepLines w:val="0"/>
        <w:pageBreakBefore w:val="0"/>
        <w:widowControl w:val="0"/>
        <w:spacing w:line="480" w:lineRule="exact"/>
        <w:ind w:firstLine="482"/>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2.地点：“苏采云”政府采购交易系统网上开标大厅。</w:t>
      </w:r>
    </w:p>
    <w:p w14:paraId="4F2DA808">
      <w:pPr>
        <w:keepNext w:val="0"/>
        <w:keepLines w:val="0"/>
        <w:pageBreakBefore w:val="0"/>
        <w:widowControl w:val="0"/>
        <w:spacing w:line="480" w:lineRule="exact"/>
        <w:ind w:firstLine="482"/>
        <w:rPr>
          <w:rFonts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注：各供应商请关注开标大厅交流区，在开标结束后，请勿离开开标大厅，待资格审查完毕，</w:t>
      </w:r>
      <w:r>
        <w:rPr>
          <w:rFonts w:hint="eastAsia" w:ascii="宋体" w:hAnsi="宋体" w:cs="宋体"/>
          <w:b/>
          <w:color w:val="000000" w:themeColor="text1"/>
          <w:sz w:val="24"/>
          <w:szCs w:val="21"/>
          <w:highlight w:val="none"/>
          <w:lang w:eastAsia="zh-CN"/>
          <w14:textFill>
            <w14:solidFill>
              <w14:schemeClr w14:val="tx1"/>
            </w14:solidFill>
          </w14:textFill>
        </w:rPr>
        <w:t>磋商</w:t>
      </w:r>
      <w:r>
        <w:rPr>
          <w:rFonts w:hint="eastAsia" w:ascii="宋体" w:hAnsi="宋体" w:cs="宋体"/>
          <w:b/>
          <w:color w:val="000000" w:themeColor="text1"/>
          <w:sz w:val="24"/>
          <w:szCs w:val="21"/>
          <w:highlight w:val="none"/>
          <w14:textFill>
            <w14:solidFill>
              <w14:schemeClr w14:val="tx1"/>
            </w14:solidFill>
          </w14:textFill>
        </w:rPr>
        <w:t>小组发出报价指令后须在1</w:t>
      </w:r>
      <w:r>
        <w:rPr>
          <w:rFonts w:hint="eastAsia" w:ascii="宋体" w:hAnsi="宋体" w:cs="宋体"/>
          <w:b/>
          <w:color w:val="000000" w:themeColor="text1"/>
          <w:sz w:val="24"/>
          <w:szCs w:val="21"/>
          <w:highlight w:val="none"/>
          <w:lang w:val="en-US" w:eastAsia="zh-CN"/>
          <w14:textFill>
            <w14:solidFill>
              <w14:schemeClr w14:val="tx1"/>
            </w14:solidFill>
          </w14:textFill>
        </w:rPr>
        <w:t>5</w:t>
      </w:r>
      <w:r>
        <w:rPr>
          <w:rFonts w:hint="eastAsia" w:ascii="宋体" w:hAnsi="宋体" w:cs="宋体"/>
          <w:b/>
          <w:color w:val="000000" w:themeColor="text1"/>
          <w:sz w:val="24"/>
          <w:szCs w:val="21"/>
          <w:highlight w:val="none"/>
          <w14:textFill>
            <w14:solidFill>
              <w14:schemeClr w14:val="tx1"/>
            </w14:solidFill>
          </w14:textFill>
        </w:rPr>
        <w:t>分钟内完成系统报价。</w:t>
      </w:r>
      <w:r>
        <w:rPr>
          <w:rFonts w:hint="eastAsia" w:ascii="宋体" w:hAnsi="宋体"/>
          <w:color w:val="000000" w:themeColor="text1"/>
          <w:sz w:val="24"/>
          <w:szCs w:val="24"/>
          <w:highlight w:val="none"/>
          <w14:textFill>
            <w14:solidFill>
              <w14:schemeClr w14:val="tx1"/>
            </w14:solidFill>
          </w14:textFill>
        </w:rPr>
        <w:t>供应商未在</w:t>
      </w:r>
      <w:r>
        <w:rPr>
          <w:rFonts w:hint="eastAsia" w:ascii="宋体" w:hAnsi="宋体"/>
          <w:color w:val="000000" w:themeColor="text1"/>
          <w:sz w:val="24"/>
          <w:szCs w:val="24"/>
          <w:highlight w:val="none"/>
          <w:lang w:eastAsia="zh-CN"/>
          <w14:textFill>
            <w14:solidFill>
              <w14:schemeClr w14:val="tx1"/>
            </w14:solidFill>
          </w14:textFill>
        </w:rPr>
        <w:t>磋商</w:t>
      </w:r>
      <w:r>
        <w:rPr>
          <w:rFonts w:hint="eastAsia" w:ascii="宋体" w:hAnsi="宋体"/>
          <w:color w:val="000000" w:themeColor="text1"/>
          <w:sz w:val="24"/>
          <w:szCs w:val="24"/>
          <w:highlight w:val="none"/>
          <w14:textFill>
            <w14:solidFill>
              <w14:schemeClr w14:val="tx1"/>
            </w14:solidFill>
          </w14:textFill>
        </w:rPr>
        <w:t>小组规定的时间内在苏采云系统中提交最后报价的视为放弃</w:t>
      </w:r>
      <w:r>
        <w:rPr>
          <w:rFonts w:hint="eastAsia" w:ascii="宋体" w:hAnsi="宋体"/>
          <w:color w:val="000000" w:themeColor="text1"/>
          <w:sz w:val="24"/>
          <w:szCs w:val="24"/>
          <w:highlight w:val="none"/>
          <w:lang w:eastAsia="zh-CN"/>
          <w14:textFill>
            <w14:solidFill>
              <w14:schemeClr w14:val="tx1"/>
            </w14:solidFill>
          </w14:textFill>
        </w:rPr>
        <w:t>磋商</w:t>
      </w:r>
      <w:r>
        <w:rPr>
          <w:rFonts w:hint="eastAsia" w:ascii="宋体" w:hAnsi="宋体"/>
          <w:color w:val="000000" w:themeColor="text1"/>
          <w:sz w:val="24"/>
          <w:szCs w:val="24"/>
          <w:highlight w:val="none"/>
          <w14:textFill>
            <w14:solidFill>
              <w14:schemeClr w14:val="tx1"/>
            </w14:solidFill>
          </w14:textFill>
        </w:rPr>
        <w:t>，其响应文件按无效响应处理。</w:t>
      </w:r>
    </w:p>
    <w:p w14:paraId="3A9C1434">
      <w:pPr>
        <w:keepNext w:val="0"/>
        <w:keepLines w:val="0"/>
        <w:pageBreakBefore w:val="0"/>
        <w:widowControl w:val="0"/>
        <w:spacing w:line="480" w:lineRule="exact"/>
        <w:ind w:firstLine="480"/>
        <w:rPr>
          <w:rFonts w:ascii="宋体" w:hAnsi="宋体"/>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000000" w:themeColor="text1"/>
          <w:sz w:val="24"/>
          <w:szCs w:val="21"/>
          <w:highlight w:val="none"/>
          <w14:textFill>
            <w14:solidFill>
              <w14:schemeClr w14:val="tx1"/>
            </w14:solidFill>
          </w14:textFill>
        </w:rPr>
        <w:t>供应商解密限定在开标后30分钟之内完成</w:t>
      </w:r>
      <w:r>
        <w:rPr>
          <w:rFonts w:hint="eastAsia" w:ascii="宋体" w:hAnsi="宋体" w:cs="宋体"/>
          <w:color w:val="000000" w:themeColor="text1"/>
          <w:sz w:val="24"/>
          <w:szCs w:val="21"/>
          <w:highlight w:val="none"/>
          <w14:textFill>
            <w14:solidFill>
              <w14:schemeClr w14:val="tx1"/>
            </w14:solidFill>
          </w14:textFill>
        </w:rPr>
        <w:t>。</w:t>
      </w:r>
      <w:r>
        <w:rPr>
          <w:rFonts w:hint="eastAsia" w:ascii="宋体" w:hAnsi="宋体" w:cs="宋体"/>
          <w:color w:val="000000" w:themeColor="text1"/>
          <w:sz w:val="24"/>
          <w:szCs w:val="21"/>
          <w:highlight w:val="none"/>
          <w:u w:val="single"/>
          <w14:textFill>
            <w14:solidFill>
              <w14:schemeClr w14:val="tx1"/>
            </w14:solidFill>
          </w14:textFill>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000000" w:themeColor="text1"/>
          <w:sz w:val="24"/>
          <w:szCs w:val="21"/>
          <w:highlight w:val="none"/>
          <w14:textFill>
            <w14:solidFill>
              <w14:schemeClr w14:val="tx1"/>
            </w14:solidFill>
          </w14:textFill>
        </w:rPr>
        <w:t>；因采购人原因或网上招投标平台发生故障，导致无法按时完成响应文件解密或开、评标工作无法进行的，可根据实际情况相应延迟解密时间或调整开、评标时间。</w:t>
      </w:r>
    </w:p>
    <w:p w14:paraId="30EFDB7D">
      <w:pPr>
        <w:keepNext w:val="0"/>
        <w:keepLines w:val="0"/>
        <w:pageBreakBefore w:val="0"/>
        <w:widowControl w:val="0"/>
        <w:spacing w:line="480" w:lineRule="exact"/>
        <w:ind w:firstLine="499"/>
        <w:outlineLvl w:val="2"/>
        <w:rPr>
          <w:b/>
          <w:bCs/>
          <w:color w:val="000000" w:themeColor="text1"/>
          <w:sz w:val="32"/>
          <w:szCs w:val="32"/>
          <w:highlight w:val="none"/>
          <w14:textFill>
            <w14:solidFill>
              <w14:schemeClr w14:val="tx1"/>
            </w14:solidFill>
          </w14:textFill>
        </w:rPr>
      </w:pPr>
      <w:bookmarkStart w:id="27" w:name="_Toc35393625"/>
      <w:bookmarkStart w:id="28" w:name="_Toc28359007"/>
      <w:bookmarkStart w:id="29" w:name="_Toc38985267"/>
      <w:bookmarkStart w:id="30" w:name="_Toc28359084"/>
      <w:bookmarkStart w:id="31" w:name="_Toc35393794"/>
      <w:r>
        <w:rPr>
          <w:rFonts w:hint="eastAsia"/>
          <w:b/>
          <w:bCs/>
          <w:color w:val="000000" w:themeColor="text1"/>
          <w:sz w:val="32"/>
          <w:szCs w:val="32"/>
          <w:highlight w:val="none"/>
          <w14:textFill>
            <w14:solidFill>
              <w14:schemeClr w14:val="tx1"/>
            </w14:solidFill>
          </w14:textFill>
        </w:rPr>
        <w:t>五、公告期限</w:t>
      </w:r>
      <w:bookmarkEnd w:id="27"/>
      <w:bookmarkEnd w:id="28"/>
      <w:bookmarkEnd w:id="29"/>
      <w:bookmarkEnd w:id="30"/>
      <w:bookmarkEnd w:id="31"/>
    </w:p>
    <w:p w14:paraId="2637A722">
      <w:pPr>
        <w:keepNext w:val="0"/>
        <w:keepLines w:val="0"/>
        <w:pageBreakBefore w:val="0"/>
        <w:widowControl w:val="0"/>
        <w:spacing w:line="480" w:lineRule="exact"/>
        <w:ind w:firstLine="482"/>
        <w:rPr>
          <w:rFonts w:ascii="宋体" w:hAnsi="宋体" w:cs="宋体"/>
          <w:color w:val="000000" w:themeColor="text1"/>
          <w:sz w:val="24"/>
          <w:szCs w:val="24"/>
          <w:highlight w:val="none"/>
          <w14:textFill>
            <w14:solidFill>
              <w14:schemeClr w14:val="tx1"/>
            </w14:solidFill>
          </w14:textFill>
        </w:rPr>
      </w:pPr>
      <w:bookmarkStart w:id="32" w:name="_Toc38985268"/>
      <w:bookmarkStart w:id="33" w:name="_Toc35393795"/>
      <w:bookmarkStart w:id="34" w:name="_Toc35393626"/>
      <w:r>
        <w:rPr>
          <w:rFonts w:hint="eastAsia" w:ascii="宋体" w:hAnsi="宋体" w:cs="宋体"/>
          <w:color w:val="000000" w:themeColor="text1"/>
          <w:sz w:val="24"/>
          <w:szCs w:val="24"/>
          <w:highlight w:val="none"/>
          <w:lang w:eastAsia="zh-CN"/>
          <w14:textFill>
            <w14:solidFill>
              <w14:schemeClr w14:val="tx1"/>
            </w14:solidFill>
          </w14:textFill>
        </w:rPr>
        <w:t>磋商</w:t>
      </w:r>
      <w:r>
        <w:rPr>
          <w:rFonts w:hint="eastAsia" w:ascii="宋体" w:hAnsi="宋体" w:cs="宋体"/>
          <w:color w:val="000000" w:themeColor="text1"/>
          <w:sz w:val="24"/>
          <w:szCs w:val="24"/>
          <w:highlight w:val="none"/>
          <w14:textFill>
            <w14:solidFill>
              <w14:schemeClr w14:val="tx1"/>
            </w14:solidFill>
          </w14:textFill>
        </w:rPr>
        <w:t>公告及</w:t>
      </w:r>
      <w:r>
        <w:rPr>
          <w:rFonts w:hint="eastAsia" w:ascii="宋体" w:hAnsi="宋体" w:cs="宋体"/>
          <w:color w:val="000000" w:themeColor="text1"/>
          <w:sz w:val="24"/>
          <w:szCs w:val="24"/>
          <w:highlight w:val="none"/>
          <w:lang w:eastAsia="zh-CN"/>
          <w14:textFill>
            <w14:solidFill>
              <w14:schemeClr w14:val="tx1"/>
            </w14:solidFill>
          </w14:textFill>
        </w:rPr>
        <w:t>磋商</w:t>
      </w:r>
      <w:r>
        <w:rPr>
          <w:rFonts w:hint="eastAsia" w:ascii="宋体" w:hAnsi="宋体" w:cs="宋体"/>
          <w:color w:val="000000" w:themeColor="text1"/>
          <w:sz w:val="24"/>
          <w:szCs w:val="24"/>
          <w:highlight w:val="none"/>
          <w14:textFill>
            <w14:solidFill>
              <w14:schemeClr w14:val="tx1"/>
            </w14:solidFill>
          </w14:textFill>
        </w:rPr>
        <w:t>文件公告期限为自本公告发布之日起3个工作日。</w:t>
      </w:r>
    </w:p>
    <w:p w14:paraId="7FE233AE">
      <w:pPr>
        <w:keepNext/>
        <w:keepLines/>
        <w:pageBreakBefore w:val="0"/>
        <w:widowControl w:val="0"/>
        <w:spacing w:line="480" w:lineRule="exact"/>
        <w:ind w:firstLine="498"/>
        <w:outlineLvl w:val="2"/>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六、其他补充事宜</w:t>
      </w:r>
      <w:bookmarkEnd w:id="32"/>
      <w:bookmarkEnd w:id="33"/>
      <w:bookmarkEnd w:id="34"/>
    </w:p>
    <w:p w14:paraId="69C2AC64">
      <w:pPr>
        <w:keepNext w:val="0"/>
        <w:keepLines w:val="0"/>
        <w:pageBreakBefore w:val="0"/>
        <w:widowControl w:val="0"/>
        <w:spacing w:line="480" w:lineRule="exact"/>
        <w:ind w:firstLine="48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1.投标保证金：免收</w:t>
      </w:r>
    </w:p>
    <w:p w14:paraId="761CB8B4">
      <w:pPr>
        <w:keepNext w:val="0"/>
        <w:keepLines w:val="0"/>
        <w:pageBreakBefore w:val="0"/>
        <w:widowControl w:val="0"/>
        <w:spacing w:line="480" w:lineRule="exact"/>
        <w:ind w:firstLine="48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2.项目开标活动模式：不见面远程开标模式，供应商在各自地点通过“苏采云”政府采购交易系统参加</w:t>
      </w:r>
      <w:r>
        <w:rPr>
          <w:rFonts w:hint="eastAsia" w:ascii="宋体" w:hAnsi="宋体" w:cs="宋体"/>
          <w:color w:val="000000" w:themeColor="text1"/>
          <w:sz w:val="24"/>
          <w:szCs w:val="24"/>
          <w:highlight w:val="none"/>
          <w:lang w:eastAsia="zh-CN"/>
          <w14:textFill>
            <w14:solidFill>
              <w14:schemeClr w14:val="tx1"/>
            </w14:solidFill>
          </w14:textFill>
        </w:rPr>
        <w:t>磋商</w:t>
      </w:r>
      <w:r>
        <w:rPr>
          <w:rFonts w:hint="eastAsia" w:ascii="宋体" w:hAnsi="宋体" w:cs="宋体"/>
          <w:color w:val="000000" w:themeColor="text1"/>
          <w:sz w:val="24"/>
          <w:szCs w:val="24"/>
          <w:highlight w:val="none"/>
          <w14:textFill>
            <w14:solidFill>
              <w14:schemeClr w14:val="tx1"/>
            </w14:solidFill>
          </w14:textFill>
        </w:rPr>
        <w:t>活动。</w:t>
      </w:r>
    </w:p>
    <w:p w14:paraId="61AF0A05">
      <w:pPr>
        <w:keepNext w:val="0"/>
        <w:keepLines w:val="0"/>
        <w:pageBreakBefore w:val="0"/>
        <w:widowControl w:val="0"/>
        <w:spacing w:line="480" w:lineRule="exact"/>
        <w:ind w:firstLine="48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3.项目演示、样品、答辩等（如有请描述）：无</w:t>
      </w:r>
    </w:p>
    <w:p w14:paraId="153DB6DA">
      <w:pPr>
        <w:keepNext w:val="0"/>
        <w:keepLines w:val="0"/>
        <w:pageBreakBefore w:val="0"/>
        <w:widowControl w:val="0"/>
        <w:spacing w:line="480" w:lineRule="exact"/>
        <w:ind w:firstLine="48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4.对项目需求部分（供应商资格要求、项目需求、商务技术评分标准）的询问、质疑由采购人负责答复；对项目</w:t>
      </w:r>
      <w:r>
        <w:rPr>
          <w:rFonts w:hint="eastAsia" w:ascii="宋体" w:hAnsi="宋体" w:cs="宋体"/>
          <w:color w:val="000000" w:themeColor="text1"/>
          <w:sz w:val="24"/>
          <w:szCs w:val="24"/>
          <w:highlight w:val="none"/>
          <w:lang w:eastAsia="zh-CN"/>
          <w14:textFill>
            <w14:solidFill>
              <w14:schemeClr w14:val="tx1"/>
            </w14:solidFill>
          </w14:textFill>
        </w:rPr>
        <w:t>磋商</w:t>
      </w:r>
      <w:r>
        <w:rPr>
          <w:rFonts w:hint="eastAsia" w:ascii="宋体" w:hAnsi="宋体" w:cs="宋体"/>
          <w:color w:val="000000" w:themeColor="text1"/>
          <w:sz w:val="24"/>
          <w:szCs w:val="24"/>
          <w:highlight w:val="none"/>
          <w14:textFill>
            <w14:solidFill>
              <w14:schemeClr w14:val="tx1"/>
            </w14:solidFill>
          </w14:textFill>
        </w:rPr>
        <w:t>文件其它部分的询问请向</w:t>
      </w:r>
      <w:r>
        <w:rPr>
          <w:rFonts w:hint="eastAsia" w:ascii="宋体" w:hAnsi="宋体" w:cs="宋体"/>
          <w:color w:val="000000" w:themeColor="text1"/>
          <w:sz w:val="24"/>
          <w:szCs w:val="24"/>
          <w:highlight w:val="none"/>
          <w:lang w:eastAsia="zh-CN"/>
          <w14:textFill>
            <w14:solidFill>
              <w14:schemeClr w14:val="tx1"/>
            </w14:solidFill>
          </w14:textFill>
        </w:rPr>
        <w:t>磋商</w:t>
      </w:r>
      <w:r>
        <w:rPr>
          <w:rFonts w:hint="eastAsia" w:ascii="宋体" w:hAnsi="宋体" w:cs="宋体"/>
          <w:color w:val="000000" w:themeColor="text1"/>
          <w:sz w:val="24"/>
          <w:szCs w:val="24"/>
          <w:highlight w:val="none"/>
          <w14:textFill>
            <w14:solidFill>
              <w14:schemeClr w14:val="tx1"/>
            </w14:solidFill>
          </w14:textFill>
        </w:rPr>
        <w:t>文件制作人或项目</w:t>
      </w:r>
      <w:r>
        <w:rPr>
          <w:rFonts w:hint="eastAsia" w:ascii="宋体" w:hAnsi="宋体" w:cs="宋体"/>
          <w:color w:val="000000" w:themeColor="text1"/>
          <w:sz w:val="24"/>
          <w:szCs w:val="24"/>
          <w:highlight w:val="none"/>
          <w:lang w:eastAsia="zh-CN"/>
          <w14:textFill>
            <w14:solidFill>
              <w14:schemeClr w14:val="tx1"/>
            </w14:solidFill>
          </w14:textFill>
        </w:rPr>
        <w:t>磋商</w:t>
      </w:r>
      <w:r>
        <w:rPr>
          <w:rFonts w:hint="eastAsia" w:ascii="宋体" w:hAnsi="宋体" w:cs="宋体"/>
          <w:color w:val="000000" w:themeColor="text1"/>
          <w:sz w:val="24"/>
          <w:szCs w:val="24"/>
          <w:highlight w:val="none"/>
          <w14:textFill>
            <w14:solidFill>
              <w14:schemeClr w14:val="tx1"/>
            </w14:solidFill>
          </w14:textFill>
        </w:rPr>
        <w:t>经办人提出；对在“电子交易平台”操作阶段的询问请向交易系统软件维护人员提出。</w:t>
      </w:r>
    </w:p>
    <w:p w14:paraId="2FE7D1B6">
      <w:pPr>
        <w:keepNext w:val="0"/>
        <w:keepLines w:val="0"/>
        <w:pageBreakBefore w:val="0"/>
        <w:widowControl w:val="0"/>
        <w:spacing w:line="480" w:lineRule="exact"/>
        <w:ind w:firstLine="48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p>
    <w:p w14:paraId="15BF289C">
      <w:pPr>
        <w:keepNext w:val="0"/>
        <w:keepLines w:val="0"/>
        <w:pageBreakBefore w:val="0"/>
        <w:widowControl w:val="0"/>
        <w:spacing w:line="480" w:lineRule="exact"/>
        <w:ind w:firstLine="48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08FF253B">
      <w:pPr>
        <w:keepNext w:val="0"/>
        <w:keepLines w:val="0"/>
        <w:pageBreakBefore w:val="0"/>
        <w:widowControl w:val="0"/>
        <w:spacing w:line="480" w:lineRule="exact"/>
        <w:ind w:firstLine="48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cs="宋体"/>
          <w:color w:val="000000" w:themeColor="text1"/>
          <w:sz w:val="24"/>
          <w:szCs w:val="24"/>
          <w:highlight w:val="none"/>
          <w14:textFill>
            <w14:solidFill>
              <w14:schemeClr w14:val="tx1"/>
            </w14:solidFill>
          </w14:textFill>
        </w:rPr>
        <w:t>.有关本次</w:t>
      </w:r>
      <w:r>
        <w:rPr>
          <w:rFonts w:hint="eastAsia" w:ascii="宋体" w:hAnsi="宋体" w:cs="宋体"/>
          <w:color w:val="000000" w:themeColor="text1"/>
          <w:sz w:val="24"/>
          <w:szCs w:val="24"/>
          <w:highlight w:val="none"/>
          <w:lang w:eastAsia="zh-CN"/>
          <w14:textFill>
            <w14:solidFill>
              <w14:schemeClr w14:val="tx1"/>
            </w14:solidFill>
          </w14:textFill>
        </w:rPr>
        <w:t>磋商</w:t>
      </w:r>
      <w:r>
        <w:rPr>
          <w:rFonts w:hint="eastAsia" w:ascii="宋体" w:hAnsi="宋体" w:cs="宋体"/>
          <w:color w:val="000000" w:themeColor="text1"/>
          <w:sz w:val="24"/>
          <w:szCs w:val="24"/>
          <w:highlight w:val="none"/>
          <w14:textFill>
            <w14:solidFill>
              <w14:schemeClr w14:val="tx1"/>
            </w14:solidFill>
          </w14:textFill>
        </w:rPr>
        <w:t>的事项若存在变动或修改，敬请及时关注采购人或采购代理机构在“江苏政府采购网”发布的更正公告。</w:t>
      </w:r>
    </w:p>
    <w:p w14:paraId="209EC6C4">
      <w:pPr>
        <w:keepNext w:val="0"/>
        <w:keepLines w:val="0"/>
        <w:pageBreakBefore w:val="0"/>
        <w:widowControl w:val="0"/>
        <w:spacing w:line="480" w:lineRule="exact"/>
        <w:ind w:firstLine="482"/>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8.成交供应商须提供一份纸质版响应文件正本至采购人处。</w:t>
      </w:r>
    </w:p>
    <w:p w14:paraId="09D6B072">
      <w:pPr>
        <w:keepNext/>
        <w:keepLines/>
        <w:pageBreakBefore w:val="0"/>
        <w:widowControl w:val="0"/>
        <w:spacing w:line="480" w:lineRule="exact"/>
        <w:ind w:firstLine="498"/>
        <w:outlineLvl w:val="2"/>
        <w:rPr>
          <w:b/>
          <w:bCs/>
          <w:color w:val="000000" w:themeColor="text1"/>
          <w:sz w:val="32"/>
          <w:szCs w:val="32"/>
          <w:highlight w:val="none"/>
          <w14:textFill>
            <w14:solidFill>
              <w14:schemeClr w14:val="tx1"/>
            </w14:solidFill>
          </w14:textFill>
        </w:rPr>
      </w:pPr>
      <w:bookmarkStart w:id="35" w:name="_Toc28359085"/>
      <w:bookmarkStart w:id="36" w:name="_Toc35393627"/>
      <w:bookmarkStart w:id="37" w:name="_Toc35393796"/>
      <w:bookmarkStart w:id="38" w:name="_Toc38985269"/>
      <w:bookmarkStart w:id="39" w:name="_Toc28359008"/>
      <w:r>
        <w:rPr>
          <w:rFonts w:hint="eastAsia"/>
          <w:b/>
          <w:bCs/>
          <w:color w:val="000000" w:themeColor="text1"/>
          <w:sz w:val="32"/>
          <w:szCs w:val="32"/>
          <w:highlight w:val="none"/>
          <w14:textFill>
            <w14:solidFill>
              <w14:schemeClr w14:val="tx1"/>
            </w14:solidFill>
          </w14:textFill>
        </w:rPr>
        <w:t>七、本次</w:t>
      </w:r>
      <w:r>
        <w:rPr>
          <w:rFonts w:hint="eastAsia"/>
          <w:b/>
          <w:bCs/>
          <w:color w:val="000000" w:themeColor="text1"/>
          <w:sz w:val="32"/>
          <w:szCs w:val="32"/>
          <w:highlight w:val="none"/>
          <w:lang w:eastAsia="zh-CN"/>
          <w14:textFill>
            <w14:solidFill>
              <w14:schemeClr w14:val="tx1"/>
            </w14:solidFill>
          </w14:textFill>
        </w:rPr>
        <w:t>磋商</w:t>
      </w:r>
      <w:r>
        <w:rPr>
          <w:rFonts w:hint="eastAsia"/>
          <w:b/>
          <w:bCs/>
          <w:color w:val="000000" w:themeColor="text1"/>
          <w:sz w:val="32"/>
          <w:szCs w:val="32"/>
          <w:highlight w:val="none"/>
          <w14:textFill>
            <w14:solidFill>
              <w14:schemeClr w14:val="tx1"/>
            </w14:solidFill>
          </w14:textFill>
        </w:rPr>
        <w:t>联系方式</w:t>
      </w:r>
      <w:bookmarkEnd w:id="35"/>
      <w:bookmarkEnd w:id="36"/>
      <w:bookmarkEnd w:id="37"/>
      <w:bookmarkEnd w:id="38"/>
      <w:bookmarkEnd w:id="39"/>
    </w:p>
    <w:p w14:paraId="144AAD41">
      <w:pPr>
        <w:keepNext w:val="0"/>
        <w:keepLines w:val="0"/>
        <w:pageBreakBefore w:val="0"/>
        <w:widowControl w:val="0"/>
        <w:spacing w:line="480" w:lineRule="exact"/>
        <w:ind w:left="298" w:firstLine="120"/>
        <w:rPr>
          <w:rFonts w:ascii="宋体" w:hAnsi="宋体"/>
          <w:color w:val="000000" w:themeColor="text1"/>
          <w:sz w:val="24"/>
          <w:szCs w:val="24"/>
          <w:highlight w:val="none"/>
          <w14:textFill>
            <w14:solidFill>
              <w14:schemeClr w14:val="tx1"/>
            </w14:solidFill>
          </w14:textFill>
        </w:rPr>
      </w:pPr>
      <w:bookmarkStart w:id="40" w:name="_Toc28359086"/>
      <w:bookmarkStart w:id="41" w:name="_Toc28359009"/>
      <w:bookmarkStart w:id="42" w:name="_Toc28359010"/>
      <w:bookmarkStart w:id="43" w:name="_Toc28359087"/>
      <w:r>
        <w:rPr>
          <w:rFonts w:hint="eastAsia" w:ascii="宋体" w:hAnsi="宋体"/>
          <w:color w:val="000000" w:themeColor="text1"/>
          <w:sz w:val="24"/>
          <w:szCs w:val="24"/>
          <w:highlight w:val="none"/>
          <w14:textFill>
            <w14:solidFill>
              <w14:schemeClr w14:val="tx1"/>
            </w14:solidFill>
          </w14:textFill>
        </w:rPr>
        <w:t>1.采购人信息</w:t>
      </w:r>
    </w:p>
    <w:p w14:paraId="636C5047">
      <w:pPr>
        <w:keepNext w:val="0"/>
        <w:keepLines w:val="0"/>
        <w:pageBreakBefore w:val="0"/>
        <w:widowControl w:val="0"/>
        <w:spacing w:line="480" w:lineRule="exact"/>
        <w:ind w:left="298" w:firstLine="120"/>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称：</w:t>
      </w:r>
      <w:r>
        <w:rPr>
          <w:rFonts w:hint="eastAsia" w:ascii="宋体" w:hAnsi="宋体"/>
          <w:color w:val="000000" w:themeColor="text1"/>
          <w:sz w:val="24"/>
          <w:szCs w:val="24"/>
          <w:highlight w:val="none"/>
          <w:lang w:eastAsia="zh-CN"/>
          <w14:textFill>
            <w14:solidFill>
              <w14:schemeClr w14:val="tx1"/>
            </w14:solidFill>
          </w14:textFill>
        </w:rPr>
        <w:t>海安市人民医院</w:t>
      </w:r>
    </w:p>
    <w:p w14:paraId="67E8CC25">
      <w:pPr>
        <w:keepNext w:val="0"/>
        <w:keepLines w:val="0"/>
        <w:pageBreakBefore w:val="0"/>
        <w:widowControl w:val="0"/>
        <w:spacing w:line="480" w:lineRule="exact"/>
        <w:ind w:left="298" w:firstLine="1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地</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址：</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海安市中坝中路17号</w:t>
      </w:r>
    </w:p>
    <w:p w14:paraId="431C3887">
      <w:pPr>
        <w:keepNext w:val="0"/>
        <w:keepLines w:val="0"/>
        <w:pageBreakBefore w:val="0"/>
        <w:widowControl w:val="0"/>
        <w:spacing w:line="480" w:lineRule="exact"/>
        <w:ind w:left="298" w:firstLine="1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联系人：</w:t>
      </w:r>
      <w:r>
        <w:rPr>
          <w:rFonts w:hint="eastAsia" w:ascii="宋体" w:hAnsi="宋体"/>
          <w:color w:val="000000" w:themeColor="text1"/>
          <w:sz w:val="24"/>
          <w:szCs w:val="24"/>
          <w:highlight w:val="none"/>
          <w:lang w:val="en-US" w:eastAsia="zh-CN"/>
          <w14:textFill>
            <w14:solidFill>
              <w14:schemeClr w14:val="tx1"/>
            </w14:solidFill>
          </w14:textFill>
        </w:rPr>
        <w:t>濮先生</w:t>
      </w:r>
    </w:p>
    <w:p w14:paraId="6F154739">
      <w:pPr>
        <w:keepNext w:val="0"/>
        <w:keepLines w:val="0"/>
        <w:pageBreakBefore w:val="0"/>
        <w:widowControl w:val="0"/>
        <w:spacing w:line="480" w:lineRule="exact"/>
        <w:ind w:left="298" w:firstLine="1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联系方式：</w:t>
      </w:r>
      <w:r>
        <w:rPr>
          <w:rFonts w:hint="eastAsia" w:ascii="宋体" w:hAnsi="宋体"/>
          <w:color w:val="000000" w:themeColor="text1"/>
          <w:sz w:val="24"/>
          <w:szCs w:val="24"/>
          <w:highlight w:val="none"/>
          <w:lang w:val="en-US" w:eastAsia="zh-CN"/>
          <w14:textFill>
            <w14:solidFill>
              <w14:schemeClr w14:val="tx1"/>
            </w14:solidFill>
          </w14:textFill>
        </w:rPr>
        <w:t>13912855289</w:t>
      </w:r>
    </w:p>
    <w:p w14:paraId="1870E13C">
      <w:pPr>
        <w:keepNext w:val="0"/>
        <w:keepLines w:val="0"/>
        <w:pageBreakBefore w:val="0"/>
        <w:widowControl w:val="0"/>
        <w:spacing w:line="480" w:lineRule="exact"/>
        <w:ind w:left="298" w:firstLine="12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w:t>
      </w:r>
      <w:bookmarkEnd w:id="40"/>
      <w:bookmarkEnd w:id="41"/>
      <w:r>
        <w:rPr>
          <w:rFonts w:hint="eastAsia" w:ascii="宋体" w:hAnsi="宋体" w:eastAsia="宋体"/>
          <w:color w:val="000000" w:themeColor="text1"/>
          <w:sz w:val="24"/>
          <w:szCs w:val="24"/>
          <w:highlight w:val="none"/>
          <w14:textFill>
            <w14:solidFill>
              <w14:schemeClr w14:val="tx1"/>
            </w14:solidFill>
          </w14:textFill>
        </w:rPr>
        <w:t>采购代理机构信息</w:t>
      </w:r>
    </w:p>
    <w:p w14:paraId="26E045FB">
      <w:pPr>
        <w:keepNext w:val="0"/>
        <w:keepLines w:val="0"/>
        <w:pageBreakBefore w:val="0"/>
        <w:widowControl w:val="0"/>
        <w:spacing w:line="480" w:lineRule="exact"/>
        <w:ind w:left="298" w:firstLine="120"/>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名</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 称：</w:t>
      </w:r>
      <w:r>
        <w:rPr>
          <w:rFonts w:hint="eastAsia" w:ascii="宋体" w:hAnsi="宋体" w:eastAsia="宋体"/>
          <w:color w:val="000000" w:themeColor="text1"/>
          <w:sz w:val="24"/>
          <w:szCs w:val="24"/>
          <w:highlight w:val="none"/>
          <w:lang w:eastAsia="zh-CN"/>
          <w14:textFill>
            <w14:solidFill>
              <w14:schemeClr w14:val="tx1"/>
            </w14:solidFill>
          </w14:textFill>
        </w:rPr>
        <w:t>江苏佰鸿工程项目管理有限公司</w:t>
      </w:r>
    </w:p>
    <w:p w14:paraId="792F6C71">
      <w:pPr>
        <w:keepNext w:val="0"/>
        <w:keepLines w:val="0"/>
        <w:pageBreakBefore w:val="0"/>
        <w:widowControl w:val="0"/>
        <w:spacing w:line="480" w:lineRule="exact"/>
        <w:ind w:left="298" w:firstLine="12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地</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址：海安市万星路86号</w:t>
      </w:r>
    </w:p>
    <w:p w14:paraId="5E7A7919">
      <w:pPr>
        <w:keepNext w:val="0"/>
        <w:keepLines w:val="0"/>
        <w:pageBreakBefore w:val="0"/>
        <w:widowControl w:val="0"/>
        <w:spacing w:line="480" w:lineRule="exact"/>
        <w:ind w:left="298" w:firstLine="120"/>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联系人：</w:t>
      </w:r>
      <w:r>
        <w:rPr>
          <w:rFonts w:hint="eastAsia" w:ascii="宋体" w:hAnsi="宋体"/>
          <w:color w:val="000000" w:themeColor="text1"/>
          <w:sz w:val="24"/>
          <w:szCs w:val="24"/>
          <w:highlight w:val="none"/>
          <w:lang w:val="en-US" w:eastAsia="zh-CN"/>
          <w14:textFill>
            <w14:solidFill>
              <w14:schemeClr w14:val="tx1"/>
            </w14:solidFill>
          </w14:textFill>
        </w:rPr>
        <w:t>杭琴</w:t>
      </w:r>
    </w:p>
    <w:p w14:paraId="6A973F49">
      <w:pPr>
        <w:keepNext w:val="0"/>
        <w:keepLines w:val="0"/>
        <w:pageBreakBefore w:val="0"/>
        <w:widowControl w:val="0"/>
        <w:spacing w:line="480" w:lineRule="exact"/>
        <w:ind w:left="298" w:firstLine="120"/>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联系方式：</w:t>
      </w:r>
      <w:r>
        <w:rPr>
          <w:rFonts w:hint="eastAsia" w:ascii="宋体" w:hAnsi="宋体"/>
          <w:color w:val="000000" w:themeColor="text1"/>
          <w:sz w:val="24"/>
          <w:szCs w:val="24"/>
          <w:highlight w:val="none"/>
          <w:lang w:val="en-US" w:eastAsia="zh-CN"/>
          <w14:textFill>
            <w14:solidFill>
              <w14:schemeClr w14:val="tx1"/>
            </w14:solidFill>
          </w14:textFill>
        </w:rPr>
        <w:t>13584709269</w:t>
      </w:r>
    </w:p>
    <w:p w14:paraId="39FEE7EE">
      <w:pPr>
        <w:keepNext w:val="0"/>
        <w:keepLines w:val="0"/>
        <w:pageBreakBefore w:val="0"/>
        <w:widowControl w:val="0"/>
        <w:spacing w:line="480" w:lineRule="exact"/>
        <w:ind w:left="298" w:firstLine="12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3.项目联系方式</w:t>
      </w:r>
    </w:p>
    <w:p w14:paraId="53B00CC4">
      <w:pPr>
        <w:keepNext w:val="0"/>
        <w:keepLines w:val="0"/>
        <w:pageBreakBefore w:val="0"/>
        <w:widowControl w:val="0"/>
        <w:spacing w:line="480" w:lineRule="exact"/>
        <w:ind w:left="298" w:firstLine="120"/>
        <w:rPr>
          <w:rFonts w:hint="default"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磋商</w:t>
      </w:r>
      <w:r>
        <w:rPr>
          <w:rFonts w:hint="eastAsia" w:ascii="宋体" w:hAnsi="宋体"/>
          <w:color w:val="000000" w:themeColor="text1"/>
          <w:sz w:val="24"/>
          <w:szCs w:val="24"/>
          <w:highlight w:val="none"/>
          <w14:textFill>
            <w14:solidFill>
              <w14:schemeClr w14:val="tx1"/>
            </w14:solidFill>
          </w14:textFill>
        </w:rPr>
        <w:t>文件制作人：</w:t>
      </w:r>
      <w:r>
        <w:rPr>
          <w:rFonts w:hint="eastAsia" w:ascii="宋体" w:hAnsi="宋体"/>
          <w:color w:val="000000" w:themeColor="text1"/>
          <w:sz w:val="24"/>
          <w:szCs w:val="24"/>
          <w:highlight w:val="none"/>
          <w:lang w:val="en-US" w:eastAsia="zh-CN"/>
          <w14:textFill>
            <w14:solidFill>
              <w14:schemeClr w14:val="tx1"/>
            </w14:solidFill>
          </w14:textFill>
        </w:rPr>
        <w:t>杭琴 13584709269</w:t>
      </w:r>
    </w:p>
    <w:p w14:paraId="3A0369BC">
      <w:pPr>
        <w:keepNext w:val="0"/>
        <w:keepLines w:val="0"/>
        <w:pageBreakBefore w:val="0"/>
        <w:widowControl w:val="0"/>
        <w:spacing w:line="480" w:lineRule="exact"/>
        <w:ind w:left="298" w:firstLine="12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w:t>
      </w:r>
      <w:r>
        <w:rPr>
          <w:rFonts w:hint="eastAsia" w:ascii="宋体" w:hAnsi="宋体"/>
          <w:color w:val="000000" w:themeColor="text1"/>
          <w:sz w:val="24"/>
          <w:szCs w:val="24"/>
          <w:highlight w:val="none"/>
          <w:lang w:eastAsia="zh-CN"/>
          <w14:textFill>
            <w14:solidFill>
              <w14:schemeClr w14:val="tx1"/>
            </w14:solidFill>
          </w14:textFill>
        </w:rPr>
        <w:t>磋商</w:t>
      </w:r>
      <w:r>
        <w:rPr>
          <w:rFonts w:hint="eastAsia" w:ascii="宋体" w:hAnsi="宋体"/>
          <w:color w:val="000000" w:themeColor="text1"/>
          <w:sz w:val="24"/>
          <w:szCs w:val="24"/>
          <w:highlight w:val="none"/>
          <w14:textFill>
            <w14:solidFill>
              <w14:schemeClr w14:val="tx1"/>
            </w14:solidFill>
          </w14:textFill>
        </w:rPr>
        <w:t>经办人：</w:t>
      </w:r>
      <w:r>
        <w:rPr>
          <w:rFonts w:hint="eastAsia" w:ascii="宋体" w:hAnsi="宋体"/>
          <w:color w:val="000000" w:themeColor="text1"/>
          <w:sz w:val="24"/>
          <w:szCs w:val="24"/>
          <w:highlight w:val="none"/>
          <w:lang w:val="en-US" w:eastAsia="zh-CN"/>
          <w14:textFill>
            <w14:solidFill>
              <w14:schemeClr w14:val="tx1"/>
            </w14:solidFill>
          </w14:textFill>
        </w:rPr>
        <w:t>濮先生</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lang w:val="en-US" w:eastAsia="zh-CN"/>
          <w14:textFill>
            <w14:solidFill>
              <w14:schemeClr w14:val="tx1"/>
            </w14:solidFill>
          </w14:textFill>
        </w:rPr>
        <w:t>13912855289</w:t>
      </w:r>
    </w:p>
    <w:p w14:paraId="53B4708C">
      <w:pPr>
        <w:keepNext w:val="0"/>
        <w:keepLines w:val="0"/>
        <w:pageBreakBefore w:val="0"/>
        <w:widowControl w:val="0"/>
        <w:spacing w:line="480" w:lineRule="exact"/>
        <w:ind w:left="298" w:firstLine="12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交易系统软件维护人员：那工  0519-86722801、0519-86722806</w:t>
      </w:r>
      <w:bookmarkEnd w:id="42"/>
      <w:bookmarkEnd w:id="43"/>
    </w:p>
    <w:p w14:paraId="7FA89CC3">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br w:type="page" w:clear="all"/>
      </w:r>
    </w:p>
    <w:p w14:paraId="0407B29F">
      <w:pPr>
        <w:keepNext/>
        <w:keepLines/>
        <w:spacing w:line="560" w:lineRule="exact"/>
        <w:jc w:val="center"/>
        <w:outlineLvl w:val="0"/>
        <w:rPr>
          <w:rFonts w:ascii="黑体" w:hAnsi="Arial" w:eastAsia="黑体" w:cs="Arial"/>
          <w:color w:val="000000" w:themeColor="text1"/>
          <w:sz w:val="44"/>
          <w:szCs w:val="44"/>
          <w:highlight w:val="none"/>
          <w14:textFill>
            <w14:solidFill>
              <w14:schemeClr w14:val="tx1"/>
            </w14:solidFill>
          </w14:textFill>
        </w:rPr>
      </w:pPr>
      <w:bookmarkStart w:id="44" w:name="_Toc120614211"/>
      <w:r>
        <w:rPr>
          <w:rFonts w:hint="eastAsia" w:ascii="黑体" w:hAnsi="Arial" w:eastAsia="黑体" w:cs="Arial"/>
          <w:b/>
          <w:bCs/>
          <w:color w:val="000000" w:themeColor="text1"/>
          <w:sz w:val="44"/>
          <w:szCs w:val="44"/>
          <w:highlight w:val="none"/>
          <w14:textFill>
            <w14:solidFill>
              <w14:schemeClr w14:val="tx1"/>
            </w14:solidFill>
          </w14:textFill>
        </w:rPr>
        <w:t xml:space="preserve">第二章  </w:t>
      </w:r>
      <w:bookmarkEnd w:id="1"/>
      <w:bookmarkEnd w:id="2"/>
      <w:bookmarkEnd w:id="3"/>
      <w:bookmarkEnd w:id="4"/>
      <w:bookmarkEnd w:id="5"/>
      <w:bookmarkEnd w:id="44"/>
      <w:r>
        <w:rPr>
          <w:rFonts w:hint="eastAsia" w:ascii="黑体" w:hAnsi="Arial" w:eastAsia="黑体" w:cs="Arial"/>
          <w:b/>
          <w:bCs/>
          <w:color w:val="000000" w:themeColor="text1"/>
          <w:sz w:val="44"/>
          <w:szCs w:val="44"/>
          <w:highlight w:val="none"/>
          <w14:textFill>
            <w14:solidFill>
              <w14:schemeClr w14:val="tx1"/>
            </w14:solidFill>
          </w14:textFill>
        </w:rPr>
        <w:t>供应商须知</w:t>
      </w:r>
    </w:p>
    <w:p w14:paraId="754C3D72">
      <w:pPr>
        <w:keepNext/>
        <w:keepLines/>
        <w:pageBreakBefore w:val="0"/>
        <w:widowControl w:val="0"/>
        <w:spacing w:line="560" w:lineRule="exact"/>
        <w:ind w:firstLine="499"/>
        <w:outlineLvl w:val="2"/>
        <w:rPr>
          <w:b/>
          <w:bCs/>
          <w:color w:val="000000" w:themeColor="text1"/>
          <w:sz w:val="32"/>
          <w:szCs w:val="32"/>
          <w:highlight w:val="none"/>
          <w14:textFill>
            <w14:solidFill>
              <w14:schemeClr w14:val="tx1"/>
            </w14:solidFill>
          </w14:textFill>
        </w:rPr>
      </w:pPr>
      <w:bookmarkStart w:id="45" w:name="_Toc20823275"/>
      <w:bookmarkStart w:id="46" w:name="_Toc120614214"/>
      <w:bookmarkStart w:id="47" w:name="_Toc513029203"/>
      <w:bookmarkStart w:id="48" w:name="_Toc16938519"/>
      <w:r>
        <w:rPr>
          <w:rFonts w:hint="eastAsia"/>
          <w:b/>
          <w:bCs/>
          <w:color w:val="000000" w:themeColor="text1"/>
          <w:sz w:val="32"/>
          <w:szCs w:val="32"/>
          <w:highlight w:val="none"/>
          <w14:textFill>
            <w14:solidFill>
              <w14:schemeClr w14:val="tx1"/>
            </w14:solidFill>
          </w14:textFill>
        </w:rPr>
        <w:t>一、总则</w:t>
      </w:r>
      <w:bookmarkEnd w:id="45"/>
      <w:bookmarkEnd w:id="46"/>
      <w:bookmarkEnd w:id="47"/>
      <w:bookmarkEnd w:id="48"/>
    </w:p>
    <w:p w14:paraId="270A5CB5">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49" w:name="_Hlt16619475"/>
      <w:bookmarkEnd w:id="49"/>
      <w:bookmarkStart w:id="50" w:name="_Toc458694821"/>
      <w:bookmarkStart w:id="51" w:name="_Toc16938520"/>
      <w:bookmarkStart w:id="52" w:name="_Toc20823276"/>
      <w:bookmarkStart w:id="53" w:name="_Toc513029204"/>
      <w:r>
        <w:rPr>
          <w:rFonts w:hint="eastAsia" w:ascii="Arial" w:hAnsi="Arial" w:eastAsia="黑体" w:cs="Arial"/>
          <w:color w:val="000000" w:themeColor="text1"/>
          <w:sz w:val="28"/>
          <w:szCs w:val="28"/>
          <w:highlight w:val="none"/>
          <w14:textFill>
            <w14:solidFill>
              <w14:schemeClr w14:val="tx1"/>
            </w14:solidFill>
          </w14:textFill>
        </w:rPr>
        <w:t>1</w:t>
      </w:r>
      <w:bookmarkEnd w:id="50"/>
      <w:r>
        <w:rPr>
          <w:rFonts w:hint="eastAsia" w:ascii="Arial" w:hAnsi="Arial" w:eastAsia="黑体" w:cs="Arial"/>
          <w:color w:val="000000" w:themeColor="text1"/>
          <w:sz w:val="28"/>
          <w:szCs w:val="28"/>
          <w:highlight w:val="none"/>
          <w14:textFill>
            <w14:solidFill>
              <w14:schemeClr w14:val="tx1"/>
            </w14:solidFill>
          </w14:textFill>
        </w:rPr>
        <w:t>.采购方式</w:t>
      </w:r>
      <w:bookmarkEnd w:id="51"/>
      <w:bookmarkEnd w:id="52"/>
      <w:bookmarkEnd w:id="53"/>
    </w:p>
    <w:p w14:paraId="42F4DE91">
      <w:pPr>
        <w:keepNext w:val="0"/>
        <w:keepLines w:val="0"/>
        <w:pageBreakBefore w:val="0"/>
        <w:widowControl w:val="0"/>
        <w:spacing w:line="480" w:lineRule="exact"/>
        <w:ind w:firstLine="480"/>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1.1 本次政府采购活动采取竞争性</w:t>
      </w:r>
      <w:r>
        <w:rPr>
          <w:rFonts w:hint="eastAsia" w:ascii="宋体" w:hAnsi="宋体"/>
          <w:color w:val="000000" w:themeColor="text1"/>
          <w:sz w:val="24"/>
          <w:szCs w:val="21"/>
          <w:highlight w:val="none"/>
          <w:lang w:eastAsia="zh-CN"/>
          <w14:textFill>
            <w14:solidFill>
              <w14:schemeClr w14:val="tx1"/>
            </w14:solidFill>
          </w14:textFill>
        </w:rPr>
        <w:t>磋商</w:t>
      </w:r>
      <w:r>
        <w:rPr>
          <w:rFonts w:hint="eastAsia" w:ascii="宋体" w:hAnsi="宋体"/>
          <w:color w:val="000000" w:themeColor="text1"/>
          <w:sz w:val="24"/>
          <w:szCs w:val="21"/>
          <w:highlight w:val="none"/>
          <w14:textFill>
            <w14:solidFill>
              <w14:schemeClr w14:val="tx1"/>
            </w14:solidFill>
          </w14:textFill>
        </w:rPr>
        <w:t>(以下简称</w:t>
      </w:r>
      <w:r>
        <w:rPr>
          <w:rFonts w:hint="eastAsia" w:ascii="宋体" w:hAnsi="宋体"/>
          <w:color w:val="000000" w:themeColor="text1"/>
          <w:sz w:val="24"/>
          <w:szCs w:val="21"/>
          <w:highlight w:val="none"/>
          <w:lang w:eastAsia="zh-CN"/>
          <w14:textFill>
            <w14:solidFill>
              <w14:schemeClr w14:val="tx1"/>
            </w14:solidFill>
          </w14:textFill>
        </w:rPr>
        <w:t>磋商</w:t>
      </w:r>
      <w:r>
        <w:rPr>
          <w:rFonts w:hint="eastAsia" w:ascii="宋体" w:hAnsi="宋体"/>
          <w:color w:val="000000" w:themeColor="text1"/>
          <w:sz w:val="24"/>
          <w:szCs w:val="21"/>
          <w:highlight w:val="none"/>
          <w14:textFill>
            <w14:solidFill>
              <w14:schemeClr w14:val="tx1"/>
            </w14:solidFill>
          </w14:textFill>
        </w:rPr>
        <w:t>)方式，本</w:t>
      </w:r>
      <w:r>
        <w:rPr>
          <w:rFonts w:hint="eastAsia" w:ascii="宋体" w:hAnsi="宋体"/>
          <w:color w:val="000000" w:themeColor="text1"/>
          <w:sz w:val="24"/>
          <w:szCs w:val="21"/>
          <w:highlight w:val="none"/>
          <w:lang w:eastAsia="zh-CN"/>
          <w14:textFill>
            <w14:solidFill>
              <w14:schemeClr w14:val="tx1"/>
            </w14:solidFill>
          </w14:textFill>
        </w:rPr>
        <w:t>磋商</w:t>
      </w:r>
      <w:r>
        <w:rPr>
          <w:rFonts w:hint="eastAsia" w:ascii="宋体" w:hAnsi="宋体"/>
          <w:color w:val="000000" w:themeColor="text1"/>
          <w:sz w:val="24"/>
          <w:szCs w:val="21"/>
          <w:highlight w:val="none"/>
          <w14:textFill>
            <w14:solidFill>
              <w14:schemeClr w14:val="tx1"/>
            </w14:solidFill>
          </w14:textFill>
        </w:rPr>
        <w:t>文件仅适用于</w:t>
      </w:r>
      <w:r>
        <w:rPr>
          <w:rFonts w:hint="eastAsia" w:ascii="宋体" w:hAnsi="宋体"/>
          <w:color w:val="000000" w:themeColor="text1"/>
          <w:sz w:val="24"/>
          <w:szCs w:val="21"/>
          <w:highlight w:val="none"/>
          <w:lang w:eastAsia="zh-CN"/>
          <w14:textFill>
            <w14:solidFill>
              <w14:schemeClr w14:val="tx1"/>
            </w14:solidFill>
          </w14:textFill>
        </w:rPr>
        <w:t>磋商</w:t>
      </w:r>
      <w:r>
        <w:rPr>
          <w:rFonts w:hint="eastAsia" w:ascii="宋体" w:hAnsi="宋体"/>
          <w:color w:val="000000" w:themeColor="text1"/>
          <w:sz w:val="24"/>
          <w:szCs w:val="21"/>
          <w:highlight w:val="none"/>
          <w14:textFill>
            <w14:solidFill>
              <w14:schemeClr w14:val="tx1"/>
            </w14:solidFill>
          </w14:textFill>
        </w:rPr>
        <w:t>公告中所述项目。</w:t>
      </w:r>
    </w:p>
    <w:p w14:paraId="4C5F0403">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54" w:name="_Toc20823277"/>
      <w:bookmarkStart w:id="55" w:name="_Toc16938521"/>
      <w:bookmarkStart w:id="56" w:name="_Toc513029205"/>
      <w:r>
        <w:rPr>
          <w:rFonts w:hint="eastAsia" w:ascii="Arial" w:hAnsi="Arial" w:eastAsia="黑体" w:cs="Arial"/>
          <w:color w:val="000000" w:themeColor="text1"/>
          <w:sz w:val="28"/>
          <w:szCs w:val="28"/>
          <w:highlight w:val="none"/>
          <w14:textFill>
            <w14:solidFill>
              <w14:schemeClr w14:val="tx1"/>
            </w14:solidFill>
          </w14:textFill>
        </w:rPr>
        <w:t>2.合格的</w:t>
      </w:r>
      <w:bookmarkEnd w:id="54"/>
      <w:bookmarkEnd w:id="55"/>
      <w:bookmarkEnd w:id="56"/>
      <w:r>
        <w:rPr>
          <w:rFonts w:hint="eastAsia" w:ascii="Arial" w:hAnsi="Arial" w:eastAsia="黑体" w:cs="Arial"/>
          <w:color w:val="000000" w:themeColor="text1"/>
          <w:sz w:val="28"/>
          <w:szCs w:val="28"/>
          <w:highlight w:val="none"/>
          <w14:textFill>
            <w14:solidFill>
              <w14:schemeClr w14:val="tx1"/>
            </w14:solidFill>
          </w14:textFill>
        </w:rPr>
        <w:t>供应商</w:t>
      </w:r>
    </w:p>
    <w:p w14:paraId="252CA860">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2.1</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14:textFill>
            <w14:solidFill>
              <w14:schemeClr w14:val="tx1"/>
            </w14:solidFill>
          </w14:textFill>
        </w:rPr>
        <w:t>满足</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公告中供应商资格要求的规定。</w:t>
      </w:r>
    </w:p>
    <w:p w14:paraId="505BDFA1">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2.2 满足本</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文件实质性要求和条件的规定。</w:t>
      </w:r>
    </w:p>
    <w:p w14:paraId="43615753">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57" w:name="_Toc16938522"/>
      <w:bookmarkStart w:id="58" w:name="_Toc513029206"/>
      <w:bookmarkStart w:id="59" w:name="_Toc20823278"/>
      <w:r>
        <w:rPr>
          <w:rFonts w:hint="eastAsia" w:ascii="Arial" w:hAnsi="Arial" w:eastAsia="黑体" w:cs="Arial"/>
          <w:color w:val="000000" w:themeColor="text1"/>
          <w:sz w:val="28"/>
          <w:szCs w:val="28"/>
          <w:highlight w:val="none"/>
          <w14:textFill>
            <w14:solidFill>
              <w14:schemeClr w14:val="tx1"/>
            </w14:solidFill>
          </w14:textFill>
        </w:rPr>
        <w:t>3.适用法律</w:t>
      </w:r>
      <w:bookmarkEnd w:id="57"/>
      <w:bookmarkEnd w:id="58"/>
      <w:bookmarkEnd w:id="59"/>
    </w:p>
    <w:p w14:paraId="43AC177E">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3.1 本次</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及由此产生的合同受中华人民共和国有关的法律法规制约和保护。</w:t>
      </w:r>
    </w:p>
    <w:p w14:paraId="714CFCC3">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60" w:name="_Toc513029207"/>
      <w:bookmarkStart w:id="61" w:name="_Toc462564067"/>
      <w:bookmarkStart w:id="62" w:name="_Toc16938523"/>
      <w:bookmarkStart w:id="63" w:name="_Toc20823279"/>
      <w:r>
        <w:rPr>
          <w:rFonts w:hint="eastAsia" w:ascii="Arial" w:hAnsi="Arial" w:eastAsia="黑体" w:cs="Arial"/>
          <w:color w:val="000000" w:themeColor="text1"/>
          <w:sz w:val="28"/>
          <w:szCs w:val="28"/>
          <w:highlight w:val="none"/>
          <w14:textFill>
            <w14:solidFill>
              <w14:schemeClr w14:val="tx1"/>
            </w14:solidFill>
          </w14:textFill>
        </w:rPr>
        <w:t>4.</w:t>
      </w:r>
      <w:r>
        <w:rPr>
          <w:rFonts w:hint="eastAsia" w:ascii="Arial" w:hAnsi="Arial" w:eastAsia="黑体" w:cs="Arial"/>
          <w:color w:val="000000" w:themeColor="text1"/>
          <w:sz w:val="28"/>
          <w:szCs w:val="28"/>
          <w:highlight w:val="none"/>
          <w:lang w:eastAsia="zh-CN"/>
          <w14:textFill>
            <w14:solidFill>
              <w14:schemeClr w14:val="tx1"/>
            </w14:solidFill>
          </w14:textFill>
        </w:rPr>
        <w:t>磋商</w:t>
      </w:r>
      <w:r>
        <w:rPr>
          <w:rFonts w:hint="eastAsia" w:ascii="Arial" w:hAnsi="Arial" w:eastAsia="黑体" w:cs="Arial"/>
          <w:color w:val="000000" w:themeColor="text1"/>
          <w:sz w:val="28"/>
          <w:szCs w:val="28"/>
          <w:highlight w:val="none"/>
          <w14:textFill>
            <w14:solidFill>
              <w14:schemeClr w14:val="tx1"/>
            </w14:solidFill>
          </w14:textFill>
        </w:rPr>
        <w:t>费用</w:t>
      </w:r>
      <w:bookmarkEnd w:id="60"/>
      <w:bookmarkEnd w:id="61"/>
      <w:bookmarkEnd w:id="62"/>
      <w:bookmarkEnd w:id="63"/>
    </w:p>
    <w:p w14:paraId="7AFB01B4">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4.1</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14:textFill>
            <w14:solidFill>
              <w14:schemeClr w14:val="tx1"/>
            </w14:solidFill>
          </w14:textFill>
        </w:rPr>
        <w:t>供应商应自行承担所有与参加本次</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有关的费用，无论</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过程中的做法和结果如何，采购人和采购代理机构在任何情况下均无义务和责任承担这些费用。</w:t>
      </w:r>
    </w:p>
    <w:p w14:paraId="57200DD9">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4.2</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14:textFill>
            <w14:solidFill>
              <w14:schemeClr w14:val="tx1"/>
            </w14:solidFill>
          </w14:textFill>
        </w:rPr>
        <w:t>本次</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不收取标书工本费。</w:t>
      </w:r>
    </w:p>
    <w:p w14:paraId="476476F0">
      <w:pPr>
        <w:keepNext w:val="0"/>
        <w:keepLines w:val="0"/>
        <w:pageBreakBefore w:val="0"/>
        <w:widowControl w:val="0"/>
        <w:spacing w:line="480" w:lineRule="exact"/>
        <w:ind w:firstLine="482"/>
        <w:rPr>
          <w:rFonts w:hint="eastAsia" w:ascii="宋体" w:hAnsi="宋体" w:eastAsia="宋体" w:cs="Times New Roman"/>
          <w:b/>
          <w:bCs/>
          <w:color w:val="000000" w:themeColor="text1"/>
          <w:sz w:val="24"/>
          <w:szCs w:val="21"/>
          <w:highlight w:val="none"/>
          <w14:textFill>
            <w14:solidFill>
              <w14:schemeClr w14:val="tx1"/>
            </w14:solidFill>
          </w14:textFill>
        </w:rPr>
      </w:pPr>
      <w:r>
        <w:rPr>
          <w:rFonts w:hint="eastAsia" w:ascii="宋体" w:hAnsi="宋体" w:eastAsia="宋体" w:cs="Times New Roman"/>
          <w:b/>
          <w:bCs/>
          <w:color w:val="000000" w:themeColor="text1"/>
          <w:sz w:val="24"/>
          <w:szCs w:val="21"/>
          <w:highlight w:val="none"/>
          <w14:textFill>
            <w14:solidFill>
              <w14:schemeClr w14:val="tx1"/>
            </w14:solidFill>
          </w14:textFill>
        </w:rPr>
        <w:t>4.</w:t>
      </w:r>
      <w:r>
        <w:rPr>
          <w:rFonts w:hint="eastAsia" w:ascii="宋体" w:hAnsi="宋体" w:eastAsia="宋体" w:cs="Times New Roman"/>
          <w:b/>
          <w:bCs/>
          <w:color w:val="000000" w:themeColor="text1"/>
          <w:sz w:val="24"/>
          <w:szCs w:val="21"/>
          <w:highlight w:val="none"/>
          <w:lang w:val="en-US" w:eastAsia="zh-CN"/>
          <w14:textFill>
            <w14:solidFill>
              <w14:schemeClr w14:val="tx1"/>
            </w14:solidFill>
          </w14:textFill>
        </w:rPr>
        <w:t xml:space="preserve">3 </w:t>
      </w:r>
      <w:r>
        <w:rPr>
          <w:rFonts w:hint="eastAsia" w:ascii="宋体" w:hAnsi="宋体" w:eastAsia="宋体" w:cs="Times New Roman"/>
          <w:b/>
          <w:bCs/>
          <w:color w:val="000000" w:themeColor="text1"/>
          <w:sz w:val="24"/>
          <w:szCs w:val="21"/>
          <w:highlight w:val="none"/>
          <w14:textFill>
            <w14:solidFill>
              <w14:schemeClr w14:val="tx1"/>
            </w14:solidFill>
          </w14:textFill>
        </w:rPr>
        <w:t>本项目招标代理服务费按</w:t>
      </w:r>
      <w:r>
        <w:rPr>
          <w:rFonts w:hint="eastAsia" w:ascii="宋体" w:hAnsi="宋体" w:cs="Times New Roman"/>
          <w:b/>
          <w:bCs/>
          <w:color w:val="000000" w:themeColor="text1"/>
          <w:sz w:val="24"/>
          <w:szCs w:val="21"/>
          <w:highlight w:val="none"/>
          <w:lang w:val="en-US" w:eastAsia="zh-CN"/>
          <w14:textFill>
            <w14:solidFill>
              <w14:schemeClr w14:val="tx1"/>
            </w14:solidFill>
          </w14:textFill>
        </w:rPr>
        <w:t>1860元收取</w:t>
      </w:r>
      <w:r>
        <w:rPr>
          <w:rFonts w:hint="eastAsia" w:ascii="宋体" w:hAnsi="宋体" w:cs="Times New Roman"/>
          <w:b/>
          <w:b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b/>
          <w:bCs/>
          <w:color w:val="000000" w:themeColor="text1"/>
          <w:sz w:val="24"/>
          <w:szCs w:val="21"/>
          <w:highlight w:val="none"/>
          <w14:textFill>
            <w14:solidFill>
              <w14:schemeClr w14:val="tx1"/>
            </w14:solidFill>
          </w14:textFill>
        </w:rPr>
        <w:t>此费用由供应商综合考虑在投标报价中</w:t>
      </w:r>
      <w:r>
        <w:rPr>
          <w:rFonts w:hint="eastAsia" w:ascii="宋体" w:hAnsi="宋体" w:eastAsia="宋体" w:cs="Times New Roman"/>
          <w:b/>
          <w:b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b/>
          <w:bCs/>
          <w:color w:val="000000" w:themeColor="text1"/>
          <w:sz w:val="24"/>
          <w:szCs w:val="21"/>
          <w:highlight w:val="none"/>
          <w14:textFill>
            <w14:solidFill>
              <w14:schemeClr w14:val="tx1"/>
            </w14:solidFill>
          </w14:textFill>
        </w:rPr>
        <w:t>由成交供应商在签订合同前支付给招标代理单位。</w:t>
      </w:r>
    </w:p>
    <w:p w14:paraId="44A44A59">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r>
        <w:rPr>
          <w:rFonts w:hint="eastAsia" w:ascii="Arial" w:hAnsi="Arial" w:eastAsia="黑体" w:cs="Arial"/>
          <w:color w:val="000000" w:themeColor="text1"/>
          <w:sz w:val="28"/>
          <w:szCs w:val="28"/>
          <w:highlight w:val="none"/>
          <w14:textFill>
            <w14:solidFill>
              <w14:schemeClr w14:val="tx1"/>
            </w14:solidFill>
          </w14:textFill>
        </w:rPr>
        <w:t>5.</w:t>
      </w:r>
      <w:r>
        <w:rPr>
          <w:rFonts w:hint="eastAsia" w:ascii="Arial" w:hAnsi="Arial" w:eastAsia="黑体" w:cs="Arial"/>
          <w:color w:val="000000" w:themeColor="text1"/>
          <w:sz w:val="28"/>
          <w:szCs w:val="28"/>
          <w:highlight w:val="none"/>
          <w:lang w:eastAsia="zh-CN"/>
          <w14:textFill>
            <w14:solidFill>
              <w14:schemeClr w14:val="tx1"/>
            </w14:solidFill>
          </w14:textFill>
        </w:rPr>
        <w:t>磋商</w:t>
      </w:r>
      <w:r>
        <w:rPr>
          <w:rFonts w:hint="eastAsia" w:ascii="Arial" w:hAnsi="Arial" w:eastAsia="黑体" w:cs="Arial"/>
          <w:color w:val="000000" w:themeColor="text1"/>
          <w:sz w:val="28"/>
          <w:szCs w:val="28"/>
          <w:highlight w:val="none"/>
          <w14:textFill>
            <w14:solidFill>
              <w14:schemeClr w14:val="tx1"/>
            </w14:solidFill>
          </w14:textFill>
        </w:rPr>
        <w:t>文件的约束力</w:t>
      </w:r>
    </w:p>
    <w:p w14:paraId="3EE1A336">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5.1</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1"/>
          <w:highlight w:val="none"/>
          <w14:textFill>
            <w14:solidFill>
              <w14:schemeClr w14:val="tx1"/>
            </w14:solidFill>
          </w14:textFill>
        </w:rPr>
        <w:t>供应商一旦参加本项目采购活动，即被认为接受了本</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文件的规定和约束。</w:t>
      </w:r>
    </w:p>
    <w:p w14:paraId="35330F31">
      <w:pPr>
        <w:keepNext/>
        <w:keepLines/>
        <w:pageBreakBefore w:val="0"/>
        <w:widowControl w:val="0"/>
        <w:spacing w:line="560" w:lineRule="exact"/>
        <w:ind w:firstLine="499"/>
        <w:outlineLvl w:val="2"/>
        <w:rPr>
          <w:rFonts w:hint="eastAsia" w:eastAsia="宋体"/>
          <w:b/>
          <w:bCs/>
          <w:color w:val="000000" w:themeColor="text1"/>
          <w:sz w:val="32"/>
          <w:szCs w:val="32"/>
          <w:highlight w:val="none"/>
          <w14:textFill>
            <w14:solidFill>
              <w14:schemeClr w14:val="tx1"/>
            </w14:solidFill>
          </w14:textFill>
        </w:rPr>
      </w:pPr>
      <w:bookmarkStart w:id="64" w:name="_Toc120614215"/>
      <w:bookmarkStart w:id="65" w:name="_Toc16938525"/>
      <w:bookmarkStart w:id="66" w:name="_Toc20823281"/>
      <w:bookmarkStart w:id="67" w:name="_Toc513029209"/>
      <w:r>
        <w:rPr>
          <w:rFonts w:hint="eastAsia" w:eastAsia="宋体"/>
          <w:b/>
          <w:bCs/>
          <w:color w:val="000000" w:themeColor="text1"/>
          <w:sz w:val="32"/>
          <w:szCs w:val="32"/>
          <w:highlight w:val="none"/>
          <w14:textFill>
            <w14:solidFill>
              <w14:schemeClr w14:val="tx1"/>
            </w14:solidFill>
          </w14:textFill>
        </w:rPr>
        <w:t>二、</w:t>
      </w:r>
      <w:bookmarkEnd w:id="64"/>
      <w:bookmarkEnd w:id="65"/>
      <w:bookmarkEnd w:id="66"/>
      <w:bookmarkEnd w:id="67"/>
      <w:r>
        <w:rPr>
          <w:rFonts w:hint="eastAsia"/>
          <w:b/>
          <w:bCs/>
          <w:color w:val="000000" w:themeColor="text1"/>
          <w:sz w:val="32"/>
          <w:szCs w:val="32"/>
          <w:highlight w:val="none"/>
          <w:lang w:eastAsia="zh-CN"/>
          <w14:textFill>
            <w14:solidFill>
              <w14:schemeClr w14:val="tx1"/>
            </w14:solidFill>
          </w14:textFill>
        </w:rPr>
        <w:t>磋商</w:t>
      </w:r>
      <w:r>
        <w:rPr>
          <w:rFonts w:hint="eastAsia" w:eastAsia="宋体"/>
          <w:b/>
          <w:bCs/>
          <w:color w:val="000000" w:themeColor="text1"/>
          <w:sz w:val="32"/>
          <w:szCs w:val="32"/>
          <w:highlight w:val="none"/>
          <w14:textFill>
            <w14:solidFill>
              <w14:schemeClr w14:val="tx1"/>
            </w14:solidFill>
          </w14:textFill>
        </w:rPr>
        <w:t>文件</w:t>
      </w:r>
    </w:p>
    <w:p w14:paraId="04D5A901">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68" w:name="_Toc16938526"/>
      <w:bookmarkStart w:id="69" w:name="_Toc20823282"/>
      <w:bookmarkStart w:id="70" w:name="_Toc513029210"/>
      <w:r>
        <w:rPr>
          <w:rFonts w:hint="eastAsia" w:ascii="Arial" w:hAnsi="Arial" w:eastAsia="黑体" w:cs="Arial"/>
          <w:color w:val="000000" w:themeColor="text1"/>
          <w:sz w:val="28"/>
          <w:szCs w:val="28"/>
          <w:highlight w:val="none"/>
          <w14:textFill>
            <w14:solidFill>
              <w14:schemeClr w14:val="tx1"/>
            </w14:solidFill>
          </w14:textFill>
        </w:rPr>
        <w:t>6.</w:t>
      </w:r>
      <w:r>
        <w:rPr>
          <w:rFonts w:hint="eastAsia" w:ascii="Arial" w:hAnsi="Arial" w:eastAsia="黑体" w:cs="Arial"/>
          <w:color w:val="000000" w:themeColor="text1"/>
          <w:sz w:val="28"/>
          <w:szCs w:val="28"/>
          <w:highlight w:val="none"/>
          <w:lang w:eastAsia="zh-CN"/>
          <w14:textFill>
            <w14:solidFill>
              <w14:schemeClr w14:val="tx1"/>
            </w14:solidFill>
          </w14:textFill>
        </w:rPr>
        <w:t>磋商</w:t>
      </w:r>
      <w:r>
        <w:rPr>
          <w:rFonts w:hint="eastAsia" w:ascii="Arial" w:hAnsi="Arial" w:eastAsia="黑体" w:cs="Arial"/>
          <w:color w:val="000000" w:themeColor="text1"/>
          <w:sz w:val="28"/>
          <w:szCs w:val="28"/>
          <w:highlight w:val="none"/>
          <w14:textFill>
            <w14:solidFill>
              <w14:schemeClr w14:val="tx1"/>
            </w14:solidFill>
          </w14:textFill>
        </w:rPr>
        <w:t>文件构成</w:t>
      </w:r>
      <w:bookmarkEnd w:id="68"/>
      <w:bookmarkEnd w:id="69"/>
      <w:bookmarkEnd w:id="70"/>
    </w:p>
    <w:p w14:paraId="76701200">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6.1</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 </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文件由以下部分组成：</w:t>
      </w:r>
    </w:p>
    <w:p w14:paraId="23BC78BB">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（1）</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邀请</w:t>
      </w:r>
    </w:p>
    <w:p w14:paraId="6C4CE8ED">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（2）供应商须知</w:t>
      </w:r>
    </w:p>
    <w:p w14:paraId="600965C1">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（3）采购需求</w:t>
      </w:r>
    </w:p>
    <w:p w14:paraId="37DCD194">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（4）评审方法与评审标准</w:t>
      </w:r>
    </w:p>
    <w:p w14:paraId="33C989B9">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w:t>
      </w:r>
      <w:r>
        <w:rPr>
          <w:rFonts w:hint="eastAsia" w:ascii="宋体" w:hAnsi="宋体" w:cs="Times New Roman"/>
          <w:color w:val="000000" w:themeColor="text1"/>
          <w:sz w:val="24"/>
          <w:szCs w:val="21"/>
          <w:highlight w:val="none"/>
          <w:lang w:val="en-US" w:eastAsia="zh-CN"/>
          <w14:textFill>
            <w14:solidFill>
              <w14:schemeClr w14:val="tx1"/>
            </w14:solidFill>
          </w14:textFill>
        </w:rPr>
        <w:t>5</w:t>
      </w:r>
      <w:r>
        <w:rPr>
          <w:rFonts w:hint="eastAsia" w:ascii="宋体" w:hAnsi="宋体" w:eastAsia="宋体" w:cs="Times New Roman"/>
          <w:color w:val="000000" w:themeColor="text1"/>
          <w:sz w:val="24"/>
          <w:szCs w:val="21"/>
          <w:highlight w:val="none"/>
          <w14:textFill>
            <w14:solidFill>
              <w14:schemeClr w14:val="tx1"/>
            </w14:solidFill>
          </w14:textFill>
        </w:rPr>
        <w:t>）响应文件格式</w:t>
      </w:r>
    </w:p>
    <w:p w14:paraId="539611CA">
      <w:pPr>
        <w:keepNext w:val="0"/>
        <w:keepLines w:val="0"/>
        <w:pageBreakBefore w:val="0"/>
        <w:widowControl w:val="0"/>
        <w:spacing w:line="480" w:lineRule="exact"/>
        <w:ind w:firstLine="480"/>
        <w:rPr>
          <w:rFonts w:hint="default" w:ascii="宋体" w:hAnsi="宋体" w:eastAsia="宋体" w:cs="Times New Roman"/>
          <w:color w:val="000000" w:themeColor="text1"/>
          <w:sz w:val="24"/>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1"/>
          <w:highlight w:val="none"/>
          <w:lang w:eastAsia="zh-CN"/>
          <w14:textFill>
            <w14:solidFill>
              <w14:schemeClr w14:val="tx1"/>
            </w14:solidFill>
          </w14:textFill>
        </w:rPr>
        <w:t>（</w:t>
      </w:r>
      <w:r>
        <w:rPr>
          <w:rFonts w:hint="eastAsia" w:ascii="宋体" w:hAnsi="宋体" w:cs="Times New Roman"/>
          <w:color w:val="000000" w:themeColor="text1"/>
          <w:sz w:val="24"/>
          <w:szCs w:val="21"/>
          <w:highlight w:val="none"/>
          <w:lang w:val="en-US" w:eastAsia="zh-CN"/>
          <w14:textFill>
            <w14:solidFill>
              <w14:schemeClr w14:val="tx1"/>
            </w14:solidFill>
          </w14:textFill>
        </w:rPr>
        <w:t>6</w:t>
      </w:r>
      <w:r>
        <w:rPr>
          <w:rFonts w:hint="eastAsia" w:ascii="宋体" w:hAnsi="宋体" w:eastAsia="宋体" w:cs="Times New Roman"/>
          <w:color w:val="000000" w:themeColor="text1"/>
          <w:sz w:val="24"/>
          <w:szCs w:val="21"/>
          <w:highlight w:val="none"/>
          <w:lang w:eastAsia="zh-CN"/>
          <w14:textFill>
            <w14:solidFill>
              <w14:schemeClr w14:val="tx1"/>
            </w14:solidFill>
          </w14:textFill>
        </w:rPr>
        <w:t>）</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附件（如有）</w:t>
      </w:r>
    </w:p>
    <w:p w14:paraId="5037CA7D">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请仔细检查</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文件是否齐全，如有缺漏请立即与采购人或采购代理机构联系解决。</w:t>
      </w:r>
    </w:p>
    <w:p w14:paraId="52BFB856">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6.2</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14:textFill>
            <w14:solidFill>
              <w14:schemeClr w14:val="tx1"/>
            </w14:solidFill>
          </w14:textFill>
        </w:rPr>
        <w:t>供应商应认真阅读</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文件中所有的事项、格式、条款和规范等要求。按</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文件要求和规定编制响应文件，并保证所提供的全部资料的真实性，以使其响应文件对</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文件作出实质性响应，否则其风险由供应商自行承担。</w:t>
      </w:r>
    </w:p>
    <w:p w14:paraId="18DB8C9A">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71" w:name="_Toc462564070"/>
      <w:bookmarkStart w:id="72" w:name="_Toc20823283"/>
      <w:bookmarkStart w:id="73" w:name="_Toc513029211"/>
      <w:bookmarkStart w:id="74" w:name="_Toc16938527"/>
      <w:r>
        <w:rPr>
          <w:rFonts w:hint="eastAsia" w:ascii="Arial" w:hAnsi="Arial" w:eastAsia="黑体" w:cs="Arial"/>
          <w:color w:val="000000" w:themeColor="text1"/>
          <w:sz w:val="28"/>
          <w:szCs w:val="28"/>
          <w:highlight w:val="none"/>
          <w14:textFill>
            <w14:solidFill>
              <w14:schemeClr w14:val="tx1"/>
            </w14:solidFill>
          </w14:textFill>
        </w:rPr>
        <w:t>7.</w:t>
      </w:r>
      <w:r>
        <w:rPr>
          <w:rFonts w:hint="eastAsia" w:ascii="Arial" w:hAnsi="Arial" w:eastAsia="黑体" w:cs="Arial"/>
          <w:color w:val="000000" w:themeColor="text1"/>
          <w:sz w:val="28"/>
          <w:szCs w:val="28"/>
          <w:highlight w:val="none"/>
          <w:lang w:eastAsia="zh-CN"/>
          <w14:textFill>
            <w14:solidFill>
              <w14:schemeClr w14:val="tx1"/>
            </w14:solidFill>
          </w14:textFill>
        </w:rPr>
        <w:t>磋商</w:t>
      </w:r>
      <w:r>
        <w:rPr>
          <w:rFonts w:hint="eastAsia" w:ascii="Arial" w:hAnsi="Arial" w:eastAsia="黑体" w:cs="Arial"/>
          <w:color w:val="000000" w:themeColor="text1"/>
          <w:sz w:val="28"/>
          <w:szCs w:val="28"/>
          <w:highlight w:val="none"/>
          <w14:textFill>
            <w14:solidFill>
              <w14:schemeClr w14:val="tx1"/>
            </w14:solidFill>
          </w14:textFill>
        </w:rPr>
        <w:t>文件的澄清</w:t>
      </w:r>
      <w:bookmarkEnd w:id="71"/>
      <w:bookmarkEnd w:id="72"/>
      <w:bookmarkEnd w:id="73"/>
      <w:bookmarkEnd w:id="74"/>
    </w:p>
    <w:p w14:paraId="34507AB1">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7.1 任何要求对</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文件进行澄清的供应商，应在</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截止期</w:t>
      </w:r>
      <w:r>
        <w:rPr>
          <w:rFonts w:hint="eastAsia" w:ascii="宋体" w:hAnsi="宋体" w:cs="Times New Roman"/>
          <w:color w:val="000000" w:themeColor="text1"/>
          <w:sz w:val="24"/>
          <w:szCs w:val="21"/>
          <w:highlight w:val="none"/>
          <w:lang w:val="en-US" w:eastAsia="zh-CN"/>
          <w14:textFill>
            <w14:solidFill>
              <w14:schemeClr w14:val="tx1"/>
            </w14:solidFill>
          </w14:textFill>
        </w:rPr>
        <w:t>5</w:t>
      </w:r>
      <w:r>
        <w:rPr>
          <w:rFonts w:hint="eastAsia" w:ascii="宋体" w:hAnsi="宋体" w:eastAsia="宋体" w:cs="Times New Roman"/>
          <w:color w:val="000000" w:themeColor="text1"/>
          <w:sz w:val="24"/>
          <w:szCs w:val="21"/>
          <w:highlight w:val="none"/>
          <w14:textFill>
            <w14:solidFill>
              <w14:schemeClr w14:val="tx1"/>
            </w14:solidFill>
          </w14:textFill>
        </w:rPr>
        <w:t>日前按</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公告中的通讯地址，以书面形式通知采购人。</w:t>
      </w:r>
    </w:p>
    <w:p w14:paraId="145DEB33">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7.2 采购人视</w:t>
      </w:r>
      <w:r>
        <w:rPr>
          <w:rFonts w:hint="eastAsia" w:ascii="宋体" w:hAnsi="宋体" w:cs="Times New Roman"/>
          <w:color w:val="000000" w:themeColor="text1"/>
          <w:sz w:val="24"/>
          <w:szCs w:val="21"/>
          <w:highlight w:val="none"/>
          <w:lang w:val="en-US" w:eastAsia="zh-CN"/>
          <w14:textFill>
            <w14:solidFill>
              <w14:schemeClr w14:val="tx1"/>
            </w14:solidFill>
          </w14:textFill>
        </w:rPr>
        <w:t>情况</w:t>
      </w:r>
      <w:r>
        <w:rPr>
          <w:rFonts w:hint="eastAsia" w:ascii="宋体" w:hAnsi="宋体" w:eastAsia="宋体" w:cs="Times New Roman"/>
          <w:color w:val="000000" w:themeColor="text1"/>
          <w:sz w:val="24"/>
          <w:szCs w:val="21"/>
          <w:highlight w:val="none"/>
          <w14:textFill>
            <w14:solidFill>
              <w14:schemeClr w14:val="tx1"/>
            </w14:solidFill>
          </w14:textFill>
        </w:rPr>
        <w:t>组织答疑会。</w:t>
      </w:r>
    </w:p>
    <w:p w14:paraId="1A763C90">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75" w:name="_Toc462564071"/>
      <w:bookmarkStart w:id="76" w:name="_Toc20823284"/>
      <w:bookmarkStart w:id="77" w:name="_Toc513029212"/>
      <w:bookmarkStart w:id="78" w:name="_Toc16938528"/>
      <w:r>
        <w:rPr>
          <w:rFonts w:hint="eastAsia" w:ascii="Arial" w:hAnsi="Arial" w:eastAsia="黑体" w:cs="Arial"/>
          <w:color w:val="000000" w:themeColor="text1"/>
          <w:sz w:val="28"/>
          <w:szCs w:val="28"/>
          <w:highlight w:val="none"/>
          <w14:textFill>
            <w14:solidFill>
              <w14:schemeClr w14:val="tx1"/>
            </w14:solidFill>
          </w14:textFill>
        </w:rPr>
        <w:t>8.</w:t>
      </w:r>
      <w:r>
        <w:rPr>
          <w:rFonts w:hint="eastAsia" w:ascii="Arial" w:hAnsi="Arial" w:eastAsia="黑体" w:cs="Arial"/>
          <w:color w:val="000000" w:themeColor="text1"/>
          <w:sz w:val="28"/>
          <w:szCs w:val="28"/>
          <w:highlight w:val="none"/>
          <w:lang w:eastAsia="zh-CN"/>
          <w14:textFill>
            <w14:solidFill>
              <w14:schemeClr w14:val="tx1"/>
            </w14:solidFill>
          </w14:textFill>
        </w:rPr>
        <w:t>磋商</w:t>
      </w:r>
      <w:r>
        <w:rPr>
          <w:rFonts w:hint="eastAsia" w:ascii="Arial" w:hAnsi="Arial" w:eastAsia="黑体" w:cs="Arial"/>
          <w:color w:val="000000" w:themeColor="text1"/>
          <w:sz w:val="28"/>
          <w:szCs w:val="28"/>
          <w:highlight w:val="none"/>
          <w14:textFill>
            <w14:solidFill>
              <w14:schemeClr w14:val="tx1"/>
            </w14:solidFill>
          </w14:textFill>
        </w:rPr>
        <w:t>文件的澄清和修改</w:t>
      </w:r>
      <w:bookmarkEnd w:id="75"/>
      <w:bookmarkEnd w:id="76"/>
      <w:bookmarkEnd w:id="77"/>
      <w:bookmarkEnd w:id="78"/>
    </w:p>
    <w:p w14:paraId="470851AD">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8.1 在响应文件提交截止时间前，采购人可以对</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文件进行澄清和修改</w:t>
      </w:r>
      <w:r>
        <w:rPr>
          <w:rFonts w:hint="eastAsia" w:ascii="宋体" w:hAnsi="宋体" w:cs="Times New Roman"/>
          <w:color w:val="000000" w:themeColor="text1"/>
          <w:sz w:val="24"/>
          <w:szCs w:val="21"/>
          <w:highlight w:val="none"/>
          <w:lang w:eastAsia="zh-CN"/>
          <w14:textFill>
            <w14:solidFill>
              <w14:schemeClr w14:val="tx1"/>
            </w14:solidFill>
          </w14:textFill>
        </w:rPr>
        <w:t>，</w:t>
      </w:r>
      <w:r>
        <w:rPr>
          <w:rFonts w:hint="eastAsia" w:ascii="宋体" w:hAnsi="宋体" w:eastAsia="宋体" w:cs="Times New Roman"/>
          <w:color w:val="000000" w:themeColor="text1"/>
          <w:sz w:val="24"/>
          <w:szCs w:val="21"/>
          <w:highlight w:val="none"/>
          <w14:textFill>
            <w14:solidFill>
              <w14:schemeClr w14:val="tx1"/>
            </w14:solidFill>
          </w14:textFill>
        </w:rPr>
        <w:t>澄清或者修改的内容作为</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文件的组成部分。澄清或者修改的内容可能影响响应文件编制的，采购人将在提交首次响应文件截止时间至少</w:t>
      </w:r>
      <w:r>
        <w:rPr>
          <w:rFonts w:hint="eastAsia" w:ascii="宋体" w:hAnsi="宋体" w:cs="Times New Roman"/>
          <w:color w:val="000000" w:themeColor="text1"/>
          <w:sz w:val="24"/>
          <w:szCs w:val="21"/>
          <w:highlight w:val="none"/>
          <w:lang w:val="en-US" w:eastAsia="zh-CN"/>
          <w14:textFill>
            <w14:solidFill>
              <w14:schemeClr w14:val="tx1"/>
            </w14:solidFill>
          </w14:textFill>
        </w:rPr>
        <w:t>5</w:t>
      </w:r>
      <w:r>
        <w:rPr>
          <w:rFonts w:hint="eastAsia" w:ascii="宋体" w:hAnsi="宋体" w:eastAsia="宋体" w:cs="Times New Roman"/>
          <w:color w:val="000000" w:themeColor="text1"/>
          <w:sz w:val="24"/>
          <w:szCs w:val="21"/>
          <w:highlight w:val="none"/>
          <w14:textFill>
            <w14:solidFill>
              <w14:schemeClr w14:val="tx1"/>
            </w14:solidFill>
          </w14:textFill>
        </w:rPr>
        <w:t>日前，在“江苏政府采购网”上发布书面更正公告形式通知所有获取</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文件的供应商</w:t>
      </w:r>
      <w:r>
        <w:rPr>
          <w:rFonts w:hint="eastAsia" w:ascii="宋体" w:hAnsi="宋体" w:cs="Times New Roman"/>
          <w:color w:val="000000" w:themeColor="text1"/>
          <w:sz w:val="24"/>
          <w:szCs w:val="21"/>
          <w:highlight w:val="none"/>
          <w:lang w:eastAsia="zh-CN"/>
          <w14:textFill>
            <w14:solidFill>
              <w14:schemeClr w14:val="tx1"/>
            </w14:solidFill>
          </w14:textFill>
        </w:rPr>
        <w:t>，</w:t>
      </w:r>
      <w:r>
        <w:rPr>
          <w:rFonts w:hint="eastAsia" w:ascii="宋体" w:hAnsi="宋体" w:eastAsia="宋体" w:cs="Times New Roman"/>
          <w:color w:val="000000" w:themeColor="text1"/>
          <w:sz w:val="24"/>
          <w:szCs w:val="21"/>
          <w:highlight w:val="none"/>
          <w14:textFill>
            <w14:solidFill>
              <w14:schemeClr w14:val="tx1"/>
            </w14:solidFill>
          </w14:textFill>
        </w:rPr>
        <w:t>更正公告内容将作为</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文件的组成部分，并对供应商具有约束力。不足</w:t>
      </w:r>
      <w:r>
        <w:rPr>
          <w:rFonts w:hint="eastAsia" w:ascii="宋体" w:hAnsi="宋体" w:cs="Times New Roman"/>
          <w:color w:val="000000" w:themeColor="text1"/>
          <w:sz w:val="24"/>
          <w:szCs w:val="21"/>
          <w:highlight w:val="none"/>
          <w:lang w:val="en-US" w:eastAsia="zh-CN"/>
          <w14:textFill>
            <w14:solidFill>
              <w14:schemeClr w14:val="tx1"/>
            </w14:solidFill>
          </w14:textFill>
        </w:rPr>
        <w:t>5</w:t>
      </w:r>
      <w:r>
        <w:rPr>
          <w:rFonts w:hint="eastAsia" w:ascii="宋体" w:hAnsi="宋体" w:eastAsia="宋体" w:cs="Times New Roman"/>
          <w:color w:val="000000" w:themeColor="text1"/>
          <w:sz w:val="24"/>
          <w:szCs w:val="21"/>
          <w:highlight w:val="none"/>
          <w14:textFill>
            <w14:solidFill>
              <w14:schemeClr w14:val="tx1"/>
            </w14:solidFill>
          </w14:textFill>
        </w:rPr>
        <w:t>日的，采购人将顺延提交首次响应文件截止时间。</w:t>
      </w:r>
    </w:p>
    <w:p w14:paraId="2A624F69">
      <w:pPr>
        <w:keepNext/>
        <w:keepLines/>
        <w:pageBreakBefore w:val="0"/>
        <w:widowControl w:val="0"/>
        <w:spacing w:line="520" w:lineRule="exact"/>
        <w:ind w:firstLine="482"/>
        <w:outlineLvl w:val="2"/>
        <w:rPr>
          <w:b/>
          <w:bCs/>
          <w:color w:val="000000" w:themeColor="text1"/>
          <w:sz w:val="32"/>
          <w:szCs w:val="32"/>
          <w:highlight w:val="none"/>
          <w14:textFill>
            <w14:solidFill>
              <w14:schemeClr w14:val="tx1"/>
            </w14:solidFill>
          </w14:textFill>
        </w:rPr>
      </w:pPr>
      <w:bookmarkStart w:id="79" w:name="_Toc16938529"/>
      <w:bookmarkStart w:id="80" w:name="_Toc20823285"/>
      <w:bookmarkStart w:id="81" w:name="_Toc462564072"/>
      <w:bookmarkStart w:id="82" w:name="_Toc513029213"/>
      <w:bookmarkStart w:id="83" w:name="_Toc120614216"/>
      <w:r>
        <w:rPr>
          <w:rFonts w:hint="eastAsia"/>
          <w:b/>
          <w:bCs/>
          <w:color w:val="000000" w:themeColor="text1"/>
          <w:sz w:val="32"/>
          <w:szCs w:val="32"/>
          <w:highlight w:val="none"/>
          <w14:textFill>
            <w14:solidFill>
              <w14:schemeClr w14:val="tx1"/>
            </w14:solidFill>
          </w14:textFill>
        </w:rPr>
        <w:t>三、响应文件的编制</w:t>
      </w:r>
      <w:bookmarkEnd w:id="79"/>
      <w:bookmarkEnd w:id="80"/>
      <w:bookmarkEnd w:id="81"/>
      <w:bookmarkEnd w:id="82"/>
      <w:bookmarkEnd w:id="83"/>
    </w:p>
    <w:p w14:paraId="6B9B0FF7">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84" w:name="_Toc513029214"/>
      <w:bookmarkStart w:id="85" w:name="_Toc462564073"/>
      <w:bookmarkStart w:id="86" w:name="_Toc16938530"/>
      <w:bookmarkStart w:id="87" w:name="_Toc20823286"/>
      <w:r>
        <w:rPr>
          <w:rFonts w:hint="eastAsia" w:ascii="Arial" w:hAnsi="Arial" w:eastAsia="黑体" w:cs="Arial"/>
          <w:color w:val="000000" w:themeColor="text1"/>
          <w:sz w:val="28"/>
          <w:szCs w:val="28"/>
          <w:highlight w:val="none"/>
          <w14:textFill>
            <w14:solidFill>
              <w14:schemeClr w14:val="tx1"/>
            </w14:solidFill>
          </w14:textFill>
        </w:rPr>
        <w:t>9.响应文件的语言及度量衡单位</w:t>
      </w:r>
      <w:bookmarkEnd w:id="84"/>
      <w:bookmarkEnd w:id="85"/>
      <w:bookmarkEnd w:id="86"/>
      <w:bookmarkEnd w:id="87"/>
    </w:p>
    <w:p w14:paraId="433CA162">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9.1</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14:textFill>
            <w14:solidFill>
              <w14:schemeClr w14:val="tx1"/>
            </w14:solidFill>
          </w14:textFill>
        </w:rPr>
        <w:t>供应商提交的响应文件以及供应商与采购人就有关</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的所有来往通知、函件和文件均应使用</w:t>
      </w:r>
      <w:r>
        <w:rPr>
          <w:rFonts w:hint="eastAsia" w:ascii="宋体" w:hAnsi="宋体" w:eastAsia="宋体" w:cs="Times New Roman"/>
          <w:b/>
          <w:bCs/>
          <w:color w:val="000000" w:themeColor="text1"/>
          <w:sz w:val="24"/>
          <w:szCs w:val="21"/>
          <w:highlight w:val="none"/>
          <w14:textFill>
            <w14:solidFill>
              <w14:schemeClr w14:val="tx1"/>
            </w14:solidFill>
          </w14:textFill>
        </w:rPr>
        <w:t>简体中文</w:t>
      </w:r>
      <w:r>
        <w:rPr>
          <w:rFonts w:hint="eastAsia" w:ascii="宋体" w:hAnsi="宋体" w:eastAsia="宋体" w:cs="Times New Roman"/>
          <w:color w:val="000000" w:themeColor="text1"/>
          <w:sz w:val="24"/>
          <w:szCs w:val="21"/>
          <w:highlight w:val="none"/>
          <w14:textFill>
            <w14:solidFill>
              <w14:schemeClr w14:val="tx1"/>
            </w14:solidFill>
          </w14:textFill>
        </w:rPr>
        <w:t>。</w:t>
      </w:r>
    </w:p>
    <w:p w14:paraId="49EBC859">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9.2</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14:textFill>
            <w14:solidFill>
              <w14:schemeClr w14:val="tx1"/>
            </w14:solidFill>
          </w14:textFill>
        </w:rPr>
        <w:t>除技术性能另有规定外，响应文件所使用的度量衡单位，均须采用国家法定计量单位。</w:t>
      </w:r>
    </w:p>
    <w:p w14:paraId="15B0BA08">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88" w:name="_Toc462564074"/>
      <w:bookmarkStart w:id="89" w:name="_Toc16938531"/>
      <w:bookmarkStart w:id="90" w:name="_Toc20823287"/>
      <w:bookmarkStart w:id="91" w:name="_Toc513029215"/>
      <w:r>
        <w:rPr>
          <w:rFonts w:hint="eastAsia" w:ascii="Arial" w:hAnsi="Arial" w:eastAsia="黑体" w:cs="Arial"/>
          <w:color w:val="000000" w:themeColor="text1"/>
          <w:sz w:val="28"/>
          <w:szCs w:val="28"/>
          <w:highlight w:val="none"/>
          <w14:textFill>
            <w14:solidFill>
              <w14:schemeClr w14:val="tx1"/>
            </w14:solidFill>
          </w14:textFill>
        </w:rPr>
        <w:t>10.响应文件构成</w:t>
      </w:r>
      <w:bookmarkEnd w:id="88"/>
      <w:bookmarkEnd w:id="89"/>
      <w:bookmarkEnd w:id="90"/>
      <w:bookmarkEnd w:id="91"/>
    </w:p>
    <w:p w14:paraId="78BF1313">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10.1</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14:textFill>
            <w14:solidFill>
              <w14:schemeClr w14:val="tx1"/>
            </w14:solidFill>
          </w14:textFill>
        </w:rPr>
        <w:t>供应商编写的响应文件应包括资格证明文件、符合性证明文件、分项报价表、技术要求响应及偏离表、商务要求响应及偏离表、其他证明文件、</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响应函等部分。</w:t>
      </w:r>
    </w:p>
    <w:p w14:paraId="216B189F">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10.2</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14:textFill>
            <w14:solidFill>
              <w14:schemeClr w14:val="tx1"/>
            </w14:solidFill>
          </w14:textFill>
        </w:rPr>
        <w:t>如标书制作工具中格式和内容与“江苏政府采购网”发布的</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文件不一致，请以“江苏政府采购网”发布的</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文件为准。</w:t>
      </w:r>
    </w:p>
    <w:p w14:paraId="4101797C">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92" w:name="_Hlt26954838"/>
      <w:bookmarkEnd w:id="92"/>
      <w:bookmarkStart w:id="93" w:name="_Hlt26670360"/>
      <w:bookmarkEnd w:id="93"/>
      <w:bookmarkStart w:id="94" w:name="_Hlt26668975"/>
      <w:bookmarkEnd w:id="94"/>
      <w:bookmarkStart w:id="95" w:name="_Toc49090509"/>
      <w:bookmarkStart w:id="96" w:name="_Toc14577357"/>
      <w:bookmarkStart w:id="97" w:name="_Toc14577354"/>
      <w:bookmarkStart w:id="98" w:name="_Toc513029216"/>
      <w:bookmarkStart w:id="99" w:name="_Toc513029219"/>
      <w:bookmarkStart w:id="100" w:name="_Toc49090507"/>
      <w:bookmarkStart w:id="101" w:name="_Toc49090508"/>
      <w:bookmarkStart w:id="102" w:name="_Toc14577355"/>
      <w:r>
        <w:rPr>
          <w:rFonts w:hint="eastAsia" w:ascii="Arial" w:hAnsi="Arial" w:eastAsia="黑体" w:cs="Arial"/>
          <w:color w:val="000000" w:themeColor="text1"/>
          <w:sz w:val="28"/>
          <w:szCs w:val="28"/>
          <w:highlight w:val="none"/>
          <w14:textFill>
            <w14:solidFill>
              <w14:schemeClr w14:val="tx1"/>
            </w14:solidFill>
          </w14:textFill>
        </w:rPr>
        <w:t>11.证明</w:t>
      </w:r>
      <w:r>
        <w:rPr>
          <w:rFonts w:hint="eastAsia" w:ascii="Arial" w:hAnsi="Arial" w:eastAsia="黑体" w:cs="Arial"/>
          <w:color w:val="000000" w:themeColor="text1"/>
          <w:sz w:val="28"/>
          <w:szCs w:val="28"/>
          <w:highlight w:val="none"/>
          <w:lang w:eastAsia="zh-CN"/>
          <w14:textFill>
            <w14:solidFill>
              <w14:schemeClr w14:val="tx1"/>
            </w14:solidFill>
          </w14:textFill>
        </w:rPr>
        <w:t>磋商</w:t>
      </w:r>
      <w:r>
        <w:rPr>
          <w:rFonts w:hint="eastAsia" w:ascii="Arial" w:hAnsi="Arial" w:eastAsia="黑体" w:cs="Arial"/>
          <w:color w:val="000000" w:themeColor="text1"/>
          <w:sz w:val="28"/>
          <w:szCs w:val="28"/>
          <w:highlight w:val="none"/>
          <w14:textFill>
            <w14:solidFill>
              <w14:schemeClr w14:val="tx1"/>
            </w14:solidFill>
          </w14:textFill>
        </w:rPr>
        <w:t>响应标的符合</w:t>
      </w:r>
      <w:r>
        <w:rPr>
          <w:rFonts w:hint="eastAsia" w:ascii="Arial" w:hAnsi="Arial" w:eastAsia="黑体" w:cs="Arial"/>
          <w:color w:val="000000" w:themeColor="text1"/>
          <w:sz w:val="28"/>
          <w:szCs w:val="28"/>
          <w:highlight w:val="none"/>
          <w:lang w:eastAsia="zh-CN"/>
          <w14:textFill>
            <w14:solidFill>
              <w14:schemeClr w14:val="tx1"/>
            </w14:solidFill>
          </w14:textFill>
        </w:rPr>
        <w:t>磋商</w:t>
      </w:r>
      <w:r>
        <w:rPr>
          <w:rFonts w:hint="eastAsia" w:ascii="Arial" w:hAnsi="Arial" w:eastAsia="黑体" w:cs="Arial"/>
          <w:color w:val="000000" w:themeColor="text1"/>
          <w:sz w:val="28"/>
          <w:szCs w:val="28"/>
          <w:highlight w:val="none"/>
          <w14:textFill>
            <w14:solidFill>
              <w14:schemeClr w14:val="tx1"/>
            </w14:solidFill>
          </w14:textFill>
        </w:rPr>
        <w:t>文件规定的文件</w:t>
      </w:r>
      <w:bookmarkEnd w:id="95"/>
      <w:bookmarkEnd w:id="96"/>
      <w:bookmarkEnd w:id="97"/>
      <w:bookmarkEnd w:id="98"/>
      <w:bookmarkEnd w:id="99"/>
      <w:bookmarkEnd w:id="100"/>
    </w:p>
    <w:p w14:paraId="29AD65C5">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11.1</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14:textFill>
            <w14:solidFill>
              <w14:schemeClr w14:val="tx1"/>
            </w14:solidFill>
          </w14:textFill>
        </w:rPr>
        <w:t>供应商应按照</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文件要求提交证明文件，证明其及</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响应标的符合</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文件规定。</w:t>
      </w:r>
    </w:p>
    <w:p w14:paraId="137E2E96">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11.2</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文件对证明文件无明确形式要求的，证明文件可以以文字资料、图纸和数据等形式提交。</w:t>
      </w:r>
      <w:bookmarkEnd w:id="101"/>
      <w:bookmarkEnd w:id="102"/>
    </w:p>
    <w:p w14:paraId="6F5B3133">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r>
        <w:rPr>
          <w:rFonts w:hint="eastAsia" w:ascii="Arial" w:hAnsi="Arial" w:eastAsia="黑体" w:cs="Arial"/>
          <w:color w:val="000000" w:themeColor="text1"/>
          <w:sz w:val="28"/>
          <w:szCs w:val="28"/>
          <w:highlight w:val="none"/>
          <w14:textFill>
            <w14:solidFill>
              <w14:schemeClr w14:val="tx1"/>
            </w14:solidFill>
          </w14:textFill>
        </w:rPr>
        <w:t>12.分项报价表</w:t>
      </w:r>
    </w:p>
    <w:p w14:paraId="5768111A">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12.1</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14:textFill>
            <w14:solidFill>
              <w14:schemeClr w14:val="tx1"/>
            </w14:solidFill>
          </w14:textFill>
        </w:rPr>
        <w:t>供应商应按照</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文件规定格式填报分项报价表。</w:t>
      </w:r>
    </w:p>
    <w:p w14:paraId="7E8D5EAB">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12.2</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货币。响应文件中的单价和总价无特殊规定的采用人民币报价，以元为单位标注。</w:t>
      </w:r>
      <w:r>
        <w:rPr>
          <w:rFonts w:hint="eastAsia" w:ascii="宋体" w:hAnsi="宋体" w:cs="Times New Roman"/>
          <w:color w:val="000000" w:themeColor="text1"/>
          <w:sz w:val="24"/>
          <w:szCs w:val="21"/>
          <w:highlight w:val="none"/>
          <w:lang w:eastAsia="zh-CN"/>
          <w14:textFill>
            <w14:solidFill>
              <w14:schemeClr w14:val="tx1"/>
            </w14:solidFill>
          </w14:textFill>
        </w:rPr>
        <w:t>磋商</w:t>
      </w:r>
      <w:r>
        <w:rPr>
          <w:rFonts w:hint="eastAsia" w:ascii="宋体" w:hAnsi="宋体" w:eastAsia="宋体" w:cs="Times New Roman"/>
          <w:color w:val="000000" w:themeColor="text1"/>
          <w:sz w:val="24"/>
          <w:szCs w:val="21"/>
          <w:highlight w:val="none"/>
          <w14:textFill>
            <w14:solidFill>
              <w14:schemeClr w14:val="tx1"/>
            </w14:solidFill>
          </w14:textFill>
        </w:rPr>
        <w:t>文件中另有规定的按规定执行。</w:t>
      </w:r>
    </w:p>
    <w:p w14:paraId="5B8FE8A2">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103" w:name="_Hlt26954848"/>
      <w:bookmarkEnd w:id="103"/>
      <w:bookmarkStart w:id="104" w:name="_Hlt26954846"/>
      <w:bookmarkEnd w:id="104"/>
      <w:bookmarkStart w:id="105" w:name="_Hlt26670482"/>
      <w:bookmarkEnd w:id="105"/>
      <w:bookmarkStart w:id="106" w:name="_Hlt26670486"/>
      <w:bookmarkEnd w:id="106"/>
      <w:bookmarkStart w:id="107" w:name="_Hlt26954731"/>
      <w:bookmarkEnd w:id="107"/>
      <w:r>
        <w:rPr>
          <w:rFonts w:hint="eastAsia" w:ascii="Arial" w:hAnsi="Arial" w:eastAsia="黑体" w:cs="Arial"/>
          <w:color w:val="000000" w:themeColor="text1"/>
          <w:sz w:val="28"/>
          <w:szCs w:val="28"/>
          <w:highlight w:val="none"/>
          <w14:textFill>
            <w14:solidFill>
              <w14:schemeClr w14:val="tx1"/>
            </w14:solidFill>
          </w14:textFill>
        </w:rPr>
        <w:t>13.技术要求响应及偏离表、商务要求响应及偏离表</w:t>
      </w:r>
    </w:p>
    <w:p w14:paraId="294039CD">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13.1</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供应商需对</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文件中的技术要求与商务要求逐项作出响应或偏离，并说明原因。</w:t>
      </w:r>
    </w:p>
    <w:p w14:paraId="2EF17EAC">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13.2</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供应商可在响应文件中提供认为需要的其他技术文件或说明。</w:t>
      </w:r>
    </w:p>
    <w:p w14:paraId="060C3787">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r>
        <w:rPr>
          <w:rFonts w:hint="eastAsia" w:ascii="Arial" w:hAnsi="Arial" w:eastAsia="黑体" w:cs="Arial"/>
          <w:color w:val="000000" w:themeColor="text1"/>
          <w:sz w:val="28"/>
          <w:szCs w:val="28"/>
          <w:highlight w:val="none"/>
          <w14:textFill>
            <w14:solidFill>
              <w14:schemeClr w14:val="tx1"/>
            </w14:solidFill>
          </w14:textFill>
        </w:rPr>
        <w:t>14.服务承诺、培训计划、人员安排及其他</w:t>
      </w:r>
    </w:p>
    <w:p w14:paraId="34CD11FB">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14.1</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供应商需根据</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文件要求提供有关售后服务的管理制度，售后服务机构的分布情况，售后服务人员的数量、素质、技术水平及售后服务的反应能力等。</w:t>
      </w:r>
    </w:p>
    <w:p w14:paraId="6223E2CB">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14.2</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供应商需根据</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文件要求提供培训计划。</w:t>
      </w:r>
    </w:p>
    <w:p w14:paraId="7BBFB3E6">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14.3</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供应商需根据</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文件要求提供</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响应标的的主要组成部分、功能设计、实现思路及关键技术等。</w:t>
      </w:r>
    </w:p>
    <w:p w14:paraId="31F56EAA">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108" w:name="_Toc14577359"/>
      <w:bookmarkStart w:id="109" w:name="_Toc49090510"/>
      <w:r>
        <w:rPr>
          <w:rFonts w:hint="eastAsia" w:ascii="Arial" w:hAnsi="Arial" w:eastAsia="黑体" w:cs="Arial"/>
          <w:color w:val="000000" w:themeColor="text1"/>
          <w:sz w:val="28"/>
          <w:szCs w:val="28"/>
          <w:highlight w:val="none"/>
          <w14:textFill>
            <w14:solidFill>
              <w14:schemeClr w14:val="tx1"/>
            </w14:solidFill>
          </w14:textFill>
        </w:rPr>
        <w:t>15.</w:t>
      </w:r>
      <w:r>
        <w:rPr>
          <w:rFonts w:hint="eastAsia" w:ascii="Arial" w:hAnsi="Arial" w:eastAsia="黑体" w:cs="Arial"/>
          <w:color w:val="000000" w:themeColor="text1"/>
          <w:sz w:val="28"/>
          <w:szCs w:val="28"/>
          <w:highlight w:val="none"/>
          <w:lang w:eastAsia="zh-CN"/>
          <w14:textFill>
            <w14:solidFill>
              <w14:schemeClr w14:val="tx1"/>
            </w14:solidFill>
          </w14:textFill>
        </w:rPr>
        <w:t>磋商</w:t>
      </w:r>
      <w:r>
        <w:rPr>
          <w:rFonts w:hint="eastAsia" w:ascii="Arial" w:hAnsi="Arial" w:eastAsia="黑体" w:cs="Arial"/>
          <w:color w:val="000000" w:themeColor="text1"/>
          <w:sz w:val="28"/>
          <w:szCs w:val="28"/>
          <w:highlight w:val="none"/>
          <w14:textFill>
            <w14:solidFill>
              <w14:schemeClr w14:val="tx1"/>
            </w14:solidFill>
          </w14:textFill>
        </w:rPr>
        <w:t>响应函</w:t>
      </w:r>
    </w:p>
    <w:p w14:paraId="079C5184">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15.1</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供应商应按照</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文件中提供的格式完整、正确填写</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响应函。</w:t>
      </w:r>
      <w:bookmarkEnd w:id="108"/>
      <w:bookmarkEnd w:id="109"/>
    </w:p>
    <w:p w14:paraId="471D98FF">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110" w:name="_Toc14577360"/>
      <w:bookmarkStart w:id="111" w:name="_Toc49090511"/>
      <w:r>
        <w:rPr>
          <w:rFonts w:hint="eastAsia" w:ascii="Arial" w:hAnsi="Arial" w:eastAsia="黑体" w:cs="Arial"/>
          <w:color w:val="000000" w:themeColor="text1"/>
          <w:sz w:val="28"/>
          <w:szCs w:val="28"/>
          <w:highlight w:val="none"/>
          <w14:textFill>
            <w14:solidFill>
              <w14:schemeClr w14:val="tx1"/>
            </w14:solidFill>
          </w14:textFill>
        </w:rPr>
        <w:t>16.</w:t>
      </w:r>
      <w:r>
        <w:rPr>
          <w:rFonts w:hint="eastAsia" w:ascii="Arial" w:hAnsi="Arial" w:eastAsia="黑体" w:cs="Arial"/>
          <w:color w:val="000000" w:themeColor="text1"/>
          <w:sz w:val="28"/>
          <w:szCs w:val="28"/>
          <w:highlight w:val="none"/>
          <w:lang w:eastAsia="zh-CN"/>
          <w14:textFill>
            <w14:solidFill>
              <w14:schemeClr w14:val="tx1"/>
            </w14:solidFill>
          </w14:textFill>
        </w:rPr>
        <w:t>磋商</w:t>
      </w:r>
      <w:r>
        <w:rPr>
          <w:rFonts w:hint="eastAsia" w:ascii="Arial" w:hAnsi="Arial" w:eastAsia="黑体" w:cs="Arial"/>
          <w:color w:val="000000" w:themeColor="text1"/>
          <w:sz w:val="28"/>
          <w:szCs w:val="28"/>
          <w:highlight w:val="none"/>
          <w14:textFill>
            <w14:solidFill>
              <w14:schemeClr w14:val="tx1"/>
            </w14:solidFill>
          </w14:textFill>
        </w:rPr>
        <w:t>有效期</w:t>
      </w:r>
      <w:bookmarkEnd w:id="110"/>
      <w:bookmarkEnd w:id="111"/>
    </w:p>
    <w:p w14:paraId="1B5C0886">
      <w:pPr>
        <w:keepNext w:val="0"/>
        <w:keepLines w:val="0"/>
        <w:pageBreakBefore w:val="0"/>
        <w:widowControl w:val="0"/>
        <w:spacing w:line="480" w:lineRule="exact"/>
        <w:ind w:firstLine="480"/>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16.1</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bCs/>
          <w:color w:val="000000" w:themeColor="text1"/>
          <w:sz w:val="24"/>
          <w:szCs w:val="21"/>
          <w:highlight w:val="none"/>
          <w:lang w:eastAsia="zh-CN"/>
          <w14:textFill>
            <w14:solidFill>
              <w14:schemeClr w14:val="tx1"/>
            </w14:solidFill>
          </w14:textFill>
        </w:rPr>
        <w:t>磋商</w:t>
      </w:r>
      <w:r>
        <w:rPr>
          <w:rFonts w:hint="eastAsia" w:ascii="宋体" w:hAnsi="宋体"/>
          <w:bCs/>
          <w:color w:val="000000" w:themeColor="text1"/>
          <w:sz w:val="24"/>
          <w:szCs w:val="21"/>
          <w:highlight w:val="none"/>
          <w14:textFill>
            <w14:solidFill>
              <w14:schemeClr w14:val="tx1"/>
            </w14:solidFill>
          </w14:textFill>
        </w:rPr>
        <w:t>有效期为采购人规定的提交响应文件截止之日后</w:t>
      </w:r>
      <w:r>
        <w:rPr>
          <w:rFonts w:hint="eastAsia" w:ascii="仿宋_GB2312" w:hAnsi="仿宋_GB2312"/>
          <w:b/>
          <w:color w:val="000000" w:themeColor="text1"/>
          <w:sz w:val="24"/>
          <w:szCs w:val="21"/>
          <w:highlight w:val="none"/>
          <w:u w:val="single"/>
          <w14:textFill>
            <w14:solidFill>
              <w14:schemeClr w14:val="tx1"/>
            </w14:solidFill>
          </w14:textFill>
        </w:rPr>
        <w:t>六十（60）天</w:t>
      </w:r>
      <w:r>
        <w:rPr>
          <w:rFonts w:hint="eastAsia" w:ascii="宋体" w:hAnsi="宋体"/>
          <w:bCs/>
          <w:color w:val="000000" w:themeColor="text1"/>
          <w:sz w:val="24"/>
          <w:szCs w:val="21"/>
          <w:highlight w:val="none"/>
          <w14:textFill>
            <w14:solidFill>
              <w14:schemeClr w14:val="tx1"/>
            </w14:solidFill>
          </w14:textFill>
        </w:rPr>
        <w:t>。</w:t>
      </w:r>
      <w:r>
        <w:rPr>
          <w:rFonts w:hint="eastAsia" w:ascii="宋体" w:hAnsi="宋体"/>
          <w:bCs/>
          <w:color w:val="000000" w:themeColor="text1"/>
          <w:sz w:val="24"/>
          <w:szCs w:val="21"/>
          <w:highlight w:val="none"/>
          <w:lang w:eastAsia="zh-CN"/>
          <w14:textFill>
            <w14:solidFill>
              <w14:schemeClr w14:val="tx1"/>
            </w14:solidFill>
          </w14:textFill>
        </w:rPr>
        <w:t>磋商</w:t>
      </w:r>
      <w:r>
        <w:rPr>
          <w:rFonts w:hint="eastAsia" w:ascii="宋体" w:hAnsi="宋体"/>
          <w:bCs/>
          <w:color w:val="000000" w:themeColor="text1"/>
          <w:sz w:val="24"/>
          <w:szCs w:val="21"/>
          <w:highlight w:val="none"/>
          <w14:textFill>
            <w14:solidFill>
              <w14:schemeClr w14:val="tx1"/>
            </w14:solidFill>
          </w14:textFill>
        </w:rPr>
        <w:t>有效期比规定短的将被视为非实质性响应</w:t>
      </w:r>
      <w:r>
        <w:rPr>
          <w:rFonts w:hint="eastAsia" w:ascii="宋体" w:hAnsi="宋体"/>
          <w:bCs/>
          <w:color w:val="000000" w:themeColor="text1"/>
          <w:sz w:val="24"/>
          <w:szCs w:val="21"/>
          <w:highlight w:val="none"/>
          <w:lang w:eastAsia="zh-CN"/>
          <w14:textFill>
            <w14:solidFill>
              <w14:schemeClr w14:val="tx1"/>
            </w14:solidFill>
          </w14:textFill>
        </w:rPr>
        <w:t>磋商</w:t>
      </w:r>
      <w:r>
        <w:rPr>
          <w:rFonts w:hint="eastAsia" w:ascii="宋体" w:hAnsi="宋体"/>
          <w:bCs/>
          <w:color w:val="000000" w:themeColor="text1"/>
          <w:sz w:val="24"/>
          <w:szCs w:val="21"/>
          <w:highlight w:val="none"/>
          <w14:textFill>
            <w14:solidFill>
              <w14:schemeClr w14:val="tx1"/>
            </w14:solidFill>
          </w14:textFill>
        </w:rPr>
        <w:t>文件而予以拒绝。</w:t>
      </w:r>
    </w:p>
    <w:p w14:paraId="48064093">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r>
        <w:rPr>
          <w:rFonts w:hint="eastAsia" w:ascii="Arial" w:hAnsi="Arial" w:eastAsia="黑体" w:cs="Arial"/>
          <w:color w:val="000000" w:themeColor="text1"/>
          <w:sz w:val="28"/>
          <w:szCs w:val="28"/>
          <w:highlight w:val="none"/>
          <w14:textFill>
            <w14:solidFill>
              <w14:schemeClr w14:val="tx1"/>
            </w14:solidFill>
          </w14:textFill>
        </w:rPr>
        <w:t>17.</w:t>
      </w:r>
      <w:r>
        <w:rPr>
          <w:rFonts w:hint="eastAsia" w:ascii="Arial" w:hAnsi="Arial" w:eastAsia="黑体" w:cs="Arial"/>
          <w:color w:val="000000" w:themeColor="text1"/>
          <w:sz w:val="28"/>
          <w:szCs w:val="28"/>
          <w:highlight w:val="none"/>
          <w:lang w:eastAsia="zh-CN"/>
          <w14:textFill>
            <w14:solidFill>
              <w14:schemeClr w14:val="tx1"/>
            </w14:solidFill>
          </w14:textFill>
        </w:rPr>
        <w:t>磋商</w:t>
      </w:r>
      <w:r>
        <w:rPr>
          <w:rFonts w:hint="eastAsia" w:ascii="Arial" w:hAnsi="Arial" w:eastAsia="黑体" w:cs="Arial"/>
          <w:color w:val="000000" w:themeColor="text1"/>
          <w:sz w:val="28"/>
          <w:szCs w:val="28"/>
          <w:highlight w:val="none"/>
          <w14:textFill>
            <w14:solidFill>
              <w14:schemeClr w14:val="tx1"/>
            </w14:solidFill>
          </w14:textFill>
        </w:rPr>
        <w:t>有效期的延长</w:t>
      </w:r>
    </w:p>
    <w:p w14:paraId="4CCEA64A">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17.1</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在特殊情况下，采购人于原</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有效期满之前，可向供应商提出延长</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有效期的要求。这种要求与答复均应采用书面形式。供应商可以拒绝采购人的这一要求而放弃</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，同意延长</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有效期的供应商既不能要求也不允许修改其响应文件。受</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有效期约束的所有权利与义务均延长至新的有效期。</w:t>
      </w:r>
    </w:p>
    <w:p w14:paraId="418E2D78">
      <w:pPr>
        <w:keepNext/>
        <w:keepLines/>
        <w:pageBreakBefore w:val="0"/>
        <w:widowControl w:val="0"/>
        <w:spacing w:line="520" w:lineRule="exact"/>
        <w:ind w:firstLine="482"/>
        <w:outlineLvl w:val="2"/>
        <w:rPr>
          <w:b/>
          <w:bCs/>
          <w:color w:val="000000" w:themeColor="text1"/>
          <w:sz w:val="32"/>
          <w:szCs w:val="32"/>
          <w:highlight w:val="none"/>
          <w14:textFill>
            <w14:solidFill>
              <w14:schemeClr w14:val="tx1"/>
            </w14:solidFill>
          </w14:textFill>
        </w:rPr>
      </w:pPr>
      <w:bookmarkStart w:id="112" w:name="_Hlt26954852"/>
      <w:bookmarkEnd w:id="112"/>
      <w:bookmarkStart w:id="113" w:name="_Hlt26954739"/>
      <w:bookmarkEnd w:id="113"/>
      <w:bookmarkStart w:id="114" w:name="_Toc120614217"/>
      <w:bookmarkStart w:id="115" w:name="_Toc513029224"/>
      <w:bookmarkStart w:id="116" w:name="_Toc16938540"/>
      <w:bookmarkStart w:id="117" w:name="_Toc20823296"/>
      <w:r>
        <w:rPr>
          <w:rFonts w:hint="eastAsia"/>
          <w:b/>
          <w:bCs/>
          <w:color w:val="000000" w:themeColor="text1"/>
          <w:sz w:val="32"/>
          <w:szCs w:val="32"/>
          <w:highlight w:val="none"/>
          <w14:textFill>
            <w14:solidFill>
              <w14:schemeClr w14:val="tx1"/>
            </w14:solidFill>
          </w14:textFill>
        </w:rPr>
        <w:t>四、响应文件的递交</w:t>
      </w:r>
      <w:bookmarkEnd w:id="114"/>
      <w:bookmarkEnd w:id="115"/>
      <w:bookmarkEnd w:id="116"/>
      <w:bookmarkEnd w:id="117"/>
    </w:p>
    <w:p w14:paraId="1197E5EC">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118" w:name="_Toc20823297"/>
      <w:bookmarkStart w:id="119" w:name="_Toc513029225"/>
      <w:bookmarkStart w:id="120" w:name="_Toc462564084"/>
      <w:bookmarkStart w:id="121" w:name="_Toc16938541"/>
      <w:r>
        <w:rPr>
          <w:rFonts w:hint="eastAsia" w:ascii="Arial" w:hAnsi="Arial" w:eastAsia="黑体" w:cs="Arial"/>
          <w:color w:val="000000" w:themeColor="text1"/>
          <w:sz w:val="28"/>
          <w:szCs w:val="28"/>
          <w:highlight w:val="none"/>
          <w14:textFill>
            <w14:solidFill>
              <w14:schemeClr w14:val="tx1"/>
            </w14:solidFill>
          </w14:textFill>
        </w:rPr>
        <w:t>18.电子</w:t>
      </w:r>
      <w:bookmarkEnd w:id="118"/>
      <w:bookmarkEnd w:id="119"/>
      <w:bookmarkEnd w:id="120"/>
      <w:bookmarkEnd w:id="121"/>
      <w:r>
        <w:rPr>
          <w:rFonts w:hint="eastAsia" w:ascii="Arial" w:hAnsi="Arial" w:eastAsia="黑体" w:cs="Arial"/>
          <w:color w:val="000000" w:themeColor="text1"/>
          <w:sz w:val="28"/>
          <w:szCs w:val="28"/>
          <w:highlight w:val="none"/>
          <w:lang w:eastAsia="zh-CN"/>
          <w14:textFill>
            <w14:solidFill>
              <w14:schemeClr w14:val="tx1"/>
            </w14:solidFill>
          </w14:textFill>
        </w:rPr>
        <w:t>磋商</w:t>
      </w:r>
      <w:r>
        <w:rPr>
          <w:rFonts w:hint="eastAsia" w:ascii="Arial" w:hAnsi="Arial" w:eastAsia="黑体" w:cs="Arial"/>
          <w:color w:val="000000" w:themeColor="text1"/>
          <w:sz w:val="28"/>
          <w:szCs w:val="28"/>
          <w:highlight w:val="none"/>
          <w14:textFill>
            <w14:solidFill>
              <w14:schemeClr w14:val="tx1"/>
            </w14:solidFill>
          </w14:textFill>
        </w:rPr>
        <w:t>响应文件的递交</w:t>
      </w:r>
    </w:p>
    <w:p w14:paraId="56BA1D08">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18.1</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供应商应当按照《操作手册》规定，在提交响应文件截止时间前制作并上传电子响应文件。</w:t>
      </w:r>
      <w:bookmarkStart w:id="122" w:name="_Toc513029226"/>
      <w:bookmarkStart w:id="123" w:name="_Toc20823298"/>
      <w:bookmarkStart w:id="124" w:name="_Toc16938542"/>
    </w:p>
    <w:p w14:paraId="2494E1EE">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r>
        <w:rPr>
          <w:rFonts w:hint="eastAsia" w:ascii="Arial" w:hAnsi="Arial" w:eastAsia="黑体" w:cs="Arial"/>
          <w:color w:val="000000" w:themeColor="text1"/>
          <w:sz w:val="28"/>
          <w:szCs w:val="28"/>
          <w:highlight w:val="none"/>
          <w14:textFill>
            <w14:solidFill>
              <w14:schemeClr w14:val="tx1"/>
            </w14:solidFill>
          </w14:textFill>
        </w:rPr>
        <w:t>19.提交响应文件截止时间</w:t>
      </w:r>
      <w:bookmarkEnd w:id="122"/>
      <w:bookmarkEnd w:id="123"/>
      <w:bookmarkEnd w:id="124"/>
    </w:p>
    <w:p w14:paraId="01BA5E25">
      <w:pPr>
        <w:keepNext w:val="0"/>
        <w:keepLines w:val="0"/>
        <w:pageBreakBefore w:val="0"/>
        <w:widowControl w:val="0"/>
        <w:spacing w:line="480" w:lineRule="exact"/>
        <w:ind w:firstLine="482"/>
        <w:rPr>
          <w:rFonts w:ascii="宋体" w:hAnsi="宋体"/>
          <w:bCs/>
          <w:color w:val="000000" w:themeColor="text1"/>
          <w:sz w:val="24"/>
          <w:szCs w:val="21"/>
          <w:highlight w:val="none"/>
          <w:u w:val="singl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19</w:t>
      </w:r>
      <w:r>
        <w:rPr>
          <w:rFonts w:hint="eastAsia" w:ascii="宋体" w:hAnsi="宋体"/>
          <w:color w:val="000000" w:themeColor="text1"/>
          <w:sz w:val="24"/>
          <w:szCs w:val="21"/>
          <w:highlight w:val="none"/>
          <w14:textFill>
            <w14:solidFill>
              <w14:schemeClr w14:val="tx1"/>
            </w14:solidFill>
          </w14:textFill>
        </w:rPr>
        <w:t>.1</w:t>
      </w:r>
      <w:r>
        <w:rPr>
          <w:rFonts w:hint="eastAsia" w:ascii="宋体" w:hAnsi="宋体"/>
          <w:b/>
          <w:bCs/>
          <w:color w:val="000000" w:themeColor="text1"/>
          <w:sz w:val="24"/>
          <w:szCs w:val="21"/>
          <w:highlight w:val="none"/>
          <w:u w:val="single"/>
          <w14:textFill>
            <w14:solidFill>
              <w14:schemeClr w14:val="tx1"/>
            </w14:solidFill>
          </w14:textFill>
        </w:rPr>
        <w:t>供应商上传电子响应文件的时间不得迟于</w:t>
      </w:r>
      <w:r>
        <w:rPr>
          <w:rFonts w:hint="eastAsia" w:ascii="宋体" w:hAnsi="宋体"/>
          <w:b/>
          <w:bCs/>
          <w:color w:val="000000" w:themeColor="text1"/>
          <w:sz w:val="24"/>
          <w:szCs w:val="21"/>
          <w:highlight w:val="none"/>
          <w:u w:val="single"/>
          <w:lang w:eastAsia="zh-CN"/>
          <w14:textFill>
            <w14:solidFill>
              <w14:schemeClr w14:val="tx1"/>
            </w14:solidFill>
          </w14:textFill>
        </w:rPr>
        <w:t>磋商</w:t>
      </w:r>
      <w:r>
        <w:rPr>
          <w:rFonts w:hint="eastAsia" w:ascii="宋体" w:hAnsi="宋体"/>
          <w:b/>
          <w:bCs/>
          <w:color w:val="000000" w:themeColor="text1"/>
          <w:sz w:val="24"/>
          <w:szCs w:val="21"/>
          <w:highlight w:val="none"/>
          <w:u w:val="single"/>
          <w14:textFill>
            <w14:solidFill>
              <w14:schemeClr w14:val="tx1"/>
            </w14:solidFill>
          </w14:textFill>
        </w:rPr>
        <w:t>公告中规定的提交响应文件截止时间。</w:t>
      </w:r>
    </w:p>
    <w:p w14:paraId="6629C06A">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供应商应充分考虑到网络环境、网络带宽等风险因素，如因供应商自身原因造成的电子响应文件上传不成功的按照本</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文件第二章第26.3.2条规定做无效响应处理。</w:t>
      </w:r>
    </w:p>
    <w:p w14:paraId="06687151">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19.2</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采购人可以按照规定，通过修改</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文件酌情延长提交响应文件截止日期，在此情况下，供应商的所有权利和义务以及供应商受制的截止日期均应以延长后新的截止日期为准。</w:t>
      </w:r>
    </w:p>
    <w:p w14:paraId="67EFDB4C">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125" w:name="_Toc513029227"/>
      <w:bookmarkStart w:id="126" w:name="_Toc20823299"/>
      <w:bookmarkStart w:id="127" w:name="_Toc16938543"/>
      <w:r>
        <w:rPr>
          <w:rFonts w:hint="eastAsia" w:ascii="Arial" w:hAnsi="Arial" w:eastAsia="黑体" w:cs="Arial"/>
          <w:color w:val="000000" w:themeColor="text1"/>
          <w:sz w:val="28"/>
          <w:szCs w:val="28"/>
          <w:highlight w:val="none"/>
          <w14:textFill>
            <w14:solidFill>
              <w14:schemeClr w14:val="tx1"/>
            </w14:solidFill>
          </w14:textFill>
        </w:rPr>
        <w:t>20.响应文件</w:t>
      </w:r>
      <w:bookmarkEnd w:id="125"/>
      <w:bookmarkEnd w:id="126"/>
      <w:bookmarkEnd w:id="127"/>
      <w:r>
        <w:rPr>
          <w:rFonts w:hint="eastAsia" w:ascii="Arial" w:hAnsi="Arial" w:eastAsia="黑体" w:cs="Arial"/>
          <w:color w:val="000000" w:themeColor="text1"/>
          <w:sz w:val="28"/>
          <w:szCs w:val="28"/>
          <w:highlight w:val="none"/>
          <w14:textFill>
            <w14:solidFill>
              <w14:schemeClr w14:val="tx1"/>
            </w14:solidFill>
          </w14:textFill>
        </w:rPr>
        <w:t>的拒收</w:t>
      </w:r>
    </w:p>
    <w:p w14:paraId="7978972A">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20.1 采购人拒绝接收在其规定的提交响应文件截止时间后上传的任何电子响应文件。</w:t>
      </w:r>
    </w:p>
    <w:p w14:paraId="2D0028B1">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128" w:name="_Toc16938544"/>
      <w:bookmarkStart w:id="129" w:name="_Toc20823300"/>
      <w:bookmarkStart w:id="130" w:name="_Toc513029228"/>
      <w:r>
        <w:rPr>
          <w:rFonts w:hint="eastAsia" w:ascii="Arial" w:hAnsi="Arial" w:eastAsia="黑体" w:cs="Arial"/>
          <w:color w:val="000000" w:themeColor="text1"/>
          <w:sz w:val="28"/>
          <w:szCs w:val="28"/>
          <w:highlight w:val="none"/>
          <w14:textFill>
            <w14:solidFill>
              <w14:schemeClr w14:val="tx1"/>
            </w14:solidFill>
          </w14:textFill>
        </w:rPr>
        <w:t>21.响应文件的撤回和修改</w:t>
      </w:r>
      <w:bookmarkEnd w:id="128"/>
      <w:bookmarkEnd w:id="129"/>
      <w:bookmarkEnd w:id="130"/>
    </w:p>
    <w:p w14:paraId="2175C78A">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21.1</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响应文件的撤回</w:t>
      </w:r>
    </w:p>
    <w:p w14:paraId="6B9A1F5A">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21.1.1电子响应文件的撤回</w:t>
      </w:r>
    </w:p>
    <w:p w14:paraId="7CF9FEF9">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供应商可在提交响应文件截止时间前，撤回其电子响应文件，具体操作方法见《操作手册》。</w:t>
      </w:r>
    </w:p>
    <w:p w14:paraId="0D371055">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21.1.2供应商撤回电子响应文件，则认为其不再参与本项目</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活动。</w:t>
      </w:r>
    </w:p>
    <w:p w14:paraId="03C9EA13">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21.2</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响应文件的修改</w:t>
      </w:r>
    </w:p>
    <w:p w14:paraId="78891088">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供应商可在提交响应文件截止时间前，对其电子响应文件进行修改，具体操作方法见《操作手册》。</w:t>
      </w:r>
    </w:p>
    <w:p w14:paraId="566FE66B">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21.3 在提交响应文件截止时间之后，供应商不得对其电子响应文件作任何修改。</w:t>
      </w:r>
    </w:p>
    <w:p w14:paraId="3B2D9E18">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21.4 在提交响应文件截止时间至</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文件中规定的</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有效期满之间的这段时间内，供应商不得撤回其响应文件。</w:t>
      </w:r>
    </w:p>
    <w:p w14:paraId="57F34447">
      <w:pPr>
        <w:keepNext/>
        <w:keepLines/>
        <w:pageBreakBefore w:val="0"/>
        <w:widowControl w:val="0"/>
        <w:spacing w:line="520" w:lineRule="exact"/>
        <w:ind w:firstLine="482"/>
        <w:outlineLvl w:val="2"/>
        <w:rPr>
          <w:b/>
          <w:bCs/>
          <w:color w:val="000000" w:themeColor="text1"/>
          <w:sz w:val="32"/>
          <w:szCs w:val="32"/>
          <w:highlight w:val="none"/>
          <w14:textFill>
            <w14:solidFill>
              <w14:schemeClr w14:val="tx1"/>
            </w14:solidFill>
          </w14:textFill>
        </w:rPr>
      </w:pPr>
      <w:bookmarkStart w:id="131" w:name="_Toc120614218"/>
      <w:bookmarkStart w:id="132" w:name="_Toc20823301"/>
      <w:bookmarkStart w:id="133" w:name="_Toc513029229"/>
      <w:bookmarkStart w:id="134" w:name="_Toc16938545"/>
      <w:r>
        <w:rPr>
          <w:rFonts w:hint="eastAsia"/>
          <w:b/>
          <w:bCs/>
          <w:color w:val="000000" w:themeColor="text1"/>
          <w:sz w:val="32"/>
          <w:szCs w:val="32"/>
          <w:highlight w:val="none"/>
          <w14:textFill>
            <w14:solidFill>
              <w14:schemeClr w14:val="tx1"/>
            </w14:solidFill>
          </w14:textFill>
        </w:rPr>
        <w:t>五、响应文件的解密与评审</w:t>
      </w:r>
      <w:bookmarkEnd w:id="131"/>
      <w:bookmarkEnd w:id="132"/>
      <w:bookmarkEnd w:id="133"/>
      <w:bookmarkEnd w:id="134"/>
    </w:p>
    <w:p w14:paraId="4DE4EA67">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135" w:name="_Toc16938546"/>
      <w:bookmarkStart w:id="136" w:name="_Toc20823302"/>
      <w:bookmarkStart w:id="137" w:name="_Toc513029230"/>
      <w:r>
        <w:rPr>
          <w:rFonts w:hint="eastAsia" w:ascii="Arial" w:hAnsi="Arial" w:eastAsia="黑体" w:cs="Arial"/>
          <w:color w:val="000000" w:themeColor="text1"/>
          <w:sz w:val="28"/>
          <w:szCs w:val="28"/>
          <w:highlight w:val="none"/>
          <w14:textFill>
            <w14:solidFill>
              <w14:schemeClr w14:val="tx1"/>
            </w14:solidFill>
          </w14:textFill>
        </w:rPr>
        <w:t>22</w:t>
      </w:r>
      <w:bookmarkEnd w:id="135"/>
      <w:bookmarkEnd w:id="136"/>
      <w:bookmarkEnd w:id="137"/>
      <w:r>
        <w:rPr>
          <w:rFonts w:hint="eastAsia" w:ascii="Arial" w:hAnsi="Arial" w:eastAsia="黑体" w:cs="Arial"/>
          <w:color w:val="000000" w:themeColor="text1"/>
          <w:sz w:val="28"/>
          <w:szCs w:val="28"/>
          <w:highlight w:val="none"/>
          <w14:textFill>
            <w14:solidFill>
              <w14:schemeClr w14:val="tx1"/>
            </w14:solidFill>
          </w14:textFill>
        </w:rPr>
        <w:t>.响应文件解密</w:t>
      </w:r>
    </w:p>
    <w:p w14:paraId="283768FA">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22.1</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供应商应当按照《操作手册》规定，在苏采云系统规定的时间内对</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响应文件进行解密。</w:t>
      </w:r>
    </w:p>
    <w:p w14:paraId="3D1D03ED">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138" w:name="_Toc16938547"/>
      <w:bookmarkStart w:id="139" w:name="_Toc513029231"/>
      <w:bookmarkStart w:id="140" w:name="_Toc20823303"/>
      <w:r>
        <w:rPr>
          <w:rFonts w:hint="eastAsia" w:ascii="Arial" w:hAnsi="Arial" w:eastAsia="黑体" w:cs="Arial"/>
          <w:color w:val="000000" w:themeColor="text1"/>
          <w:sz w:val="28"/>
          <w:szCs w:val="28"/>
          <w:highlight w:val="none"/>
          <w14:textFill>
            <w14:solidFill>
              <w14:schemeClr w14:val="tx1"/>
            </w14:solidFill>
          </w14:textFill>
        </w:rPr>
        <w:t>23.</w:t>
      </w:r>
      <w:r>
        <w:rPr>
          <w:rFonts w:hint="eastAsia" w:ascii="Arial" w:hAnsi="Arial" w:eastAsia="黑体" w:cs="Arial"/>
          <w:color w:val="000000" w:themeColor="text1"/>
          <w:sz w:val="28"/>
          <w:szCs w:val="28"/>
          <w:highlight w:val="none"/>
          <w:lang w:eastAsia="zh-CN"/>
          <w14:textFill>
            <w14:solidFill>
              <w14:schemeClr w14:val="tx1"/>
            </w14:solidFill>
          </w14:textFill>
        </w:rPr>
        <w:t>磋商</w:t>
      </w:r>
      <w:r>
        <w:rPr>
          <w:rFonts w:hint="eastAsia" w:ascii="Arial" w:hAnsi="Arial" w:eastAsia="黑体" w:cs="Arial"/>
          <w:color w:val="000000" w:themeColor="text1"/>
          <w:sz w:val="28"/>
          <w:szCs w:val="28"/>
          <w:highlight w:val="none"/>
          <w14:textFill>
            <w14:solidFill>
              <w14:schemeClr w14:val="tx1"/>
            </w14:solidFill>
          </w14:textFill>
        </w:rPr>
        <w:t>小组</w:t>
      </w:r>
    </w:p>
    <w:p w14:paraId="47346650">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23.1</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采购人将组织</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小组对响应文件进行评审。</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小组由采购人代表和有关技术、经济等方面的专家组成，且人员构成符合政府采购有关规定。</w:t>
      </w:r>
    </w:p>
    <w:p w14:paraId="0961C1DF">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23.2</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 </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小组独立工作，负责评审所有响应文件并确定成交侯选人。</w:t>
      </w:r>
    </w:p>
    <w:p w14:paraId="23675660">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r>
        <w:rPr>
          <w:rFonts w:hint="eastAsia" w:ascii="Arial" w:hAnsi="Arial" w:eastAsia="黑体" w:cs="Arial"/>
          <w:color w:val="000000" w:themeColor="text1"/>
          <w:sz w:val="28"/>
          <w:szCs w:val="28"/>
          <w:highlight w:val="none"/>
          <w14:textFill>
            <w14:solidFill>
              <w14:schemeClr w14:val="tx1"/>
            </w14:solidFill>
          </w14:textFill>
        </w:rPr>
        <w:t>24.评审过程的保密与公正</w:t>
      </w:r>
      <w:bookmarkEnd w:id="138"/>
      <w:bookmarkEnd w:id="139"/>
      <w:bookmarkEnd w:id="140"/>
    </w:p>
    <w:p w14:paraId="5B6C5FD0">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24.1</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小组、采购人和采购代理机构工作人员、相关监督人员等与评审工作有关的人员，对评审情况以及在评审过程中获悉的国家秘密、商业秘密负有保密责任。</w:t>
      </w:r>
    </w:p>
    <w:p w14:paraId="6EB7C565">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24.2</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在评审过程中，供应商不得以任何行为影响</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评审过程，否则其响应文件将被作为无效响应文件。</w:t>
      </w:r>
    </w:p>
    <w:p w14:paraId="4FFE4758">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24.3</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在项目评审期间，采购代理机构将设专门人员与供应商联系。</w:t>
      </w:r>
    </w:p>
    <w:p w14:paraId="3E9C8146">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24.4</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采购人和</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小组不向未成交的供应商解释未成交原因，也不公布评审过程中的相关细节。</w:t>
      </w:r>
    </w:p>
    <w:p w14:paraId="4325E419">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141" w:name="_Toc513029232"/>
      <w:bookmarkStart w:id="142" w:name="_Toc20823304"/>
      <w:bookmarkStart w:id="143" w:name="_Toc16938548"/>
      <w:r>
        <w:rPr>
          <w:rFonts w:hint="eastAsia" w:ascii="Arial" w:hAnsi="Arial" w:eastAsia="黑体" w:cs="Arial"/>
          <w:color w:val="000000" w:themeColor="text1"/>
          <w:sz w:val="28"/>
          <w:szCs w:val="28"/>
          <w:highlight w:val="none"/>
          <w14:textFill>
            <w14:solidFill>
              <w14:schemeClr w14:val="tx1"/>
            </w14:solidFill>
          </w14:textFill>
        </w:rPr>
        <w:t>25.评审过程中的的澄清</w:t>
      </w:r>
      <w:bookmarkEnd w:id="141"/>
      <w:bookmarkEnd w:id="142"/>
      <w:bookmarkEnd w:id="143"/>
    </w:p>
    <w:p w14:paraId="1E459F46">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25.1</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项目评审期间，</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5531F5F">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小组并非对每个供应商都作澄清要求。</w:t>
      </w:r>
    </w:p>
    <w:p w14:paraId="2EF43A08">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25.2</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需要供应商进行澄清、说明和更正的，</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ED7749C">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25.3</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接到</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小组澄清、说明和更正要求的供应商如未按规定做出澄清、说明和更正，其风险由供应商自行承担。</w:t>
      </w:r>
    </w:p>
    <w:p w14:paraId="6FF0FBAC">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144" w:name="_Toc20823305"/>
      <w:bookmarkStart w:id="145" w:name="_Toc16938549"/>
      <w:bookmarkStart w:id="146" w:name="_Toc513029233"/>
      <w:r>
        <w:rPr>
          <w:rFonts w:hint="eastAsia" w:ascii="Arial" w:hAnsi="Arial" w:eastAsia="黑体" w:cs="Arial"/>
          <w:color w:val="000000" w:themeColor="text1"/>
          <w:sz w:val="28"/>
          <w:szCs w:val="28"/>
          <w:highlight w:val="none"/>
          <w14:textFill>
            <w14:solidFill>
              <w14:schemeClr w14:val="tx1"/>
            </w14:solidFill>
          </w14:textFill>
        </w:rPr>
        <w:t>26.对响应文件的审</w:t>
      </w:r>
      <w:bookmarkEnd w:id="144"/>
      <w:bookmarkEnd w:id="145"/>
      <w:bookmarkEnd w:id="146"/>
      <w:r>
        <w:rPr>
          <w:rFonts w:hint="eastAsia" w:ascii="Arial" w:hAnsi="Arial" w:eastAsia="黑体" w:cs="Arial"/>
          <w:color w:val="000000" w:themeColor="text1"/>
          <w:sz w:val="28"/>
          <w:szCs w:val="28"/>
          <w:highlight w:val="none"/>
          <w14:textFill>
            <w14:solidFill>
              <w14:schemeClr w14:val="tx1"/>
            </w14:solidFill>
          </w14:textFill>
        </w:rPr>
        <w:t>查</w:t>
      </w:r>
    </w:p>
    <w:p w14:paraId="5202E38E">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26.1 响应文件审查分为资格审查和符合性审查。</w:t>
      </w:r>
    </w:p>
    <w:p w14:paraId="773C4055">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26.1.1资格审查：由采购人依据法律法规和</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文件的规定，对响应文件中的资格证明文件进行审查，以确定供应商是否具备参加</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的资格。</w:t>
      </w:r>
    </w:p>
    <w:p w14:paraId="3B82624F">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采购人在进行资格审查的同时，将在“信用中国”网站查询供应商的信用记录，以确定供应商是否具备</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资格</w:t>
      </w:r>
      <w:r>
        <w:rPr>
          <w:rFonts w:hint="eastAsia" w:ascii="宋体" w:hAnsi="宋体" w:cs="Times New Roman"/>
          <w:color w:val="000000" w:themeColor="text1"/>
          <w:sz w:val="24"/>
          <w:szCs w:val="21"/>
          <w:highlight w:val="none"/>
          <w:lang w:val="zh-CN"/>
          <w14:textFill>
            <w14:solidFill>
              <w14:schemeClr w14:val="tx1"/>
            </w14:solidFill>
          </w14:textFill>
        </w:rPr>
        <w:t>，</w:t>
      </w:r>
      <w:r>
        <w:rPr>
          <w:rFonts w:hint="eastAsia" w:ascii="宋体" w:hAnsi="宋体" w:eastAsia="宋体" w:cs="Times New Roman"/>
          <w:color w:val="000000" w:themeColor="text1"/>
          <w:sz w:val="24"/>
          <w:szCs w:val="21"/>
          <w:highlight w:val="none"/>
          <w:lang w:val="zh-CN"/>
          <w14:textFill>
            <w14:solidFill>
              <w14:schemeClr w14:val="tx1"/>
            </w14:solidFill>
          </w14:textFill>
        </w:rPr>
        <w:t>查询结果留存并归档。</w:t>
      </w:r>
    </w:p>
    <w:p w14:paraId="42E76F78">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接受联合体的项目，两个以上的自然人、法人或者其他组织组成一个联合体，以一个供应商的身份共同参加政府采购活动的</w:t>
      </w:r>
      <w:r>
        <w:rPr>
          <w:rFonts w:hint="eastAsia" w:ascii="宋体" w:hAnsi="宋体" w:cs="Times New Roman"/>
          <w:color w:val="000000" w:themeColor="text1"/>
          <w:sz w:val="24"/>
          <w:szCs w:val="21"/>
          <w:highlight w:val="none"/>
          <w:lang w:val="zh-CN"/>
          <w14:textFill>
            <w14:solidFill>
              <w14:schemeClr w14:val="tx1"/>
            </w14:solidFill>
          </w14:textFill>
        </w:rPr>
        <w:t>，</w:t>
      </w:r>
      <w:r>
        <w:rPr>
          <w:rFonts w:hint="eastAsia" w:ascii="宋体" w:hAnsi="宋体" w:eastAsia="宋体" w:cs="Times New Roman"/>
          <w:color w:val="000000" w:themeColor="text1"/>
          <w:sz w:val="24"/>
          <w:szCs w:val="21"/>
          <w:highlight w:val="none"/>
          <w:lang w:val="zh-CN"/>
          <w14:textFill>
            <w14:solidFill>
              <w14:schemeClr w14:val="tx1"/>
            </w14:solidFill>
          </w14:textFill>
        </w:rPr>
        <w:t>联合体成员中任何一方存在不良信用记录的，视同联合体存在不良应用记录。</w:t>
      </w:r>
    </w:p>
    <w:p w14:paraId="73E21C92">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26.1.2符合性审查：依据</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文件的规定，由</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小组从响应文件的有效性、完整性和对</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文件的响应程度进行审查，以确定是否对</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文件的实质性要求作出响应。</w:t>
      </w:r>
    </w:p>
    <w:p w14:paraId="32D44ECD">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26.1.3未通过资格审查或符合性审查的供应商，采购代理机构将在苏采云系统中告知未通过资格审查或符合性审查的原因，评审结束后，采购代理机构将不再告知未通过资格审查或符合性审查的原因。</w:t>
      </w:r>
    </w:p>
    <w:p w14:paraId="5EEEA043">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26.2</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在详细评审之前，</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小组将首先审查每份响应文件是否实质性响应了</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文件的要求。实质性响应的响应文件应该是与</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文件要求的条款、条件和规格相符，没有重大偏离或保留。</w:t>
      </w:r>
    </w:p>
    <w:p w14:paraId="552DC9CD">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所谓重大偏离或保留是指与</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文件规定的实质性要求存在负偏离，或者在实质上与</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文件不一致，而且限制了合同中买方的权利或供应商的义务，纠正这些偏离或保留将会对其他实质性响应要求的供应商的竞争地位产生不公正的影响。重大偏离由</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小组按照少数服从多数的原则认定。</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小组决定响应文件的响应性只根据响应文件本身的内容，而不寻求外部的证据。</w:t>
      </w:r>
    </w:p>
    <w:p w14:paraId="6048BEFA">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26.3</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未实质性响应</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文件的情形</w:t>
      </w:r>
    </w:p>
    <w:p w14:paraId="6F62530D">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26.3.1供应商在苏采云系统规定的时间内未成功解密电子响应文件的。</w:t>
      </w:r>
    </w:p>
    <w:p w14:paraId="15293311">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26.3.2供应商未按照</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文件要求上传电子响应文件的。</w:t>
      </w:r>
    </w:p>
    <w:p w14:paraId="35ADD7D1">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26.3.3同一供应商提交两个（含两个）以上不同的响应文件或者最后报价的。</w:t>
      </w:r>
    </w:p>
    <w:p w14:paraId="01079269">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26.3.4供应商不具备</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文件中规定资格要求的。</w:t>
      </w:r>
    </w:p>
    <w:p w14:paraId="74736B6D">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26.3.5供应商的最后报价超过了采购预算。</w:t>
      </w:r>
    </w:p>
    <w:p w14:paraId="6C4C4112">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26.3.6不符合</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文件中规定的实质性要求和条件的。</w:t>
      </w:r>
    </w:p>
    <w:p w14:paraId="4F919103">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26.3.7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14AF1900">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26.3.8响应文件含有采购人不能接受的附加条件的。</w:t>
      </w:r>
    </w:p>
    <w:p w14:paraId="0A13F483">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26.3.9本项目采购产品被财政部、国家发改委、生态环境部等列入“节能产品品目清单”、“环境标志产品品目清单”强制采购范围，而</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供应商所</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产品不在强制采购范围内的。（</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产品如属于政府强制采购节能产品品目清单范围内，</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响应文件中必须提供国家确定的认证机构出具的、处于有效期之内的该节能产品认证证书图片）</w:t>
      </w:r>
    </w:p>
    <w:p w14:paraId="464F9508">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26.3.10响应文件未按照</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文件要求加盖CA电子公章的。</w:t>
      </w:r>
    </w:p>
    <w:p w14:paraId="6C6D53AF">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26.4</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未实质性响应</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文件的响应文件按无效响应处理。</w:t>
      </w:r>
    </w:p>
    <w:p w14:paraId="013B9D67">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26.5</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如果响应文件实质上没有响应</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文件的要求，</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小组将予以拒绝，供应商不得通过修改或撤销不合要求的偏离或保留而使其成为实质性响应的文件。</w:t>
      </w:r>
    </w:p>
    <w:p w14:paraId="56CBFB7A">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26.6</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 </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小组将对确定为实质性响应的文件进行进一步审核，看其是否有计算上或累加上的算术错误，修正错误的原则如下：</w:t>
      </w:r>
    </w:p>
    <w:p w14:paraId="119E8090">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（1）响应文件中报价总表内容与响应文件中相应内容不一致的，以报价总表为准。</w:t>
      </w:r>
    </w:p>
    <w:p w14:paraId="10A7A22B">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（2）大写金额和小写金额不一致的，以大写金额为准。</w:t>
      </w:r>
    </w:p>
    <w:p w14:paraId="3043857D">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（3）单价金额小数点或者百分比有明显错位的，以报价总表的总价为准，并修改单价。</w:t>
      </w:r>
    </w:p>
    <w:p w14:paraId="438462AC">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（4）总价金额与按单价汇总金额不一致的，以单价金额计算结果为准。</w:t>
      </w:r>
    </w:p>
    <w:p w14:paraId="2B9BDDAB">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同时出现两种以上错误的，按照前款规定的顺序修正。</w:t>
      </w:r>
    </w:p>
    <w:p w14:paraId="6A4EF514">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bookmarkStart w:id="147" w:name="_Toc16938550"/>
      <w:bookmarkStart w:id="148" w:name="_Toc20823306"/>
      <w:bookmarkStart w:id="149" w:name="_Toc513029234"/>
      <w:r>
        <w:rPr>
          <w:rFonts w:hint="eastAsia" w:ascii="宋体" w:hAnsi="宋体" w:eastAsia="宋体" w:cs="Times New Roman"/>
          <w:color w:val="000000" w:themeColor="text1"/>
          <w:sz w:val="24"/>
          <w:szCs w:val="21"/>
          <w:highlight w:val="none"/>
          <w:lang w:val="zh-CN"/>
          <w14:textFill>
            <w14:solidFill>
              <w14:schemeClr w14:val="tx1"/>
            </w14:solidFill>
          </w14:textFill>
        </w:rPr>
        <w:t>26.7</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供应商在项目评审全过程中应保持通讯畅通，并安排专人与采购人或采购代理机构及</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小组联系。</w:t>
      </w:r>
    </w:p>
    <w:p w14:paraId="5821EEE1">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r>
        <w:rPr>
          <w:rFonts w:hint="eastAsia" w:ascii="Arial" w:hAnsi="Arial" w:eastAsia="黑体" w:cs="Arial"/>
          <w:color w:val="000000" w:themeColor="text1"/>
          <w:sz w:val="28"/>
          <w:szCs w:val="28"/>
          <w:highlight w:val="none"/>
          <w:lang w:val="en-US" w:eastAsia="zh-CN"/>
          <w14:textFill>
            <w14:solidFill>
              <w14:schemeClr w14:val="tx1"/>
            </w14:solidFill>
          </w14:textFill>
        </w:rPr>
        <w:t>27.</w:t>
      </w:r>
      <w:bookmarkEnd w:id="147"/>
      <w:bookmarkEnd w:id="148"/>
      <w:bookmarkEnd w:id="149"/>
      <w:r>
        <w:rPr>
          <w:rFonts w:hint="eastAsia" w:ascii="Arial" w:hAnsi="Arial" w:eastAsia="黑体" w:cs="Arial"/>
          <w:color w:val="000000" w:themeColor="text1"/>
          <w:sz w:val="28"/>
          <w:szCs w:val="28"/>
          <w:highlight w:val="none"/>
          <w:lang w:eastAsia="zh-CN"/>
          <w14:textFill>
            <w14:solidFill>
              <w14:schemeClr w14:val="tx1"/>
            </w14:solidFill>
          </w14:textFill>
        </w:rPr>
        <w:t>磋商程序及评审方法和评审标准</w:t>
      </w:r>
    </w:p>
    <w:p w14:paraId="112ADABD">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w:t>
      </w:r>
      <w:r>
        <w:rPr>
          <w:rFonts w:hint="eastAsia" w:ascii="宋体" w:hAnsi="宋体" w:cs="Times New Roman"/>
          <w:color w:val="000000" w:themeColor="text1"/>
          <w:sz w:val="24"/>
          <w:szCs w:val="21"/>
          <w:highlight w:val="none"/>
          <w:lang w:val="en-US" w:eastAsia="zh-CN"/>
          <w14:textFill>
            <w14:solidFill>
              <w14:schemeClr w14:val="tx1"/>
            </w14:solidFill>
          </w14:textFill>
        </w:rPr>
        <w:t>7</w:t>
      </w:r>
      <w:r>
        <w:rPr>
          <w:rFonts w:hint="eastAsia" w:ascii="宋体" w:hAnsi="宋体" w:eastAsia="宋体" w:cs="Times New Roman"/>
          <w:color w:val="000000" w:themeColor="text1"/>
          <w:sz w:val="24"/>
          <w:szCs w:val="21"/>
          <w:highlight w:val="none"/>
          <w:lang w:val="zh-CN"/>
          <w14:textFill>
            <w14:solidFill>
              <w14:schemeClr w14:val="tx1"/>
            </w14:solidFill>
          </w14:textFill>
        </w:rPr>
        <w:t xml:space="preserve">.1 </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程序</w:t>
      </w:r>
    </w:p>
    <w:p w14:paraId="77EE0A2D">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w:t>
      </w:r>
      <w:r>
        <w:rPr>
          <w:rFonts w:hint="eastAsia" w:ascii="宋体" w:hAnsi="宋体" w:cs="Times New Roman"/>
          <w:color w:val="000000" w:themeColor="text1"/>
          <w:sz w:val="24"/>
          <w:szCs w:val="21"/>
          <w:highlight w:val="none"/>
          <w:lang w:val="en-US" w:eastAsia="zh-CN"/>
          <w14:textFill>
            <w14:solidFill>
              <w14:schemeClr w14:val="tx1"/>
            </w14:solidFill>
          </w14:textFill>
        </w:rPr>
        <w:t>7</w:t>
      </w:r>
      <w:r>
        <w:rPr>
          <w:rFonts w:hint="eastAsia" w:ascii="宋体" w:hAnsi="宋体" w:eastAsia="宋体" w:cs="Times New Roman"/>
          <w:color w:val="000000" w:themeColor="text1"/>
          <w:sz w:val="24"/>
          <w:szCs w:val="21"/>
          <w:highlight w:val="none"/>
          <w:lang w:val="zh-CN"/>
          <w14:textFill>
            <w14:solidFill>
              <w14:schemeClr w14:val="tx1"/>
            </w14:solidFill>
          </w14:textFill>
        </w:rPr>
        <w:t>.1.1对于通过资格审查和符合性审查的供应商，</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小组将集中与单一供应商分别进行</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小组通过苏采云系统向供应商发布“</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函”，供应商应当按照要求在苏采云系统提交“</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响应函”并加盖CA电子公章。</w:t>
      </w:r>
    </w:p>
    <w:p w14:paraId="21F15528">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在</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过程中，</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小组可能根据</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文件和</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情况实质性变动的内容有：采购需求中的技术、服务要求以及合同草案条款。对</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文件作出的实质性变动是</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文件的有效组成部分，</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小组将在苏采云系统中通知所有参加</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的供应商。供应商应当按照</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文件的变动情况和</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小组的要求在苏采云系统中重新提交响应文件，并加盖CA电子公章。</w:t>
      </w:r>
    </w:p>
    <w:p w14:paraId="23C504DD">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w:t>
      </w:r>
      <w:r>
        <w:rPr>
          <w:rFonts w:hint="eastAsia" w:ascii="宋体" w:hAnsi="宋体" w:cs="Times New Roman"/>
          <w:color w:val="000000" w:themeColor="text1"/>
          <w:sz w:val="24"/>
          <w:szCs w:val="21"/>
          <w:highlight w:val="none"/>
          <w:lang w:val="en-US" w:eastAsia="zh-CN"/>
          <w14:textFill>
            <w14:solidFill>
              <w14:schemeClr w14:val="tx1"/>
            </w14:solidFill>
          </w14:textFill>
        </w:rPr>
        <w:t>7</w:t>
      </w:r>
      <w:r>
        <w:rPr>
          <w:rFonts w:hint="eastAsia" w:ascii="宋体" w:hAnsi="宋体" w:eastAsia="宋体" w:cs="Times New Roman"/>
          <w:color w:val="000000" w:themeColor="text1"/>
          <w:sz w:val="24"/>
          <w:szCs w:val="21"/>
          <w:highlight w:val="none"/>
          <w:lang w:val="zh-CN"/>
          <w14:textFill>
            <w14:solidFill>
              <w14:schemeClr w14:val="tx1"/>
            </w14:solidFill>
          </w14:textFill>
        </w:rPr>
        <w:t>.1.2</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文件能够详细列明采购标的的技术、服务要求的，</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结束后，</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小组将在苏采云系统向所有实质性响应的供应商发布“最后报价要求函”及最后报价格式表，要求所有实质性响应的供应商在规定时间内提交最后报价。</w:t>
      </w:r>
    </w:p>
    <w:p w14:paraId="3D658280">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文件不能详细列明采购标的的技术、服务要求，需经</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由供应商提供最终设计方案或解决方案的，</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结束后，</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小组将按照少数服从多数的原则投票推荐3家以上供应商的设计方案或者解决方案，在苏采云系统中向其发布“最后报价要求函”及最后报价格式表，要求其在规定时间内提交最后报价。</w:t>
      </w:r>
    </w:p>
    <w:p w14:paraId="375F7D0B">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37999455">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w:t>
      </w:r>
      <w:r>
        <w:rPr>
          <w:rFonts w:hint="eastAsia" w:ascii="宋体" w:hAnsi="宋体" w:cs="Times New Roman"/>
          <w:color w:val="000000" w:themeColor="text1"/>
          <w:sz w:val="24"/>
          <w:szCs w:val="21"/>
          <w:highlight w:val="none"/>
          <w:lang w:val="en-US" w:eastAsia="zh-CN"/>
          <w14:textFill>
            <w14:solidFill>
              <w14:schemeClr w14:val="tx1"/>
            </w14:solidFill>
          </w14:textFill>
        </w:rPr>
        <w:t>7</w:t>
      </w:r>
      <w:r>
        <w:rPr>
          <w:rFonts w:hint="eastAsia" w:ascii="宋体" w:hAnsi="宋体" w:eastAsia="宋体" w:cs="Times New Roman"/>
          <w:color w:val="000000" w:themeColor="text1"/>
          <w:sz w:val="24"/>
          <w:szCs w:val="21"/>
          <w:highlight w:val="none"/>
          <w:lang w:val="zh-CN"/>
          <w14:textFill>
            <w14:solidFill>
              <w14:schemeClr w14:val="tx1"/>
            </w14:solidFill>
          </w14:textFill>
        </w:rPr>
        <w:t>.1.3供应商未在</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小组规定的时间内在苏采云系统中提交最后报价的视为放弃</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，其响应文件按无效响应处理，最后报价格式表须加盖CA电子公章</w:t>
      </w:r>
      <w:r>
        <w:rPr>
          <w:rFonts w:hint="eastAsia" w:ascii="宋体" w:hAnsi="宋体" w:cs="Times New Roman"/>
          <w:color w:val="000000" w:themeColor="text1"/>
          <w:sz w:val="24"/>
          <w:szCs w:val="21"/>
          <w:highlight w:val="none"/>
          <w:lang w:val="zh-CN"/>
          <w14:textFill>
            <w14:solidFill>
              <w14:schemeClr w14:val="tx1"/>
            </w14:solidFill>
          </w14:textFill>
        </w:rPr>
        <w:t>，</w:t>
      </w:r>
      <w:r>
        <w:rPr>
          <w:rFonts w:hint="eastAsia" w:ascii="宋体" w:hAnsi="宋体" w:eastAsia="宋体" w:cs="Times New Roman"/>
          <w:color w:val="000000" w:themeColor="text1"/>
          <w:sz w:val="24"/>
          <w:szCs w:val="21"/>
          <w:highlight w:val="none"/>
          <w:lang w:val="zh-CN"/>
          <w14:textFill>
            <w14:solidFill>
              <w14:schemeClr w14:val="tx1"/>
            </w14:solidFill>
          </w14:textFill>
        </w:rPr>
        <w:t>否则视为未提交最后报价。已提交响应文件的供应商，在提交最后报价之前，可以根据</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情况退出</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，并在苏采云系统中提交“退出</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函”并加盖CA电子公章。</w:t>
      </w:r>
    </w:p>
    <w:p w14:paraId="597E3482">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w:t>
      </w:r>
      <w:r>
        <w:rPr>
          <w:rFonts w:hint="eastAsia" w:ascii="宋体" w:hAnsi="宋体" w:cs="Times New Roman"/>
          <w:color w:val="000000" w:themeColor="text1"/>
          <w:sz w:val="24"/>
          <w:szCs w:val="21"/>
          <w:highlight w:val="none"/>
          <w:lang w:val="en-US" w:eastAsia="zh-CN"/>
          <w14:textFill>
            <w14:solidFill>
              <w14:schemeClr w14:val="tx1"/>
            </w14:solidFill>
          </w14:textFill>
        </w:rPr>
        <w:t>7</w:t>
      </w:r>
      <w:r>
        <w:rPr>
          <w:rFonts w:hint="eastAsia" w:ascii="宋体" w:hAnsi="宋体" w:eastAsia="宋体" w:cs="Times New Roman"/>
          <w:color w:val="000000" w:themeColor="text1"/>
          <w:sz w:val="24"/>
          <w:szCs w:val="21"/>
          <w:highlight w:val="none"/>
          <w:lang w:val="zh-CN"/>
          <w14:textFill>
            <w14:solidFill>
              <w14:schemeClr w14:val="tx1"/>
            </w14:solidFill>
          </w14:textFill>
        </w:rPr>
        <w:t>.2 评审方法和评审标准</w:t>
      </w:r>
    </w:p>
    <w:p w14:paraId="72CA62DB">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w:t>
      </w:r>
      <w:r>
        <w:rPr>
          <w:rFonts w:hint="eastAsia" w:ascii="宋体" w:hAnsi="宋体" w:cs="Times New Roman"/>
          <w:color w:val="000000" w:themeColor="text1"/>
          <w:sz w:val="24"/>
          <w:szCs w:val="21"/>
          <w:highlight w:val="none"/>
          <w:lang w:val="en-US" w:eastAsia="zh-CN"/>
          <w14:textFill>
            <w14:solidFill>
              <w14:schemeClr w14:val="tx1"/>
            </w14:solidFill>
          </w14:textFill>
        </w:rPr>
        <w:t>7</w:t>
      </w:r>
      <w:r>
        <w:rPr>
          <w:rFonts w:hint="eastAsia" w:ascii="宋体" w:hAnsi="宋体" w:eastAsia="宋体" w:cs="Times New Roman"/>
          <w:color w:val="000000" w:themeColor="text1"/>
          <w:sz w:val="24"/>
          <w:szCs w:val="21"/>
          <w:highlight w:val="none"/>
          <w:lang w:val="zh-CN"/>
          <w14:textFill>
            <w14:solidFill>
              <w14:schemeClr w14:val="tx1"/>
            </w14:solidFill>
          </w14:textFill>
        </w:rPr>
        <w:t>.2.1评审方法。经磋商确定最终采购需求和提交最后报价的供应商后，由磋商小组采用综合评分法对提交最后报价的供应商的响应文件和最后报价进行综合评分。</w:t>
      </w:r>
    </w:p>
    <w:p w14:paraId="6F324F6A">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7636200">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w:t>
      </w:r>
      <w:r>
        <w:rPr>
          <w:rFonts w:hint="eastAsia" w:ascii="宋体" w:hAnsi="宋体" w:cs="Times New Roman"/>
          <w:color w:val="000000" w:themeColor="text1"/>
          <w:sz w:val="24"/>
          <w:szCs w:val="21"/>
          <w:highlight w:val="none"/>
          <w:lang w:val="en-US" w:eastAsia="zh-CN"/>
          <w14:textFill>
            <w14:solidFill>
              <w14:schemeClr w14:val="tx1"/>
            </w14:solidFill>
          </w14:textFill>
        </w:rPr>
        <w:t>7</w:t>
      </w:r>
      <w:r>
        <w:rPr>
          <w:rFonts w:hint="eastAsia" w:ascii="宋体" w:hAnsi="宋体" w:eastAsia="宋体" w:cs="Times New Roman"/>
          <w:color w:val="000000" w:themeColor="text1"/>
          <w:sz w:val="24"/>
          <w:szCs w:val="21"/>
          <w:highlight w:val="none"/>
          <w:lang w:val="zh-CN"/>
          <w14:textFill>
            <w14:solidFill>
              <w14:schemeClr w14:val="tx1"/>
            </w14:solidFill>
          </w14:textFill>
        </w:rPr>
        <w:t>.2.2评审标准</w:t>
      </w:r>
    </w:p>
    <w:p w14:paraId="2806216C">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见本磋商文件第四章规定。</w:t>
      </w:r>
    </w:p>
    <w:p w14:paraId="151EF9F4">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27.</w:t>
      </w:r>
      <w:r>
        <w:rPr>
          <w:rFonts w:hint="eastAsia" w:ascii="宋体" w:hAnsi="宋体" w:cs="Times New Roman"/>
          <w:color w:val="000000" w:themeColor="text1"/>
          <w:sz w:val="24"/>
          <w:szCs w:val="21"/>
          <w:highlight w:val="none"/>
          <w:lang w:val="en-US" w:eastAsia="zh-CN"/>
          <w14:textFill>
            <w14:solidFill>
              <w14:schemeClr w14:val="tx1"/>
            </w14:solidFill>
          </w14:textFill>
        </w:rPr>
        <w:t>3</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采购活动终止的情况</w:t>
      </w:r>
    </w:p>
    <w:p w14:paraId="153C231E">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出现下列情形之一的，本次竞争性</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采购活动将被终止：</w:t>
      </w:r>
    </w:p>
    <w:p w14:paraId="68060FE0">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cs="Times New Roman"/>
          <w:color w:val="000000" w:themeColor="text1"/>
          <w:sz w:val="24"/>
          <w:szCs w:val="21"/>
          <w:highlight w:val="none"/>
          <w:lang w:val="zh-CN"/>
          <w14:textFill>
            <w14:solidFill>
              <w14:schemeClr w14:val="tx1"/>
            </w14:solidFill>
          </w14:textFill>
        </w:rPr>
        <w:t>（</w:t>
      </w:r>
      <w:r>
        <w:rPr>
          <w:rFonts w:hint="eastAsia" w:ascii="宋体" w:hAnsi="宋体" w:eastAsia="宋体" w:cs="Times New Roman"/>
          <w:color w:val="000000" w:themeColor="text1"/>
          <w:sz w:val="24"/>
          <w:szCs w:val="21"/>
          <w:highlight w:val="none"/>
          <w:lang w:val="zh-CN"/>
          <w14:textFill>
            <w14:solidFill>
              <w14:schemeClr w14:val="tx1"/>
            </w14:solidFill>
          </w14:textFill>
        </w:rPr>
        <w:t>1</w:t>
      </w:r>
      <w:r>
        <w:rPr>
          <w:rFonts w:hint="eastAsia" w:ascii="宋体" w:hAnsi="宋体" w:cs="Times New Roman"/>
          <w:color w:val="000000" w:themeColor="text1"/>
          <w:sz w:val="24"/>
          <w:szCs w:val="21"/>
          <w:highlight w:val="none"/>
          <w:lang w:val="zh-CN"/>
          <w14:textFill>
            <w14:solidFill>
              <w14:schemeClr w14:val="tx1"/>
            </w14:solidFill>
          </w14:textFill>
        </w:rPr>
        <w:t>）</w:t>
      </w:r>
      <w:r>
        <w:rPr>
          <w:rFonts w:hint="eastAsia" w:ascii="宋体" w:hAnsi="宋体" w:eastAsia="宋体" w:cs="Times New Roman"/>
          <w:color w:val="000000" w:themeColor="text1"/>
          <w:sz w:val="24"/>
          <w:szCs w:val="21"/>
          <w:highlight w:val="none"/>
          <w:lang w:val="zh-CN"/>
          <w14:textFill>
            <w14:solidFill>
              <w14:schemeClr w14:val="tx1"/>
            </w14:solidFill>
          </w14:textFill>
        </w:rPr>
        <w:t>因情况变化，不再符合规定的竞争性</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采购方式适用情形的。</w:t>
      </w:r>
    </w:p>
    <w:p w14:paraId="08D03F47">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cs="Times New Roman"/>
          <w:color w:val="000000" w:themeColor="text1"/>
          <w:sz w:val="24"/>
          <w:szCs w:val="21"/>
          <w:highlight w:val="none"/>
          <w:lang w:val="zh-CN"/>
          <w14:textFill>
            <w14:solidFill>
              <w14:schemeClr w14:val="tx1"/>
            </w14:solidFill>
          </w14:textFill>
        </w:rPr>
        <w:t>（</w:t>
      </w:r>
      <w:r>
        <w:rPr>
          <w:rFonts w:hint="eastAsia" w:ascii="宋体" w:hAnsi="宋体" w:eastAsia="宋体" w:cs="Times New Roman"/>
          <w:color w:val="000000" w:themeColor="text1"/>
          <w:sz w:val="24"/>
          <w:szCs w:val="21"/>
          <w:highlight w:val="none"/>
          <w:lang w:val="zh-CN"/>
          <w14:textFill>
            <w14:solidFill>
              <w14:schemeClr w14:val="tx1"/>
            </w14:solidFill>
          </w14:textFill>
        </w:rPr>
        <w:t>2</w:t>
      </w:r>
      <w:r>
        <w:rPr>
          <w:rFonts w:hint="eastAsia" w:ascii="宋体" w:hAnsi="宋体" w:cs="Times New Roman"/>
          <w:color w:val="000000" w:themeColor="text1"/>
          <w:sz w:val="24"/>
          <w:szCs w:val="21"/>
          <w:highlight w:val="none"/>
          <w:lang w:val="zh-CN"/>
          <w14:textFill>
            <w14:solidFill>
              <w14:schemeClr w14:val="tx1"/>
            </w14:solidFill>
          </w14:textFill>
        </w:rPr>
        <w:t>）</w:t>
      </w:r>
      <w:r>
        <w:rPr>
          <w:rFonts w:hint="eastAsia" w:ascii="宋体" w:hAnsi="宋体" w:eastAsia="宋体" w:cs="Times New Roman"/>
          <w:color w:val="000000" w:themeColor="text1"/>
          <w:sz w:val="24"/>
          <w:szCs w:val="21"/>
          <w:highlight w:val="none"/>
          <w:lang w:val="zh-CN"/>
          <w14:textFill>
            <w14:solidFill>
              <w14:schemeClr w14:val="tx1"/>
            </w14:solidFill>
          </w14:textFill>
        </w:rPr>
        <w:t>出现影响采购公正的违法、违规行为的。</w:t>
      </w:r>
    </w:p>
    <w:p w14:paraId="59FD567A">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cs="Times New Roman"/>
          <w:color w:val="000000" w:themeColor="text1"/>
          <w:sz w:val="24"/>
          <w:szCs w:val="21"/>
          <w:highlight w:val="none"/>
          <w:lang w:val="zh-CN"/>
          <w14:textFill>
            <w14:solidFill>
              <w14:schemeClr w14:val="tx1"/>
            </w14:solidFill>
          </w14:textFill>
        </w:rPr>
        <w:t>（</w:t>
      </w:r>
      <w:r>
        <w:rPr>
          <w:rFonts w:hint="eastAsia" w:ascii="宋体" w:hAnsi="宋体" w:eastAsia="宋体" w:cs="Times New Roman"/>
          <w:color w:val="000000" w:themeColor="text1"/>
          <w:sz w:val="24"/>
          <w:szCs w:val="21"/>
          <w:highlight w:val="none"/>
          <w:lang w:val="zh-CN"/>
          <w14:textFill>
            <w14:solidFill>
              <w14:schemeClr w14:val="tx1"/>
            </w14:solidFill>
          </w14:textFill>
        </w:rPr>
        <w:t>3</w:t>
      </w:r>
      <w:r>
        <w:rPr>
          <w:rFonts w:hint="eastAsia" w:ascii="宋体" w:hAnsi="宋体" w:cs="Times New Roman"/>
          <w:color w:val="000000" w:themeColor="text1"/>
          <w:sz w:val="24"/>
          <w:szCs w:val="21"/>
          <w:highlight w:val="none"/>
          <w:lang w:val="zh-CN"/>
          <w14:textFill>
            <w14:solidFill>
              <w14:schemeClr w14:val="tx1"/>
            </w14:solidFill>
          </w14:textFill>
        </w:rPr>
        <w:t>）</w:t>
      </w:r>
      <w:r>
        <w:rPr>
          <w:rFonts w:hint="eastAsia" w:ascii="宋体" w:hAnsi="宋体" w:eastAsia="宋体" w:cs="Times New Roman"/>
          <w:color w:val="000000" w:themeColor="text1"/>
          <w:sz w:val="24"/>
          <w:szCs w:val="21"/>
          <w:highlight w:val="none"/>
          <w:lang w:val="zh-CN"/>
          <w14:textFill>
            <w14:solidFill>
              <w14:schemeClr w14:val="tx1"/>
            </w14:solidFill>
          </w14:textFill>
        </w:rPr>
        <w:t>在采购过程中符合要求的供应商或者最后报价未超过采购预算的供应商不足3家的。</w:t>
      </w:r>
    </w:p>
    <w:p w14:paraId="537C0479">
      <w:pPr>
        <w:keepNext w:val="0"/>
        <w:keepLines w:val="0"/>
        <w:pageBreakBefore w:val="0"/>
        <w:widowControl w:val="0"/>
        <w:spacing w:line="480" w:lineRule="exact"/>
        <w:ind w:firstLine="442"/>
        <w:rPr>
          <w:rFonts w:hint="eastAsia"/>
          <w:b/>
          <w:bCs/>
          <w:color w:val="000000" w:themeColor="text1"/>
          <w:sz w:val="32"/>
          <w:szCs w:val="32"/>
          <w:highlight w:val="none"/>
          <w:lang w:val="en-US" w:eastAsia="zh-CN"/>
          <w14:textFill>
            <w14:solidFill>
              <w14:schemeClr w14:val="tx1"/>
            </w14:solidFill>
          </w14:textFill>
        </w:rPr>
      </w:pPr>
      <w:r>
        <w:rPr>
          <w:rFonts w:hint="eastAsia" w:ascii="宋体" w:hAnsi="宋体" w:cs="Times New Roman"/>
          <w:color w:val="000000" w:themeColor="text1"/>
          <w:sz w:val="24"/>
          <w:szCs w:val="21"/>
          <w:highlight w:val="none"/>
          <w:lang w:val="zh-CN"/>
          <w14:textFill>
            <w14:solidFill>
              <w14:schemeClr w14:val="tx1"/>
            </w14:solidFill>
          </w14:textFill>
        </w:rPr>
        <w:t>（</w:t>
      </w:r>
      <w:r>
        <w:rPr>
          <w:rFonts w:hint="eastAsia" w:ascii="宋体" w:hAnsi="宋体" w:eastAsia="宋体" w:cs="Times New Roman"/>
          <w:color w:val="000000" w:themeColor="text1"/>
          <w:sz w:val="24"/>
          <w:szCs w:val="21"/>
          <w:highlight w:val="none"/>
          <w:lang w:val="zh-CN"/>
          <w14:textFill>
            <w14:solidFill>
              <w14:schemeClr w14:val="tx1"/>
            </w14:solidFill>
          </w14:textFill>
        </w:rPr>
        <w:t>4</w:t>
      </w:r>
      <w:r>
        <w:rPr>
          <w:rFonts w:hint="eastAsia" w:ascii="宋体" w:hAnsi="宋体" w:cs="Times New Roman"/>
          <w:color w:val="000000" w:themeColor="text1"/>
          <w:sz w:val="24"/>
          <w:szCs w:val="21"/>
          <w:highlight w:val="none"/>
          <w:lang w:val="zh-CN"/>
          <w14:textFill>
            <w14:solidFill>
              <w14:schemeClr w14:val="tx1"/>
            </w14:solidFill>
          </w14:textFill>
        </w:rPr>
        <w:t>）</w:t>
      </w:r>
      <w:r>
        <w:rPr>
          <w:rFonts w:hint="eastAsia" w:ascii="宋体" w:hAnsi="宋体" w:eastAsia="宋体" w:cs="Times New Roman"/>
          <w:color w:val="000000" w:themeColor="text1"/>
          <w:sz w:val="24"/>
          <w:szCs w:val="21"/>
          <w:highlight w:val="none"/>
          <w:lang w:val="zh-CN"/>
          <w14:textFill>
            <w14:solidFill>
              <w14:schemeClr w14:val="tx1"/>
            </w14:solidFill>
          </w14:textFill>
        </w:rPr>
        <w:t>在苏采云系统规定时间内成功解密电子响应文件的供应商不足3家的。</w:t>
      </w:r>
    </w:p>
    <w:p w14:paraId="1E7388D3">
      <w:pPr>
        <w:keepNext/>
        <w:keepLines/>
        <w:pageBreakBefore w:val="0"/>
        <w:widowControl w:val="0"/>
        <w:spacing w:line="520" w:lineRule="exact"/>
        <w:ind w:firstLine="482"/>
        <w:outlineLvl w:val="2"/>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lang w:val="en-US" w:eastAsia="zh-CN"/>
          <w14:textFill>
            <w14:solidFill>
              <w14:schemeClr w14:val="tx1"/>
            </w14:solidFill>
          </w14:textFill>
        </w:rPr>
        <w:t>六</w:t>
      </w:r>
      <w:r>
        <w:rPr>
          <w:rFonts w:hint="eastAsia"/>
          <w:b/>
          <w:bCs/>
          <w:color w:val="000000" w:themeColor="text1"/>
          <w:sz w:val="32"/>
          <w:szCs w:val="32"/>
          <w:highlight w:val="none"/>
          <w14:textFill>
            <w14:solidFill>
              <w14:schemeClr w14:val="tx1"/>
            </w14:solidFill>
          </w14:textFill>
        </w:rPr>
        <w:t>、成交</w:t>
      </w:r>
    </w:p>
    <w:p w14:paraId="443E838A">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lang w:val="zh-CN"/>
          <w14:textFill>
            <w14:solidFill>
              <w14:schemeClr w14:val="tx1"/>
            </w14:solidFill>
          </w14:textFill>
        </w:rPr>
      </w:pPr>
      <w:r>
        <w:rPr>
          <w:rFonts w:hint="eastAsia" w:ascii="Arial" w:hAnsi="Arial" w:eastAsia="黑体" w:cs="Arial"/>
          <w:color w:val="000000" w:themeColor="text1"/>
          <w:sz w:val="28"/>
          <w:szCs w:val="28"/>
          <w:highlight w:val="none"/>
          <w:lang w:val="zh-CN"/>
          <w14:textFill>
            <w14:solidFill>
              <w14:schemeClr w14:val="tx1"/>
            </w14:solidFill>
          </w14:textFill>
        </w:rPr>
        <w:t>2</w:t>
      </w:r>
      <w:r>
        <w:rPr>
          <w:rFonts w:hint="eastAsia" w:ascii="Arial" w:hAnsi="Arial" w:eastAsia="黑体" w:cs="Arial"/>
          <w:color w:val="000000" w:themeColor="text1"/>
          <w:sz w:val="28"/>
          <w:szCs w:val="28"/>
          <w:highlight w:val="none"/>
          <w:lang w:val="en-US" w:eastAsia="zh-CN"/>
          <w14:textFill>
            <w14:solidFill>
              <w14:schemeClr w14:val="tx1"/>
            </w14:solidFill>
          </w14:textFill>
        </w:rPr>
        <w:t>8.</w:t>
      </w:r>
      <w:r>
        <w:rPr>
          <w:rFonts w:hint="eastAsia" w:ascii="黑体" w:hAnsi="宋体" w:eastAsia="黑体"/>
          <w:bCs/>
          <w:color w:val="000000" w:themeColor="text1"/>
          <w:sz w:val="30"/>
          <w:szCs w:val="30"/>
          <w:highlight w:val="none"/>
          <w14:textFill>
            <w14:solidFill>
              <w14:schemeClr w14:val="tx1"/>
            </w14:solidFill>
          </w14:textFill>
        </w:rPr>
        <w:t>确定成交单位</w:t>
      </w:r>
    </w:p>
    <w:p w14:paraId="4DB4F644">
      <w:pPr>
        <w:keepNext w:val="0"/>
        <w:keepLines w:val="0"/>
        <w:pageBreakBefore w:val="0"/>
        <w:widowControl w:val="0"/>
        <w:spacing w:line="480" w:lineRule="exact"/>
        <w:ind w:firstLine="442"/>
        <w:rPr>
          <w:rFonts w:hint="eastAsia" w:ascii="宋体" w:hAnsi="宋体" w:cs="Times New Roman"/>
          <w:color w:val="000000" w:themeColor="text1"/>
          <w:sz w:val="24"/>
          <w:szCs w:val="21"/>
          <w:highlight w:val="none"/>
          <w:lang w:val="zh-CN"/>
          <w14:textFill>
            <w14:solidFill>
              <w14:schemeClr w14:val="tx1"/>
            </w14:solidFill>
          </w14:textFill>
        </w:rPr>
      </w:pPr>
      <w:r>
        <w:rPr>
          <w:rFonts w:hint="eastAsia" w:ascii="宋体" w:hAnsi="宋体" w:cs="Times New Roman"/>
          <w:color w:val="000000" w:themeColor="text1"/>
          <w:sz w:val="24"/>
          <w:szCs w:val="21"/>
          <w:highlight w:val="none"/>
          <w:lang w:val="en-US" w:eastAsia="zh-CN"/>
          <w14:textFill>
            <w14:solidFill>
              <w14:schemeClr w14:val="tx1"/>
            </w14:solidFill>
          </w14:textFill>
        </w:rPr>
        <w:t>28.1</w:t>
      </w:r>
      <w:r>
        <w:rPr>
          <w:rFonts w:hint="eastAsia" w:ascii="宋体" w:hAnsi="宋体" w:cs="Times New Roman"/>
          <w:color w:val="000000" w:themeColor="text1"/>
          <w:sz w:val="24"/>
          <w:szCs w:val="21"/>
          <w:highlight w:val="none"/>
          <w:lang w:val="zh-CN"/>
          <w14:textFill>
            <w14:solidFill>
              <w14:schemeClr w14:val="tx1"/>
            </w14:solidFill>
          </w14:textFill>
        </w:rPr>
        <w:t>磋商小组根据综合评分情况，按照评审得分由高到低顺序推荐3名成交候选供应商，并编写评审报告。符合本磋商文件第二章第2</w:t>
      </w:r>
      <w:r>
        <w:rPr>
          <w:rFonts w:hint="eastAsia" w:ascii="宋体" w:hAnsi="宋体" w:cs="Times New Roman"/>
          <w:color w:val="000000" w:themeColor="text1"/>
          <w:sz w:val="24"/>
          <w:szCs w:val="21"/>
          <w:highlight w:val="none"/>
          <w:lang w:val="en-US" w:eastAsia="zh-CN"/>
          <w14:textFill>
            <w14:solidFill>
              <w14:schemeClr w14:val="tx1"/>
            </w14:solidFill>
          </w14:textFill>
        </w:rPr>
        <w:t>7</w:t>
      </w:r>
      <w:r>
        <w:rPr>
          <w:rFonts w:hint="eastAsia" w:ascii="宋体" w:hAnsi="宋体" w:cs="Times New Roman"/>
          <w:color w:val="000000" w:themeColor="text1"/>
          <w:sz w:val="24"/>
          <w:szCs w:val="21"/>
          <w:highlight w:val="none"/>
          <w:lang w:val="zh-CN"/>
          <w14:textFill>
            <w14:solidFill>
              <w14:schemeClr w14:val="tx1"/>
            </w14:solidFill>
          </w14:textFill>
        </w:rPr>
        <w:t>.1.2条情形的，可以推荐2名成交候选供应商。评审得分相同的，按照最后报价由低到高的顺序推荐。评审得分且最后报价相同的，按照技术指标优劣顺序推荐。</w:t>
      </w:r>
    </w:p>
    <w:p w14:paraId="7A063B13">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cs="Times New Roman"/>
          <w:color w:val="000000" w:themeColor="text1"/>
          <w:sz w:val="24"/>
          <w:szCs w:val="21"/>
          <w:highlight w:val="none"/>
          <w:lang w:val="zh-CN"/>
          <w14:textFill>
            <w14:solidFill>
              <w14:schemeClr w14:val="tx1"/>
            </w14:solidFill>
          </w14:textFill>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p>
    <w:p w14:paraId="1139568C">
      <w:pPr>
        <w:spacing w:line="520" w:lineRule="exact"/>
        <w:ind w:firstLine="480"/>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2</w:t>
      </w:r>
      <w:r>
        <w:rPr>
          <w:rFonts w:hint="eastAsia" w:ascii="宋体" w:hAnsi="宋体"/>
          <w:bCs/>
          <w:color w:val="000000" w:themeColor="text1"/>
          <w:sz w:val="24"/>
          <w:szCs w:val="21"/>
          <w:highlight w:val="none"/>
          <w:lang w:val="en-US" w:eastAsia="zh-CN"/>
          <w14:textFill>
            <w14:solidFill>
              <w14:schemeClr w14:val="tx1"/>
            </w14:solidFill>
          </w14:textFill>
        </w:rPr>
        <w:t>8</w:t>
      </w:r>
      <w:r>
        <w:rPr>
          <w:rFonts w:hint="eastAsia" w:ascii="宋体" w:hAnsi="宋体"/>
          <w:bCs/>
          <w:color w:val="000000" w:themeColor="text1"/>
          <w:sz w:val="24"/>
          <w:szCs w:val="21"/>
          <w:highlight w:val="none"/>
          <w14:textFill>
            <w14:solidFill>
              <w14:schemeClr w14:val="tx1"/>
            </w14:solidFill>
          </w14:textFill>
        </w:rPr>
        <w:t>.2采购人应根据磋商小组推荐的成交候选供应商确定成交供应商。采购人确定成交供应商后，交易中心将在“江苏政府采购网”发布成交结果公告，公告期限为1个工作日。</w:t>
      </w:r>
    </w:p>
    <w:p w14:paraId="46D42C1A">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cs="Times New Roman"/>
          <w:color w:val="000000" w:themeColor="text1"/>
          <w:sz w:val="24"/>
          <w:szCs w:val="21"/>
          <w:highlight w:val="none"/>
          <w:lang w:val="en-US" w:eastAsia="zh-CN"/>
          <w14:textFill>
            <w14:solidFill>
              <w14:schemeClr w14:val="tx1"/>
            </w14:solidFill>
          </w14:textFill>
        </w:rPr>
        <w:t>28.3</w:t>
      </w:r>
      <w:r>
        <w:rPr>
          <w:rFonts w:hint="eastAsia" w:ascii="宋体" w:hAnsi="宋体" w:eastAsia="宋体" w:cs="Times New Roman"/>
          <w:color w:val="000000" w:themeColor="text1"/>
          <w:sz w:val="24"/>
          <w:szCs w:val="21"/>
          <w:highlight w:val="none"/>
          <w:lang w:val="zh-CN"/>
          <w14:textFill>
            <w14:solidFill>
              <w14:schemeClr w14:val="tx1"/>
            </w14:solidFill>
          </w14:textFill>
        </w:rPr>
        <w:t>若有充分证据证明，成交供应商出现下列情况之一的，一经查实，将被取消成交资格：</w:t>
      </w:r>
    </w:p>
    <w:p w14:paraId="315B8E39">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cs="Times New Roman"/>
          <w:color w:val="000000" w:themeColor="text1"/>
          <w:sz w:val="24"/>
          <w:szCs w:val="21"/>
          <w:highlight w:val="none"/>
          <w:lang w:val="en-US" w:eastAsia="zh-CN"/>
          <w14:textFill>
            <w14:solidFill>
              <w14:schemeClr w14:val="tx1"/>
            </w14:solidFill>
          </w14:textFill>
        </w:rPr>
        <w:t>28.3.1</w:t>
      </w:r>
      <w:r>
        <w:rPr>
          <w:rFonts w:hint="eastAsia" w:ascii="宋体" w:hAnsi="宋体" w:eastAsia="宋体" w:cs="Times New Roman"/>
          <w:color w:val="000000" w:themeColor="text1"/>
          <w:sz w:val="24"/>
          <w:szCs w:val="21"/>
          <w:highlight w:val="none"/>
          <w:lang w:val="zh-CN"/>
          <w14:textFill>
            <w14:solidFill>
              <w14:schemeClr w14:val="tx1"/>
            </w14:solidFill>
          </w14:textFill>
        </w:rPr>
        <w:t>提供虚假材料谋取成交的。</w:t>
      </w:r>
    </w:p>
    <w:p w14:paraId="75696F29">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cs="Times New Roman"/>
          <w:color w:val="000000" w:themeColor="text1"/>
          <w:sz w:val="24"/>
          <w:szCs w:val="21"/>
          <w:highlight w:val="none"/>
          <w:lang w:val="en-US" w:eastAsia="zh-CN"/>
          <w14:textFill>
            <w14:solidFill>
              <w14:schemeClr w14:val="tx1"/>
            </w14:solidFill>
          </w14:textFill>
        </w:rPr>
        <w:t>28.3.</w:t>
      </w:r>
      <w:r>
        <w:rPr>
          <w:rFonts w:hint="eastAsia" w:ascii="宋体" w:hAnsi="宋体" w:eastAsia="宋体" w:cs="Times New Roman"/>
          <w:color w:val="000000" w:themeColor="text1"/>
          <w:sz w:val="24"/>
          <w:szCs w:val="21"/>
          <w:highlight w:val="none"/>
          <w:lang w:val="zh-CN"/>
          <w14:textFill>
            <w14:solidFill>
              <w14:schemeClr w14:val="tx1"/>
            </w14:solidFill>
          </w14:textFill>
        </w:rPr>
        <w:t>2与评审专家、采购人、其他供应商或者采购代理机构工作人员恶意串通的。</w:t>
      </w:r>
    </w:p>
    <w:p w14:paraId="4CFD0BA8">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cs="Times New Roman"/>
          <w:color w:val="000000" w:themeColor="text1"/>
          <w:sz w:val="24"/>
          <w:szCs w:val="21"/>
          <w:highlight w:val="none"/>
          <w:lang w:val="en-US" w:eastAsia="zh-CN"/>
          <w14:textFill>
            <w14:solidFill>
              <w14:schemeClr w14:val="tx1"/>
            </w14:solidFill>
          </w14:textFill>
        </w:rPr>
        <w:t>28.3.</w:t>
      </w:r>
      <w:r>
        <w:rPr>
          <w:rFonts w:hint="eastAsia" w:ascii="宋体" w:hAnsi="宋体" w:eastAsia="宋体" w:cs="Times New Roman"/>
          <w:color w:val="000000" w:themeColor="text1"/>
          <w:sz w:val="24"/>
          <w:szCs w:val="21"/>
          <w:highlight w:val="none"/>
          <w:lang w:val="zh-CN"/>
          <w14:textFill>
            <w14:solidFill>
              <w14:schemeClr w14:val="tx1"/>
            </w14:solidFill>
          </w14:textFill>
        </w:rPr>
        <w:t>3向评审专家、采购人或采购代理机构工作人员行贿或者提供其他不正当利益的。</w:t>
      </w:r>
    </w:p>
    <w:p w14:paraId="0A70FA1D">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cs="Times New Roman"/>
          <w:color w:val="000000" w:themeColor="text1"/>
          <w:sz w:val="24"/>
          <w:szCs w:val="21"/>
          <w:highlight w:val="none"/>
          <w:lang w:val="en-US" w:eastAsia="zh-CN"/>
          <w14:textFill>
            <w14:solidFill>
              <w14:schemeClr w14:val="tx1"/>
            </w14:solidFill>
          </w14:textFill>
        </w:rPr>
        <w:t>28.3.</w:t>
      </w:r>
      <w:r>
        <w:rPr>
          <w:rFonts w:hint="eastAsia" w:ascii="宋体" w:hAnsi="宋体" w:eastAsia="宋体" w:cs="Times New Roman"/>
          <w:color w:val="000000" w:themeColor="text1"/>
          <w:sz w:val="24"/>
          <w:szCs w:val="21"/>
          <w:highlight w:val="none"/>
          <w:lang w:val="zh-CN"/>
          <w14:textFill>
            <w14:solidFill>
              <w14:schemeClr w14:val="tx1"/>
            </w14:solidFill>
          </w14:textFill>
        </w:rPr>
        <w:t>4恶意竞争，最后报价明显低于其自身合理成本且又无法提供证明的。</w:t>
      </w:r>
    </w:p>
    <w:p w14:paraId="6F37021B">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cs="Times New Roman"/>
          <w:color w:val="000000" w:themeColor="text1"/>
          <w:sz w:val="24"/>
          <w:szCs w:val="21"/>
          <w:highlight w:val="none"/>
          <w:lang w:val="en-US" w:eastAsia="zh-CN"/>
          <w14:textFill>
            <w14:solidFill>
              <w14:schemeClr w14:val="tx1"/>
            </w14:solidFill>
          </w14:textFill>
        </w:rPr>
        <w:t>28.3.5</w:t>
      </w:r>
      <w:r>
        <w:rPr>
          <w:rFonts w:hint="eastAsia" w:ascii="宋体" w:hAnsi="宋体" w:eastAsia="宋体" w:cs="Times New Roman"/>
          <w:color w:val="000000" w:themeColor="text1"/>
          <w:sz w:val="24"/>
          <w:szCs w:val="21"/>
          <w:highlight w:val="none"/>
          <w:lang w:val="zh-CN"/>
          <w14:textFill>
            <w14:solidFill>
              <w14:schemeClr w14:val="tx1"/>
            </w14:solidFill>
          </w14:textFill>
        </w:rPr>
        <w:t>不满足本</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文件规定的实质性要求，但在评审过程中又未被</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小组发现的。</w:t>
      </w:r>
    </w:p>
    <w:p w14:paraId="1A5D78E7">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cs="Times New Roman"/>
          <w:color w:val="000000" w:themeColor="text1"/>
          <w:sz w:val="24"/>
          <w:szCs w:val="21"/>
          <w:highlight w:val="none"/>
          <w:lang w:val="en-US" w:eastAsia="zh-CN"/>
          <w14:textFill>
            <w14:solidFill>
              <w14:schemeClr w14:val="tx1"/>
            </w14:solidFill>
          </w14:textFill>
        </w:rPr>
        <w:t>28.3.6</w:t>
      </w:r>
      <w:r>
        <w:rPr>
          <w:rFonts w:hint="eastAsia" w:ascii="宋体" w:hAnsi="宋体" w:eastAsia="宋体" w:cs="Times New Roman"/>
          <w:color w:val="000000" w:themeColor="text1"/>
          <w:sz w:val="24"/>
          <w:szCs w:val="21"/>
          <w:highlight w:val="none"/>
          <w:lang w:val="zh-CN"/>
          <w14:textFill>
            <w14:solidFill>
              <w14:schemeClr w14:val="tx1"/>
            </w14:solidFill>
          </w14:textFill>
        </w:rPr>
        <w:t>成交后无正当理由拒不与采购人签订政府采购合同或者未按照</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文件确定的事项签订政府采购合同的。</w:t>
      </w:r>
    </w:p>
    <w:p w14:paraId="773A2D6C">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cs="Times New Roman"/>
          <w:color w:val="000000" w:themeColor="text1"/>
          <w:sz w:val="24"/>
          <w:szCs w:val="21"/>
          <w:highlight w:val="none"/>
          <w:lang w:val="en-US" w:eastAsia="zh-CN"/>
          <w14:textFill>
            <w14:solidFill>
              <w14:schemeClr w14:val="tx1"/>
            </w14:solidFill>
          </w14:textFill>
        </w:rPr>
        <w:t>28.3.7</w:t>
      </w:r>
      <w:r>
        <w:rPr>
          <w:rFonts w:hint="eastAsia" w:ascii="宋体" w:hAnsi="宋体" w:eastAsia="宋体" w:cs="Times New Roman"/>
          <w:color w:val="000000" w:themeColor="text1"/>
          <w:sz w:val="24"/>
          <w:szCs w:val="21"/>
          <w:highlight w:val="none"/>
          <w:lang w:val="zh-CN"/>
          <w14:textFill>
            <w14:solidFill>
              <w14:schemeClr w14:val="tx1"/>
            </w14:solidFill>
          </w14:textFill>
        </w:rPr>
        <w:t>将政府采购合同转包的。</w:t>
      </w:r>
    </w:p>
    <w:p w14:paraId="6CA07FE3">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150" w:name="_Toc200451960"/>
      <w:r>
        <w:rPr>
          <w:rFonts w:hint="eastAsia" w:ascii="Arial" w:hAnsi="Arial" w:eastAsia="黑体" w:cs="Arial"/>
          <w:color w:val="000000" w:themeColor="text1"/>
          <w:sz w:val="28"/>
          <w:szCs w:val="28"/>
          <w:highlight w:val="none"/>
          <w14:textFill>
            <w14:solidFill>
              <w14:schemeClr w14:val="tx1"/>
            </w14:solidFill>
          </w14:textFill>
        </w:rPr>
        <w:t>29.质疑处理</w:t>
      </w:r>
      <w:bookmarkEnd w:id="150"/>
    </w:p>
    <w:p w14:paraId="194201D2">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29.1 提出质疑的供应商应当是参与所质疑项目采购活动的供应商。潜在供应商依法获取其可质疑的采购文件的，可以对采购文件提出质疑。</w:t>
      </w:r>
    </w:p>
    <w:p w14:paraId="4C937FBF">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29.2</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p>
    <w:p w14:paraId="56A0EAD2">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29.2.1对可以质疑的采购文件提出质疑的，为收到采购文件之日或者采购文件公告期限届满之日；</w:t>
      </w:r>
    </w:p>
    <w:p w14:paraId="65498702">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29.2.2对采购过程提出质疑的，为各采购程序环节结束之日。</w:t>
      </w:r>
    </w:p>
    <w:p w14:paraId="3DE9128A">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29.2.3对成交结果提出质疑的，为成交结果公告期限届满之日。</w:t>
      </w:r>
    </w:p>
    <w:p w14:paraId="75D95E2C">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供应商应当在法定质疑期内一次性提出针对同一采购程序环节的质疑。供应商如在法定期限内对同一采购程序环节提出多次质疑的，采购人或采购代理机构将只对供应商第一次质疑作出答复。</w:t>
      </w:r>
    </w:p>
    <w:p w14:paraId="0541878D">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29.3</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质疑函必须按照本</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文件中《质疑函范本》要求的格式和内容进行填写。供应商如组成联合体参加</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，则《质疑函范本》中要求签字、盖章、加盖公章之处，联合体各方均须按要求签字、盖章、加盖公章。</w:t>
      </w:r>
    </w:p>
    <w:p w14:paraId="3AE48594">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29.4 采购人负责供应商质疑答复。供应商（含潜在供应商）对采购方式、采购需求、供应商资格条件、评审方法与评审标准、合同文本的询问、质疑请向采购人提出，由采购人负责答复。关于评审方面的质疑，采购人可以组织原</w:t>
      </w:r>
      <w:r>
        <w:rPr>
          <w:rFonts w:hint="eastAsia" w:ascii="宋体" w:hAnsi="宋体" w:cs="Times New Roman"/>
          <w:color w:val="000000" w:themeColor="text1"/>
          <w:sz w:val="24"/>
          <w:szCs w:val="21"/>
          <w:highlight w:val="none"/>
          <w:lang w:val="zh-CN"/>
          <w14:textFill>
            <w14:solidFill>
              <w14:schemeClr w14:val="tx1"/>
            </w14:solidFill>
          </w14:textFill>
        </w:rPr>
        <w:t>磋商小组</w:t>
      </w:r>
      <w:r>
        <w:rPr>
          <w:rFonts w:hint="eastAsia" w:ascii="宋体" w:hAnsi="宋体" w:eastAsia="宋体" w:cs="Times New Roman"/>
          <w:color w:val="000000" w:themeColor="text1"/>
          <w:sz w:val="24"/>
          <w:szCs w:val="21"/>
          <w:highlight w:val="none"/>
          <w:lang w:val="zh-CN"/>
          <w14:textFill>
            <w14:solidFill>
              <w14:schemeClr w14:val="tx1"/>
            </w14:solidFill>
          </w14:textFill>
        </w:rPr>
        <w:t>协助答复质疑。</w:t>
      </w:r>
    </w:p>
    <w:p w14:paraId="350D1CD6">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采购人或采购代理机构只接收以纸质原件形式送达的质疑</w:t>
      </w:r>
      <w:r>
        <w:rPr>
          <w:rFonts w:hint="eastAsia" w:ascii="宋体" w:hAnsi="宋体" w:cs="Times New Roman"/>
          <w:color w:val="000000" w:themeColor="text1"/>
          <w:sz w:val="24"/>
          <w:szCs w:val="21"/>
          <w:highlight w:val="none"/>
          <w:lang w:val="zh-CN"/>
          <w14:textFill>
            <w14:solidFill>
              <w14:schemeClr w14:val="tx1"/>
            </w14:solidFill>
          </w14:textFill>
        </w:rPr>
        <w:t>，</w:t>
      </w:r>
      <w:r>
        <w:rPr>
          <w:rFonts w:hint="eastAsia" w:ascii="宋体" w:hAnsi="宋体" w:eastAsia="宋体" w:cs="Times New Roman"/>
          <w:color w:val="000000" w:themeColor="text1"/>
          <w:sz w:val="24"/>
          <w:szCs w:val="21"/>
          <w:highlight w:val="none"/>
          <w:lang w:val="zh-CN"/>
          <w14:textFill>
            <w14:solidFill>
              <w14:schemeClr w14:val="tx1"/>
            </w14:solidFill>
          </w14:textFill>
        </w:rPr>
        <w:t>建议供应商尽量通过邮寄方式提交质疑（采购人或采购代理机构不接受未填写快递运单的快件）。</w:t>
      </w:r>
    </w:p>
    <w:p w14:paraId="10391B9E">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采购人及采购代理机构质疑接收人及联系方式见本采购文件第一章。</w:t>
      </w:r>
    </w:p>
    <w:p w14:paraId="4FF1B2B5">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29.5 以下情形的质疑不予受理</w:t>
      </w:r>
    </w:p>
    <w:p w14:paraId="0C5C6D66">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29.5.1内容不符合《政府采购质疑和投诉办法》第十二条规定的质疑。</w:t>
      </w:r>
    </w:p>
    <w:p w14:paraId="6DB13015">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29.5.2超出政府采购法定期限的质疑。</w:t>
      </w:r>
    </w:p>
    <w:p w14:paraId="6E850283">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29.5.3以传真、电子邮件等方式递交的非原件形式的质疑。</w:t>
      </w:r>
    </w:p>
    <w:p w14:paraId="46F6B13C">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29.5.4未参加</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活动的供应商或在</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活动中自身权益未受到损害的供应商所提出的质疑。</w:t>
      </w:r>
    </w:p>
    <w:p w14:paraId="533B744C">
      <w:pPr>
        <w:keepNext w:val="0"/>
        <w:keepLines w:val="0"/>
        <w:pageBreakBefore w:val="0"/>
        <w:widowControl w:val="0"/>
        <w:spacing w:line="480" w:lineRule="exact"/>
        <w:ind w:firstLine="442"/>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29.5.5供应商组成联合体参加</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，联合体中任何一方或多方未按要求签字、盖章、加盖公章的质疑。</w:t>
      </w:r>
    </w:p>
    <w:p w14:paraId="605DF530">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13EC2D9">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r>
        <w:rPr>
          <w:rFonts w:hint="eastAsia" w:ascii="Arial" w:hAnsi="Arial" w:eastAsia="黑体" w:cs="Arial"/>
          <w:color w:val="000000" w:themeColor="text1"/>
          <w:sz w:val="28"/>
          <w:szCs w:val="28"/>
          <w:highlight w:val="none"/>
          <w14:textFill>
            <w14:solidFill>
              <w14:schemeClr w14:val="tx1"/>
            </w14:solidFill>
          </w14:textFill>
        </w:rPr>
        <w:t>30.成交通知书</w:t>
      </w:r>
    </w:p>
    <w:p w14:paraId="43C5F86D">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30.1</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成交结果确定后，采购人将向成交供应商发出成交通知书。请成交供应商在成交结果公告届满之日起30日内</w:t>
      </w:r>
      <w:r>
        <w:rPr>
          <w:rFonts w:hint="eastAsia" w:ascii="宋体" w:hAnsi="宋体" w:cs="Times New Roman"/>
          <w:color w:val="000000" w:themeColor="text1"/>
          <w:sz w:val="24"/>
          <w:szCs w:val="21"/>
          <w:highlight w:val="none"/>
          <w:lang w:val="zh-CN"/>
          <w14:textFill>
            <w14:solidFill>
              <w14:schemeClr w14:val="tx1"/>
            </w14:solidFill>
          </w14:textFill>
        </w:rPr>
        <w:t>，</w:t>
      </w:r>
      <w:r>
        <w:rPr>
          <w:rFonts w:hint="eastAsia" w:ascii="宋体" w:hAnsi="宋体" w:eastAsia="宋体" w:cs="Times New Roman"/>
          <w:color w:val="000000" w:themeColor="text1"/>
          <w:sz w:val="24"/>
          <w:szCs w:val="21"/>
          <w:highlight w:val="none"/>
          <w:lang w:val="zh-CN"/>
          <w14:textFill>
            <w14:solidFill>
              <w14:schemeClr w14:val="tx1"/>
            </w14:solidFill>
          </w14:textFill>
        </w:rPr>
        <w:t>使用CA数字证书登录苏采云系统及时下载成交通知书。因系统存储空间有限，自成交结果公告届满之日起30日后，苏采云系统不再保证提供下载成交通知书服务</w:t>
      </w:r>
      <w:r>
        <w:rPr>
          <w:rFonts w:hint="eastAsia" w:ascii="宋体" w:hAnsi="宋体" w:cs="Times New Roman"/>
          <w:color w:val="000000" w:themeColor="text1"/>
          <w:sz w:val="24"/>
          <w:szCs w:val="21"/>
          <w:highlight w:val="none"/>
          <w:lang w:val="zh-CN"/>
          <w14:textFill>
            <w14:solidFill>
              <w14:schemeClr w14:val="tx1"/>
            </w14:solidFill>
          </w14:textFill>
        </w:rPr>
        <w:t>，</w:t>
      </w:r>
      <w:r>
        <w:rPr>
          <w:rFonts w:hint="eastAsia" w:ascii="宋体" w:hAnsi="宋体" w:eastAsia="宋体" w:cs="Times New Roman"/>
          <w:color w:val="000000" w:themeColor="text1"/>
          <w:sz w:val="24"/>
          <w:szCs w:val="21"/>
          <w:highlight w:val="none"/>
          <w:lang w:val="zh-CN"/>
          <w14:textFill>
            <w14:solidFill>
              <w14:schemeClr w14:val="tx1"/>
            </w14:solidFill>
          </w14:textFill>
        </w:rPr>
        <w:t>因未及时下载而造成的不利后果由成交供应商自行承担。</w:t>
      </w:r>
    </w:p>
    <w:p w14:paraId="08CB85BB">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30.2</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成交通知书将是合同的一个组成部分。对采购人和成交供应商均具有法律效力。成交通知书发出后，采购人改变成交结果的，或者成交供应商放弃成交项目的，应当依法承担法律责任。</w:t>
      </w:r>
    </w:p>
    <w:p w14:paraId="590825FB">
      <w:pPr>
        <w:keepNext/>
        <w:keepLines/>
        <w:pageBreakBefore w:val="0"/>
        <w:widowControl w:val="0"/>
        <w:spacing w:line="520" w:lineRule="exact"/>
        <w:outlineLvl w:val="2"/>
        <w:rPr>
          <w:b/>
          <w:bCs/>
          <w:color w:val="000000" w:themeColor="text1"/>
          <w:sz w:val="32"/>
          <w:szCs w:val="32"/>
          <w:highlight w:val="none"/>
          <w14:textFill>
            <w14:solidFill>
              <w14:schemeClr w14:val="tx1"/>
            </w14:solidFill>
          </w14:textFill>
        </w:rPr>
      </w:pPr>
      <w:bookmarkStart w:id="151" w:name="_Toc16938552"/>
      <w:bookmarkStart w:id="152" w:name="_Toc513029236"/>
      <w:bookmarkStart w:id="153" w:name="_Toc20823308"/>
      <w:bookmarkStart w:id="154" w:name="_Toc120614220"/>
      <w:r>
        <w:rPr>
          <w:rFonts w:hint="eastAsia"/>
          <w:b/>
          <w:bCs/>
          <w:color w:val="000000" w:themeColor="text1"/>
          <w:sz w:val="32"/>
          <w:szCs w:val="32"/>
          <w:highlight w:val="none"/>
          <w14:textFill>
            <w14:solidFill>
              <w14:schemeClr w14:val="tx1"/>
            </w14:solidFill>
          </w14:textFill>
        </w:rPr>
        <w:t>七、授予合同</w:t>
      </w:r>
      <w:bookmarkEnd w:id="151"/>
      <w:bookmarkEnd w:id="152"/>
      <w:bookmarkEnd w:id="153"/>
      <w:bookmarkEnd w:id="154"/>
    </w:p>
    <w:p w14:paraId="68B20371">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155" w:name="_Toc20823309"/>
      <w:bookmarkStart w:id="156" w:name="_Toc513029237"/>
      <w:bookmarkStart w:id="157" w:name="_Toc16938553"/>
      <w:r>
        <w:rPr>
          <w:rFonts w:hint="eastAsia" w:ascii="Arial" w:hAnsi="Arial" w:eastAsia="黑体" w:cs="Arial"/>
          <w:color w:val="000000" w:themeColor="text1"/>
          <w:sz w:val="28"/>
          <w:szCs w:val="28"/>
          <w:highlight w:val="none"/>
          <w14:textFill>
            <w14:solidFill>
              <w14:schemeClr w14:val="tx1"/>
            </w14:solidFill>
          </w14:textFill>
        </w:rPr>
        <w:t>31.签订合同</w:t>
      </w:r>
    </w:p>
    <w:p w14:paraId="29AFFCD4">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31.l</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成交供应商应当在成交通知书发出之日起三十日内，按照</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文件确定的事项与采购人签订政府采购合同。</w:t>
      </w:r>
    </w:p>
    <w:p w14:paraId="606D347B">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31.2</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 </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文件、成交供应商的响应文件及</w:t>
      </w:r>
      <w:r>
        <w:rPr>
          <w:rFonts w:hint="eastAsia" w:ascii="宋体" w:hAnsi="宋体" w:cs="Times New Roman"/>
          <w:color w:val="000000" w:themeColor="text1"/>
          <w:sz w:val="24"/>
          <w:szCs w:val="21"/>
          <w:highlight w:val="none"/>
          <w:lang w:val="zh-CN"/>
          <w14:textFill>
            <w14:solidFill>
              <w14:schemeClr w14:val="tx1"/>
            </w14:solidFill>
          </w14:textFill>
        </w:rPr>
        <w:t>磋商</w:t>
      </w:r>
      <w:r>
        <w:rPr>
          <w:rFonts w:hint="eastAsia" w:ascii="宋体" w:hAnsi="宋体" w:eastAsia="宋体" w:cs="Times New Roman"/>
          <w:color w:val="000000" w:themeColor="text1"/>
          <w:sz w:val="24"/>
          <w:szCs w:val="21"/>
          <w:highlight w:val="none"/>
          <w:lang w:val="zh-CN"/>
          <w14:textFill>
            <w14:solidFill>
              <w14:schemeClr w14:val="tx1"/>
            </w14:solidFill>
          </w14:textFill>
        </w:rPr>
        <w:t>过程中有关澄清、承诺文件均应作为合同附件。</w:t>
      </w:r>
    </w:p>
    <w:p w14:paraId="040E084A">
      <w:pPr>
        <w:keepNext w:val="0"/>
        <w:keepLines w:val="0"/>
        <w:pageBreakBefore w:val="0"/>
        <w:widowControl w:val="0"/>
        <w:spacing w:line="48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签订合同后，</w:t>
      </w:r>
      <w:r>
        <w:rPr>
          <w:rFonts w:hint="eastAsia" w:ascii="宋体" w:hAnsi="宋体"/>
          <w:b/>
          <w:color w:val="000000" w:themeColor="text1"/>
          <w:sz w:val="24"/>
          <w:szCs w:val="24"/>
          <w:highlight w:val="none"/>
          <w:u w:val="single"/>
          <w14:textFill>
            <w14:solidFill>
              <w14:schemeClr w14:val="tx1"/>
            </w14:solidFill>
          </w14:textFill>
        </w:rPr>
        <w:t>成交供应商不得将合同标的进行转包</w:t>
      </w:r>
      <w:r>
        <w:rPr>
          <w:rFonts w:hint="eastAsia" w:ascii="宋体" w:hAnsi="宋体"/>
          <w:color w:val="000000" w:themeColor="text1"/>
          <w:sz w:val="24"/>
          <w:szCs w:val="24"/>
          <w:highlight w:val="none"/>
          <w14:textFill>
            <w14:solidFill>
              <w14:schemeClr w14:val="tx1"/>
            </w14:solidFill>
          </w14:textFill>
        </w:rPr>
        <w:t>。未经采购人同意，成交供应商也不得采用分包形式履行合同</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否则采购人有权终止合同。转包或分包造成采购人损失的，成交供应商应承担相应赔偿责任。</w:t>
      </w:r>
    </w:p>
    <w:p w14:paraId="184638DD">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r>
        <w:rPr>
          <w:rFonts w:hint="eastAsia" w:ascii="Arial" w:hAnsi="Arial" w:eastAsia="黑体" w:cs="Arial"/>
          <w:color w:val="000000" w:themeColor="text1"/>
          <w:sz w:val="28"/>
          <w:szCs w:val="28"/>
          <w:highlight w:val="none"/>
          <w14:textFill>
            <w14:solidFill>
              <w14:schemeClr w14:val="tx1"/>
            </w14:solidFill>
          </w14:textFill>
        </w:rPr>
        <w:t>32.标的物的追加</w:t>
      </w:r>
    </w:p>
    <w:p w14:paraId="497BBE97">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32.1</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14:textFill>
            <w14:solidFill>
              <w14:schemeClr w14:val="tx1"/>
            </w14:solidFill>
          </w14:textFill>
        </w:rPr>
        <w:t>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5"/>
      <w:bookmarkEnd w:id="156"/>
      <w:bookmarkEnd w:id="157"/>
    </w:p>
    <w:p w14:paraId="7CA015BE">
      <w:pPr>
        <w:keepNext/>
        <w:keepLines/>
        <w:pageBreakBefore w:val="0"/>
        <w:widowControl w:val="0"/>
        <w:spacing w:line="560" w:lineRule="exact"/>
        <w:ind w:firstLine="420"/>
        <w:outlineLvl w:val="3"/>
        <w:rPr>
          <w:rFonts w:hint="eastAsia" w:ascii="Arial" w:hAnsi="Arial" w:eastAsia="黑体" w:cs="Arial"/>
          <w:color w:val="000000" w:themeColor="text1"/>
          <w:sz w:val="28"/>
          <w:szCs w:val="28"/>
          <w:highlight w:val="none"/>
          <w14:textFill>
            <w14:solidFill>
              <w14:schemeClr w14:val="tx1"/>
            </w14:solidFill>
          </w14:textFill>
        </w:rPr>
      </w:pPr>
      <w:bookmarkStart w:id="158" w:name="_Toc20823314"/>
      <w:bookmarkStart w:id="159" w:name="_Toc479757207"/>
      <w:bookmarkStart w:id="160" w:name="_Toc120614221"/>
      <w:bookmarkStart w:id="161" w:name="_Toc16938558"/>
      <w:bookmarkStart w:id="162" w:name="_Toc513029242"/>
      <w:r>
        <w:rPr>
          <w:rFonts w:hint="eastAsia" w:ascii="Arial" w:hAnsi="Arial" w:eastAsia="黑体" w:cs="Arial"/>
          <w:color w:val="000000" w:themeColor="text1"/>
          <w:sz w:val="28"/>
          <w:szCs w:val="28"/>
          <w:highlight w:val="none"/>
          <w14:textFill>
            <w14:solidFill>
              <w14:schemeClr w14:val="tx1"/>
            </w14:solidFill>
          </w14:textFill>
        </w:rPr>
        <w:t>33.政府采购履约资金扶持政策</w:t>
      </w:r>
    </w:p>
    <w:p w14:paraId="59F89BD2">
      <w:pPr>
        <w:keepNext w:val="0"/>
        <w:keepLines w:val="0"/>
        <w:pageBreakBefore w:val="0"/>
        <w:widowControl w:val="0"/>
        <w:spacing w:line="480" w:lineRule="exact"/>
        <w:ind w:firstLine="480"/>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szCs w:val="21"/>
          <w:highlight w:val="none"/>
          <w:lang w:val="zh-CN"/>
          <w14:textFill>
            <w14:solidFill>
              <w14:schemeClr w14:val="tx1"/>
            </w14:solidFill>
          </w14:textFill>
        </w:rPr>
        <w:t>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p>
    <w:bookmarkEnd w:id="158"/>
    <w:bookmarkEnd w:id="159"/>
    <w:bookmarkEnd w:id="160"/>
    <w:bookmarkEnd w:id="161"/>
    <w:bookmarkEnd w:id="162"/>
    <w:p w14:paraId="6BFBAFB8">
      <w:pPr>
        <w:spacing w:line="0" w:lineRule="atLeast"/>
        <w:rPr>
          <w:rFonts w:ascii="宋体" w:hAnsi="宋体"/>
          <w:bCs/>
          <w:color w:val="000000" w:themeColor="text1"/>
          <w:sz w:val="24"/>
          <w:szCs w:val="24"/>
          <w:highlight w:val="none"/>
          <w14:textFill>
            <w14:solidFill>
              <w14:schemeClr w14:val="tx1"/>
            </w14:solidFill>
          </w14:textFill>
        </w:rPr>
      </w:pPr>
    </w:p>
    <w:p w14:paraId="6EFAD5F1">
      <w:pPr>
        <w:spacing w:line="560" w:lineRule="exact"/>
        <w:ind w:firstLine="3520"/>
        <w:rPr>
          <w:rFonts w:hint="eastAsia" w:ascii="黑体" w:hAnsi="Courier New" w:eastAsia="黑体" w:cs="Courier New"/>
          <w:bCs/>
          <w:color w:val="000000" w:themeColor="text1"/>
          <w:sz w:val="44"/>
          <w:szCs w:val="21"/>
          <w:highlight w:val="none"/>
          <w14:textFill>
            <w14:solidFill>
              <w14:schemeClr w14:val="tx1"/>
            </w14:solidFill>
          </w14:textFill>
        </w:rPr>
      </w:pPr>
      <w:bookmarkStart w:id="163" w:name="_Toc462564139"/>
      <w:bookmarkStart w:id="164" w:name="_Toc26554093"/>
      <w:bookmarkStart w:id="165" w:name="_Toc49090575"/>
      <w:bookmarkStart w:id="166" w:name="_Toc479757211"/>
    </w:p>
    <w:p w14:paraId="725F9885">
      <w:pPr>
        <w:rPr>
          <w:rFonts w:hint="eastAsia" w:ascii="黑体" w:hAnsi="Courier New" w:eastAsia="黑体" w:cs="Courier New"/>
          <w:bCs/>
          <w:color w:val="000000" w:themeColor="text1"/>
          <w:sz w:val="44"/>
          <w:szCs w:val="21"/>
          <w:highlight w:val="none"/>
          <w14:textFill>
            <w14:solidFill>
              <w14:schemeClr w14:val="tx1"/>
            </w14:solidFill>
          </w14:textFill>
        </w:rPr>
      </w:pPr>
      <w:r>
        <w:rPr>
          <w:rFonts w:hint="eastAsia" w:ascii="黑体" w:hAnsi="Courier New" w:eastAsia="黑体" w:cs="Courier New"/>
          <w:bCs/>
          <w:color w:val="000000" w:themeColor="text1"/>
          <w:sz w:val="44"/>
          <w:szCs w:val="21"/>
          <w:highlight w:val="none"/>
          <w14:textFill>
            <w14:solidFill>
              <w14:schemeClr w14:val="tx1"/>
            </w14:solidFill>
          </w14:textFill>
        </w:rPr>
        <w:br w:type="page" w:clear="all"/>
      </w:r>
    </w:p>
    <w:p w14:paraId="315EC534">
      <w:pPr>
        <w:keepNext/>
        <w:keepLines/>
        <w:spacing w:line="560" w:lineRule="exact"/>
        <w:jc w:val="center"/>
        <w:outlineLvl w:val="0"/>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t>第三章 采购需求</w:t>
      </w:r>
    </w:p>
    <w:p w14:paraId="5E9A2622">
      <w:pPr>
        <w:keepNext w:val="0"/>
        <w:keepLines w:val="0"/>
        <w:pageBreakBefore w:val="0"/>
        <w:widowControl w:val="0"/>
        <w:spacing w:line="440" w:lineRule="exact"/>
        <w:ind w:firstLine="482"/>
        <w:rPr>
          <w:rFonts w:hint="eastAsia" w:ascii="宋体" w:hAnsi="Courier New" w:eastAsia="宋体" w:cs="Courier New"/>
          <w:color w:val="000000" w:themeColor="text1"/>
          <w:sz w:val="24"/>
          <w:szCs w:val="24"/>
          <w:highlight w:val="none"/>
          <w:lang w:eastAsia="zh-CN"/>
          <w14:textFill>
            <w14:solidFill>
              <w14:schemeClr w14:val="tx1"/>
            </w14:solidFill>
          </w14:textFill>
        </w:rPr>
      </w:pPr>
      <w:r>
        <w:rPr>
          <w:rFonts w:hint="eastAsia" w:ascii="宋体" w:hAnsi="Courier New" w:cs="Courier New"/>
          <w:color w:val="000000" w:themeColor="text1"/>
          <w:sz w:val="24"/>
          <w:szCs w:val="24"/>
          <w:highlight w:val="none"/>
          <w14:textFill>
            <w14:solidFill>
              <w14:schemeClr w14:val="tx1"/>
            </w14:solidFill>
          </w14:textFill>
        </w:rPr>
        <w:t>项目属性：</w:t>
      </w:r>
      <w:r>
        <w:rPr>
          <w:rFonts w:hint="eastAsia" w:ascii="宋体" w:hAnsi="Courier New" w:cs="Courier New"/>
          <w:color w:val="000000" w:themeColor="text1"/>
          <w:sz w:val="24"/>
          <w:szCs w:val="24"/>
          <w:highlight w:val="none"/>
          <w:lang w:val="en-US" w:eastAsia="zh-CN"/>
          <w14:textFill>
            <w14:solidFill>
              <w14:schemeClr w14:val="tx1"/>
            </w14:solidFill>
          </w14:textFill>
        </w:rPr>
        <w:t>服务类</w:t>
      </w:r>
    </w:p>
    <w:p w14:paraId="7B512A78">
      <w:pPr>
        <w:keepNext w:val="0"/>
        <w:keepLines w:val="0"/>
        <w:pageBreakBefore w:val="0"/>
        <w:widowControl w:val="0"/>
        <w:spacing w:line="440" w:lineRule="exact"/>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采购需求包括拟采购的标的及其需要满足的技术、商务要求。</w:t>
      </w:r>
    </w:p>
    <w:p w14:paraId="58F4F879">
      <w:pPr>
        <w:keepNext w:val="0"/>
        <w:keepLines w:val="0"/>
        <w:pageBreakBefore w:val="0"/>
        <w:widowControl w:val="0"/>
        <w:numPr>
          <w:ilvl w:val="0"/>
          <w:numId w:val="5"/>
        </w:numPr>
        <w:spacing w:line="440" w:lineRule="exact"/>
        <w:ind w:firstLine="482"/>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技术要求是指对采购标的功能和质量要求，包括性能、材料、结构、外观、安全，或者服务内容和标准等。</w:t>
      </w:r>
    </w:p>
    <w:p w14:paraId="47AD900D">
      <w:pPr>
        <w:keepNext w:val="0"/>
        <w:keepLines w:val="0"/>
        <w:pageBreakBefore w:val="0"/>
        <w:widowControl w:val="0"/>
        <w:numPr>
          <w:ilvl w:val="0"/>
          <w:numId w:val="5"/>
        </w:numPr>
        <w:spacing w:line="440" w:lineRule="exact"/>
        <w:ind w:firstLine="482"/>
        <w:rPr>
          <w:rFonts w:hint="eastAsia" w:ascii="宋体" w:hAnsi="宋体" w:eastAsia="宋体"/>
          <w:b w:val="0"/>
          <w:bCs/>
          <w:color w:val="000000" w:themeColor="text1"/>
          <w:sz w:val="24"/>
          <w:szCs w:val="24"/>
          <w:highlight w:val="none"/>
          <w14:textFill>
            <w14:solidFill>
              <w14:schemeClr w14:val="tx1"/>
            </w14:solidFill>
          </w14:textFill>
        </w:rPr>
      </w:pPr>
      <w:r>
        <w:rPr>
          <w:rFonts w:hint="eastAsia" w:ascii="宋体" w:hAnsi="宋体" w:eastAsia="宋体"/>
          <w:b w:val="0"/>
          <w:bCs/>
          <w:color w:val="000000" w:themeColor="text1"/>
          <w:sz w:val="24"/>
          <w:szCs w:val="24"/>
          <w:highlight w:val="none"/>
          <w14:textFill>
            <w14:solidFill>
              <w14:schemeClr w14:val="tx1"/>
            </w14:solidFill>
          </w14:textFill>
        </w:rPr>
        <w:t>商务要求是指取得采购标的的时间、地点、财务和服务要求，包括交付（实施）的时间（期限）和地点（范围），付款条件（进度和方法），包装和运输，售后服务，保险等。</w:t>
      </w:r>
    </w:p>
    <w:p w14:paraId="598C5B54">
      <w:pPr>
        <w:keepNext w:val="0"/>
        <w:keepLines w:val="0"/>
        <w:pageBreakBefore w:val="0"/>
        <w:widowControl w:val="0"/>
        <w:spacing w:line="440" w:lineRule="exact"/>
        <w:ind w:firstLine="482"/>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其内容包含但不限于以下内容：</w:t>
      </w:r>
    </w:p>
    <w:p w14:paraId="3BDD3104">
      <w:pPr>
        <w:keepNext w:val="0"/>
        <w:keepLines w:val="0"/>
        <w:pageBreakBefore w:val="0"/>
        <w:widowControl w:val="0"/>
        <w:spacing w:before="109" w:after="109" w:line="440" w:lineRule="exact"/>
        <w:ind w:firstLine="482"/>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一、采购标的需实现的功能或者目标：</w:t>
      </w:r>
    </w:p>
    <w:p w14:paraId="28C50ECD">
      <w:pPr>
        <w:keepNext w:val="0"/>
        <w:keepLines w:val="0"/>
        <w:pageBreakBefore w:val="0"/>
        <w:widowControl w:val="0"/>
        <w:spacing w:line="44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医院除1号楼外的内网无线网络系统已经使用近十年，当前科技发展迅速，设备与技术不断更新，且目前使用无线网络存在不稳定现象，故医院决定对内网无线网络系统进行升级改造。目标为院内各类移动医疗业务（如移动护理、移动医生站、移动PDA、智能设备联网、患者服务等）提供稳定、安全、高速的无线网络接入。</w:t>
      </w:r>
    </w:p>
    <w:p w14:paraId="3C7B75F8">
      <w:pPr>
        <w:keepNext w:val="0"/>
        <w:keepLines w:val="0"/>
        <w:pageBreakBefore w:val="0"/>
        <w:widowControl w:val="0"/>
        <w:spacing w:before="109" w:after="109" w:line="440" w:lineRule="exact"/>
        <w:ind w:firstLine="482"/>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二、采购标的需执行的国家相关标准、行业标准、地方标准或者其他标准、规范：</w:t>
      </w:r>
    </w:p>
    <w:p w14:paraId="1441E443">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本项目必须符合国家《网络安全法》《医疗卫生机构网络安全管理办法》《信息安全技术网络安全等级保护基本要求》等相关法规标准，确保患者隐私（PHI）和医疗数据安全；同时全面执行以下技术标准：</w:t>
      </w:r>
    </w:p>
    <w:p w14:paraId="3973C8BE">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中国无线局域网的核心标准体系GB 15629.11系列标准</w:t>
      </w:r>
    </w:p>
    <w:p w14:paraId="64E67198">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《无线局域网测试规范》GB/T 32420-2015</w:t>
      </w:r>
    </w:p>
    <w:p w14:paraId="3793DB16">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《无线局域网工程设计标准》GB-T51419-2020</w:t>
      </w:r>
    </w:p>
    <w:p w14:paraId="35C69419">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《基于以太网技术的局域网系统验收测评规范》GB/T 21671-2018</w:t>
      </w:r>
    </w:p>
    <w:p w14:paraId="4CDF330E">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T/NIDA 011-2025《智慧医院园区网络技术要求》</w:t>
      </w:r>
    </w:p>
    <w:p w14:paraId="0AC3643A">
      <w:pPr>
        <w:keepNext w:val="0"/>
        <w:keepLines w:val="0"/>
        <w:pageBreakBefore w:val="0"/>
        <w:widowControl w:val="0"/>
        <w:spacing w:line="44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所有技术标准，按国家最新标准执行，无国家标准的，按行业标准执行；无国家和行业标准的，按企业标准执行；但在采购文件中有特别要求的，按采购文件中规定的要求执行，并且符合相关法律法规规定的要求。</w:t>
      </w:r>
    </w:p>
    <w:p w14:paraId="46D6B5CB">
      <w:pPr>
        <w:keepNext w:val="0"/>
        <w:keepLines w:val="0"/>
        <w:pageBreakBefore w:val="0"/>
        <w:widowControl w:val="0"/>
        <w:spacing w:before="109" w:after="109" w:line="440" w:lineRule="exact"/>
        <w:ind w:firstLine="482"/>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三、</w:t>
      </w:r>
      <w:r>
        <w:rPr>
          <w:rFonts w:hint="eastAsia" w:ascii="宋体" w:hAnsi="宋体"/>
          <w:b/>
          <w:bCs/>
          <w:color w:val="000000" w:themeColor="text1"/>
          <w:sz w:val="24"/>
          <w:szCs w:val="24"/>
          <w:highlight w:val="none"/>
          <w14:textFill>
            <w14:solidFill>
              <w14:schemeClr w14:val="tx1"/>
            </w14:solidFill>
          </w14:textFill>
        </w:rPr>
        <w:t>采购标的需满足的质量、安全、技术规格、物理特性等要求</w:t>
      </w:r>
    </w:p>
    <w:p w14:paraId="0AF09096">
      <w:pPr>
        <w:keepNext w:val="0"/>
        <w:keepLines w:val="0"/>
        <w:pageBreakBefore w:val="0"/>
        <w:widowControl w:val="0"/>
        <w:spacing w:before="73" w:after="73" w:line="440" w:lineRule="exact"/>
        <w:ind w:firstLine="482"/>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技术标响应要求</w:t>
      </w:r>
    </w:p>
    <w:p w14:paraId="41D4B03F">
      <w:pPr>
        <w:keepNext w:val="0"/>
        <w:keepLines w:val="0"/>
        <w:pageBreakBefore w:val="0"/>
        <w:widowControl w:val="0"/>
        <w:numPr>
          <w:ilvl w:val="0"/>
          <w:numId w:val="0"/>
        </w:numPr>
        <w:spacing w:line="440" w:lineRule="exact"/>
        <w:ind w:firstLine="482"/>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（1）</w:t>
      </w:r>
      <w:r>
        <w:rPr>
          <w:rFonts w:hint="eastAsia" w:ascii="宋体" w:hAnsi="宋体" w:cs="宋体"/>
          <w:b/>
          <w:bCs/>
          <w:color w:val="000000" w:themeColor="text1"/>
          <w:sz w:val="24"/>
          <w:szCs w:val="24"/>
          <w:highlight w:val="none"/>
          <w:lang w:val="en-US" w:eastAsia="zh-CN"/>
          <w14:textFill>
            <w14:solidFill>
              <w14:schemeClr w14:val="tx1"/>
            </w14:solidFill>
          </w14:textFill>
        </w:rPr>
        <w:t>设备主要技术要求中加“★”为重要参数，不接受负偏离。投标时请按条目式列举佐证。</w:t>
      </w:r>
    </w:p>
    <w:p w14:paraId="4F43F04B">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（2）响应供应商可对现场进行勘察，响应供应商在充分理解采购文件和现场勘察的基础上，编制本项目响应文件。</w:t>
      </w:r>
    </w:p>
    <w:p w14:paraId="269549DB">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（3）项目提供的技术要求（规格）只是对产品的一些原则性要求，并不是最详尽的描述和要求，响应供应商有责任依据相关设计技术规范和有关行业国家标准执行。</w:t>
      </w:r>
    </w:p>
    <w:p w14:paraId="3BAA3B85">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响应供应商应保证所提供的货物是全新、未使用过的合格产品，并完全符合响应文件的质量、规格和参数的要求。提供的产品不得侵犯第三方专利权、商标权和设计权、版权等。否则，响应供应商应负全部责任，并承担由此引起的一切后果。为保证用户后期使用权益，设备均要求为原厂正规渠道产品，所有硬件设备保修信息均为本项目用户单位，必须从原厂公布的服务电话得到查询验证，否则采购人有权要求退货。</w:t>
      </w:r>
    </w:p>
    <w:p w14:paraId="3CFDB6B1">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成交供应商须根据成交的建设方案和采购要求精心组织施工，按成交的项目进度计划、工程质量控制、产品进场报验和安全保障措施，在保证质量的前提下按时完成项目建设。成交供应商须做好各阶段施工资料的记录、整理和保存。</w:t>
      </w:r>
    </w:p>
    <w:p w14:paraId="2B588AE3">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（6）成交供应商须主动与采购人等方面进行沟通、协调及配合，保证项目实施顺畅进行。</w:t>
      </w:r>
    </w:p>
    <w:p w14:paraId="78B1F201">
      <w:pPr>
        <w:spacing w:line="440" w:lineRule="exact"/>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1、无线网络建设要求：</w:t>
      </w:r>
    </w:p>
    <w:p w14:paraId="4B53E6BA">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ascii="宋体" w:hAnsi="宋体" w:cs="宋体"/>
          <w:color w:val="000000" w:themeColor="text1"/>
          <w:sz w:val="24"/>
          <w:highlight w:val="none"/>
          <w14:textFill>
            <w14:solidFill>
              <w14:schemeClr w14:val="tx1"/>
            </w14:solidFill>
          </w14:textFill>
        </w:rPr>
        <w:t>网络核心与架构设计须满足医院7x24小时不间断运行要求，网络应易于管理、监控和维护，并具备良好的扩展性，以适应未来5-8年内医院业务发展、新技术和终端数量增长的需求。</w:t>
      </w:r>
    </w:p>
    <w:p w14:paraId="1627DE4C">
      <w:pPr>
        <w:spacing w:line="440" w:lineRule="exact"/>
        <w:ind w:firstLine="46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5"/>
          <w:sz w:val="24"/>
          <w:szCs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（2）无线所覆盖范围内必须无死角，无卡顿，房间所覆盖区域内</w:t>
      </w:r>
      <w:r>
        <w:rPr>
          <w:rFonts w:ascii="宋体" w:hAnsi="宋体" w:cs="宋体"/>
          <w:color w:val="000000" w:themeColor="text1"/>
          <w:sz w:val="24"/>
          <w:highlight w:val="none"/>
          <w14:textFill>
            <w14:solidFill>
              <w14:schemeClr w14:val="tx1"/>
            </w14:solidFill>
          </w14:textFill>
        </w:rPr>
        <w:t>边缘场强(RSSI)应不低于-65dBm，移动终端在同一楼层任意病房间漫游</w:t>
      </w:r>
      <w:r>
        <w:rPr>
          <w:rFonts w:hint="eastAsia" w:ascii="宋体" w:hAnsi="宋体" w:cs="宋体"/>
          <w:color w:val="000000" w:themeColor="text1"/>
          <w:sz w:val="24"/>
          <w:highlight w:val="none"/>
          <w14:textFill>
            <w14:solidFill>
              <w14:schemeClr w14:val="tx1"/>
            </w14:solidFill>
          </w14:textFill>
        </w:rPr>
        <w:t>切换</w:t>
      </w:r>
      <w:r>
        <w:rPr>
          <w:rFonts w:ascii="宋体" w:hAnsi="宋体" w:cs="宋体"/>
          <w:color w:val="000000" w:themeColor="text1"/>
          <w:sz w:val="24"/>
          <w:highlight w:val="none"/>
          <w14:textFill>
            <w14:solidFill>
              <w14:schemeClr w14:val="tx1"/>
            </w14:solidFill>
          </w14:textFill>
        </w:rPr>
        <w:t>时，</w:t>
      </w:r>
      <w:r>
        <w:rPr>
          <w:rFonts w:hint="eastAsia" w:ascii="宋体" w:hAnsi="宋体" w:cs="宋体"/>
          <w:color w:val="000000" w:themeColor="text1"/>
          <w:sz w:val="24"/>
          <w:highlight w:val="none"/>
          <w14:textFill>
            <w14:solidFill>
              <w14:schemeClr w14:val="tx1"/>
            </w14:solidFill>
          </w14:textFill>
        </w:rPr>
        <w:t>端到端平均延迟</w:t>
      </w:r>
      <w:r>
        <w:rPr>
          <w:rFonts w:hint="eastAsia" w:ascii="宋体" w:hAnsi="宋体" w:cs="宋体"/>
          <w:color w:val="000000" w:themeColor="text1"/>
          <w:spacing w:val="-5"/>
          <w:sz w:val="24"/>
          <w:szCs w:val="24"/>
          <w:highlight w:val="none"/>
          <w14:textFill>
            <w14:solidFill>
              <w14:schemeClr w14:val="tx1"/>
            </w14:solidFill>
          </w14:textFill>
        </w:rPr>
        <w:t>≤50ms，</w:t>
      </w:r>
      <w:r>
        <w:rPr>
          <w:rFonts w:hint="eastAsia" w:ascii="宋体" w:hAnsi="宋体" w:cs="宋体"/>
          <w:color w:val="000000" w:themeColor="text1"/>
          <w:sz w:val="24"/>
          <w:highlight w:val="none"/>
          <w14:textFill>
            <w14:solidFill>
              <w14:schemeClr w14:val="tx1"/>
            </w14:solidFill>
          </w14:textFill>
        </w:rPr>
        <w:t>且</w:t>
      </w:r>
      <w:r>
        <w:rPr>
          <w:rFonts w:ascii="宋体" w:hAnsi="宋体" w:cs="宋体"/>
          <w:color w:val="000000" w:themeColor="text1"/>
          <w:sz w:val="24"/>
          <w:highlight w:val="none"/>
          <w14:textFill>
            <w14:solidFill>
              <w14:schemeClr w14:val="tx1"/>
            </w14:solidFill>
          </w14:textFill>
        </w:rPr>
        <w:t>通过Ping包测试，</w:t>
      </w:r>
      <w:r>
        <w:rPr>
          <w:rFonts w:hint="eastAsia" w:ascii="宋体" w:hAnsi="宋体" w:cs="宋体"/>
          <w:color w:val="000000" w:themeColor="text1"/>
          <w:sz w:val="24"/>
          <w:highlight w:val="none"/>
          <w14:textFill>
            <w14:solidFill>
              <w14:schemeClr w14:val="tx1"/>
            </w14:solidFill>
          </w14:textFill>
        </w:rPr>
        <w:t>丢包率</w:t>
      </w:r>
      <w:r>
        <w:rPr>
          <w:rFonts w:hint="eastAsia" w:ascii="宋体" w:hAnsi="宋体" w:cs="宋体"/>
          <w:color w:val="000000" w:themeColor="text1"/>
          <w:spacing w:val="-5"/>
          <w:sz w:val="24"/>
          <w:szCs w:val="24"/>
          <w:highlight w:val="none"/>
          <w14:textFill>
            <w14:solidFill>
              <w14:schemeClr w14:val="tx1"/>
            </w14:solidFill>
          </w14:textFill>
        </w:rPr>
        <w:t>≤0.5%</w:t>
      </w:r>
      <w:r>
        <w:rPr>
          <w:rFonts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上述指标需在</w:t>
      </w:r>
      <w:r>
        <w:rPr>
          <w:rFonts w:ascii="宋体" w:hAnsi="宋体" w:cs="宋体"/>
          <w:color w:val="000000" w:themeColor="text1"/>
          <w:sz w:val="24"/>
          <w:highlight w:val="none"/>
          <w14:textFill>
            <w14:solidFill>
              <w14:schemeClr w14:val="tx1"/>
            </w14:solidFill>
          </w14:textFill>
        </w:rPr>
        <w:t>具备CNAS或CMA资质</w:t>
      </w:r>
      <w:r>
        <w:rPr>
          <w:rFonts w:hint="eastAsia" w:ascii="宋体" w:hAnsi="宋体" w:cs="宋体"/>
          <w:color w:val="000000" w:themeColor="text1"/>
          <w:sz w:val="24"/>
          <w:highlight w:val="none"/>
          <w14:textFill>
            <w14:solidFill>
              <w14:schemeClr w14:val="tx1"/>
            </w14:solidFill>
          </w14:textFill>
        </w:rPr>
        <w:t>的机构出具的报告中得到验证，测试方法参照国家标准执行。</w:t>
      </w:r>
      <w:r>
        <w:rPr>
          <w:rFonts w:ascii="宋体" w:hAnsi="宋体" w:cs="宋体"/>
          <w:color w:val="000000" w:themeColor="text1"/>
          <w:sz w:val="24"/>
          <w:highlight w:val="none"/>
          <w14:textFill>
            <w14:solidFill>
              <w14:schemeClr w14:val="tx1"/>
            </w14:solidFill>
          </w14:textFill>
        </w:rPr>
        <w:t>支持高密度终端并发接入，按每床位/诊室至少3-5个并发终端（医护PDA/电脑、</w:t>
      </w:r>
      <w:r>
        <w:rPr>
          <w:rFonts w:hint="eastAsia" w:ascii="宋体" w:hAnsi="宋体" w:cs="宋体"/>
          <w:color w:val="000000" w:themeColor="text1"/>
          <w:sz w:val="24"/>
          <w:highlight w:val="none"/>
          <w14:textFill>
            <w14:solidFill>
              <w14:schemeClr w14:val="tx1"/>
            </w14:solidFill>
          </w14:textFill>
        </w:rPr>
        <w:t>支持Wi-F</w:t>
      </w:r>
      <w:r>
        <w:rPr>
          <w:rFonts w:ascii="宋体" w:hAnsi="宋体" w:cs="宋体"/>
          <w:color w:val="000000" w:themeColor="text1"/>
          <w:sz w:val="24"/>
          <w:highlight w:val="none"/>
          <w14:textFill>
            <w14:solidFill>
              <w14:schemeClr w14:val="tx1"/>
            </w14:solidFill>
          </w14:textFill>
        </w:rPr>
        <w:t>i</w:t>
      </w:r>
      <w:r>
        <w:rPr>
          <w:rFonts w:hint="eastAsia" w:ascii="宋体" w:hAnsi="宋体" w:cs="宋体"/>
          <w:color w:val="000000" w:themeColor="text1"/>
          <w:sz w:val="24"/>
          <w:highlight w:val="none"/>
          <w14:textFill>
            <w14:solidFill>
              <w14:schemeClr w14:val="tx1"/>
            </w14:solidFill>
          </w14:textFill>
        </w:rPr>
        <w:t>的</w:t>
      </w:r>
      <w:r>
        <w:rPr>
          <w:rFonts w:ascii="宋体" w:hAnsi="宋体" w:cs="宋体"/>
          <w:color w:val="000000" w:themeColor="text1"/>
          <w:sz w:val="24"/>
          <w:highlight w:val="none"/>
          <w14:textFill>
            <w14:solidFill>
              <w14:schemeClr w14:val="tx1"/>
            </w14:solidFill>
          </w14:textFill>
        </w:rPr>
        <w:t>物联网设备</w:t>
      </w:r>
      <w:r>
        <w:rPr>
          <w:rFonts w:hint="eastAsia" w:ascii="宋体" w:hAnsi="宋体" w:cs="宋体"/>
          <w:color w:val="000000" w:themeColor="text1"/>
          <w:sz w:val="24"/>
          <w:highlight w:val="none"/>
          <w14:textFill>
            <w14:solidFill>
              <w14:schemeClr w14:val="tx1"/>
            </w14:solidFill>
          </w14:textFill>
        </w:rPr>
        <w:t>等</w:t>
      </w:r>
      <w:r>
        <w:rPr>
          <w:rFonts w:ascii="宋体" w:hAnsi="宋体" w:cs="宋体"/>
          <w:color w:val="000000" w:themeColor="text1"/>
          <w:sz w:val="24"/>
          <w:highlight w:val="none"/>
          <w14:textFill>
            <w14:solidFill>
              <w14:schemeClr w14:val="tx1"/>
            </w14:solidFill>
          </w14:textFill>
        </w:rPr>
        <w:t>）进行规划。</w:t>
      </w:r>
      <w:r>
        <w:rPr>
          <w:rFonts w:hint="eastAsia" w:ascii="宋体" w:hAnsi="宋体" w:cs="宋体"/>
          <w:color w:val="000000" w:themeColor="text1"/>
          <w:sz w:val="24"/>
          <w:highlight w:val="none"/>
          <w14:textFill>
            <w14:solidFill>
              <w14:schemeClr w14:val="tx1"/>
            </w14:solidFill>
          </w14:textFill>
        </w:rPr>
        <w:t>带宽均衡控制，</w:t>
      </w:r>
      <w:r>
        <w:rPr>
          <w:rFonts w:ascii="宋体" w:hAnsi="宋体" w:cs="宋体"/>
          <w:color w:val="000000" w:themeColor="text1"/>
          <w:sz w:val="24"/>
          <w:highlight w:val="none"/>
          <w14:textFill>
            <w14:solidFill>
              <w14:schemeClr w14:val="tx1"/>
            </w14:solidFill>
          </w14:textFill>
        </w:rPr>
        <w:t>医疗业务区域单用户平均可用带宽≥5Mbps，保障移动护理、影像调阅</w:t>
      </w:r>
      <w:r>
        <w:rPr>
          <w:rFonts w:hint="eastAsia" w:ascii="宋体" w:hAnsi="宋体" w:cs="宋体"/>
          <w:color w:val="000000" w:themeColor="text1"/>
          <w:sz w:val="24"/>
          <w:highlight w:val="none"/>
          <w14:textFill>
            <w14:solidFill>
              <w14:schemeClr w14:val="tx1"/>
            </w14:solidFill>
          </w14:textFill>
        </w:rPr>
        <w:t>、移动PAD</w:t>
      </w:r>
      <w:r>
        <w:rPr>
          <w:rFonts w:ascii="宋体" w:hAnsi="宋体" w:cs="宋体"/>
          <w:color w:val="000000" w:themeColor="text1"/>
          <w:sz w:val="24"/>
          <w:highlight w:val="none"/>
          <w14:textFill>
            <w14:solidFill>
              <w14:schemeClr w14:val="tx1"/>
            </w14:solidFill>
          </w14:textFill>
        </w:rPr>
        <w:t>等关键业务流畅。支持802.11k/v/r快速漫游协议，确保移动业务（如移动护理</w:t>
      </w:r>
      <w:r>
        <w:rPr>
          <w:rFonts w:hint="eastAsia" w:ascii="宋体" w:hAnsi="宋体" w:cs="宋体"/>
          <w:color w:val="000000" w:themeColor="text1"/>
          <w:sz w:val="24"/>
          <w:highlight w:val="none"/>
          <w14:textFill>
            <w14:solidFill>
              <w14:schemeClr w14:val="tx1"/>
            </w14:solidFill>
          </w14:textFill>
        </w:rPr>
        <w:t>PDA</w:t>
      </w:r>
      <w:r>
        <w:rPr>
          <w:rFonts w:ascii="宋体" w:hAnsi="宋体" w:cs="宋体"/>
          <w:color w:val="000000" w:themeColor="text1"/>
          <w:sz w:val="24"/>
          <w:highlight w:val="none"/>
          <w14:textFill>
            <w14:solidFill>
              <w14:schemeClr w14:val="tx1"/>
            </w14:solidFill>
          </w14:textFill>
        </w:rPr>
        <w:t>、医生</w:t>
      </w:r>
      <w:r>
        <w:rPr>
          <w:rFonts w:hint="eastAsia" w:ascii="宋体" w:hAnsi="宋体" w:cs="宋体"/>
          <w:color w:val="000000" w:themeColor="text1"/>
          <w:sz w:val="24"/>
          <w:highlight w:val="none"/>
          <w14:textFill>
            <w14:solidFill>
              <w14:schemeClr w14:val="tx1"/>
            </w14:solidFill>
          </w14:textFill>
        </w:rPr>
        <w:t>查房车、移动PAD</w:t>
      </w:r>
      <w:r>
        <w:rPr>
          <w:rFonts w:ascii="宋体" w:hAnsi="宋体" w:cs="宋体"/>
          <w:color w:val="000000" w:themeColor="text1"/>
          <w:sz w:val="24"/>
          <w:highlight w:val="none"/>
          <w14:textFill>
            <w14:solidFill>
              <w14:schemeClr w14:val="tx1"/>
            </w14:solidFill>
          </w14:textFill>
        </w:rPr>
        <w:t xml:space="preserve">在病房间穿梭）漫游切换时间 </w:t>
      </w:r>
      <w:r>
        <w:rPr>
          <w:rFonts w:hint="eastAsia" w:ascii="宋体" w:hAnsi="宋体" w:cs="宋体"/>
          <w:color w:val="000000" w:themeColor="text1"/>
          <w:spacing w:val="-5"/>
          <w:sz w:val="24"/>
          <w:szCs w:val="24"/>
          <w:highlight w:val="none"/>
          <w14:textFill>
            <w14:solidFill>
              <w14:schemeClr w14:val="tx1"/>
            </w14:solidFill>
          </w14:textFill>
        </w:rPr>
        <w:t>≤</w:t>
      </w:r>
      <w:r>
        <w:rPr>
          <w:rFonts w:ascii="宋体" w:hAnsi="宋体" w:cs="宋体"/>
          <w:color w:val="000000" w:themeColor="text1"/>
          <w:sz w:val="24"/>
          <w:highlight w:val="none"/>
          <w14:textFill>
            <w14:solidFill>
              <w14:schemeClr w14:val="tx1"/>
            </w14:solidFill>
          </w14:textFill>
        </w:rPr>
        <w:t>50ms，实现无感知切换。</w:t>
      </w:r>
    </w:p>
    <w:p w14:paraId="3BE47005">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（3）采用高强度加密与医院内网安全对接，按原有的无线VLAN及SSID/密码进行访问控制或采购方另有要求。有图形化，可视化的中文无线管理控制平台，</w:t>
      </w:r>
      <w:r>
        <w:rPr>
          <w:rFonts w:ascii="宋体" w:hAnsi="宋体" w:cs="宋体"/>
          <w:color w:val="000000" w:themeColor="text1"/>
          <w:sz w:val="24"/>
          <w:highlight w:val="none"/>
          <w14:textFill>
            <w14:solidFill>
              <w14:schemeClr w14:val="tx1"/>
            </w14:solidFill>
          </w14:textFill>
        </w:rPr>
        <w:t>实现AP状态监控、射频优化、故障告警、性能分析、配置统一下发等功能。支持自动信道调整（ACS）和发射功率控制（TPC），实现网络自优化，降低同频干扰。</w:t>
      </w:r>
      <w:r>
        <w:rPr>
          <w:rFonts w:hint="eastAsia" w:ascii="宋体" w:hAnsi="宋体" w:cs="宋体"/>
          <w:color w:val="000000" w:themeColor="text1"/>
          <w:sz w:val="24"/>
          <w:highlight w:val="none"/>
          <w14:textFill>
            <w14:solidFill>
              <w14:schemeClr w14:val="tx1"/>
            </w14:solidFill>
          </w14:textFill>
        </w:rPr>
        <w:t>支持完整的无线网络日志记录与审计功能，留存日志不少于180天。</w:t>
      </w:r>
    </w:p>
    <w:p w14:paraId="6149F9E9">
      <w:pPr>
        <w:spacing w:line="440" w:lineRule="exact"/>
        <w:ind w:firstLine="460"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pacing w:val="-5"/>
          <w:sz w:val="24"/>
          <w:szCs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（4）设备及运行维护质保至少三年，</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中标人须在合同签订后、设备供货前，向采购人提供所投全部设备及软件的正规渠道供货承诺函，承诺内容应包括：所供货物均为原厂全新合格产品、通过正规渠道采购、设备保修信息可查询验证等。中标人未能提供上述承诺或提供虚假承诺的，采购人有权拒绝接收货物并依法追究其法律责任。</w:t>
      </w:r>
      <w:r>
        <w:rPr>
          <w:rFonts w:hint="eastAsia" w:ascii="宋体" w:hAnsi="宋体" w:cs="宋体"/>
          <w:color w:val="000000" w:themeColor="text1"/>
          <w:sz w:val="24"/>
          <w:highlight w:val="none"/>
          <w14:textFill>
            <w14:solidFill>
              <w14:schemeClr w14:val="tx1"/>
            </w14:solidFill>
          </w14:textFill>
        </w:rPr>
        <w:t>建成后提供第三方专业的无线网络测试认证报告（包括覆盖、性能、漫游等），</w:t>
      </w:r>
      <w:r>
        <w:rPr>
          <w:rFonts w:ascii="宋体" w:hAnsi="宋体" w:cs="宋体"/>
          <w:color w:val="000000" w:themeColor="text1"/>
          <w:sz w:val="24"/>
          <w:highlight w:val="none"/>
          <w14:textFill>
            <w14:solidFill>
              <w14:schemeClr w14:val="tx1"/>
            </w14:solidFill>
          </w14:textFill>
        </w:rPr>
        <w:t>提供7x24小时技术支持服务，对重大故障提供</w:t>
      </w:r>
      <w:r>
        <w:rPr>
          <w:rFonts w:hint="eastAsia" w:ascii="宋体" w:hAnsi="宋体" w:cs="宋体"/>
          <w:color w:val="000000" w:themeColor="text1"/>
          <w:sz w:val="24"/>
          <w:highlight w:val="none"/>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小时内现场响应。</w:t>
      </w:r>
      <w:r>
        <w:rPr>
          <w:rFonts w:hint="eastAsia" w:ascii="宋体" w:hAnsi="宋体" w:cs="宋体"/>
          <w:color w:val="000000" w:themeColor="text1"/>
          <w:sz w:val="24"/>
          <w:highlight w:val="none"/>
          <w14:textFill>
            <w14:solidFill>
              <w14:schemeClr w14:val="tx1"/>
            </w14:solidFill>
          </w14:textFill>
        </w:rPr>
        <w:t>提供定期的巡检及优化服务，并提供每次巡检记录及月度、年度总结。</w:t>
      </w:r>
      <w:r>
        <w:rPr>
          <w:rFonts w:hint="eastAsia" w:ascii="宋体" w:hAnsi="宋体" w:cs="宋体"/>
          <w:b/>
          <w:bCs/>
          <w:color w:val="000000" w:themeColor="text1"/>
          <w:sz w:val="24"/>
          <w:highlight w:val="none"/>
          <w14:textFill>
            <w14:solidFill>
              <w14:schemeClr w14:val="tx1"/>
            </w14:solidFill>
          </w14:textFill>
        </w:rPr>
        <w:t>（提供承诺函，格式自拟，</w:t>
      </w:r>
      <w:r>
        <w:rPr>
          <w:rFonts w:hint="eastAsia" w:ascii="宋体" w:hAnsi="宋体" w:cs="宋体"/>
          <w:b/>
          <w:bCs/>
          <w:color w:val="000000" w:themeColor="text1"/>
          <w:sz w:val="24"/>
          <w:highlight w:val="none"/>
          <w:lang w:val="en-US" w:eastAsia="zh-CN"/>
          <w14:textFill>
            <w14:solidFill>
              <w14:schemeClr w14:val="tx1"/>
            </w14:solidFill>
          </w14:textFill>
        </w:rPr>
        <w:t>加盖投标人公章，</w:t>
      </w:r>
      <w:r>
        <w:rPr>
          <w:rFonts w:hint="eastAsia" w:ascii="宋体" w:hAnsi="宋体" w:cs="宋体"/>
          <w:b/>
          <w:bCs/>
          <w:color w:val="000000" w:themeColor="text1"/>
          <w:sz w:val="24"/>
          <w:highlight w:val="none"/>
          <w14:textFill>
            <w14:solidFill>
              <w14:schemeClr w14:val="tx1"/>
            </w14:solidFill>
          </w14:textFill>
        </w:rPr>
        <w:t>内容包括不限于上述要求）</w:t>
      </w:r>
    </w:p>
    <w:p w14:paraId="6921D687">
      <w:pPr>
        <w:spacing w:line="440" w:lineRule="exact"/>
        <w:ind w:firstLine="460"/>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pacing w:val="-5"/>
          <w:sz w:val="24"/>
          <w:szCs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（5）响应供应商承诺应配备专业技术队伍、设备及专用工具等，</w:t>
      </w:r>
      <w:r>
        <w:rPr>
          <w:rFonts w:ascii="宋体" w:hAnsi="宋体" w:cs="宋体"/>
          <w:color w:val="000000" w:themeColor="text1"/>
          <w:sz w:val="24"/>
          <w:szCs w:val="24"/>
          <w:highlight w:val="none"/>
          <w14:textFill>
            <w14:solidFill>
              <w14:schemeClr w14:val="tx1"/>
            </w14:solidFill>
          </w14:textFill>
        </w:rPr>
        <w:t>针对屋面、高空外装等</w:t>
      </w:r>
      <w:r>
        <w:rPr>
          <w:rFonts w:hint="eastAsia" w:ascii="宋体" w:hAnsi="宋体" w:cs="宋体"/>
          <w:color w:val="000000" w:themeColor="text1"/>
          <w:sz w:val="24"/>
          <w:szCs w:val="24"/>
          <w:highlight w:val="none"/>
          <w14:textFill>
            <w14:solidFill>
              <w14:schemeClr w14:val="tx1"/>
            </w14:solidFill>
          </w14:textFill>
        </w:rPr>
        <w:t>（＞2米）</w:t>
      </w:r>
      <w:r>
        <w:rPr>
          <w:rFonts w:ascii="宋体" w:hAnsi="宋体" w:cs="宋体"/>
          <w:color w:val="000000" w:themeColor="text1"/>
          <w:sz w:val="24"/>
          <w:szCs w:val="24"/>
          <w:highlight w:val="none"/>
          <w14:textFill>
            <w14:solidFill>
              <w14:schemeClr w14:val="tx1"/>
            </w14:solidFill>
          </w14:textFill>
        </w:rPr>
        <w:t>高处作业点位，</w:t>
      </w:r>
      <w:r>
        <w:rPr>
          <w:rFonts w:hint="eastAsia" w:ascii="宋体" w:hAnsi="宋体" w:cs="宋体"/>
          <w:color w:val="000000" w:themeColor="text1"/>
          <w:sz w:val="24"/>
          <w:szCs w:val="24"/>
          <w:highlight w:val="none"/>
          <w14:textFill>
            <w14:solidFill>
              <w14:schemeClr w14:val="tx1"/>
            </w14:solidFill>
          </w14:textFill>
        </w:rPr>
        <w:t>现场施工人员</w:t>
      </w:r>
      <w:r>
        <w:rPr>
          <w:rFonts w:ascii="宋体" w:hAnsi="宋体" w:cs="宋体"/>
          <w:color w:val="000000" w:themeColor="text1"/>
          <w:sz w:val="24"/>
          <w:szCs w:val="24"/>
          <w:highlight w:val="none"/>
          <w14:textFill>
            <w14:solidFill>
              <w14:schemeClr w14:val="tx1"/>
            </w14:solidFill>
          </w14:textFill>
        </w:rPr>
        <w:t>需持有有效《特种作业操作证（高处作业）》，</w:t>
      </w:r>
      <w:r>
        <w:rPr>
          <w:rFonts w:hint="eastAsia" w:ascii="宋体" w:hAnsi="宋体" w:cs="宋体"/>
          <w:color w:val="000000" w:themeColor="text1"/>
          <w:sz w:val="24"/>
          <w:highlight w:val="none"/>
          <w14:textFill>
            <w14:solidFill>
              <w14:schemeClr w14:val="tx1"/>
            </w14:solidFill>
          </w14:textFill>
        </w:rPr>
        <w:t>必须人证合一以满足施工工作需要和国家标准要求。响应供应商应为施工技术人员购买意外伤害保险费、农民工工伤保险等，每人保额不低于80万/年。投标时提供至少一名施工技术人员的《特种作业操作证》和上述意外保险保单扫描件，符合高处作业施工技术人员施工时需随身携带上述证件及资料的原件供采购方查证，经采购方审核确认并同意后方可进场施工，且必须接受采购方日常统一管理安排。</w:t>
      </w:r>
      <w:r>
        <w:rPr>
          <w:rFonts w:hint="eastAsia" w:ascii="宋体" w:hAnsi="宋体" w:cs="宋体"/>
          <w:b/>
          <w:bCs/>
          <w:color w:val="000000" w:themeColor="text1"/>
          <w:sz w:val="24"/>
          <w:highlight w:val="none"/>
          <w14:textFill>
            <w14:solidFill>
              <w14:schemeClr w14:val="tx1"/>
            </w14:solidFill>
          </w14:textFill>
        </w:rPr>
        <w:t>（提供承诺函，格式自拟，内容包括不限于上述要求）</w:t>
      </w:r>
    </w:p>
    <w:p w14:paraId="01DC6794">
      <w:pPr>
        <w:numPr>
          <w:ilvl w:val="0"/>
          <w:numId w:val="6"/>
        </w:numPr>
        <w:spacing w:line="440" w:lineRule="exact"/>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系统重建需求</w:t>
      </w:r>
    </w:p>
    <w:p w14:paraId="71CC5F64">
      <w:pPr>
        <w:spacing w:line="440" w:lineRule="exact"/>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（1）设备需求清单</w:t>
      </w:r>
    </w:p>
    <w:tbl>
      <w:tblPr>
        <w:tblStyle w:val="39"/>
        <w:tblW w:w="5035" w:type="pct"/>
        <w:tblInd w:w="0" w:type="dxa"/>
        <w:tblLayout w:type="fixed"/>
        <w:tblCellMar>
          <w:top w:w="0" w:type="dxa"/>
          <w:left w:w="108" w:type="dxa"/>
          <w:bottom w:w="0" w:type="dxa"/>
          <w:right w:w="108" w:type="dxa"/>
        </w:tblCellMar>
      </w:tblPr>
      <w:tblGrid>
        <w:gridCol w:w="739"/>
        <w:gridCol w:w="2171"/>
        <w:gridCol w:w="5427"/>
        <w:gridCol w:w="730"/>
        <w:gridCol w:w="747"/>
      </w:tblGrid>
      <w:tr w14:paraId="0B28E318">
        <w:tblPrEx>
          <w:tblCellMar>
            <w:top w:w="0" w:type="dxa"/>
            <w:left w:w="108" w:type="dxa"/>
            <w:bottom w:w="0" w:type="dxa"/>
            <w:right w:w="108" w:type="dxa"/>
          </w:tblCellMar>
        </w:tblPrEx>
        <w:trPr>
          <w:trHeight w:val="368" w:hRule="atLeast"/>
        </w:trPr>
        <w:tc>
          <w:tcPr>
            <w:tcW w:w="376" w:type="pct"/>
            <w:tcBorders>
              <w:top w:val="single" w:color="auto" w:sz="4" w:space="0"/>
              <w:left w:val="single" w:color="auto" w:sz="4" w:space="0"/>
              <w:bottom w:val="single" w:color="auto" w:sz="4" w:space="0"/>
              <w:right w:val="single" w:color="auto" w:sz="4" w:space="0"/>
            </w:tcBorders>
            <w:noWrap/>
            <w:vAlign w:val="center"/>
          </w:tcPr>
          <w:p w14:paraId="28C1E9ED">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序号</w:t>
            </w:r>
          </w:p>
        </w:tc>
        <w:tc>
          <w:tcPr>
            <w:tcW w:w="1105" w:type="pct"/>
            <w:tcBorders>
              <w:top w:val="single" w:color="auto" w:sz="4" w:space="0"/>
              <w:left w:val="nil"/>
              <w:bottom w:val="single" w:color="auto" w:sz="4" w:space="0"/>
              <w:right w:val="single" w:color="auto" w:sz="4" w:space="0"/>
            </w:tcBorders>
            <w:noWrap/>
            <w:vAlign w:val="center"/>
          </w:tcPr>
          <w:p w14:paraId="04B96827">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设备名称</w:t>
            </w:r>
          </w:p>
        </w:tc>
        <w:tc>
          <w:tcPr>
            <w:tcW w:w="2763" w:type="pct"/>
            <w:tcBorders>
              <w:top w:val="single" w:color="auto" w:sz="4" w:space="0"/>
              <w:left w:val="nil"/>
              <w:bottom w:val="single" w:color="auto" w:sz="4" w:space="0"/>
              <w:right w:val="single" w:color="auto" w:sz="4" w:space="0"/>
            </w:tcBorders>
            <w:noWrap/>
            <w:vAlign w:val="center"/>
          </w:tcPr>
          <w:p w14:paraId="4F7EBAD7">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技术参数要求</w:t>
            </w:r>
          </w:p>
        </w:tc>
        <w:tc>
          <w:tcPr>
            <w:tcW w:w="372" w:type="pct"/>
            <w:tcBorders>
              <w:top w:val="single" w:color="auto" w:sz="4" w:space="0"/>
              <w:left w:val="nil"/>
              <w:bottom w:val="single" w:color="auto" w:sz="4" w:space="0"/>
              <w:right w:val="single" w:color="auto" w:sz="4" w:space="0"/>
            </w:tcBorders>
            <w:noWrap/>
            <w:vAlign w:val="center"/>
          </w:tcPr>
          <w:p w14:paraId="206F5ED3">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数量</w:t>
            </w:r>
          </w:p>
        </w:tc>
        <w:tc>
          <w:tcPr>
            <w:tcW w:w="381" w:type="pct"/>
            <w:tcBorders>
              <w:top w:val="single" w:color="auto" w:sz="4" w:space="0"/>
              <w:left w:val="nil"/>
              <w:bottom w:val="single" w:color="auto" w:sz="4" w:space="0"/>
              <w:right w:val="single" w:color="auto" w:sz="4" w:space="0"/>
            </w:tcBorders>
            <w:noWrap/>
            <w:vAlign w:val="center"/>
          </w:tcPr>
          <w:p w14:paraId="4437A6A5">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单位</w:t>
            </w:r>
          </w:p>
        </w:tc>
      </w:tr>
      <w:tr w14:paraId="7B934384">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ign w:val="center"/>
          </w:tcPr>
          <w:p w14:paraId="2CB3CA97">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05" w:type="pct"/>
            <w:tcBorders>
              <w:top w:val="nil"/>
              <w:left w:val="nil"/>
              <w:bottom w:val="single" w:color="auto" w:sz="4" w:space="0"/>
              <w:right w:val="single" w:color="auto" w:sz="4" w:space="0"/>
            </w:tcBorders>
            <w:noWrap/>
            <w:vAlign w:val="center"/>
          </w:tcPr>
          <w:p w14:paraId="20355C17">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4号楼</w:t>
            </w:r>
          </w:p>
        </w:tc>
        <w:tc>
          <w:tcPr>
            <w:tcW w:w="2763" w:type="pct"/>
            <w:tcBorders>
              <w:top w:val="nil"/>
              <w:left w:val="nil"/>
              <w:bottom w:val="single" w:color="auto" w:sz="4" w:space="0"/>
              <w:right w:val="single" w:color="auto" w:sz="4" w:space="0"/>
            </w:tcBorders>
            <w:noWrap/>
            <w:vAlign w:val="center"/>
          </w:tcPr>
          <w:p w14:paraId="544C254E">
            <w:pPr>
              <w:widowControl/>
              <w:jc w:val="left"/>
              <w:rPr>
                <w:rFonts w:ascii="宋体" w:hAnsi="宋体" w:cs="宋体"/>
                <w:color w:val="000000" w:themeColor="text1"/>
                <w:sz w:val="24"/>
                <w:szCs w:val="24"/>
                <w:highlight w:val="none"/>
                <w14:textFill>
                  <w14:solidFill>
                    <w14:schemeClr w14:val="tx1"/>
                  </w14:solidFill>
                </w14:textFill>
              </w:rPr>
            </w:pPr>
          </w:p>
        </w:tc>
        <w:tc>
          <w:tcPr>
            <w:tcW w:w="372" w:type="pct"/>
            <w:tcBorders>
              <w:top w:val="nil"/>
              <w:left w:val="nil"/>
              <w:bottom w:val="single" w:color="auto" w:sz="4" w:space="0"/>
              <w:right w:val="single" w:color="auto" w:sz="4" w:space="0"/>
            </w:tcBorders>
            <w:noWrap/>
            <w:vAlign w:val="center"/>
          </w:tcPr>
          <w:p w14:paraId="78F9C4F6">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381" w:type="pct"/>
            <w:tcBorders>
              <w:top w:val="nil"/>
              <w:left w:val="nil"/>
              <w:bottom w:val="single" w:color="auto" w:sz="4" w:space="0"/>
              <w:right w:val="single" w:color="auto" w:sz="4" w:space="0"/>
            </w:tcBorders>
            <w:noWrap/>
            <w:vAlign w:val="center"/>
          </w:tcPr>
          <w:p w14:paraId="5B97BEEE">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3C2249FA">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0"/>
            <w:vAlign w:val="center"/>
          </w:tcPr>
          <w:p w14:paraId="74785A67">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105" w:type="pct"/>
            <w:tcBorders>
              <w:top w:val="nil"/>
              <w:left w:val="nil"/>
              <w:bottom w:val="single" w:color="auto" w:sz="4" w:space="0"/>
              <w:right w:val="single" w:color="auto" w:sz="4" w:space="0"/>
            </w:tcBorders>
            <w:noWrap w:val="0"/>
            <w:vAlign w:val="center"/>
          </w:tcPr>
          <w:p w14:paraId="0EE7D643">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病房无线AP</w:t>
            </w:r>
          </w:p>
        </w:tc>
        <w:tc>
          <w:tcPr>
            <w:tcW w:w="2763" w:type="pct"/>
            <w:tcBorders>
              <w:top w:val="nil"/>
              <w:left w:val="nil"/>
              <w:bottom w:val="single" w:color="auto" w:sz="4" w:space="0"/>
              <w:right w:val="single" w:color="auto" w:sz="4" w:space="0"/>
            </w:tcBorders>
            <w:noWrap w:val="0"/>
            <w:vAlign w:val="center"/>
          </w:tcPr>
          <w:p w14:paraId="4D4833C8">
            <w:pPr>
              <w:widowControl/>
              <w:jc w:val="left"/>
              <w:outlineLvl w:val="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详见技术参数要求</w:t>
            </w:r>
          </w:p>
        </w:tc>
        <w:tc>
          <w:tcPr>
            <w:tcW w:w="372" w:type="pct"/>
            <w:tcBorders>
              <w:top w:val="nil"/>
              <w:left w:val="nil"/>
              <w:bottom w:val="single" w:color="auto" w:sz="4" w:space="0"/>
              <w:right w:val="single" w:color="auto" w:sz="4" w:space="0"/>
            </w:tcBorders>
            <w:noWrap w:val="0"/>
            <w:vAlign w:val="center"/>
          </w:tcPr>
          <w:p w14:paraId="20330BE4">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67</w:t>
            </w:r>
          </w:p>
        </w:tc>
        <w:tc>
          <w:tcPr>
            <w:tcW w:w="381" w:type="pct"/>
            <w:tcBorders>
              <w:top w:val="nil"/>
              <w:left w:val="nil"/>
              <w:bottom w:val="single" w:color="auto" w:sz="4" w:space="0"/>
              <w:right w:val="single" w:color="auto" w:sz="4" w:space="0"/>
            </w:tcBorders>
            <w:noWrap w:val="0"/>
            <w:vAlign w:val="center"/>
          </w:tcPr>
          <w:p w14:paraId="5549234E">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r>
      <w:tr w14:paraId="5824975E">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0"/>
            <w:vAlign w:val="center"/>
          </w:tcPr>
          <w:p w14:paraId="23142A52">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1105" w:type="pct"/>
            <w:tcBorders>
              <w:top w:val="nil"/>
              <w:left w:val="nil"/>
              <w:bottom w:val="single" w:color="auto" w:sz="4" w:space="0"/>
              <w:right w:val="single" w:color="auto" w:sz="4" w:space="0"/>
            </w:tcBorders>
            <w:noWrap w:val="0"/>
            <w:vAlign w:val="center"/>
          </w:tcPr>
          <w:p w14:paraId="472EE479">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天线</w:t>
            </w:r>
          </w:p>
        </w:tc>
        <w:tc>
          <w:tcPr>
            <w:tcW w:w="2763" w:type="pct"/>
            <w:tcBorders>
              <w:top w:val="nil"/>
              <w:left w:val="nil"/>
              <w:bottom w:val="single" w:color="auto" w:sz="4" w:space="0"/>
              <w:right w:val="single" w:color="auto" w:sz="4" w:space="0"/>
            </w:tcBorders>
            <w:noWrap w:val="0"/>
            <w:vAlign w:val="center"/>
          </w:tcPr>
          <w:p w14:paraId="6938762C">
            <w:pPr>
              <w:widowControl/>
              <w:jc w:val="left"/>
              <w:outlineLvl w:val="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详见技术参数要求</w:t>
            </w:r>
          </w:p>
        </w:tc>
        <w:tc>
          <w:tcPr>
            <w:tcW w:w="372" w:type="pct"/>
            <w:tcBorders>
              <w:top w:val="nil"/>
              <w:left w:val="nil"/>
              <w:bottom w:val="single" w:color="auto" w:sz="4" w:space="0"/>
              <w:right w:val="single" w:color="auto" w:sz="4" w:space="0"/>
            </w:tcBorders>
            <w:noWrap w:val="0"/>
            <w:vAlign w:val="center"/>
          </w:tcPr>
          <w:p w14:paraId="098D448E">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503</w:t>
            </w:r>
          </w:p>
        </w:tc>
        <w:tc>
          <w:tcPr>
            <w:tcW w:w="381" w:type="pct"/>
            <w:tcBorders>
              <w:top w:val="nil"/>
              <w:left w:val="nil"/>
              <w:bottom w:val="single" w:color="auto" w:sz="4" w:space="0"/>
              <w:right w:val="single" w:color="auto" w:sz="4" w:space="0"/>
            </w:tcBorders>
            <w:noWrap w:val="0"/>
            <w:vAlign w:val="center"/>
          </w:tcPr>
          <w:p w14:paraId="19407A3B">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w:t>
            </w:r>
          </w:p>
        </w:tc>
      </w:tr>
      <w:tr w14:paraId="4FB47C92">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0"/>
            <w:vAlign w:val="center"/>
          </w:tcPr>
          <w:p w14:paraId="72C4F4F5">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1105" w:type="pct"/>
            <w:tcBorders>
              <w:top w:val="nil"/>
              <w:left w:val="nil"/>
              <w:bottom w:val="single" w:color="auto" w:sz="4" w:space="0"/>
              <w:right w:val="single" w:color="auto" w:sz="4" w:space="0"/>
            </w:tcBorders>
            <w:noWrap w:val="0"/>
            <w:vAlign w:val="center"/>
          </w:tcPr>
          <w:p w14:paraId="633B9987">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馈线</w:t>
            </w:r>
          </w:p>
        </w:tc>
        <w:tc>
          <w:tcPr>
            <w:tcW w:w="2763" w:type="pct"/>
            <w:tcBorders>
              <w:top w:val="nil"/>
              <w:left w:val="nil"/>
              <w:bottom w:val="single" w:color="auto" w:sz="4" w:space="0"/>
              <w:right w:val="single" w:color="auto" w:sz="4" w:space="0"/>
            </w:tcBorders>
            <w:noWrap w:val="0"/>
            <w:vAlign w:val="center"/>
          </w:tcPr>
          <w:p w14:paraId="75AEB003">
            <w:pPr>
              <w:widowControl/>
              <w:jc w:val="left"/>
              <w:outlineLvl w:val="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射频馈线，长度5-28米；工作温度：覆盖-40℃~+80℃。</w:t>
            </w:r>
          </w:p>
        </w:tc>
        <w:tc>
          <w:tcPr>
            <w:tcW w:w="372" w:type="pct"/>
            <w:tcBorders>
              <w:top w:val="nil"/>
              <w:left w:val="nil"/>
              <w:bottom w:val="single" w:color="auto" w:sz="4" w:space="0"/>
              <w:right w:val="single" w:color="auto" w:sz="4" w:space="0"/>
            </w:tcBorders>
            <w:noWrap w:val="0"/>
            <w:vAlign w:val="center"/>
          </w:tcPr>
          <w:p w14:paraId="298B05D3">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503</w:t>
            </w:r>
          </w:p>
        </w:tc>
        <w:tc>
          <w:tcPr>
            <w:tcW w:w="381" w:type="pct"/>
            <w:tcBorders>
              <w:top w:val="nil"/>
              <w:left w:val="nil"/>
              <w:bottom w:val="single" w:color="auto" w:sz="4" w:space="0"/>
              <w:right w:val="single" w:color="auto" w:sz="4" w:space="0"/>
            </w:tcBorders>
            <w:noWrap w:val="0"/>
            <w:vAlign w:val="center"/>
          </w:tcPr>
          <w:p w14:paraId="338A1CC4">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w:t>
            </w:r>
          </w:p>
        </w:tc>
      </w:tr>
      <w:tr w14:paraId="3C0FEB8B">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0"/>
            <w:vAlign w:val="center"/>
          </w:tcPr>
          <w:p w14:paraId="27595710">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p>
        </w:tc>
        <w:tc>
          <w:tcPr>
            <w:tcW w:w="1105" w:type="pct"/>
            <w:tcBorders>
              <w:top w:val="nil"/>
              <w:left w:val="nil"/>
              <w:bottom w:val="single" w:color="auto" w:sz="4" w:space="0"/>
              <w:right w:val="single" w:color="auto" w:sz="4" w:space="0"/>
            </w:tcBorders>
            <w:noWrap w:val="0"/>
            <w:vAlign w:val="center"/>
          </w:tcPr>
          <w:p w14:paraId="604113BD">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交换机</w:t>
            </w:r>
          </w:p>
        </w:tc>
        <w:tc>
          <w:tcPr>
            <w:tcW w:w="2763" w:type="pct"/>
            <w:tcBorders>
              <w:top w:val="nil"/>
              <w:left w:val="nil"/>
              <w:bottom w:val="single" w:color="auto" w:sz="4" w:space="0"/>
              <w:right w:val="single" w:color="auto" w:sz="4" w:space="0"/>
            </w:tcBorders>
            <w:noWrap w:val="0"/>
            <w:vAlign w:val="center"/>
          </w:tcPr>
          <w:p w14:paraId="554CC2BE">
            <w:pPr>
              <w:widowControl/>
              <w:jc w:val="left"/>
              <w:outlineLvl w:val="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详见技术参数要求，配套2.5G光模块、10G光模块等必要配件。</w:t>
            </w:r>
          </w:p>
        </w:tc>
        <w:tc>
          <w:tcPr>
            <w:tcW w:w="372" w:type="pct"/>
            <w:tcBorders>
              <w:top w:val="nil"/>
              <w:left w:val="nil"/>
              <w:bottom w:val="single" w:color="auto" w:sz="4" w:space="0"/>
              <w:right w:val="single" w:color="auto" w:sz="4" w:space="0"/>
            </w:tcBorders>
            <w:noWrap w:val="0"/>
            <w:vAlign w:val="center"/>
          </w:tcPr>
          <w:p w14:paraId="14C21737">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381" w:type="pct"/>
            <w:tcBorders>
              <w:top w:val="nil"/>
              <w:left w:val="nil"/>
              <w:bottom w:val="single" w:color="auto" w:sz="4" w:space="0"/>
              <w:right w:val="single" w:color="auto" w:sz="4" w:space="0"/>
            </w:tcBorders>
            <w:noWrap w:val="0"/>
            <w:vAlign w:val="center"/>
          </w:tcPr>
          <w:p w14:paraId="089261FD">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r>
      <w:tr w14:paraId="602F77CE">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ign w:val="center"/>
          </w:tcPr>
          <w:p w14:paraId="756E9819">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05" w:type="pct"/>
            <w:tcBorders>
              <w:top w:val="nil"/>
              <w:left w:val="nil"/>
              <w:bottom w:val="single" w:color="auto" w:sz="4" w:space="0"/>
              <w:right w:val="single" w:color="auto" w:sz="4" w:space="0"/>
            </w:tcBorders>
            <w:noWrap/>
            <w:vAlign w:val="center"/>
          </w:tcPr>
          <w:p w14:paraId="679393C4">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3号楼</w:t>
            </w:r>
          </w:p>
        </w:tc>
        <w:tc>
          <w:tcPr>
            <w:tcW w:w="2763" w:type="pct"/>
            <w:tcBorders>
              <w:top w:val="nil"/>
              <w:left w:val="nil"/>
              <w:bottom w:val="single" w:color="auto" w:sz="4" w:space="0"/>
              <w:right w:val="single" w:color="auto" w:sz="4" w:space="0"/>
            </w:tcBorders>
            <w:noWrap/>
            <w:vAlign w:val="center"/>
          </w:tcPr>
          <w:p w14:paraId="0E71D314">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372" w:type="pct"/>
            <w:tcBorders>
              <w:top w:val="nil"/>
              <w:left w:val="nil"/>
              <w:bottom w:val="single" w:color="auto" w:sz="4" w:space="0"/>
              <w:right w:val="single" w:color="auto" w:sz="4" w:space="0"/>
            </w:tcBorders>
            <w:noWrap/>
            <w:vAlign w:val="center"/>
          </w:tcPr>
          <w:p w14:paraId="76FB603F">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381" w:type="pct"/>
            <w:tcBorders>
              <w:top w:val="nil"/>
              <w:left w:val="nil"/>
              <w:bottom w:val="single" w:color="auto" w:sz="4" w:space="0"/>
              <w:right w:val="single" w:color="auto" w:sz="4" w:space="0"/>
            </w:tcBorders>
            <w:noWrap/>
            <w:vAlign w:val="center"/>
          </w:tcPr>
          <w:p w14:paraId="13DEB3B0">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4FA79B58">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0"/>
            <w:vAlign w:val="center"/>
          </w:tcPr>
          <w:p w14:paraId="102D49E9">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105" w:type="pct"/>
            <w:tcBorders>
              <w:top w:val="nil"/>
              <w:left w:val="nil"/>
              <w:bottom w:val="single" w:color="auto" w:sz="4" w:space="0"/>
              <w:right w:val="single" w:color="auto" w:sz="4" w:space="0"/>
            </w:tcBorders>
            <w:noWrap w:val="0"/>
            <w:vAlign w:val="center"/>
          </w:tcPr>
          <w:p w14:paraId="359A533F">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病房无线AP</w:t>
            </w:r>
          </w:p>
        </w:tc>
        <w:tc>
          <w:tcPr>
            <w:tcW w:w="2763" w:type="pct"/>
            <w:tcBorders>
              <w:top w:val="nil"/>
              <w:left w:val="nil"/>
              <w:bottom w:val="single" w:color="auto" w:sz="4" w:space="0"/>
              <w:right w:val="single" w:color="auto" w:sz="4" w:space="0"/>
            </w:tcBorders>
            <w:noWrap w:val="0"/>
            <w:vAlign w:val="center"/>
          </w:tcPr>
          <w:p w14:paraId="06960D0A">
            <w:pPr>
              <w:widowControl/>
              <w:jc w:val="left"/>
              <w:outlineLvl w:val="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详见技术参数要求</w:t>
            </w:r>
          </w:p>
        </w:tc>
        <w:tc>
          <w:tcPr>
            <w:tcW w:w="372" w:type="pct"/>
            <w:tcBorders>
              <w:top w:val="nil"/>
              <w:left w:val="nil"/>
              <w:bottom w:val="single" w:color="auto" w:sz="4" w:space="0"/>
              <w:right w:val="single" w:color="auto" w:sz="4" w:space="0"/>
            </w:tcBorders>
            <w:noWrap w:val="0"/>
            <w:vAlign w:val="center"/>
          </w:tcPr>
          <w:p w14:paraId="555E25FC">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20</w:t>
            </w:r>
          </w:p>
        </w:tc>
        <w:tc>
          <w:tcPr>
            <w:tcW w:w="381" w:type="pct"/>
            <w:tcBorders>
              <w:top w:val="nil"/>
              <w:left w:val="nil"/>
              <w:bottom w:val="single" w:color="auto" w:sz="4" w:space="0"/>
              <w:right w:val="single" w:color="auto" w:sz="4" w:space="0"/>
            </w:tcBorders>
            <w:noWrap w:val="0"/>
            <w:vAlign w:val="center"/>
          </w:tcPr>
          <w:p w14:paraId="4122AE7D">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r>
      <w:tr w14:paraId="0D450FFB">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0"/>
            <w:vAlign w:val="center"/>
          </w:tcPr>
          <w:p w14:paraId="0DA69CED">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1105" w:type="pct"/>
            <w:tcBorders>
              <w:top w:val="nil"/>
              <w:left w:val="nil"/>
              <w:bottom w:val="single" w:color="auto" w:sz="4" w:space="0"/>
              <w:right w:val="single" w:color="auto" w:sz="4" w:space="0"/>
            </w:tcBorders>
            <w:noWrap w:val="0"/>
            <w:vAlign w:val="center"/>
          </w:tcPr>
          <w:p w14:paraId="622044B5">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天线</w:t>
            </w:r>
          </w:p>
        </w:tc>
        <w:tc>
          <w:tcPr>
            <w:tcW w:w="2763" w:type="pct"/>
            <w:tcBorders>
              <w:top w:val="nil"/>
              <w:left w:val="nil"/>
              <w:bottom w:val="single" w:color="auto" w:sz="4" w:space="0"/>
              <w:right w:val="single" w:color="auto" w:sz="4" w:space="0"/>
            </w:tcBorders>
            <w:noWrap w:val="0"/>
            <w:vAlign w:val="center"/>
          </w:tcPr>
          <w:p w14:paraId="468846BB">
            <w:pPr>
              <w:widowControl/>
              <w:jc w:val="left"/>
              <w:outlineLvl w:val="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详见技术参数要求</w:t>
            </w:r>
          </w:p>
        </w:tc>
        <w:tc>
          <w:tcPr>
            <w:tcW w:w="372" w:type="pct"/>
            <w:tcBorders>
              <w:top w:val="nil"/>
              <w:left w:val="nil"/>
              <w:bottom w:val="single" w:color="auto" w:sz="4" w:space="0"/>
              <w:right w:val="single" w:color="auto" w:sz="4" w:space="0"/>
            </w:tcBorders>
            <w:noWrap w:val="0"/>
            <w:vAlign w:val="center"/>
          </w:tcPr>
          <w:p w14:paraId="05F691A4">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w:t>
            </w:r>
          </w:p>
        </w:tc>
        <w:tc>
          <w:tcPr>
            <w:tcW w:w="381" w:type="pct"/>
            <w:tcBorders>
              <w:top w:val="nil"/>
              <w:left w:val="nil"/>
              <w:bottom w:val="single" w:color="auto" w:sz="4" w:space="0"/>
              <w:right w:val="single" w:color="auto" w:sz="4" w:space="0"/>
            </w:tcBorders>
            <w:noWrap w:val="0"/>
            <w:vAlign w:val="center"/>
          </w:tcPr>
          <w:p w14:paraId="0DE4A7F9">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w:t>
            </w:r>
          </w:p>
        </w:tc>
      </w:tr>
      <w:tr w14:paraId="09B90C34">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0"/>
            <w:vAlign w:val="center"/>
          </w:tcPr>
          <w:p w14:paraId="3F9EFD1B">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1105" w:type="pct"/>
            <w:tcBorders>
              <w:top w:val="nil"/>
              <w:left w:val="nil"/>
              <w:bottom w:val="single" w:color="auto" w:sz="4" w:space="0"/>
              <w:right w:val="single" w:color="auto" w:sz="4" w:space="0"/>
            </w:tcBorders>
            <w:noWrap w:val="0"/>
            <w:vAlign w:val="center"/>
          </w:tcPr>
          <w:p w14:paraId="7DD4AE32">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馈线</w:t>
            </w:r>
          </w:p>
        </w:tc>
        <w:tc>
          <w:tcPr>
            <w:tcW w:w="2763" w:type="pct"/>
            <w:tcBorders>
              <w:top w:val="nil"/>
              <w:left w:val="nil"/>
              <w:bottom w:val="single" w:color="auto" w:sz="4" w:space="0"/>
              <w:right w:val="single" w:color="auto" w:sz="4" w:space="0"/>
            </w:tcBorders>
            <w:noWrap w:val="0"/>
            <w:vAlign w:val="center"/>
          </w:tcPr>
          <w:p w14:paraId="7D57E818">
            <w:pPr>
              <w:widowControl/>
              <w:jc w:val="left"/>
              <w:outlineLvl w:val="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射频馈线，长度5-28米；工作温度：覆盖-40℃~+80℃。</w:t>
            </w:r>
          </w:p>
        </w:tc>
        <w:tc>
          <w:tcPr>
            <w:tcW w:w="372" w:type="pct"/>
            <w:tcBorders>
              <w:top w:val="nil"/>
              <w:left w:val="nil"/>
              <w:bottom w:val="single" w:color="auto" w:sz="4" w:space="0"/>
              <w:right w:val="single" w:color="auto" w:sz="4" w:space="0"/>
            </w:tcBorders>
            <w:noWrap w:val="0"/>
            <w:vAlign w:val="center"/>
          </w:tcPr>
          <w:p w14:paraId="072EB63D">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w:t>
            </w:r>
          </w:p>
        </w:tc>
        <w:tc>
          <w:tcPr>
            <w:tcW w:w="381" w:type="pct"/>
            <w:tcBorders>
              <w:top w:val="nil"/>
              <w:left w:val="nil"/>
              <w:bottom w:val="single" w:color="auto" w:sz="4" w:space="0"/>
              <w:right w:val="single" w:color="auto" w:sz="4" w:space="0"/>
            </w:tcBorders>
            <w:noWrap w:val="0"/>
            <w:vAlign w:val="center"/>
          </w:tcPr>
          <w:p w14:paraId="36869854">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w:t>
            </w:r>
          </w:p>
        </w:tc>
      </w:tr>
      <w:tr w14:paraId="06BA8A14">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0"/>
            <w:vAlign w:val="center"/>
          </w:tcPr>
          <w:p w14:paraId="427C4394">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p>
        </w:tc>
        <w:tc>
          <w:tcPr>
            <w:tcW w:w="1105" w:type="pct"/>
            <w:tcBorders>
              <w:top w:val="nil"/>
              <w:left w:val="nil"/>
              <w:bottom w:val="single" w:color="auto" w:sz="4" w:space="0"/>
              <w:right w:val="single" w:color="auto" w:sz="4" w:space="0"/>
            </w:tcBorders>
            <w:noWrap w:val="0"/>
            <w:vAlign w:val="center"/>
          </w:tcPr>
          <w:p w14:paraId="6B0FD89D">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交换机</w:t>
            </w:r>
          </w:p>
        </w:tc>
        <w:tc>
          <w:tcPr>
            <w:tcW w:w="2763" w:type="pct"/>
            <w:tcBorders>
              <w:top w:val="nil"/>
              <w:left w:val="nil"/>
              <w:bottom w:val="single" w:color="auto" w:sz="4" w:space="0"/>
              <w:right w:val="single" w:color="auto" w:sz="4" w:space="0"/>
            </w:tcBorders>
            <w:noWrap w:val="0"/>
            <w:vAlign w:val="center"/>
          </w:tcPr>
          <w:p w14:paraId="292F16D8">
            <w:pPr>
              <w:widowControl/>
              <w:jc w:val="left"/>
              <w:outlineLvl w:val="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详见技术参数要求，配套2.5G光模块、10G光模块等必要配件。</w:t>
            </w:r>
          </w:p>
        </w:tc>
        <w:tc>
          <w:tcPr>
            <w:tcW w:w="372" w:type="pct"/>
            <w:tcBorders>
              <w:top w:val="nil"/>
              <w:left w:val="nil"/>
              <w:bottom w:val="single" w:color="auto" w:sz="4" w:space="0"/>
              <w:right w:val="single" w:color="auto" w:sz="4" w:space="0"/>
            </w:tcBorders>
            <w:noWrap w:val="0"/>
            <w:vAlign w:val="center"/>
          </w:tcPr>
          <w:p w14:paraId="0D2499FB">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381" w:type="pct"/>
            <w:tcBorders>
              <w:top w:val="nil"/>
              <w:left w:val="nil"/>
              <w:bottom w:val="single" w:color="auto" w:sz="4" w:space="0"/>
              <w:right w:val="single" w:color="auto" w:sz="4" w:space="0"/>
            </w:tcBorders>
            <w:noWrap w:val="0"/>
            <w:vAlign w:val="center"/>
          </w:tcPr>
          <w:p w14:paraId="5E8F33B9">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r>
      <w:tr w14:paraId="0D41A5FB">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ign w:val="center"/>
          </w:tcPr>
          <w:p w14:paraId="6224F31C">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05" w:type="pct"/>
            <w:tcBorders>
              <w:top w:val="nil"/>
              <w:left w:val="nil"/>
              <w:bottom w:val="single" w:color="auto" w:sz="4" w:space="0"/>
              <w:right w:val="single" w:color="auto" w:sz="4" w:space="0"/>
            </w:tcBorders>
            <w:noWrap/>
            <w:vAlign w:val="center"/>
          </w:tcPr>
          <w:p w14:paraId="0B80A490">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6号楼</w:t>
            </w:r>
          </w:p>
        </w:tc>
        <w:tc>
          <w:tcPr>
            <w:tcW w:w="2763" w:type="pct"/>
            <w:tcBorders>
              <w:top w:val="nil"/>
              <w:left w:val="nil"/>
              <w:bottom w:val="single" w:color="auto" w:sz="4" w:space="0"/>
              <w:right w:val="single" w:color="auto" w:sz="4" w:space="0"/>
            </w:tcBorders>
            <w:noWrap/>
            <w:vAlign w:val="center"/>
          </w:tcPr>
          <w:p w14:paraId="1CD11D0C">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372" w:type="pct"/>
            <w:tcBorders>
              <w:top w:val="nil"/>
              <w:left w:val="nil"/>
              <w:bottom w:val="single" w:color="auto" w:sz="4" w:space="0"/>
              <w:right w:val="single" w:color="auto" w:sz="4" w:space="0"/>
            </w:tcBorders>
            <w:noWrap/>
            <w:vAlign w:val="center"/>
          </w:tcPr>
          <w:p w14:paraId="50A0B060">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381" w:type="pct"/>
            <w:tcBorders>
              <w:top w:val="nil"/>
              <w:left w:val="nil"/>
              <w:bottom w:val="single" w:color="auto" w:sz="4" w:space="0"/>
              <w:right w:val="single" w:color="auto" w:sz="4" w:space="0"/>
            </w:tcBorders>
            <w:noWrap/>
            <w:vAlign w:val="center"/>
          </w:tcPr>
          <w:p w14:paraId="73E52608">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173D78B2">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0"/>
            <w:vAlign w:val="center"/>
          </w:tcPr>
          <w:p w14:paraId="564B61AD">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105" w:type="pct"/>
            <w:tcBorders>
              <w:top w:val="nil"/>
              <w:left w:val="nil"/>
              <w:bottom w:val="single" w:color="auto" w:sz="4" w:space="0"/>
              <w:right w:val="single" w:color="auto" w:sz="4" w:space="0"/>
            </w:tcBorders>
            <w:noWrap w:val="0"/>
            <w:vAlign w:val="center"/>
          </w:tcPr>
          <w:p w14:paraId="7427696B">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病房无线AP</w:t>
            </w:r>
          </w:p>
        </w:tc>
        <w:tc>
          <w:tcPr>
            <w:tcW w:w="2763" w:type="pct"/>
            <w:tcBorders>
              <w:top w:val="nil"/>
              <w:left w:val="nil"/>
              <w:bottom w:val="single" w:color="auto" w:sz="4" w:space="0"/>
              <w:right w:val="single" w:color="auto" w:sz="4" w:space="0"/>
            </w:tcBorders>
            <w:noWrap w:val="0"/>
            <w:vAlign w:val="center"/>
          </w:tcPr>
          <w:p w14:paraId="266EB4F3">
            <w:pPr>
              <w:widowControl/>
              <w:jc w:val="left"/>
              <w:outlineLvl w:val="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详见技术参数要求</w:t>
            </w:r>
          </w:p>
        </w:tc>
        <w:tc>
          <w:tcPr>
            <w:tcW w:w="372" w:type="pct"/>
            <w:tcBorders>
              <w:top w:val="nil"/>
              <w:left w:val="nil"/>
              <w:bottom w:val="single" w:color="auto" w:sz="4" w:space="0"/>
              <w:right w:val="single" w:color="auto" w:sz="4" w:space="0"/>
            </w:tcBorders>
            <w:noWrap w:val="0"/>
            <w:vAlign w:val="center"/>
          </w:tcPr>
          <w:p w14:paraId="442F9BC6">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w:t>
            </w:r>
          </w:p>
        </w:tc>
        <w:tc>
          <w:tcPr>
            <w:tcW w:w="381" w:type="pct"/>
            <w:tcBorders>
              <w:top w:val="nil"/>
              <w:left w:val="nil"/>
              <w:bottom w:val="single" w:color="auto" w:sz="4" w:space="0"/>
              <w:right w:val="single" w:color="auto" w:sz="4" w:space="0"/>
            </w:tcBorders>
            <w:noWrap w:val="0"/>
            <w:vAlign w:val="center"/>
          </w:tcPr>
          <w:p w14:paraId="36B559D5">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r>
      <w:tr w14:paraId="6DF93DB9">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0"/>
            <w:vAlign w:val="center"/>
          </w:tcPr>
          <w:p w14:paraId="43157DEC">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1105" w:type="pct"/>
            <w:tcBorders>
              <w:top w:val="nil"/>
              <w:left w:val="nil"/>
              <w:bottom w:val="single" w:color="auto" w:sz="4" w:space="0"/>
              <w:right w:val="single" w:color="auto" w:sz="4" w:space="0"/>
            </w:tcBorders>
            <w:noWrap w:val="0"/>
            <w:vAlign w:val="center"/>
          </w:tcPr>
          <w:p w14:paraId="1E98E166">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天线</w:t>
            </w:r>
          </w:p>
        </w:tc>
        <w:tc>
          <w:tcPr>
            <w:tcW w:w="2763" w:type="pct"/>
            <w:tcBorders>
              <w:top w:val="nil"/>
              <w:left w:val="nil"/>
              <w:bottom w:val="single" w:color="auto" w:sz="4" w:space="0"/>
              <w:right w:val="single" w:color="auto" w:sz="4" w:space="0"/>
            </w:tcBorders>
            <w:noWrap w:val="0"/>
            <w:vAlign w:val="center"/>
          </w:tcPr>
          <w:p w14:paraId="0F4087F3">
            <w:pPr>
              <w:widowControl/>
              <w:jc w:val="left"/>
              <w:outlineLvl w:val="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详见技术参数要求</w:t>
            </w:r>
          </w:p>
        </w:tc>
        <w:tc>
          <w:tcPr>
            <w:tcW w:w="372" w:type="pct"/>
            <w:tcBorders>
              <w:top w:val="nil"/>
              <w:left w:val="nil"/>
              <w:bottom w:val="single" w:color="auto" w:sz="4" w:space="0"/>
              <w:right w:val="single" w:color="auto" w:sz="4" w:space="0"/>
            </w:tcBorders>
            <w:noWrap w:val="0"/>
            <w:vAlign w:val="center"/>
          </w:tcPr>
          <w:p w14:paraId="57F04C93">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192</w:t>
            </w:r>
          </w:p>
        </w:tc>
        <w:tc>
          <w:tcPr>
            <w:tcW w:w="381" w:type="pct"/>
            <w:tcBorders>
              <w:top w:val="nil"/>
              <w:left w:val="nil"/>
              <w:bottom w:val="single" w:color="auto" w:sz="4" w:space="0"/>
              <w:right w:val="single" w:color="auto" w:sz="4" w:space="0"/>
            </w:tcBorders>
            <w:noWrap w:val="0"/>
            <w:vAlign w:val="center"/>
          </w:tcPr>
          <w:p w14:paraId="7D4C9C0E">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w:t>
            </w:r>
          </w:p>
        </w:tc>
      </w:tr>
      <w:tr w14:paraId="4EA158D5">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0"/>
            <w:vAlign w:val="center"/>
          </w:tcPr>
          <w:p w14:paraId="458574DA">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1105" w:type="pct"/>
            <w:tcBorders>
              <w:top w:val="nil"/>
              <w:left w:val="nil"/>
              <w:bottom w:val="single" w:color="auto" w:sz="4" w:space="0"/>
              <w:right w:val="single" w:color="auto" w:sz="4" w:space="0"/>
            </w:tcBorders>
            <w:noWrap w:val="0"/>
            <w:vAlign w:val="center"/>
          </w:tcPr>
          <w:p w14:paraId="20518803">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馈线</w:t>
            </w:r>
          </w:p>
        </w:tc>
        <w:tc>
          <w:tcPr>
            <w:tcW w:w="2763" w:type="pct"/>
            <w:tcBorders>
              <w:top w:val="nil"/>
              <w:left w:val="nil"/>
              <w:bottom w:val="single" w:color="auto" w:sz="4" w:space="0"/>
              <w:right w:val="single" w:color="auto" w:sz="4" w:space="0"/>
            </w:tcBorders>
            <w:noWrap w:val="0"/>
            <w:vAlign w:val="center"/>
          </w:tcPr>
          <w:p w14:paraId="66991805">
            <w:pPr>
              <w:widowControl/>
              <w:jc w:val="left"/>
              <w:outlineLvl w:val="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射频馈线，长度5-28米；工作温度：覆盖-40℃~+80℃。</w:t>
            </w:r>
          </w:p>
        </w:tc>
        <w:tc>
          <w:tcPr>
            <w:tcW w:w="372" w:type="pct"/>
            <w:tcBorders>
              <w:top w:val="nil"/>
              <w:left w:val="nil"/>
              <w:bottom w:val="single" w:color="auto" w:sz="4" w:space="0"/>
              <w:right w:val="single" w:color="auto" w:sz="4" w:space="0"/>
            </w:tcBorders>
            <w:noWrap w:val="0"/>
            <w:vAlign w:val="center"/>
          </w:tcPr>
          <w:p w14:paraId="6B43495A">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192</w:t>
            </w:r>
          </w:p>
        </w:tc>
        <w:tc>
          <w:tcPr>
            <w:tcW w:w="381" w:type="pct"/>
            <w:tcBorders>
              <w:top w:val="nil"/>
              <w:left w:val="nil"/>
              <w:bottom w:val="single" w:color="auto" w:sz="4" w:space="0"/>
              <w:right w:val="single" w:color="auto" w:sz="4" w:space="0"/>
            </w:tcBorders>
            <w:noWrap w:val="0"/>
            <w:vAlign w:val="center"/>
          </w:tcPr>
          <w:p w14:paraId="24763266">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w:t>
            </w:r>
          </w:p>
        </w:tc>
      </w:tr>
      <w:tr w14:paraId="344D810E">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0"/>
            <w:vAlign w:val="center"/>
          </w:tcPr>
          <w:p w14:paraId="16CE4C2D">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p>
        </w:tc>
        <w:tc>
          <w:tcPr>
            <w:tcW w:w="1105" w:type="pct"/>
            <w:tcBorders>
              <w:top w:val="nil"/>
              <w:left w:val="nil"/>
              <w:bottom w:val="single" w:color="auto" w:sz="4" w:space="0"/>
              <w:right w:val="single" w:color="auto" w:sz="4" w:space="0"/>
            </w:tcBorders>
            <w:noWrap w:val="0"/>
            <w:vAlign w:val="center"/>
          </w:tcPr>
          <w:p w14:paraId="2B5584FF">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交换机</w:t>
            </w:r>
          </w:p>
        </w:tc>
        <w:tc>
          <w:tcPr>
            <w:tcW w:w="2763" w:type="pct"/>
            <w:tcBorders>
              <w:top w:val="nil"/>
              <w:left w:val="nil"/>
              <w:bottom w:val="single" w:color="auto" w:sz="4" w:space="0"/>
              <w:right w:val="single" w:color="auto" w:sz="4" w:space="0"/>
            </w:tcBorders>
            <w:noWrap w:val="0"/>
            <w:vAlign w:val="center"/>
          </w:tcPr>
          <w:p w14:paraId="78E6C19F">
            <w:pPr>
              <w:widowControl/>
              <w:jc w:val="left"/>
              <w:outlineLvl w:val="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详见技术参数要求，配套2.5G光模块、10G光模块等必要配件.</w:t>
            </w:r>
          </w:p>
        </w:tc>
        <w:tc>
          <w:tcPr>
            <w:tcW w:w="372" w:type="pct"/>
            <w:tcBorders>
              <w:top w:val="nil"/>
              <w:left w:val="nil"/>
              <w:bottom w:val="single" w:color="auto" w:sz="4" w:space="0"/>
              <w:right w:val="single" w:color="auto" w:sz="4" w:space="0"/>
            </w:tcBorders>
            <w:noWrap w:val="0"/>
            <w:vAlign w:val="center"/>
          </w:tcPr>
          <w:p w14:paraId="21545050">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381" w:type="pct"/>
            <w:tcBorders>
              <w:top w:val="nil"/>
              <w:left w:val="nil"/>
              <w:bottom w:val="single" w:color="auto" w:sz="4" w:space="0"/>
              <w:right w:val="single" w:color="auto" w:sz="4" w:space="0"/>
            </w:tcBorders>
            <w:noWrap w:val="0"/>
            <w:vAlign w:val="center"/>
          </w:tcPr>
          <w:p w14:paraId="56FDF6D5">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r>
      <w:tr w14:paraId="1430C944">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ign w:val="center"/>
          </w:tcPr>
          <w:p w14:paraId="343C87A1">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05" w:type="pct"/>
            <w:tcBorders>
              <w:top w:val="nil"/>
              <w:left w:val="nil"/>
              <w:bottom w:val="single" w:color="auto" w:sz="4" w:space="0"/>
              <w:right w:val="single" w:color="auto" w:sz="4" w:space="0"/>
            </w:tcBorders>
            <w:noWrap/>
            <w:vAlign w:val="center"/>
          </w:tcPr>
          <w:p w14:paraId="46168DD7">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机房设备</w:t>
            </w:r>
          </w:p>
        </w:tc>
        <w:tc>
          <w:tcPr>
            <w:tcW w:w="2763" w:type="pct"/>
            <w:tcBorders>
              <w:top w:val="nil"/>
              <w:left w:val="nil"/>
              <w:bottom w:val="single" w:color="auto" w:sz="4" w:space="0"/>
              <w:right w:val="single" w:color="auto" w:sz="4" w:space="0"/>
            </w:tcBorders>
            <w:noWrap/>
            <w:vAlign w:val="center"/>
          </w:tcPr>
          <w:p w14:paraId="57B240B4">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372" w:type="pct"/>
            <w:tcBorders>
              <w:top w:val="nil"/>
              <w:left w:val="nil"/>
              <w:bottom w:val="single" w:color="auto" w:sz="4" w:space="0"/>
              <w:right w:val="single" w:color="auto" w:sz="4" w:space="0"/>
            </w:tcBorders>
            <w:noWrap/>
            <w:vAlign w:val="center"/>
          </w:tcPr>
          <w:p w14:paraId="653A7FDB">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381" w:type="pct"/>
            <w:tcBorders>
              <w:top w:val="nil"/>
              <w:left w:val="nil"/>
              <w:bottom w:val="single" w:color="auto" w:sz="4" w:space="0"/>
              <w:right w:val="single" w:color="auto" w:sz="4" w:space="0"/>
            </w:tcBorders>
            <w:noWrap/>
            <w:vAlign w:val="center"/>
          </w:tcPr>
          <w:p w14:paraId="2C41BCAA">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070EDFA2">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0"/>
            <w:vAlign w:val="center"/>
          </w:tcPr>
          <w:p w14:paraId="5C38E34D">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105" w:type="pct"/>
            <w:tcBorders>
              <w:top w:val="nil"/>
              <w:left w:val="nil"/>
              <w:bottom w:val="single" w:color="auto" w:sz="4" w:space="0"/>
              <w:right w:val="single" w:color="auto" w:sz="4" w:space="0"/>
            </w:tcBorders>
            <w:noWrap w:val="0"/>
            <w:vAlign w:val="center"/>
          </w:tcPr>
          <w:p w14:paraId="02A5D650">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无线控制器</w:t>
            </w:r>
          </w:p>
        </w:tc>
        <w:tc>
          <w:tcPr>
            <w:tcW w:w="2763" w:type="pct"/>
            <w:tcBorders>
              <w:top w:val="nil"/>
              <w:left w:val="nil"/>
              <w:bottom w:val="single" w:color="auto" w:sz="4" w:space="0"/>
              <w:right w:val="single" w:color="auto" w:sz="4" w:space="0"/>
            </w:tcBorders>
            <w:noWrap w:val="0"/>
            <w:vAlign w:val="center"/>
          </w:tcPr>
          <w:p w14:paraId="4AAC012C">
            <w:pPr>
              <w:widowControl/>
              <w:jc w:val="left"/>
              <w:outlineLvl w:val="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详见技术参数要求</w:t>
            </w:r>
          </w:p>
        </w:tc>
        <w:tc>
          <w:tcPr>
            <w:tcW w:w="372" w:type="pct"/>
            <w:tcBorders>
              <w:top w:val="nil"/>
              <w:left w:val="nil"/>
              <w:bottom w:val="single" w:color="auto" w:sz="4" w:space="0"/>
              <w:right w:val="single" w:color="auto" w:sz="4" w:space="0"/>
            </w:tcBorders>
            <w:noWrap w:val="0"/>
            <w:vAlign w:val="center"/>
          </w:tcPr>
          <w:p w14:paraId="55A4BCFB">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381" w:type="pct"/>
            <w:tcBorders>
              <w:top w:val="nil"/>
              <w:left w:val="nil"/>
              <w:bottom w:val="single" w:color="auto" w:sz="4" w:space="0"/>
              <w:right w:val="single" w:color="auto" w:sz="4" w:space="0"/>
            </w:tcBorders>
            <w:noWrap w:val="0"/>
            <w:vAlign w:val="center"/>
          </w:tcPr>
          <w:p w14:paraId="35BD47C5">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r>
      <w:tr w14:paraId="3793A36A">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0"/>
            <w:vAlign w:val="center"/>
          </w:tcPr>
          <w:p w14:paraId="6B807355">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1105" w:type="pct"/>
            <w:tcBorders>
              <w:top w:val="nil"/>
              <w:left w:val="nil"/>
              <w:bottom w:val="single" w:color="auto" w:sz="4" w:space="0"/>
              <w:right w:val="single" w:color="auto" w:sz="4" w:space="0"/>
            </w:tcBorders>
            <w:noWrap w:val="0"/>
            <w:vAlign w:val="center"/>
          </w:tcPr>
          <w:p w14:paraId="6E89409B">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运维管理系统扩容及培训</w:t>
            </w:r>
          </w:p>
        </w:tc>
        <w:tc>
          <w:tcPr>
            <w:tcW w:w="2763" w:type="pct"/>
            <w:tcBorders>
              <w:top w:val="nil"/>
              <w:left w:val="nil"/>
              <w:bottom w:val="single" w:color="auto" w:sz="4" w:space="0"/>
              <w:right w:val="single" w:color="auto" w:sz="4" w:space="0"/>
            </w:tcBorders>
            <w:noWrap w:val="0"/>
            <w:vAlign w:val="center"/>
          </w:tcPr>
          <w:p w14:paraId="1F79AD44">
            <w:pPr>
              <w:widowControl/>
              <w:jc w:val="left"/>
              <w:outlineLvl w:val="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详见技术参数要求</w:t>
            </w:r>
          </w:p>
        </w:tc>
        <w:tc>
          <w:tcPr>
            <w:tcW w:w="372" w:type="pct"/>
            <w:tcBorders>
              <w:top w:val="nil"/>
              <w:left w:val="nil"/>
              <w:bottom w:val="single" w:color="auto" w:sz="4" w:space="0"/>
              <w:right w:val="single" w:color="auto" w:sz="4" w:space="0"/>
            </w:tcBorders>
            <w:noWrap w:val="0"/>
            <w:vAlign w:val="center"/>
          </w:tcPr>
          <w:p w14:paraId="0E06BD5E">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381" w:type="pct"/>
            <w:tcBorders>
              <w:top w:val="nil"/>
              <w:left w:val="nil"/>
              <w:bottom w:val="single" w:color="auto" w:sz="4" w:space="0"/>
              <w:right w:val="single" w:color="auto" w:sz="4" w:space="0"/>
            </w:tcBorders>
            <w:noWrap w:val="0"/>
            <w:vAlign w:val="center"/>
          </w:tcPr>
          <w:p w14:paraId="26012A55">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w:t>
            </w:r>
          </w:p>
        </w:tc>
      </w:tr>
      <w:tr w14:paraId="786C2B44">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0"/>
            <w:vAlign w:val="center"/>
          </w:tcPr>
          <w:p w14:paraId="1C0B56BF">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05" w:type="pct"/>
            <w:tcBorders>
              <w:top w:val="nil"/>
              <w:left w:val="nil"/>
              <w:bottom w:val="single" w:color="auto" w:sz="4" w:space="0"/>
              <w:right w:val="single" w:color="auto" w:sz="4" w:space="0"/>
            </w:tcBorders>
            <w:noWrap w:val="0"/>
            <w:vAlign w:val="center"/>
          </w:tcPr>
          <w:p w14:paraId="637A0C47">
            <w:pPr>
              <w:widowControl/>
              <w:jc w:val="center"/>
              <w:outlineLvl w:val="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无线AP冗余</w:t>
            </w:r>
          </w:p>
        </w:tc>
        <w:tc>
          <w:tcPr>
            <w:tcW w:w="2763" w:type="pct"/>
            <w:tcBorders>
              <w:top w:val="nil"/>
              <w:left w:val="nil"/>
              <w:bottom w:val="single" w:color="auto" w:sz="4" w:space="0"/>
              <w:right w:val="single" w:color="auto" w:sz="4" w:space="0"/>
            </w:tcBorders>
            <w:noWrap w:val="0"/>
            <w:vAlign w:val="center"/>
          </w:tcPr>
          <w:p w14:paraId="3BE68FE3">
            <w:pPr>
              <w:widowControl/>
              <w:jc w:val="left"/>
              <w:outlineLvl w:val="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冗余部分实际安装时服从采购方安排</w:t>
            </w:r>
          </w:p>
        </w:tc>
        <w:tc>
          <w:tcPr>
            <w:tcW w:w="372" w:type="pct"/>
            <w:tcBorders>
              <w:top w:val="nil"/>
              <w:left w:val="nil"/>
              <w:bottom w:val="single" w:color="auto" w:sz="4" w:space="0"/>
              <w:right w:val="single" w:color="auto" w:sz="4" w:space="0"/>
            </w:tcBorders>
            <w:noWrap w:val="0"/>
            <w:vAlign w:val="center"/>
          </w:tcPr>
          <w:p w14:paraId="72F6DEF2">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381" w:type="pct"/>
            <w:tcBorders>
              <w:top w:val="nil"/>
              <w:left w:val="nil"/>
              <w:bottom w:val="single" w:color="auto" w:sz="4" w:space="0"/>
              <w:right w:val="single" w:color="auto" w:sz="4" w:space="0"/>
            </w:tcBorders>
            <w:noWrap w:val="0"/>
            <w:vAlign w:val="center"/>
          </w:tcPr>
          <w:p w14:paraId="51A076F6">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31B4B4D0">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0"/>
            <w:vAlign w:val="center"/>
          </w:tcPr>
          <w:p w14:paraId="15B05669">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105" w:type="pct"/>
            <w:tcBorders>
              <w:top w:val="nil"/>
              <w:left w:val="nil"/>
              <w:bottom w:val="single" w:color="auto" w:sz="4" w:space="0"/>
              <w:right w:val="single" w:color="auto" w:sz="4" w:space="0"/>
            </w:tcBorders>
            <w:noWrap w:val="0"/>
            <w:vAlign w:val="center"/>
          </w:tcPr>
          <w:p w14:paraId="233570F5">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病房无线AP</w:t>
            </w:r>
          </w:p>
        </w:tc>
        <w:tc>
          <w:tcPr>
            <w:tcW w:w="2763" w:type="pct"/>
            <w:tcBorders>
              <w:top w:val="nil"/>
              <w:left w:val="nil"/>
              <w:bottom w:val="single" w:color="auto" w:sz="4" w:space="0"/>
              <w:right w:val="single" w:color="auto" w:sz="4" w:space="0"/>
            </w:tcBorders>
            <w:noWrap w:val="0"/>
            <w:vAlign w:val="center"/>
          </w:tcPr>
          <w:p w14:paraId="169D16A1">
            <w:pPr>
              <w:widowControl/>
              <w:jc w:val="left"/>
              <w:outlineLvl w:val="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详见技术参数要求</w:t>
            </w:r>
          </w:p>
        </w:tc>
        <w:tc>
          <w:tcPr>
            <w:tcW w:w="372" w:type="pct"/>
            <w:tcBorders>
              <w:top w:val="nil"/>
              <w:left w:val="nil"/>
              <w:bottom w:val="single" w:color="auto" w:sz="4" w:space="0"/>
              <w:right w:val="single" w:color="auto" w:sz="4" w:space="0"/>
            </w:tcBorders>
            <w:noWrap w:val="0"/>
            <w:vAlign w:val="center"/>
          </w:tcPr>
          <w:p w14:paraId="3772F8B1">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w:t>
            </w:r>
          </w:p>
        </w:tc>
        <w:tc>
          <w:tcPr>
            <w:tcW w:w="381" w:type="pct"/>
            <w:tcBorders>
              <w:top w:val="nil"/>
              <w:left w:val="nil"/>
              <w:bottom w:val="single" w:color="auto" w:sz="4" w:space="0"/>
              <w:right w:val="single" w:color="auto" w:sz="4" w:space="0"/>
            </w:tcBorders>
            <w:noWrap w:val="0"/>
            <w:vAlign w:val="center"/>
          </w:tcPr>
          <w:p w14:paraId="504DC8E0">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r>
      <w:tr w14:paraId="6C86D039">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0"/>
            <w:vAlign w:val="center"/>
          </w:tcPr>
          <w:p w14:paraId="37234794">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1105" w:type="pct"/>
            <w:tcBorders>
              <w:top w:val="nil"/>
              <w:left w:val="nil"/>
              <w:bottom w:val="single" w:color="auto" w:sz="4" w:space="0"/>
              <w:right w:val="single" w:color="auto" w:sz="4" w:space="0"/>
            </w:tcBorders>
            <w:noWrap w:val="0"/>
            <w:vAlign w:val="center"/>
          </w:tcPr>
          <w:p w14:paraId="2F68CD73">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天线</w:t>
            </w:r>
          </w:p>
        </w:tc>
        <w:tc>
          <w:tcPr>
            <w:tcW w:w="2763" w:type="pct"/>
            <w:tcBorders>
              <w:top w:val="nil"/>
              <w:left w:val="nil"/>
              <w:bottom w:val="single" w:color="auto" w:sz="4" w:space="0"/>
              <w:right w:val="single" w:color="auto" w:sz="4" w:space="0"/>
            </w:tcBorders>
            <w:noWrap w:val="0"/>
            <w:vAlign w:val="center"/>
          </w:tcPr>
          <w:p w14:paraId="3396F1F4">
            <w:pPr>
              <w:widowControl/>
              <w:jc w:val="left"/>
              <w:outlineLvl w:val="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详见技术参数要求</w:t>
            </w:r>
          </w:p>
        </w:tc>
        <w:tc>
          <w:tcPr>
            <w:tcW w:w="372" w:type="pct"/>
            <w:tcBorders>
              <w:top w:val="nil"/>
              <w:left w:val="nil"/>
              <w:bottom w:val="single" w:color="auto" w:sz="4" w:space="0"/>
              <w:right w:val="single" w:color="auto" w:sz="4" w:space="0"/>
            </w:tcBorders>
            <w:noWrap w:val="0"/>
            <w:vAlign w:val="center"/>
          </w:tcPr>
          <w:p w14:paraId="3627181D">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80</w:t>
            </w:r>
          </w:p>
        </w:tc>
        <w:tc>
          <w:tcPr>
            <w:tcW w:w="381" w:type="pct"/>
            <w:tcBorders>
              <w:top w:val="nil"/>
              <w:left w:val="nil"/>
              <w:bottom w:val="single" w:color="auto" w:sz="4" w:space="0"/>
              <w:right w:val="single" w:color="auto" w:sz="4" w:space="0"/>
            </w:tcBorders>
            <w:noWrap w:val="0"/>
            <w:vAlign w:val="center"/>
          </w:tcPr>
          <w:p w14:paraId="2657EFF9">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w:t>
            </w:r>
          </w:p>
        </w:tc>
      </w:tr>
      <w:tr w14:paraId="0FA5416D">
        <w:tblPrEx>
          <w:tblCellMar>
            <w:top w:w="0" w:type="dxa"/>
            <w:left w:w="108" w:type="dxa"/>
            <w:bottom w:w="0" w:type="dxa"/>
            <w:right w:w="108" w:type="dxa"/>
          </w:tblCellMar>
        </w:tblPrEx>
        <w:trPr>
          <w:trHeight w:val="369" w:hRule="atLeast"/>
        </w:trPr>
        <w:tc>
          <w:tcPr>
            <w:tcW w:w="376" w:type="pct"/>
            <w:tcBorders>
              <w:top w:val="nil"/>
              <w:left w:val="single" w:color="auto" w:sz="4" w:space="0"/>
              <w:bottom w:val="single" w:color="auto" w:sz="4" w:space="0"/>
              <w:right w:val="single" w:color="auto" w:sz="4" w:space="0"/>
            </w:tcBorders>
            <w:noWrap w:val="0"/>
            <w:vAlign w:val="center"/>
          </w:tcPr>
          <w:p w14:paraId="08DC0CAA">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1105" w:type="pct"/>
            <w:tcBorders>
              <w:top w:val="nil"/>
              <w:left w:val="nil"/>
              <w:bottom w:val="single" w:color="auto" w:sz="4" w:space="0"/>
              <w:right w:val="single" w:color="auto" w:sz="4" w:space="0"/>
            </w:tcBorders>
            <w:noWrap w:val="0"/>
            <w:vAlign w:val="center"/>
          </w:tcPr>
          <w:p w14:paraId="03F07B00">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馈线</w:t>
            </w:r>
          </w:p>
        </w:tc>
        <w:tc>
          <w:tcPr>
            <w:tcW w:w="2763" w:type="pct"/>
            <w:tcBorders>
              <w:top w:val="nil"/>
              <w:left w:val="nil"/>
              <w:bottom w:val="single" w:color="auto" w:sz="4" w:space="0"/>
              <w:right w:val="single" w:color="auto" w:sz="4" w:space="0"/>
            </w:tcBorders>
            <w:noWrap w:val="0"/>
            <w:vAlign w:val="center"/>
          </w:tcPr>
          <w:p w14:paraId="26918881">
            <w:pPr>
              <w:widowControl/>
              <w:jc w:val="left"/>
              <w:outlineLvl w:val="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射频馈线，长度5-28米；工作温度：覆盖-40℃~+80℃。</w:t>
            </w:r>
          </w:p>
        </w:tc>
        <w:tc>
          <w:tcPr>
            <w:tcW w:w="372" w:type="pct"/>
            <w:tcBorders>
              <w:top w:val="nil"/>
              <w:left w:val="nil"/>
              <w:bottom w:val="single" w:color="auto" w:sz="4" w:space="0"/>
              <w:right w:val="single" w:color="auto" w:sz="4" w:space="0"/>
            </w:tcBorders>
            <w:noWrap w:val="0"/>
            <w:vAlign w:val="center"/>
          </w:tcPr>
          <w:p w14:paraId="4C008C54">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80</w:t>
            </w:r>
          </w:p>
        </w:tc>
        <w:tc>
          <w:tcPr>
            <w:tcW w:w="381" w:type="pct"/>
            <w:tcBorders>
              <w:top w:val="nil"/>
              <w:left w:val="nil"/>
              <w:bottom w:val="single" w:color="auto" w:sz="4" w:space="0"/>
              <w:right w:val="single" w:color="auto" w:sz="4" w:space="0"/>
            </w:tcBorders>
            <w:noWrap w:val="0"/>
            <w:vAlign w:val="center"/>
          </w:tcPr>
          <w:p w14:paraId="5A139748">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w:t>
            </w:r>
          </w:p>
        </w:tc>
      </w:tr>
      <w:tr w14:paraId="7492948A">
        <w:tblPrEx>
          <w:tblCellMar>
            <w:top w:w="0" w:type="dxa"/>
            <w:left w:w="108" w:type="dxa"/>
            <w:bottom w:w="0" w:type="dxa"/>
            <w:right w:w="108" w:type="dxa"/>
          </w:tblCellMar>
        </w:tblPrEx>
        <w:trPr>
          <w:trHeight w:val="369" w:hRule="atLeast"/>
        </w:trPr>
        <w:tc>
          <w:tcPr>
            <w:tcW w:w="376" w:type="pct"/>
            <w:tcBorders>
              <w:top w:val="single" w:color="auto" w:sz="4" w:space="0"/>
              <w:left w:val="single" w:color="auto" w:sz="4" w:space="0"/>
              <w:bottom w:val="single" w:color="auto" w:sz="4" w:space="0"/>
              <w:right w:val="single" w:color="auto" w:sz="4" w:space="0"/>
            </w:tcBorders>
            <w:noWrap w:val="0"/>
            <w:vAlign w:val="center"/>
          </w:tcPr>
          <w:p w14:paraId="52AF1EA0">
            <w:pPr>
              <w:widowControl/>
              <w:jc w:val="center"/>
              <w:outlineLvl w:val="0"/>
              <w:rPr>
                <w:rFonts w:ascii="宋体" w:hAnsi="宋体" w:cs="宋体"/>
                <w:color w:val="000000" w:themeColor="text1"/>
                <w:sz w:val="24"/>
                <w:szCs w:val="24"/>
                <w:highlight w:val="none"/>
                <w14:textFill>
                  <w14:solidFill>
                    <w14:schemeClr w14:val="tx1"/>
                  </w14:solidFill>
                </w14:textFill>
              </w:rPr>
            </w:pPr>
          </w:p>
        </w:tc>
        <w:tc>
          <w:tcPr>
            <w:tcW w:w="1105" w:type="pct"/>
            <w:tcBorders>
              <w:top w:val="single" w:color="auto" w:sz="4" w:space="0"/>
              <w:left w:val="single" w:color="auto" w:sz="4" w:space="0"/>
              <w:bottom w:val="single" w:color="auto" w:sz="4" w:space="0"/>
              <w:right w:val="single" w:color="auto" w:sz="4" w:space="0"/>
            </w:tcBorders>
            <w:noWrap w:val="0"/>
            <w:vAlign w:val="center"/>
          </w:tcPr>
          <w:p w14:paraId="13BCADB2">
            <w:pPr>
              <w:widowControl/>
              <w:jc w:val="center"/>
              <w:outlineLvl w:val="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其他</w:t>
            </w:r>
          </w:p>
        </w:tc>
        <w:tc>
          <w:tcPr>
            <w:tcW w:w="2763" w:type="pct"/>
            <w:tcBorders>
              <w:top w:val="single" w:color="auto" w:sz="4" w:space="0"/>
              <w:left w:val="single" w:color="auto" w:sz="4" w:space="0"/>
              <w:bottom w:val="single" w:color="auto" w:sz="4" w:space="0"/>
              <w:right w:val="single" w:color="auto" w:sz="4" w:space="0"/>
            </w:tcBorders>
            <w:noWrap w:val="0"/>
            <w:vAlign w:val="center"/>
          </w:tcPr>
          <w:p w14:paraId="1F6470F5">
            <w:pPr>
              <w:widowControl/>
              <w:jc w:val="left"/>
              <w:outlineLvl w:val="0"/>
              <w:rPr>
                <w:rFonts w:ascii="宋体" w:hAnsi="宋体" w:cs="宋体"/>
                <w:color w:val="000000" w:themeColor="text1"/>
                <w:sz w:val="22"/>
                <w:highlight w:val="none"/>
                <w14:textFill>
                  <w14:solidFill>
                    <w14:schemeClr w14:val="tx1"/>
                  </w14:solidFill>
                </w14:textFill>
              </w:rPr>
            </w:pPr>
          </w:p>
        </w:tc>
        <w:tc>
          <w:tcPr>
            <w:tcW w:w="372" w:type="pct"/>
            <w:tcBorders>
              <w:top w:val="single" w:color="auto" w:sz="4" w:space="0"/>
              <w:left w:val="single" w:color="auto" w:sz="4" w:space="0"/>
              <w:bottom w:val="single" w:color="auto" w:sz="4" w:space="0"/>
              <w:right w:val="single" w:color="auto" w:sz="4" w:space="0"/>
            </w:tcBorders>
            <w:noWrap w:val="0"/>
            <w:vAlign w:val="center"/>
          </w:tcPr>
          <w:p w14:paraId="1B72C7B7">
            <w:pPr>
              <w:widowControl/>
              <w:jc w:val="center"/>
              <w:outlineLvl w:val="0"/>
              <w:rPr>
                <w:rFonts w:ascii="宋体" w:hAnsi="宋体" w:cs="宋体"/>
                <w:color w:val="000000" w:themeColor="text1"/>
                <w:sz w:val="24"/>
                <w:szCs w:val="24"/>
                <w:highlight w:val="none"/>
                <w14:textFill>
                  <w14:solidFill>
                    <w14:schemeClr w14:val="tx1"/>
                  </w14:solidFill>
                </w14:textFill>
              </w:rPr>
            </w:pPr>
          </w:p>
        </w:tc>
        <w:tc>
          <w:tcPr>
            <w:tcW w:w="381" w:type="pct"/>
            <w:tcBorders>
              <w:top w:val="single" w:color="auto" w:sz="4" w:space="0"/>
              <w:left w:val="single" w:color="auto" w:sz="4" w:space="0"/>
              <w:bottom w:val="single" w:color="auto" w:sz="4" w:space="0"/>
              <w:right w:val="single" w:color="auto" w:sz="4" w:space="0"/>
            </w:tcBorders>
            <w:noWrap w:val="0"/>
            <w:vAlign w:val="center"/>
          </w:tcPr>
          <w:p w14:paraId="76CBE7ED">
            <w:pPr>
              <w:widowControl/>
              <w:jc w:val="center"/>
              <w:outlineLvl w:val="0"/>
              <w:rPr>
                <w:rFonts w:ascii="宋体" w:hAnsi="宋体" w:cs="宋体"/>
                <w:color w:val="000000" w:themeColor="text1"/>
                <w:sz w:val="24"/>
                <w:szCs w:val="24"/>
                <w:highlight w:val="none"/>
                <w14:textFill>
                  <w14:solidFill>
                    <w14:schemeClr w14:val="tx1"/>
                  </w14:solidFill>
                </w14:textFill>
              </w:rPr>
            </w:pPr>
          </w:p>
        </w:tc>
      </w:tr>
      <w:tr w14:paraId="43073809">
        <w:tblPrEx>
          <w:tblCellMar>
            <w:top w:w="0" w:type="dxa"/>
            <w:left w:w="108" w:type="dxa"/>
            <w:bottom w:w="0" w:type="dxa"/>
            <w:right w:w="108" w:type="dxa"/>
          </w:tblCellMar>
        </w:tblPrEx>
        <w:trPr>
          <w:trHeight w:val="369" w:hRule="atLeast"/>
        </w:trPr>
        <w:tc>
          <w:tcPr>
            <w:tcW w:w="376" w:type="pct"/>
            <w:tcBorders>
              <w:top w:val="single" w:color="auto" w:sz="4" w:space="0"/>
              <w:left w:val="single" w:color="auto" w:sz="4" w:space="0"/>
              <w:bottom w:val="single" w:color="auto" w:sz="4" w:space="0"/>
              <w:right w:val="single" w:color="auto" w:sz="4" w:space="0"/>
            </w:tcBorders>
            <w:noWrap w:val="0"/>
            <w:vAlign w:val="center"/>
          </w:tcPr>
          <w:p w14:paraId="6592B34F">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105" w:type="pct"/>
            <w:tcBorders>
              <w:top w:val="single" w:color="auto" w:sz="4" w:space="0"/>
              <w:left w:val="single" w:color="auto" w:sz="4" w:space="0"/>
              <w:bottom w:val="single" w:color="auto" w:sz="4" w:space="0"/>
              <w:right w:val="single" w:color="auto" w:sz="4" w:space="0"/>
            </w:tcBorders>
            <w:noWrap w:val="0"/>
            <w:vAlign w:val="center"/>
          </w:tcPr>
          <w:p w14:paraId="6F7BC8EC">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集成安装</w:t>
            </w:r>
          </w:p>
        </w:tc>
        <w:tc>
          <w:tcPr>
            <w:tcW w:w="2763" w:type="pct"/>
            <w:tcBorders>
              <w:top w:val="single" w:color="auto" w:sz="4" w:space="0"/>
              <w:left w:val="single" w:color="auto" w:sz="4" w:space="0"/>
              <w:bottom w:val="single" w:color="auto" w:sz="4" w:space="0"/>
              <w:right w:val="single" w:color="auto" w:sz="4" w:space="0"/>
            </w:tcBorders>
            <w:noWrap w:val="0"/>
            <w:vAlign w:val="center"/>
          </w:tcPr>
          <w:p w14:paraId="7DE7219F">
            <w:pPr>
              <w:widowControl/>
              <w:jc w:val="left"/>
              <w:outlineLvl w:val="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含项目建设所需的符合国家标准的辅材辅料费用，包括不限于PVC管、六类非屏蔽网线、光缆、耦合器、光纤盘等。含税、运输、施工、接入调试、平台授权等一切费用，接入医院现有网络确保整个系统正常运行。</w:t>
            </w:r>
          </w:p>
        </w:tc>
        <w:tc>
          <w:tcPr>
            <w:tcW w:w="372" w:type="pct"/>
            <w:tcBorders>
              <w:top w:val="single" w:color="auto" w:sz="4" w:space="0"/>
              <w:left w:val="single" w:color="auto" w:sz="4" w:space="0"/>
              <w:bottom w:val="single" w:color="auto" w:sz="4" w:space="0"/>
              <w:right w:val="single" w:color="auto" w:sz="4" w:space="0"/>
            </w:tcBorders>
            <w:noWrap w:val="0"/>
            <w:vAlign w:val="center"/>
          </w:tcPr>
          <w:p w14:paraId="7AEE2C47">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381" w:type="pct"/>
            <w:tcBorders>
              <w:top w:val="single" w:color="auto" w:sz="4" w:space="0"/>
              <w:left w:val="single" w:color="auto" w:sz="4" w:space="0"/>
              <w:bottom w:val="single" w:color="auto" w:sz="4" w:space="0"/>
              <w:right w:val="single" w:color="auto" w:sz="4" w:space="0"/>
            </w:tcBorders>
            <w:noWrap w:val="0"/>
            <w:vAlign w:val="center"/>
          </w:tcPr>
          <w:p w14:paraId="0DDBE1D3">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w:t>
            </w:r>
          </w:p>
        </w:tc>
      </w:tr>
      <w:tr w14:paraId="1AD6617A">
        <w:tblPrEx>
          <w:tblCellMar>
            <w:top w:w="0" w:type="dxa"/>
            <w:left w:w="108" w:type="dxa"/>
            <w:bottom w:w="0" w:type="dxa"/>
            <w:right w:w="108" w:type="dxa"/>
          </w:tblCellMar>
        </w:tblPrEx>
        <w:trPr>
          <w:trHeight w:val="369" w:hRule="atLeast"/>
        </w:trPr>
        <w:tc>
          <w:tcPr>
            <w:tcW w:w="376" w:type="pct"/>
            <w:tcBorders>
              <w:top w:val="single" w:color="auto" w:sz="4" w:space="0"/>
              <w:left w:val="single" w:color="auto" w:sz="4" w:space="0"/>
              <w:bottom w:val="single" w:color="auto" w:sz="4" w:space="0"/>
              <w:right w:val="single" w:color="auto" w:sz="4" w:space="0"/>
            </w:tcBorders>
            <w:noWrap w:val="0"/>
            <w:vAlign w:val="center"/>
          </w:tcPr>
          <w:p w14:paraId="7742BD68">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1105" w:type="pct"/>
            <w:tcBorders>
              <w:top w:val="single" w:color="auto" w:sz="4" w:space="0"/>
              <w:left w:val="single" w:color="auto" w:sz="4" w:space="0"/>
              <w:bottom w:val="single" w:color="auto" w:sz="4" w:space="0"/>
              <w:right w:val="single" w:color="auto" w:sz="4" w:space="0"/>
            </w:tcBorders>
            <w:noWrap w:val="0"/>
            <w:vAlign w:val="center"/>
          </w:tcPr>
          <w:p w14:paraId="227FC8DF">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门禁维护</w:t>
            </w:r>
          </w:p>
        </w:tc>
        <w:tc>
          <w:tcPr>
            <w:tcW w:w="2763" w:type="pct"/>
            <w:tcBorders>
              <w:top w:val="single" w:color="auto" w:sz="4" w:space="0"/>
              <w:left w:val="single" w:color="auto" w:sz="4" w:space="0"/>
              <w:bottom w:val="single" w:color="auto" w:sz="4" w:space="0"/>
              <w:right w:val="single" w:color="auto" w:sz="4" w:space="0"/>
            </w:tcBorders>
            <w:noWrap w:val="0"/>
            <w:vAlign w:val="center"/>
          </w:tcPr>
          <w:p w14:paraId="324CE217">
            <w:pPr>
              <w:widowControl/>
              <w:jc w:val="left"/>
              <w:outlineLvl w:val="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门禁系统的日常维护，维护点位清单见“门禁维护清单”</w:t>
            </w:r>
          </w:p>
        </w:tc>
        <w:tc>
          <w:tcPr>
            <w:tcW w:w="372" w:type="pct"/>
            <w:tcBorders>
              <w:top w:val="single" w:color="auto" w:sz="4" w:space="0"/>
              <w:left w:val="single" w:color="auto" w:sz="4" w:space="0"/>
              <w:bottom w:val="single" w:color="auto" w:sz="4" w:space="0"/>
              <w:right w:val="single" w:color="auto" w:sz="4" w:space="0"/>
            </w:tcBorders>
            <w:noWrap w:val="0"/>
            <w:vAlign w:val="center"/>
          </w:tcPr>
          <w:p w14:paraId="1EAC8759">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381" w:type="pct"/>
            <w:tcBorders>
              <w:top w:val="single" w:color="auto" w:sz="4" w:space="0"/>
              <w:left w:val="single" w:color="auto" w:sz="4" w:space="0"/>
              <w:bottom w:val="single" w:color="auto" w:sz="4" w:space="0"/>
              <w:right w:val="single" w:color="auto" w:sz="4" w:space="0"/>
            </w:tcBorders>
            <w:noWrap w:val="0"/>
            <w:vAlign w:val="center"/>
          </w:tcPr>
          <w:p w14:paraId="6D289FA1">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w:t>
            </w:r>
          </w:p>
        </w:tc>
      </w:tr>
      <w:tr w14:paraId="73342A66">
        <w:tblPrEx>
          <w:tblCellMar>
            <w:top w:w="0" w:type="dxa"/>
            <w:left w:w="108" w:type="dxa"/>
            <w:bottom w:w="0" w:type="dxa"/>
            <w:right w:w="108" w:type="dxa"/>
          </w:tblCellMar>
        </w:tblPrEx>
        <w:trPr>
          <w:trHeight w:val="369" w:hRule="atLeast"/>
        </w:trPr>
        <w:tc>
          <w:tcPr>
            <w:tcW w:w="376" w:type="pct"/>
            <w:tcBorders>
              <w:top w:val="single" w:color="auto" w:sz="4" w:space="0"/>
              <w:left w:val="single" w:color="auto" w:sz="4" w:space="0"/>
              <w:bottom w:val="single" w:color="auto" w:sz="4" w:space="0"/>
              <w:right w:val="single" w:color="auto" w:sz="4" w:space="0"/>
            </w:tcBorders>
            <w:noWrap w:val="0"/>
            <w:vAlign w:val="center"/>
          </w:tcPr>
          <w:p w14:paraId="4972056A">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1105" w:type="pct"/>
            <w:tcBorders>
              <w:top w:val="single" w:color="auto" w:sz="4" w:space="0"/>
              <w:left w:val="single" w:color="auto" w:sz="4" w:space="0"/>
              <w:bottom w:val="single" w:color="auto" w:sz="4" w:space="0"/>
              <w:right w:val="single" w:color="auto" w:sz="4" w:space="0"/>
            </w:tcBorders>
            <w:noWrap w:val="0"/>
            <w:vAlign w:val="center"/>
          </w:tcPr>
          <w:p w14:paraId="5A9492DF">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一键报警</w:t>
            </w:r>
          </w:p>
        </w:tc>
        <w:tc>
          <w:tcPr>
            <w:tcW w:w="2763" w:type="pct"/>
            <w:tcBorders>
              <w:top w:val="single" w:color="auto" w:sz="4" w:space="0"/>
              <w:left w:val="single" w:color="auto" w:sz="4" w:space="0"/>
              <w:bottom w:val="single" w:color="auto" w:sz="4" w:space="0"/>
              <w:right w:val="single" w:color="auto" w:sz="4" w:space="0"/>
            </w:tcBorders>
            <w:noWrap w:val="0"/>
            <w:vAlign w:val="center"/>
          </w:tcPr>
          <w:p w14:paraId="4653F521">
            <w:pPr>
              <w:widowControl/>
              <w:jc w:val="left"/>
              <w:outlineLvl w:val="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一键报警系统的日常维护，维护点位清单见“一键报警维护清单”</w:t>
            </w:r>
          </w:p>
        </w:tc>
        <w:tc>
          <w:tcPr>
            <w:tcW w:w="372" w:type="pct"/>
            <w:tcBorders>
              <w:top w:val="single" w:color="auto" w:sz="4" w:space="0"/>
              <w:left w:val="single" w:color="auto" w:sz="4" w:space="0"/>
              <w:bottom w:val="single" w:color="auto" w:sz="4" w:space="0"/>
              <w:right w:val="single" w:color="auto" w:sz="4" w:space="0"/>
            </w:tcBorders>
            <w:noWrap w:val="0"/>
            <w:vAlign w:val="center"/>
          </w:tcPr>
          <w:p w14:paraId="732C0C4D">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381" w:type="pct"/>
            <w:tcBorders>
              <w:top w:val="single" w:color="auto" w:sz="4" w:space="0"/>
              <w:left w:val="single" w:color="auto" w:sz="4" w:space="0"/>
              <w:bottom w:val="single" w:color="auto" w:sz="4" w:space="0"/>
              <w:right w:val="single" w:color="auto" w:sz="4" w:space="0"/>
            </w:tcBorders>
            <w:noWrap w:val="0"/>
            <w:vAlign w:val="center"/>
          </w:tcPr>
          <w:p w14:paraId="0AC19E34">
            <w:pPr>
              <w:widowControl/>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w:t>
            </w:r>
          </w:p>
        </w:tc>
      </w:tr>
    </w:tbl>
    <w:p w14:paraId="627C4889">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以上清单项目及数量不可减少，但可增加以满足医院需求。</w:t>
      </w:r>
    </w:p>
    <w:p w14:paraId="59E862B9">
      <w:pPr>
        <w:pStyle w:val="262"/>
        <w:widowControl w:val="0"/>
        <w:spacing w:line="440" w:lineRule="exact"/>
        <w:ind w:left="0"/>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★（2）</w:t>
      </w:r>
      <w:r>
        <w:rPr>
          <w:rFonts w:ascii="宋体" w:hAnsi="宋体" w:cs="宋体"/>
          <w:color w:val="000000" w:themeColor="text1"/>
          <w:spacing w:val="-5"/>
          <w:highlight w:val="none"/>
          <w:lang w:eastAsia="zh-CN"/>
          <w14:textFill>
            <w14:solidFill>
              <w14:schemeClr w14:val="tx1"/>
            </w14:solidFill>
          </w14:textFill>
        </w:rPr>
        <w:t>关于设备清单的特别说明</w:t>
      </w:r>
    </w:p>
    <w:p w14:paraId="0BC870E5">
      <w:pPr>
        <w:pStyle w:val="262"/>
        <w:widowControl w:val="0"/>
        <w:spacing w:line="440" w:lineRule="exact"/>
        <w:ind w:left="0" w:firstLine="460"/>
        <w:rPr>
          <w:rFonts w:ascii="宋体" w:hAnsi="宋体" w:cs="宋体"/>
          <w:color w:val="000000" w:themeColor="text1"/>
          <w:spacing w:val="-5"/>
          <w:highlight w:val="none"/>
          <w:lang w:eastAsia="zh-CN"/>
          <w14:textFill>
            <w14:solidFill>
              <w14:schemeClr w14:val="tx1"/>
            </w14:solidFill>
          </w14:textFill>
        </w:rPr>
      </w:pPr>
      <w:r>
        <w:rPr>
          <w:rFonts w:ascii="宋体" w:hAnsi="宋体" w:cs="宋体"/>
          <w:color w:val="000000" w:themeColor="text1"/>
          <w:spacing w:val="-5"/>
          <w:highlight w:val="none"/>
          <w:lang w:eastAsia="zh-CN"/>
          <w14:textFill>
            <w14:solidFill>
              <w14:schemeClr w14:val="tx1"/>
            </w14:solidFill>
          </w14:textFill>
        </w:rPr>
        <w:t>本需求清单中的设备型号及数量是基于“单信号源设备覆盖6～8个房间”的典型馈线架构编制的参考配置，旨在明确项目的最低功能需求和建设规模。投标人</w:t>
      </w:r>
      <w:r>
        <w:rPr>
          <w:rFonts w:hint="eastAsia" w:ascii="宋体" w:hAnsi="宋体" w:cs="宋体"/>
          <w:color w:val="000000" w:themeColor="text1"/>
          <w:spacing w:val="-5"/>
          <w:highlight w:val="none"/>
          <w:lang w:eastAsia="zh-CN"/>
          <w14:textFill>
            <w14:solidFill>
              <w14:schemeClr w14:val="tx1"/>
            </w14:solidFill>
          </w14:textFill>
        </w:rPr>
        <w:t>亦</w:t>
      </w:r>
      <w:r>
        <w:rPr>
          <w:rFonts w:ascii="宋体" w:hAnsi="宋体" w:cs="宋体"/>
          <w:color w:val="000000" w:themeColor="text1"/>
          <w:spacing w:val="-5"/>
          <w:highlight w:val="none"/>
          <w:lang w:eastAsia="zh-CN"/>
          <w14:textFill>
            <w14:solidFill>
              <w14:schemeClr w14:val="tx1"/>
            </w14:solidFill>
          </w14:textFill>
        </w:rPr>
        <w:t>可根据自身成熟的馈线技术方案（如基站式、AP直连式等），对清单中的天线、馈线数量及信号源设备（无线AP/基站）的配置数量进行合理调整，但</w:t>
      </w:r>
      <w:r>
        <w:rPr>
          <w:rFonts w:hint="eastAsia" w:ascii="宋体" w:hAnsi="宋体" w:cs="宋体"/>
          <w:color w:val="000000" w:themeColor="text1"/>
          <w:spacing w:val="-5"/>
          <w:highlight w:val="none"/>
          <w:lang w:eastAsia="zh-CN"/>
          <w14:textFill>
            <w14:solidFill>
              <w14:schemeClr w14:val="tx1"/>
            </w14:solidFill>
          </w14:textFill>
        </w:rPr>
        <w:t>必须</w:t>
      </w:r>
      <w:r>
        <w:rPr>
          <w:rFonts w:ascii="宋体" w:hAnsi="宋体" w:cs="宋体"/>
          <w:color w:val="000000" w:themeColor="text1"/>
          <w:spacing w:val="-5"/>
          <w:highlight w:val="none"/>
          <w:lang w:eastAsia="zh-CN"/>
          <w14:textFill>
            <w14:solidFill>
              <w14:schemeClr w14:val="tx1"/>
            </w14:solidFill>
          </w14:textFill>
        </w:rPr>
        <w:t>满足以下所有条件：</w:t>
      </w:r>
    </w:p>
    <w:p w14:paraId="7C8220C1">
      <w:pPr>
        <w:pStyle w:val="262"/>
        <w:widowControl w:val="0"/>
        <w:numPr>
          <w:ilvl w:val="0"/>
          <w:numId w:val="7"/>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ascii="宋体" w:hAnsi="宋体" w:cs="宋体"/>
          <w:color w:val="000000" w:themeColor="text1"/>
          <w:spacing w:val="-5"/>
          <w:highlight w:val="none"/>
          <w:lang w:eastAsia="zh-CN"/>
          <w14:textFill>
            <w14:solidFill>
              <w14:schemeClr w14:val="tx1"/>
            </w14:solidFill>
          </w14:textFill>
        </w:rPr>
        <w:t>最终实现的无线网络必须完全满足本文件“</w:t>
      </w:r>
      <w:r>
        <w:rPr>
          <w:rFonts w:hint="eastAsia" w:ascii="宋体" w:hAnsi="宋体" w:cs="宋体"/>
          <w:color w:val="000000" w:themeColor="text1"/>
          <w:spacing w:val="-5"/>
          <w:highlight w:val="none"/>
          <w:lang w:eastAsia="zh-CN"/>
          <w14:textFill>
            <w14:solidFill>
              <w14:schemeClr w14:val="tx1"/>
            </w14:solidFill>
          </w14:textFill>
        </w:rPr>
        <w:t>无线网络重建</w:t>
      </w:r>
      <w:r>
        <w:rPr>
          <w:rFonts w:ascii="宋体" w:hAnsi="宋体" w:cs="宋体"/>
          <w:color w:val="000000" w:themeColor="text1"/>
          <w:spacing w:val="-5"/>
          <w:highlight w:val="none"/>
          <w:lang w:eastAsia="zh-CN"/>
          <w14:textFill>
            <w14:solidFill>
              <w14:schemeClr w14:val="tx1"/>
            </w14:solidFill>
          </w14:textFill>
        </w:rPr>
        <w:t>要求”中的所有性能指标（包括覆盖场强≥-65dBm、漫游时延≤50ms、丢包率≤0.5%、并发带宽等）。</w:t>
      </w:r>
    </w:p>
    <w:p w14:paraId="67B88684">
      <w:pPr>
        <w:pStyle w:val="262"/>
        <w:widowControl w:val="0"/>
        <w:numPr>
          <w:ilvl w:val="0"/>
          <w:numId w:val="7"/>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重建改造</w:t>
      </w:r>
      <w:r>
        <w:rPr>
          <w:rFonts w:ascii="宋体" w:hAnsi="宋体" w:cs="宋体"/>
          <w:color w:val="000000" w:themeColor="text1"/>
          <w:spacing w:val="-5"/>
          <w:highlight w:val="none"/>
          <w:lang w:eastAsia="zh-CN"/>
          <w14:textFill>
            <w14:solidFill>
              <w14:schemeClr w14:val="tx1"/>
            </w14:solidFill>
          </w14:textFill>
        </w:rPr>
        <w:t>必须覆盖本文件</w:t>
      </w:r>
      <w:r>
        <w:rPr>
          <w:rFonts w:hint="eastAsia" w:ascii="宋体" w:hAnsi="宋体" w:cs="宋体"/>
          <w:color w:val="000000" w:themeColor="text1"/>
          <w:spacing w:val="-5"/>
          <w:highlight w:val="none"/>
          <w:lang w:eastAsia="zh-CN"/>
          <w14:textFill>
            <w14:solidFill>
              <w14:schemeClr w14:val="tx1"/>
            </w14:solidFill>
          </w14:textFill>
        </w:rPr>
        <w:t>“</w:t>
      </w:r>
      <w:r>
        <w:rPr>
          <w:rFonts w:ascii="宋体" w:hAnsi="宋体" w:cs="宋体"/>
          <w:color w:val="000000" w:themeColor="text1"/>
          <w:spacing w:val="-5"/>
          <w:highlight w:val="none"/>
          <w:lang w:eastAsia="zh-CN"/>
          <w14:textFill>
            <w14:solidFill>
              <w14:schemeClr w14:val="tx1"/>
            </w14:solidFill>
          </w14:textFill>
        </w:rPr>
        <w:t>附表1</w:t>
      </w:r>
      <w:r>
        <w:rPr>
          <w:rFonts w:hint="eastAsia" w:ascii="宋体" w:hAnsi="宋体" w:cs="宋体"/>
          <w:color w:val="000000" w:themeColor="text1"/>
          <w:spacing w:val="-5"/>
          <w:highlight w:val="none"/>
          <w:lang w:eastAsia="zh-CN"/>
          <w14:textFill>
            <w14:solidFill>
              <w14:schemeClr w14:val="tx1"/>
            </w14:solidFill>
          </w14:textFill>
        </w:rPr>
        <w:t>”</w:t>
      </w:r>
      <w:r>
        <w:rPr>
          <w:rFonts w:ascii="宋体" w:hAnsi="宋体" w:cs="宋体"/>
          <w:color w:val="000000" w:themeColor="text1"/>
          <w:spacing w:val="-5"/>
          <w:highlight w:val="none"/>
          <w:lang w:eastAsia="zh-CN"/>
          <w14:textFill>
            <w14:solidFill>
              <w14:schemeClr w14:val="tx1"/>
            </w14:solidFill>
          </w14:textFill>
        </w:rPr>
        <w:t>改造区域中列出的全部房间、走廊及功能区域，不得遗漏</w:t>
      </w:r>
      <w:r>
        <w:rPr>
          <w:rFonts w:hint="eastAsia" w:ascii="宋体" w:hAnsi="宋体" w:cs="宋体"/>
          <w:color w:val="000000" w:themeColor="text1"/>
          <w:spacing w:val="-5"/>
          <w:highlight w:val="none"/>
          <w:lang w:eastAsia="zh-CN"/>
          <w14:textFill>
            <w14:solidFill>
              <w14:schemeClr w14:val="tx1"/>
            </w14:solidFill>
          </w14:textFill>
        </w:rPr>
        <w:t>。</w:t>
      </w:r>
    </w:p>
    <w:p w14:paraId="0D8D30E8">
      <w:pPr>
        <w:pStyle w:val="262"/>
        <w:widowControl w:val="0"/>
        <w:numPr>
          <w:ilvl w:val="0"/>
          <w:numId w:val="7"/>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ascii="宋体" w:hAnsi="宋体" w:cs="宋体"/>
          <w:color w:val="000000" w:themeColor="text1"/>
          <w:spacing w:val="-5"/>
          <w:highlight w:val="none"/>
          <w:lang w:eastAsia="zh-CN"/>
          <w14:textFill>
            <w14:solidFill>
              <w14:schemeClr w14:val="tx1"/>
            </w14:solidFill>
          </w14:textFill>
        </w:rPr>
        <w:t>投标人须在投标文件中提交详细的技术调整说明，内容包括：替代方案的拓扑图、信号源与天线的连接关系图、调整后的完整设备清单（含数量）、以及针对调整后方案的覆盖仿真预测报告或同类已验收项目的第三方测试报告，以证明调整后的方案能达到甚至优于原清单方案的覆盖效果。</w:t>
      </w:r>
    </w:p>
    <w:p w14:paraId="0856B619">
      <w:pPr>
        <w:pStyle w:val="262"/>
        <w:widowControl w:val="0"/>
        <w:numPr>
          <w:ilvl w:val="0"/>
          <w:numId w:val="7"/>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投标人投标时需提供详细设备清单并需注明品牌、型号、数量、单价、总价，否则视为无效投标文件处理。设备需求清单里项目及数量不可减少，但可增加以满足医院需求，</w:t>
      </w:r>
      <w:r>
        <w:rPr>
          <w:rFonts w:ascii="宋体" w:hAnsi="宋体" w:cs="宋体"/>
          <w:color w:val="000000" w:themeColor="text1"/>
          <w:spacing w:val="-5"/>
          <w:highlight w:val="none"/>
          <w:lang w:eastAsia="zh-CN"/>
          <w14:textFill>
            <w14:solidFill>
              <w14:schemeClr w14:val="tx1"/>
            </w14:solidFill>
          </w14:textFill>
        </w:rPr>
        <w:t>投标人若对原清单数量进行增加，不视为负偏离，但须在“技术偏离表”中明确标注“优化调整”，并说明理由。</w:t>
      </w:r>
    </w:p>
    <w:p w14:paraId="3BE59308">
      <w:pPr>
        <w:pStyle w:val="262"/>
        <w:widowControl w:val="0"/>
        <w:numPr>
          <w:ilvl w:val="0"/>
          <w:numId w:val="7"/>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ascii="宋体" w:hAnsi="宋体" w:cs="宋体"/>
          <w:color w:val="000000" w:themeColor="text1"/>
          <w:spacing w:val="-5"/>
          <w:highlight w:val="none"/>
          <w:lang w:eastAsia="zh-CN"/>
          <w14:textFill>
            <w14:solidFill>
              <w14:schemeClr w14:val="tx1"/>
            </w14:solidFill>
          </w14:textFill>
        </w:rPr>
        <w:t>无论投标人如何调整设备清单，中标后必须按自报的方案完成全部覆盖区域的施工，且最终验收以现场实际无线性能测试结果为唯一依据。如因配置调整导致覆盖不达标，由中标人免费补足设备或重新施工，直至验收合格。</w:t>
      </w:r>
    </w:p>
    <w:p w14:paraId="4AB506C1">
      <w:pPr>
        <w:pStyle w:val="262"/>
        <w:widowControl w:val="0"/>
        <w:numPr>
          <w:ilvl w:val="0"/>
          <w:numId w:val="8"/>
        </w:numPr>
        <w:spacing w:line="440" w:lineRule="exact"/>
        <w:ind w:left="0" w:firstLine="460"/>
        <w:rPr>
          <w:rFonts w:ascii="宋体" w:hAnsi="宋体" w:cs="宋体"/>
          <w:color w:val="000000" w:themeColor="text1"/>
          <w:spacing w:val="-5"/>
          <w:highlight w:val="none"/>
          <w:lang w:eastAsia="zh-CN"/>
          <w14:textFill>
            <w14:solidFill>
              <w14:schemeClr w14:val="tx1"/>
            </w14:solidFill>
          </w14:textFill>
        </w:rPr>
      </w:pPr>
      <w:r>
        <w:rPr>
          <w:rFonts w:ascii="宋体" w:hAnsi="宋体" w:cs="宋体"/>
          <w:color w:val="000000" w:themeColor="text1"/>
          <w:spacing w:val="-5"/>
          <w:highlight w:val="none"/>
          <w:lang w:eastAsia="zh-CN"/>
          <w14:textFill>
            <w14:solidFill>
              <w14:schemeClr w14:val="tx1"/>
            </w14:solidFill>
          </w14:textFill>
        </w:rPr>
        <w:t>本项目采购需求清单中的设备数量为估算参考量。中标通知书发出后15个日历天内，中标人须完成对全部覆盖区域的详细现场勘测，并根据其自有馈线技术方案，出具深化设计方案及最终详细配置清单（含各类型号的天线、馈线具体数量及长度），提交采购人审核。审核通过后方可组织施工。最终配置清单</w:t>
      </w:r>
      <w:r>
        <w:rPr>
          <w:rFonts w:hint="eastAsia" w:ascii="宋体" w:hAnsi="宋体" w:cs="宋体"/>
          <w:color w:val="000000" w:themeColor="text1"/>
          <w:spacing w:val="-5"/>
          <w:highlight w:val="none"/>
          <w:lang w:eastAsia="zh-CN"/>
          <w14:textFill>
            <w14:solidFill>
              <w14:schemeClr w14:val="tx1"/>
            </w14:solidFill>
          </w14:textFill>
        </w:rPr>
        <w:t>中的品牌型号符合投标清单</w:t>
      </w:r>
      <w:r>
        <w:rPr>
          <w:rFonts w:ascii="宋体" w:hAnsi="宋体" w:cs="宋体"/>
          <w:color w:val="000000" w:themeColor="text1"/>
          <w:spacing w:val="-5"/>
          <w:highlight w:val="none"/>
          <w:lang w:eastAsia="zh-CN"/>
          <w14:textFill>
            <w14:solidFill>
              <w14:schemeClr w14:val="tx1"/>
            </w14:solidFill>
          </w14:textFill>
        </w:rPr>
        <w:t>，且必须保证所有覆盖区域的性能指标满足采购文件要求。若因</w:t>
      </w:r>
      <w:r>
        <w:rPr>
          <w:rFonts w:hint="eastAsia" w:ascii="宋体" w:hAnsi="宋体" w:cs="宋体"/>
          <w:color w:val="000000" w:themeColor="text1"/>
          <w:spacing w:val="-5"/>
          <w:highlight w:val="none"/>
          <w:lang w:eastAsia="zh-CN"/>
          <w14:textFill>
            <w14:solidFill>
              <w14:schemeClr w14:val="tx1"/>
            </w14:solidFill>
          </w14:textFill>
        </w:rPr>
        <w:t>深化</w:t>
      </w:r>
      <w:r>
        <w:rPr>
          <w:rFonts w:ascii="宋体" w:hAnsi="宋体" w:cs="宋体"/>
          <w:color w:val="000000" w:themeColor="text1"/>
          <w:spacing w:val="-5"/>
          <w:highlight w:val="none"/>
          <w:lang w:eastAsia="zh-CN"/>
          <w14:textFill>
            <w14:solidFill>
              <w14:schemeClr w14:val="tx1"/>
            </w14:solidFill>
          </w14:textFill>
        </w:rPr>
        <w:t>设计需要增加</w:t>
      </w:r>
      <w:r>
        <w:rPr>
          <w:rFonts w:hint="eastAsia" w:ascii="宋体" w:hAnsi="宋体" w:cs="宋体"/>
          <w:color w:val="000000" w:themeColor="text1"/>
          <w:spacing w:val="-5"/>
          <w:highlight w:val="none"/>
          <w:lang w:eastAsia="zh-CN"/>
          <w14:textFill>
            <w14:solidFill>
              <w14:schemeClr w14:val="tx1"/>
            </w14:solidFill>
          </w14:textFill>
        </w:rPr>
        <w:t>设备、</w:t>
      </w:r>
      <w:r>
        <w:rPr>
          <w:rFonts w:ascii="宋体" w:hAnsi="宋体" w:cs="宋体"/>
          <w:color w:val="000000" w:themeColor="text1"/>
          <w:spacing w:val="-5"/>
          <w:highlight w:val="none"/>
          <w:lang w:eastAsia="zh-CN"/>
          <w14:textFill>
            <w14:solidFill>
              <w14:schemeClr w14:val="tx1"/>
            </w14:solidFill>
          </w14:textFill>
        </w:rPr>
        <w:t>天线、馈线</w:t>
      </w:r>
      <w:r>
        <w:rPr>
          <w:rFonts w:hint="eastAsia" w:ascii="宋体" w:hAnsi="宋体" w:cs="宋体"/>
          <w:color w:val="000000" w:themeColor="text1"/>
          <w:spacing w:val="-5"/>
          <w:highlight w:val="none"/>
          <w:lang w:eastAsia="zh-CN"/>
          <w14:textFill>
            <w14:solidFill>
              <w14:schemeClr w14:val="tx1"/>
            </w14:solidFill>
          </w14:textFill>
        </w:rPr>
        <w:t>等</w:t>
      </w:r>
      <w:r>
        <w:rPr>
          <w:rFonts w:ascii="宋体" w:hAnsi="宋体" w:cs="宋体"/>
          <w:color w:val="000000" w:themeColor="text1"/>
          <w:spacing w:val="-5"/>
          <w:highlight w:val="none"/>
          <w:lang w:eastAsia="zh-CN"/>
          <w14:textFill>
            <w14:solidFill>
              <w14:schemeClr w14:val="tx1"/>
            </w14:solidFill>
          </w14:textFill>
        </w:rPr>
        <w:t>数量，费用由中标人自行承担，</w:t>
      </w:r>
      <w:r>
        <w:rPr>
          <w:rFonts w:hint="eastAsia" w:ascii="宋体" w:hAnsi="宋体" w:cs="宋体"/>
          <w:color w:val="000000" w:themeColor="text1"/>
          <w:spacing w:val="-5"/>
          <w:highlight w:val="none"/>
          <w:lang w:eastAsia="zh-CN"/>
          <w14:textFill>
            <w14:solidFill>
              <w14:schemeClr w14:val="tx1"/>
            </w14:solidFill>
          </w14:textFill>
        </w:rPr>
        <w:t>中标价为结算价，</w:t>
      </w:r>
      <w:r>
        <w:rPr>
          <w:rFonts w:ascii="宋体" w:hAnsi="宋体" w:cs="宋体"/>
          <w:color w:val="000000" w:themeColor="text1"/>
          <w:spacing w:val="-5"/>
          <w:highlight w:val="none"/>
          <w:lang w:eastAsia="zh-CN"/>
          <w14:textFill>
            <w14:solidFill>
              <w14:schemeClr w14:val="tx1"/>
            </w14:solidFill>
          </w14:textFill>
        </w:rPr>
        <w:t>采购人有权要求</w:t>
      </w:r>
      <w:r>
        <w:rPr>
          <w:rFonts w:hint="eastAsia" w:ascii="宋体" w:hAnsi="宋体" w:cs="宋体"/>
          <w:color w:val="000000" w:themeColor="text1"/>
          <w:spacing w:val="-5"/>
          <w:highlight w:val="none"/>
          <w:lang w:eastAsia="zh-CN"/>
          <w14:textFill>
            <w14:solidFill>
              <w14:schemeClr w14:val="tx1"/>
            </w14:solidFill>
          </w14:textFill>
        </w:rPr>
        <w:t>在不额外</w:t>
      </w:r>
      <w:r>
        <w:rPr>
          <w:rFonts w:ascii="宋体" w:hAnsi="宋体" w:cs="宋体"/>
          <w:color w:val="000000" w:themeColor="text1"/>
          <w:spacing w:val="-5"/>
          <w:highlight w:val="none"/>
          <w:lang w:eastAsia="zh-CN"/>
          <w14:textFill>
            <w14:solidFill>
              <w14:schemeClr w14:val="tx1"/>
            </w14:solidFill>
          </w14:textFill>
        </w:rPr>
        <w:t>增加费用的前提下优化覆盖效果，</w:t>
      </w:r>
      <w:r>
        <w:rPr>
          <w:rFonts w:hint="eastAsia" w:ascii="宋体" w:hAnsi="宋体" w:cs="宋体"/>
          <w:color w:val="000000" w:themeColor="text1"/>
          <w:spacing w:val="-5"/>
          <w:highlight w:val="none"/>
          <w:lang w:eastAsia="zh-CN"/>
          <w14:textFill>
            <w14:solidFill>
              <w14:schemeClr w14:val="tx1"/>
            </w14:solidFill>
          </w14:textFill>
        </w:rPr>
        <w:t>达到验收标准。（提供承诺函）</w:t>
      </w:r>
    </w:p>
    <w:p w14:paraId="4DFB407B">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pacing w:val="-5"/>
          <w:sz w:val="24"/>
          <w:szCs w:val="24"/>
          <w:highlight w:val="none"/>
          <w14:textFill>
            <w14:solidFill>
              <w14:schemeClr w14:val="tx1"/>
            </w14:solidFill>
          </w14:textFill>
        </w:rPr>
        <w:t>▲（4）建议投标前进行现场踏勘，进行过踏勘的供应商提供采购人盖章的踏勘表作为证明。</w:t>
      </w:r>
    </w:p>
    <w:p w14:paraId="28284D43">
      <w:pPr>
        <w:spacing w:line="440" w:lineRule="exact"/>
        <w:ind w:firstLine="482"/>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3、技术参数要求：</w:t>
      </w:r>
    </w:p>
    <w:p w14:paraId="608051C3">
      <w:pPr>
        <w:spacing w:line="440" w:lineRule="exact"/>
        <w:ind w:firstLine="462"/>
        <w:rPr>
          <w:rFonts w:ascii="宋体" w:hAnsi="宋体" w:cs="宋体"/>
          <w:b/>
          <w:bCs/>
          <w:color w:val="000000" w:themeColor="text1"/>
          <w:spacing w:val="-5"/>
          <w:sz w:val="24"/>
          <w:szCs w:val="24"/>
          <w:highlight w:val="none"/>
          <w14:textFill>
            <w14:solidFill>
              <w14:schemeClr w14:val="tx1"/>
            </w14:solidFill>
          </w14:textFill>
        </w:rPr>
      </w:pPr>
      <w:r>
        <w:rPr>
          <w:rFonts w:hint="eastAsia" w:ascii="宋体" w:hAnsi="宋体" w:cs="宋体"/>
          <w:b/>
          <w:bCs/>
          <w:color w:val="000000" w:themeColor="text1"/>
          <w:spacing w:val="-5"/>
          <w:sz w:val="24"/>
          <w:szCs w:val="24"/>
          <w:highlight w:val="none"/>
          <w14:textFill>
            <w14:solidFill>
              <w14:schemeClr w14:val="tx1"/>
            </w14:solidFill>
          </w14:textFill>
        </w:rPr>
        <w:t>（1）</w:t>
      </w:r>
      <w:r>
        <w:rPr>
          <w:rFonts w:hint="eastAsia" w:ascii="宋体" w:hAnsi="宋体" w:cs="宋体"/>
          <w:b/>
          <w:bCs/>
          <w:color w:val="000000" w:themeColor="text1"/>
          <w:sz w:val="24"/>
          <w:szCs w:val="24"/>
          <w:highlight w:val="none"/>
          <w14:textFill>
            <w14:solidFill>
              <w14:schemeClr w14:val="tx1"/>
            </w14:solidFill>
          </w14:textFill>
        </w:rPr>
        <w:t>病房无线AP</w:t>
      </w:r>
      <w:r>
        <w:rPr>
          <w:rFonts w:hint="eastAsia" w:ascii="宋体" w:hAnsi="宋体" w:cs="宋体"/>
          <w:b/>
          <w:bCs/>
          <w:color w:val="000000" w:themeColor="text1"/>
          <w:spacing w:val="-5"/>
          <w:sz w:val="24"/>
          <w:szCs w:val="24"/>
          <w:highlight w:val="none"/>
          <w14:textFill>
            <w14:solidFill>
              <w14:schemeClr w14:val="tx1"/>
            </w14:solidFill>
          </w14:textFill>
        </w:rPr>
        <w:t>：</w:t>
      </w:r>
    </w:p>
    <w:p w14:paraId="5226B713">
      <w:pPr>
        <w:pStyle w:val="262"/>
        <w:widowControl w:val="0"/>
        <w:numPr>
          <w:ilvl w:val="0"/>
          <w:numId w:val="9"/>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bookmarkStart w:id="167" w:name="OLE_LINK2"/>
      <w:r>
        <w:rPr>
          <w:rFonts w:hint="eastAsia" w:ascii="宋体" w:hAnsi="宋体" w:cs="宋体"/>
          <w:color w:val="000000" w:themeColor="text1"/>
          <w:spacing w:val="-5"/>
          <w:highlight w:val="none"/>
          <w:lang w:eastAsia="zh-CN"/>
          <w14:textFill>
            <w14:solidFill>
              <w14:schemeClr w14:val="tx1"/>
            </w14:solidFill>
          </w14:textFill>
        </w:rPr>
        <w:t>★支持WIFI6或WIFI 7协议，最大无线接入速率≥2.4Gbps，提供官网截图和链接证明；</w:t>
      </w:r>
    </w:p>
    <w:p w14:paraId="53432612">
      <w:pPr>
        <w:pStyle w:val="262"/>
        <w:widowControl w:val="0"/>
        <w:numPr>
          <w:ilvl w:val="0"/>
          <w:numId w:val="9"/>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w:t>
      </w:r>
      <w:r>
        <w:rPr>
          <w:rFonts w:ascii="Segoe UI" w:hAnsi="Segoe UI" w:eastAsia="Segoe UI" w:cs="Segoe UI"/>
          <w:color w:val="000000" w:themeColor="text1"/>
          <w:highlight w:val="none"/>
          <w:shd w:val="clear" w:color="auto" w:fill="FFFFFF"/>
          <w:lang w:eastAsia="zh-CN"/>
          <w14:textFill>
            <w14:solidFill>
              <w14:schemeClr w14:val="tx1"/>
            </w14:solidFill>
          </w14:textFill>
        </w:rPr>
        <w:t>本项目采用分布式天馈覆盖方案，要求通过射频馈线将无线信号引入病房内部，实现全病区零漫游覆盖。投标人可采用</w:t>
      </w:r>
      <w:r>
        <w:rPr>
          <w:rFonts w:hint="eastAsia" w:ascii="Segoe UI" w:hAnsi="Segoe UI" w:cs="Segoe UI"/>
          <w:color w:val="000000" w:themeColor="text1"/>
          <w:highlight w:val="none"/>
          <w:shd w:val="clear" w:color="auto" w:fill="FFFFFF"/>
          <w:lang w:eastAsia="zh-CN"/>
          <w14:textFill>
            <w14:solidFill>
              <w14:schemeClr w14:val="tx1"/>
            </w14:solidFill>
          </w14:textFill>
        </w:rPr>
        <w:t>“AP+馈线、</w:t>
      </w:r>
      <w:r>
        <w:rPr>
          <w:rFonts w:ascii="Segoe UI" w:hAnsi="Segoe UI" w:eastAsia="Segoe UI" w:cs="Segoe UI"/>
          <w:color w:val="000000" w:themeColor="text1"/>
          <w:highlight w:val="none"/>
          <w:shd w:val="clear" w:color="auto" w:fill="FFFFFF"/>
          <w:lang w:eastAsia="zh-CN"/>
          <w14:textFill>
            <w14:solidFill>
              <w14:schemeClr w14:val="tx1"/>
            </w14:solidFill>
          </w14:textFill>
        </w:rPr>
        <w:t>基站+馈线</w:t>
      </w:r>
      <w:r>
        <w:rPr>
          <w:rFonts w:hint="eastAsia" w:ascii="Segoe UI" w:hAnsi="Segoe UI" w:cs="Segoe UI"/>
          <w:color w:val="000000" w:themeColor="text1"/>
          <w:highlight w:val="none"/>
          <w:shd w:val="clear" w:color="auto" w:fill="FFFFFF"/>
          <w:lang w:eastAsia="zh-CN"/>
          <w14:textFill>
            <w14:solidFill>
              <w14:schemeClr w14:val="tx1"/>
            </w14:solidFill>
          </w14:textFill>
        </w:rPr>
        <w:t>”</w:t>
      </w:r>
      <w:r>
        <w:rPr>
          <w:rFonts w:ascii="Segoe UI" w:hAnsi="Segoe UI" w:eastAsia="Segoe UI" w:cs="Segoe UI"/>
          <w:color w:val="000000" w:themeColor="text1"/>
          <w:highlight w:val="none"/>
          <w:shd w:val="clear" w:color="auto" w:fill="FFFFFF"/>
          <w:lang w:eastAsia="zh-CN"/>
          <w14:textFill>
            <w14:solidFill>
              <w14:schemeClr w14:val="tx1"/>
            </w14:solidFill>
          </w14:textFill>
        </w:rPr>
        <w:t>等任一成熟架构，但须在投标文件中明确说明其技术实现方式，并提供该方案在医院病房场景的成功应用案例（</w:t>
      </w:r>
      <w:r>
        <w:rPr>
          <w:rFonts w:hint="eastAsia" w:ascii="Segoe UI" w:hAnsi="Segoe UI" w:eastAsia="Segoe UI" w:cs="Segoe UI"/>
          <w:color w:val="000000" w:themeColor="text1"/>
          <w:highlight w:val="none"/>
          <w:shd w:val="clear" w:color="auto" w:fill="FFFFFF"/>
          <w:lang w:eastAsia="zh-CN"/>
          <w14:textFill>
            <w14:solidFill>
              <w14:schemeClr w14:val="tx1"/>
            </w14:solidFill>
          </w14:textFill>
        </w:rPr>
        <w:t>提供</w:t>
      </w:r>
      <w:r>
        <w:rPr>
          <w:rFonts w:ascii="Segoe UI" w:hAnsi="Segoe UI" w:eastAsia="Segoe UI" w:cs="Segoe UI"/>
          <w:color w:val="000000" w:themeColor="text1"/>
          <w:highlight w:val="none"/>
          <w:shd w:val="clear" w:color="auto" w:fill="FFFFFF"/>
          <w:lang w:eastAsia="zh-CN"/>
          <w14:textFill>
            <w14:solidFill>
              <w14:schemeClr w14:val="tx1"/>
            </w14:solidFill>
          </w14:textFill>
        </w:rPr>
        <w:t>合同及验收报告）</w:t>
      </w:r>
      <w:bookmarkEnd w:id="167"/>
    </w:p>
    <w:p w14:paraId="08A5BFBA">
      <w:pPr>
        <w:pStyle w:val="262"/>
        <w:widowControl w:val="0"/>
        <w:numPr>
          <w:ilvl w:val="0"/>
          <w:numId w:val="9"/>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在目标区域无遮挡的覆盖范围内，WLAN须同时支持2.4GHz 和5GHz信号发射，2.4GHz 和5GHz信号强度应始终保持在-65dBm以上；</w:t>
      </w:r>
    </w:p>
    <w:p w14:paraId="2836D4CF">
      <w:pPr>
        <w:pStyle w:val="262"/>
        <w:widowControl w:val="0"/>
        <w:numPr>
          <w:ilvl w:val="0"/>
          <w:numId w:val="9"/>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设备需配置接口如下：≥2个10/100/1000Base-T自适应以太网接口，≥2个2.5GE SFP口，≥1个10/100/1000Base-T自适应以太网电口，支持对物联网单元供电，≥1个标准 Mini PCI-e 扩展卡插槽，可扩展物联网应用；</w:t>
      </w:r>
    </w:p>
    <w:p w14:paraId="78E35256">
      <w:pPr>
        <w:pStyle w:val="262"/>
        <w:widowControl w:val="0"/>
        <w:numPr>
          <w:ilvl w:val="0"/>
          <w:numId w:val="9"/>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支持隐蔽部署，通过馈线外接美化天线实现病区的入室信号覆盖，美化天线小尺寸设计；</w:t>
      </w:r>
    </w:p>
    <w:p w14:paraId="7F263236">
      <w:pPr>
        <w:pStyle w:val="262"/>
        <w:widowControl w:val="0"/>
        <w:numPr>
          <w:ilvl w:val="0"/>
          <w:numId w:val="9"/>
        </w:numPr>
        <w:spacing w:line="440" w:lineRule="exact"/>
        <w:ind w:left="0" w:firstLine="411"/>
        <w:rPr>
          <w:rFonts w:ascii="宋体" w:hAnsi="宋体" w:cs="宋体"/>
          <w:color w:val="000000" w:themeColor="text1"/>
          <w:spacing w:val="-5"/>
          <w:highlight w:val="none"/>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▲病房无线AP支持多通道物理隔离设计，可分别为内网、外网、物联网提供独立物理隔离数据通路，实现一套AP上部署三张业务网，简化建网过程，同时三网隔离。</w:t>
      </w:r>
      <w:r>
        <w:rPr>
          <w:rFonts w:hint="eastAsia" w:ascii="宋体" w:hAnsi="宋体" w:cs="宋体"/>
          <w:color w:val="000000" w:themeColor="text1"/>
          <w:spacing w:val="-5"/>
          <w:highlight w:val="none"/>
          <w14:textFill>
            <w14:solidFill>
              <w14:schemeClr w14:val="tx1"/>
            </w14:solidFill>
          </w14:textFill>
        </w:rPr>
        <w:t>提供官网截图和链接证明；</w:t>
      </w:r>
    </w:p>
    <w:p w14:paraId="1121C54B">
      <w:pPr>
        <w:pStyle w:val="262"/>
        <w:widowControl w:val="0"/>
        <w:numPr>
          <w:ilvl w:val="0"/>
          <w:numId w:val="9"/>
        </w:numPr>
        <w:spacing w:line="440" w:lineRule="exact"/>
        <w:ind w:left="0" w:firstLine="411"/>
        <w:rPr>
          <w:rFonts w:ascii="宋体" w:hAnsi="宋体" w:cs="宋体"/>
          <w:color w:val="000000" w:themeColor="text1"/>
          <w:spacing w:val="-5"/>
          <w:highlight w:val="none"/>
          <w14:textFill>
            <w14:solidFill>
              <w14:schemeClr w14:val="tx1"/>
            </w14:solidFill>
          </w14:textFill>
        </w:rPr>
      </w:pPr>
      <w:r>
        <w:rPr>
          <w:rFonts w:hint="eastAsia" w:ascii="宋体" w:hAnsi="宋体" w:cs="宋体"/>
          <w:color w:val="000000" w:themeColor="text1"/>
          <w:spacing w:val="-5"/>
          <w:highlight w:val="none"/>
          <w14:textFill>
            <w14:solidFill>
              <w14:schemeClr w14:val="tx1"/>
            </w14:solidFill>
          </w14:textFill>
        </w:rPr>
        <w:t>支持WPA（TKIP）、WPA-PSK、WPA2（AES）、WPA3等安全协议；</w:t>
      </w:r>
    </w:p>
    <w:p w14:paraId="462079E6">
      <w:pPr>
        <w:pStyle w:val="262"/>
        <w:widowControl w:val="0"/>
        <w:numPr>
          <w:ilvl w:val="0"/>
          <w:numId w:val="9"/>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w:t>
      </w:r>
      <w:r>
        <w:rPr>
          <w:rFonts w:ascii="Segoe UI" w:hAnsi="Segoe UI" w:eastAsia="Segoe UI" w:cs="Segoe UI"/>
          <w:color w:val="000000" w:themeColor="text1"/>
          <w:highlight w:val="none"/>
          <w:shd w:val="clear" w:color="auto" w:fill="FFFFFF"/>
          <w:lang w:eastAsia="zh-CN"/>
          <w14:textFill>
            <w14:solidFill>
              <w14:schemeClr w14:val="tx1"/>
            </w14:solidFill>
          </w14:textFill>
        </w:rPr>
        <w:t>基于射频天馈技术，单台信号源设备通过馈线和天线，应至少能为6-8个独立病房（按每间约40平米计）提供有效信号覆盖（边缘场强≥-65dBm）。覆盖能力需提供</w:t>
      </w:r>
      <w:r>
        <w:rPr>
          <w:rFonts w:hint="eastAsia" w:ascii="宋体" w:hAnsi="宋体" w:cs="宋体"/>
          <w:color w:val="000000" w:themeColor="text1"/>
          <w:spacing w:val="-5"/>
          <w:highlight w:val="none"/>
          <w:lang w:eastAsia="zh-CN"/>
          <w14:textFill>
            <w14:solidFill>
              <w14:schemeClr w14:val="tx1"/>
            </w14:solidFill>
          </w14:textFill>
        </w:rPr>
        <w:t>具有CMA或Tolly或CNAS标识的测试报告证明</w:t>
      </w:r>
      <w:r>
        <w:rPr>
          <w:rFonts w:ascii="Segoe UI" w:hAnsi="Segoe UI" w:eastAsia="Segoe UI" w:cs="Segoe UI"/>
          <w:color w:val="000000" w:themeColor="text1"/>
          <w:highlight w:val="none"/>
          <w:shd w:val="clear" w:color="auto" w:fill="FFFFFF"/>
          <w:lang w:eastAsia="zh-CN"/>
          <w14:textFill>
            <w14:solidFill>
              <w14:schemeClr w14:val="tx1"/>
            </w14:solidFill>
          </w14:textFill>
        </w:rPr>
        <w:t>。</w:t>
      </w:r>
    </w:p>
    <w:p w14:paraId="5A02D56C">
      <w:pPr>
        <w:pStyle w:val="262"/>
        <w:widowControl w:val="0"/>
        <w:numPr>
          <w:ilvl w:val="0"/>
          <w:numId w:val="9"/>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▲为满足灵活弹性的医院新建及改造的建设需求，需要单主机AP支持光电混合缆组网部署方式，实现长距离供电与数据传输。提供官网截图和链接证明；</w:t>
      </w:r>
    </w:p>
    <w:p w14:paraId="6234FF6A">
      <w:pPr>
        <w:pStyle w:val="262"/>
        <w:widowControl w:val="0"/>
        <w:numPr>
          <w:ilvl w:val="0"/>
          <w:numId w:val="9"/>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▲支持端口检测功能，可以现场通过指示灯以及远程网管等多种方式进行查看，天馈线信号需支持AC端可视化运维，方便管理和维护。提供官网截图和链接证明；</w:t>
      </w:r>
    </w:p>
    <w:p w14:paraId="77A9C24A">
      <w:pPr>
        <w:spacing w:line="440" w:lineRule="exact"/>
        <w:ind w:firstLine="413"/>
        <w:rPr>
          <w:rFonts w:ascii="宋体" w:hAnsi="宋体" w:cs="宋体"/>
          <w:b/>
          <w:bCs/>
          <w:color w:val="000000" w:themeColor="text1"/>
          <w:spacing w:val="-5"/>
          <w:sz w:val="24"/>
          <w:szCs w:val="24"/>
          <w:highlight w:val="none"/>
          <w14:textFill>
            <w14:solidFill>
              <w14:schemeClr w14:val="tx1"/>
            </w14:solidFill>
          </w14:textFill>
        </w:rPr>
      </w:pPr>
      <w:r>
        <w:rPr>
          <w:rFonts w:hint="eastAsia" w:ascii="宋体" w:hAnsi="宋体" w:cs="宋体"/>
          <w:b/>
          <w:bCs/>
          <w:color w:val="000000" w:themeColor="text1"/>
          <w:spacing w:val="-5"/>
          <w:sz w:val="24"/>
          <w:szCs w:val="24"/>
          <w:highlight w:val="none"/>
          <w14:textFill>
            <w14:solidFill>
              <w14:schemeClr w14:val="tx1"/>
            </w14:solidFill>
          </w14:textFill>
        </w:rPr>
        <w:t>（2）天线：</w:t>
      </w:r>
    </w:p>
    <w:p w14:paraId="370206AF">
      <w:pPr>
        <w:pStyle w:val="262"/>
        <w:widowControl w:val="0"/>
        <w:numPr>
          <w:ilvl w:val="0"/>
          <w:numId w:val="10"/>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支持吸顶，壁挂安装方式；</w:t>
      </w:r>
    </w:p>
    <w:p w14:paraId="4845A0D6">
      <w:pPr>
        <w:pStyle w:val="262"/>
        <w:widowControl w:val="0"/>
        <w:numPr>
          <w:ilvl w:val="0"/>
          <w:numId w:val="10"/>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支持隐蔽部署，通过馈线外接美化天线实现病区的入室信号覆盖，美化天线小尺寸设计，提供官网截图查询链接。</w:t>
      </w:r>
    </w:p>
    <w:p w14:paraId="2815470D">
      <w:pPr>
        <w:pStyle w:val="262"/>
        <w:widowControl w:val="0"/>
        <w:numPr>
          <w:ilvl w:val="0"/>
          <w:numId w:val="10"/>
        </w:numPr>
        <w:spacing w:line="440" w:lineRule="exact"/>
        <w:ind w:left="0" w:firstLine="411"/>
        <w:rPr>
          <w:rFonts w:ascii="宋体" w:hAnsi="宋体" w:cs="宋体"/>
          <w:color w:val="000000" w:themeColor="text1"/>
          <w:spacing w:val="-5"/>
          <w:highlight w:val="none"/>
          <w14:textFill>
            <w14:solidFill>
              <w14:schemeClr w14:val="tx1"/>
            </w14:solidFill>
          </w14:textFill>
        </w:rPr>
      </w:pPr>
      <w:r>
        <w:rPr>
          <w:rFonts w:hint="eastAsia" w:ascii="宋体" w:hAnsi="宋体" w:cs="宋体"/>
          <w:color w:val="000000" w:themeColor="text1"/>
          <w:spacing w:val="-5"/>
          <w:highlight w:val="none"/>
          <w14:textFill>
            <w14:solidFill>
              <w14:schemeClr w14:val="tx1"/>
            </w14:solidFill>
          </w14:textFill>
        </w:rPr>
        <w:t>工作频段（GHz）：2.4GHz：2.400GHz～2.500GHz、5GHz：5.150GHz~5.850GHz；</w:t>
      </w:r>
    </w:p>
    <w:p w14:paraId="1A90A7B5">
      <w:pPr>
        <w:pStyle w:val="262"/>
        <w:widowControl w:val="0"/>
        <w:numPr>
          <w:ilvl w:val="0"/>
          <w:numId w:val="10"/>
        </w:numPr>
        <w:spacing w:line="440" w:lineRule="exact"/>
        <w:ind w:left="0" w:firstLine="411"/>
        <w:rPr>
          <w:rFonts w:ascii="宋体" w:hAnsi="宋体" w:cs="宋体"/>
          <w:color w:val="000000" w:themeColor="text1"/>
          <w:spacing w:val="-5"/>
          <w:highlight w:val="none"/>
          <w14:textFill>
            <w14:solidFill>
              <w14:schemeClr w14:val="tx1"/>
            </w14:solidFill>
          </w14:textFill>
        </w:rPr>
      </w:pPr>
      <w:r>
        <w:rPr>
          <w:rFonts w:hint="eastAsia" w:ascii="宋体" w:hAnsi="宋体" w:cs="宋体"/>
          <w:color w:val="000000" w:themeColor="text1"/>
          <w:spacing w:val="-5"/>
          <w:highlight w:val="none"/>
          <w14:textFill>
            <w14:solidFill>
              <w14:schemeClr w14:val="tx1"/>
            </w14:solidFill>
          </w14:textFill>
        </w:rPr>
        <w:t>工作温度：</w:t>
      </w:r>
      <w:r>
        <w:rPr>
          <w:rFonts w:hint="eastAsia" w:ascii="宋体" w:hAnsi="宋体" w:cs="宋体"/>
          <w:color w:val="000000" w:themeColor="text1"/>
          <w:spacing w:val="-5"/>
          <w:highlight w:val="none"/>
          <w:lang w:eastAsia="zh-CN"/>
          <w14:textFill>
            <w14:solidFill>
              <w14:schemeClr w14:val="tx1"/>
            </w14:solidFill>
          </w14:textFill>
        </w:rPr>
        <w:t>覆盖</w:t>
      </w:r>
      <w:r>
        <w:rPr>
          <w:rFonts w:hint="eastAsia" w:ascii="宋体" w:hAnsi="宋体" w:cs="宋体"/>
          <w:color w:val="000000" w:themeColor="text1"/>
          <w:spacing w:val="-5"/>
          <w:highlight w:val="none"/>
          <w14:textFill>
            <w14:solidFill>
              <w14:schemeClr w14:val="tx1"/>
            </w14:solidFill>
          </w14:textFill>
        </w:rPr>
        <w:t>-20℃~+70℃；</w:t>
      </w:r>
    </w:p>
    <w:p w14:paraId="182BA560">
      <w:pPr>
        <w:spacing w:line="440" w:lineRule="exact"/>
        <w:ind w:firstLine="413"/>
        <w:rPr>
          <w:rFonts w:ascii="宋体" w:hAnsi="宋体" w:cs="宋体"/>
          <w:b/>
          <w:bCs/>
          <w:color w:val="000000" w:themeColor="text1"/>
          <w:spacing w:val="-5"/>
          <w:sz w:val="24"/>
          <w:szCs w:val="24"/>
          <w:highlight w:val="none"/>
          <w14:textFill>
            <w14:solidFill>
              <w14:schemeClr w14:val="tx1"/>
            </w14:solidFill>
          </w14:textFill>
        </w:rPr>
      </w:pPr>
      <w:r>
        <w:rPr>
          <w:rFonts w:hint="eastAsia" w:ascii="宋体" w:hAnsi="宋体" w:cs="宋体"/>
          <w:b/>
          <w:bCs/>
          <w:color w:val="000000" w:themeColor="text1"/>
          <w:spacing w:val="-5"/>
          <w:sz w:val="24"/>
          <w:szCs w:val="24"/>
          <w:highlight w:val="none"/>
          <w14:textFill>
            <w14:solidFill>
              <w14:schemeClr w14:val="tx1"/>
            </w14:solidFill>
          </w14:textFill>
        </w:rPr>
        <w:t>（3）交换机：</w:t>
      </w:r>
    </w:p>
    <w:p w14:paraId="57DAB7D0">
      <w:pPr>
        <w:pStyle w:val="262"/>
        <w:widowControl w:val="0"/>
        <w:numPr>
          <w:ilvl w:val="0"/>
          <w:numId w:val="7"/>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★交换容量≥2.4Tbps， 包转发率≥660Mpps，以官网最小值为准，要求提供官网截图；</w:t>
      </w:r>
    </w:p>
    <w:p w14:paraId="0BAB6DB7">
      <w:pPr>
        <w:pStyle w:val="262"/>
        <w:widowControl w:val="0"/>
        <w:numPr>
          <w:ilvl w:val="0"/>
          <w:numId w:val="7"/>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固化SFP+接口≥24个，支持一个模块化插槽并实配1G/10G/25G光接口≥</w:t>
      </w:r>
      <w:r>
        <w:rPr>
          <w:rFonts w:hint="eastAsia" w:ascii="宋体" w:hAnsi="宋体" w:cs="宋体"/>
          <w:b/>
          <w:bCs/>
          <w:color w:val="000000" w:themeColor="text1"/>
          <w:spacing w:val="-5"/>
          <w:highlight w:val="none"/>
          <w:lang w:eastAsia="zh-CN"/>
          <w14:textFill>
            <w14:solidFill>
              <w14:schemeClr w14:val="tx1"/>
            </w14:solidFill>
          </w14:textFill>
        </w:rPr>
        <w:t>6</w:t>
      </w:r>
      <w:r>
        <w:rPr>
          <w:rFonts w:hint="eastAsia" w:ascii="宋体" w:hAnsi="宋体" w:cs="宋体"/>
          <w:color w:val="000000" w:themeColor="text1"/>
          <w:spacing w:val="-5"/>
          <w:highlight w:val="none"/>
          <w:lang w:eastAsia="zh-CN"/>
          <w14:textFill>
            <w14:solidFill>
              <w14:schemeClr w14:val="tx1"/>
            </w14:solidFill>
          </w14:textFill>
        </w:rPr>
        <w:t>个，配套电源，上行板卡；</w:t>
      </w:r>
    </w:p>
    <w:p w14:paraId="2FC44B27">
      <w:pPr>
        <w:pStyle w:val="262"/>
        <w:widowControl w:val="0"/>
        <w:numPr>
          <w:ilvl w:val="0"/>
          <w:numId w:val="7"/>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固化PoE供电接口≥24个，支持PoE、PoE+、PoE++，每个端口支持不小于90W的PoE供电，最大PoE输出功率1600W，为了保证设备兼容性，要求供电端口与光口分离设计；</w:t>
      </w:r>
    </w:p>
    <w:p w14:paraId="15797B83">
      <w:pPr>
        <w:pStyle w:val="262"/>
        <w:widowControl w:val="0"/>
        <w:numPr>
          <w:ilvl w:val="0"/>
          <w:numId w:val="7"/>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为了方便PoE供电端口与光电混合缆续接，要求主机固化的PoE供电接口采用集中接口方式，单台主机集中接口≤2个；</w:t>
      </w:r>
    </w:p>
    <w:p w14:paraId="3FE5CBD8">
      <w:pPr>
        <w:pStyle w:val="262"/>
        <w:widowControl w:val="0"/>
        <w:numPr>
          <w:ilvl w:val="0"/>
          <w:numId w:val="7"/>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支持RJ45的MGMT接口≥1个，RJ45的Console接口≥1个，USB接口≥1个，为了方便运维建议以上端口固化在设备前面板；</w:t>
      </w:r>
    </w:p>
    <w:p w14:paraId="783D93A5">
      <w:pPr>
        <w:pStyle w:val="262"/>
        <w:widowControl w:val="0"/>
        <w:numPr>
          <w:ilvl w:val="0"/>
          <w:numId w:val="7"/>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室内支持不小于1100米光电混合缆部署；</w:t>
      </w:r>
    </w:p>
    <w:p w14:paraId="29090DC2">
      <w:pPr>
        <w:pStyle w:val="262"/>
        <w:widowControl w:val="0"/>
        <w:numPr>
          <w:ilvl w:val="0"/>
          <w:numId w:val="7"/>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支持有线/无线逻辑隔离和基于不同vlan的数据转发；</w:t>
      </w:r>
    </w:p>
    <w:p w14:paraId="573657EB">
      <w:pPr>
        <w:pStyle w:val="262"/>
        <w:widowControl w:val="0"/>
        <w:numPr>
          <w:ilvl w:val="0"/>
          <w:numId w:val="7"/>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支持对无线终端负载均衡，支持本地数据转发；</w:t>
      </w:r>
    </w:p>
    <w:p w14:paraId="04D70A99">
      <w:pPr>
        <w:pStyle w:val="262"/>
        <w:widowControl w:val="0"/>
        <w:numPr>
          <w:ilvl w:val="0"/>
          <w:numId w:val="7"/>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▲为保证设备在受到外界机械碰撞时能够正常运行，要求所投设备的IK防护测试级别至少达到IK05，提供具有 CMA或 CNAS认证章的测试报告扫描件。</w:t>
      </w:r>
    </w:p>
    <w:p w14:paraId="51BDD47D">
      <w:pPr>
        <w:spacing w:line="440" w:lineRule="exact"/>
        <w:ind w:firstLine="411"/>
        <w:rPr>
          <w:rFonts w:ascii="宋体" w:hAnsi="宋体" w:cs="宋体"/>
          <w:color w:val="000000" w:themeColor="text1"/>
          <w:spacing w:val="-5"/>
          <w:sz w:val="24"/>
          <w:szCs w:val="24"/>
          <w:highlight w:val="none"/>
          <w14:textFill>
            <w14:solidFill>
              <w14:schemeClr w14:val="tx1"/>
            </w14:solidFill>
          </w14:textFill>
        </w:rPr>
      </w:pPr>
      <w:r>
        <w:rPr>
          <w:rFonts w:hint="eastAsia" w:ascii="宋体" w:hAnsi="宋体" w:cs="宋体"/>
          <w:color w:val="000000" w:themeColor="text1"/>
          <w:spacing w:val="-5"/>
          <w:sz w:val="24"/>
          <w:szCs w:val="24"/>
          <w:highlight w:val="none"/>
          <w14:textFill>
            <w14:solidFill>
              <w14:schemeClr w14:val="tx1"/>
            </w14:solidFill>
          </w14:textFill>
        </w:rPr>
        <w:t>（4）无线控制器：</w:t>
      </w:r>
    </w:p>
    <w:p w14:paraId="342ED3FF">
      <w:pPr>
        <w:pStyle w:val="262"/>
        <w:widowControl w:val="0"/>
        <w:numPr>
          <w:ilvl w:val="0"/>
          <w:numId w:val="11"/>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★固化千兆电口数≥8，10G万兆接口数≥2个；提供官网截图和官网链接证明；</w:t>
      </w:r>
    </w:p>
    <w:p w14:paraId="6DD94354">
      <w:pPr>
        <w:pStyle w:val="262"/>
        <w:widowControl w:val="0"/>
        <w:numPr>
          <w:ilvl w:val="0"/>
          <w:numId w:val="11"/>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▲802.11转发性能≥10G，</w:t>
      </w:r>
      <w:r>
        <w:rPr>
          <w:rFonts w:ascii="Segoe UI" w:hAnsi="Segoe UI" w:eastAsia="Segoe UI" w:cs="Segoe UI"/>
          <w:color w:val="000000" w:themeColor="text1"/>
          <w:sz w:val="22"/>
          <w:szCs w:val="22"/>
          <w:highlight w:val="none"/>
          <w:shd w:val="clear" w:color="auto" w:fill="FFFFFF"/>
          <w:lang w:eastAsia="zh-CN"/>
          <w14:textFill>
            <w14:solidFill>
              <w14:schemeClr w14:val="tx1"/>
            </w14:solidFill>
          </w14:textFill>
        </w:rPr>
        <w:t>最大可管理AP数量≥512个</w:t>
      </w:r>
      <w:r>
        <w:rPr>
          <w:rFonts w:hint="eastAsia" w:ascii="宋体" w:hAnsi="宋体" w:cs="宋体"/>
          <w:color w:val="000000" w:themeColor="text1"/>
          <w:spacing w:val="-5"/>
          <w:highlight w:val="none"/>
          <w:lang w:eastAsia="zh-CN"/>
          <w14:textFill>
            <w14:solidFill>
              <w14:schemeClr w14:val="tx1"/>
            </w14:solidFill>
          </w14:textFill>
        </w:rPr>
        <w:t>，提供官网截图和链接证明；</w:t>
      </w:r>
    </w:p>
    <w:p w14:paraId="6AA435FF">
      <w:pPr>
        <w:pStyle w:val="262"/>
        <w:widowControl w:val="0"/>
        <w:numPr>
          <w:ilvl w:val="0"/>
          <w:numId w:val="11"/>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支持MAC认证、WEB认证、802.1X认证，认证后能实现IP地址、MAC地址、WLAN等元素的绑定信息，保证只有合法的用户才能进入网络，保留测试权利；</w:t>
      </w:r>
    </w:p>
    <w:p w14:paraId="3B51370E">
      <w:pPr>
        <w:pStyle w:val="262"/>
        <w:widowControl w:val="0"/>
        <w:numPr>
          <w:ilvl w:val="0"/>
          <w:numId w:val="11"/>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为保证设备使用安全，接触电流、保护导体电流、抗电强度均应符合GB 4943.1安全标准；</w:t>
      </w:r>
    </w:p>
    <w:p w14:paraId="7BD508CD">
      <w:pPr>
        <w:pStyle w:val="262"/>
        <w:widowControl w:val="0"/>
        <w:numPr>
          <w:ilvl w:val="0"/>
          <w:numId w:val="11"/>
        </w:numPr>
        <w:spacing w:line="440" w:lineRule="exact"/>
        <w:ind w:left="0" w:firstLine="411"/>
        <w:rPr>
          <w:rFonts w:ascii="宋体" w:hAnsi="宋体" w:cs="宋体"/>
          <w:color w:val="000000" w:themeColor="text1"/>
          <w:spacing w:val="-5"/>
          <w:highlight w:val="none"/>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为快速建立高度隔离的安全网络，设备应支持实现AP虚拟化功能，实现一台AP虚拟为多台AP，分别受不同AC设备独立管理，互不影响。</w:t>
      </w:r>
      <w:r>
        <w:rPr>
          <w:rFonts w:hint="eastAsia" w:ascii="宋体" w:hAnsi="宋体" w:cs="宋体"/>
          <w:color w:val="000000" w:themeColor="text1"/>
          <w:spacing w:val="-5"/>
          <w:highlight w:val="none"/>
          <w14:textFill>
            <w14:solidFill>
              <w14:schemeClr w14:val="tx1"/>
            </w14:solidFill>
          </w14:textFill>
        </w:rPr>
        <w:t>不同虚拟 AP之间数据隔离，虚拟AP在AC上不占用AP License。</w:t>
      </w:r>
    </w:p>
    <w:p w14:paraId="1E3FA794">
      <w:pPr>
        <w:pStyle w:val="262"/>
        <w:widowControl w:val="0"/>
        <w:numPr>
          <w:ilvl w:val="0"/>
          <w:numId w:val="11"/>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无线控制器具备AP逃生功能，当在AC不可达造成AP离线时，离线的AP能够继续维持已经接入的终端保持业务正常，提升无线网络的可靠性；</w:t>
      </w:r>
    </w:p>
    <w:p w14:paraId="0046A080">
      <w:pPr>
        <w:pStyle w:val="262"/>
        <w:widowControl w:val="0"/>
        <w:numPr>
          <w:ilvl w:val="0"/>
          <w:numId w:val="11"/>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具备ARP攻击防护功能。当网络中存在STA端的ARP攻击时，无线控制器能够抑制ARP报文的持续泛洪；</w:t>
      </w:r>
    </w:p>
    <w:p w14:paraId="74AFF858">
      <w:pPr>
        <w:pStyle w:val="262"/>
        <w:widowControl w:val="0"/>
        <w:numPr>
          <w:ilvl w:val="0"/>
          <w:numId w:val="11"/>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支持对非法无线接入点进行探测。在开启对非法AP的检测和防护功能后，可以检测到非法AP，并对这些非法AP进行屏蔽或反制，确保客户网络安全；</w:t>
      </w:r>
    </w:p>
    <w:p w14:paraId="37C4C406">
      <w:pPr>
        <w:pStyle w:val="262"/>
        <w:widowControl w:val="0"/>
        <w:numPr>
          <w:ilvl w:val="0"/>
          <w:numId w:val="11"/>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支持网络体验度量和可视化。可以查看体验概况，显示网络的整体使用体验。可以从区域分析、干扰、覆盖、接入、认证等维度度量网络状态，帮助分析定位体验问题。具体包括分析问题区域、信道率利用率高的AP，覆盖不足的AP、接入失败问题分类、认证失败导致的占比趋势等。要求提供具有CMA或CNAS标志的第三方权威出具的检测报告扫描件；</w:t>
      </w:r>
    </w:p>
    <w:p w14:paraId="27060BD9">
      <w:pPr>
        <w:pStyle w:val="262"/>
        <w:widowControl w:val="0"/>
        <w:numPr>
          <w:ilvl w:val="0"/>
          <w:numId w:val="11"/>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支持漫游粘滞现象优化功能，可以对终端漫游粘滞现象进行优化，使终端主动连接至信号更优的AP。</w:t>
      </w:r>
    </w:p>
    <w:p w14:paraId="4D583A20">
      <w:pPr>
        <w:pStyle w:val="262"/>
        <w:widowControl w:val="0"/>
        <w:numPr>
          <w:ilvl w:val="0"/>
          <w:numId w:val="11"/>
        </w:numPr>
        <w:spacing w:line="440" w:lineRule="exact"/>
        <w:ind w:left="0" w:firstLine="411"/>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★要求实配：配置满足本次招标无线AP授权许可数量，无线AP授权许可须为终身授权，且后续在硬件更换时，授权可免费迁移。（该项要求提供承诺函）</w:t>
      </w:r>
    </w:p>
    <w:p w14:paraId="3B83DAC2">
      <w:pPr>
        <w:spacing w:line="440" w:lineRule="exact"/>
        <w:ind w:firstLine="413"/>
        <w:rPr>
          <w:rFonts w:ascii="宋体" w:hAnsi="宋体" w:cs="宋体"/>
          <w:b/>
          <w:bCs/>
          <w:color w:val="000000" w:themeColor="text1"/>
          <w:spacing w:val="-5"/>
          <w:sz w:val="24"/>
          <w:szCs w:val="24"/>
          <w:highlight w:val="none"/>
          <w14:textFill>
            <w14:solidFill>
              <w14:schemeClr w14:val="tx1"/>
            </w14:solidFill>
          </w14:textFill>
        </w:rPr>
      </w:pPr>
      <w:r>
        <w:rPr>
          <w:rFonts w:hint="eastAsia" w:ascii="宋体" w:hAnsi="宋体" w:cs="宋体"/>
          <w:b/>
          <w:bCs/>
          <w:color w:val="000000" w:themeColor="text1"/>
          <w:spacing w:val="-5"/>
          <w:sz w:val="24"/>
          <w:szCs w:val="24"/>
          <w:highlight w:val="none"/>
          <w14:textFill>
            <w14:solidFill>
              <w14:schemeClr w14:val="tx1"/>
            </w14:solidFill>
          </w14:textFill>
        </w:rPr>
        <w:t>（5）运维管理系统扩容：</w:t>
      </w:r>
    </w:p>
    <w:p w14:paraId="474CFC90">
      <w:pPr>
        <w:pStyle w:val="262"/>
        <w:widowControl w:val="0"/>
        <w:numPr>
          <w:ilvl w:val="0"/>
          <w:numId w:val="12"/>
        </w:numPr>
        <w:spacing w:line="440" w:lineRule="exact"/>
        <w:ind w:left="0" w:firstLine="411"/>
        <w:rPr>
          <w:rFonts w:cs="宋体" w:asciiTheme="minorEastAsia" w:hAnsiTheme="minorEastAsia" w:eastAsiaTheme="minorEastAsia"/>
          <w:color w:val="000000" w:themeColor="text1"/>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w:t>
      </w:r>
      <w:r>
        <w:rPr>
          <w:rFonts w:ascii="Segoe UI" w:hAnsi="Segoe UI" w:eastAsia="Segoe UI" w:cs="Segoe UI"/>
          <w:color w:val="000000" w:themeColor="text1"/>
          <w:highlight w:val="none"/>
          <w:shd w:val="clear" w:color="auto" w:fill="FFFFFF"/>
          <w:lang w:eastAsia="zh-CN"/>
          <w14:textFill>
            <w14:solidFill>
              <w14:schemeClr w14:val="tx1"/>
            </w14:solidFill>
          </w14:textFill>
        </w:rPr>
        <w:t>为保证兼容性与统一管理，本次采购的网络设备须原生支持SNMP v2c/v3、Syslog、Telemetry等标准网络管理协议。投标人须在投标文件中提供书面承诺，承诺在中标后配合采购人及现有运维管理平台供应商，</w:t>
      </w:r>
      <w:r>
        <w:rPr>
          <w:rFonts w:hint="eastAsia" w:ascii="Segoe UI" w:hAnsi="Segoe UI" w:cs="Segoe UI"/>
          <w:color w:val="000000" w:themeColor="text1"/>
          <w:highlight w:val="none"/>
          <w:shd w:val="clear" w:color="auto" w:fill="FFFFFF"/>
          <w:lang w:eastAsia="zh-CN"/>
          <w14:textFill>
            <w14:solidFill>
              <w14:schemeClr w14:val="tx1"/>
            </w14:solidFill>
          </w14:textFill>
        </w:rPr>
        <w:t>30</w:t>
      </w:r>
      <w:r>
        <w:rPr>
          <w:rFonts w:ascii="Segoe UI" w:hAnsi="Segoe UI" w:eastAsia="Segoe UI" w:cs="Segoe UI"/>
          <w:color w:val="000000" w:themeColor="text1"/>
          <w:highlight w:val="none"/>
          <w:shd w:val="clear" w:color="auto" w:fill="FFFFFF"/>
          <w:lang w:eastAsia="zh-CN"/>
          <w14:textFill>
            <w14:solidFill>
              <w14:schemeClr w14:val="tx1"/>
            </w14:solidFill>
          </w14:textFill>
        </w:rPr>
        <w:t>个日历天内完成设备与平台的对接调试。若无法完成对接，中标人须提供一套满足本招标文件所有功能要求的全新运维管理平台（永久授权），并负责将本次采购设备及现有网络中核心的交换</w:t>
      </w:r>
      <w:r>
        <w:rPr>
          <w:rFonts w:hint="eastAsia" w:ascii="Segoe UI" w:hAnsi="Segoe UI" w:cs="Segoe UI"/>
          <w:color w:val="000000" w:themeColor="text1"/>
          <w:highlight w:val="none"/>
          <w:shd w:val="clear" w:color="auto" w:fill="FFFFFF"/>
          <w:lang w:eastAsia="zh-CN"/>
          <w14:textFill>
            <w14:solidFill>
              <w14:schemeClr w14:val="tx1"/>
            </w14:solidFill>
          </w14:textFill>
        </w:rPr>
        <w:t>机</w:t>
      </w:r>
      <w:r>
        <w:rPr>
          <w:rFonts w:hint="eastAsia" w:ascii="Segoe UI" w:hAnsi="Segoe UI" w:eastAsia="Segoe UI" w:cs="Segoe UI"/>
          <w:color w:val="000000" w:themeColor="text1"/>
          <w:highlight w:val="none"/>
          <w:shd w:val="clear" w:color="auto" w:fill="FFFFFF"/>
          <w:lang w:eastAsia="zh-CN"/>
          <w14:textFill>
            <w14:solidFill>
              <w14:schemeClr w14:val="tx1"/>
            </w14:solidFill>
          </w14:textFill>
        </w:rPr>
        <w:t>、服务器</w:t>
      </w:r>
      <w:r>
        <w:rPr>
          <w:rFonts w:ascii="Segoe UI" w:hAnsi="Segoe UI" w:eastAsia="Segoe UI" w:cs="Segoe UI"/>
          <w:color w:val="000000" w:themeColor="text1"/>
          <w:highlight w:val="none"/>
          <w:shd w:val="clear" w:color="auto" w:fill="FFFFFF"/>
          <w:lang w:eastAsia="zh-CN"/>
          <w14:textFill>
            <w14:solidFill>
              <w14:schemeClr w14:val="tx1"/>
            </w14:solidFill>
          </w14:textFill>
        </w:rPr>
        <w:t>及无线设备纳入统一管理。</w:t>
      </w:r>
      <w:r>
        <w:rPr>
          <w:rFonts w:hint="eastAsia" w:cs="宋体" w:asciiTheme="minorEastAsia" w:hAnsiTheme="minorEastAsia" w:eastAsiaTheme="minorEastAsia"/>
          <w:color w:val="000000" w:themeColor="text1"/>
          <w:highlight w:val="none"/>
          <w:lang w:eastAsia="zh-CN"/>
          <w14:textFill>
            <w14:solidFill>
              <w14:schemeClr w14:val="tx1"/>
            </w14:solidFill>
          </w14:textFill>
        </w:rPr>
        <w:t>（承诺函格式自拟，内容包括上述要求）</w:t>
      </w:r>
    </w:p>
    <w:p w14:paraId="1C206340">
      <w:pPr>
        <w:pStyle w:val="262"/>
        <w:widowControl w:val="0"/>
        <w:spacing w:line="440" w:lineRule="exact"/>
        <w:ind w:left="0" w:firstLine="480"/>
        <w:rPr>
          <w:rFonts w:cs="宋体" w:asciiTheme="minorEastAsia" w:hAnsiTheme="minorEastAsia" w:eastAsiaTheme="minorEastAsia"/>
          <w:color w:val="000000" w:themeColor="text1"/>
          <w:highlight w:val="none"/>
          <w:lang w:eastAsia="zh-CN"/>
          <w14:textFill>
            <w14:solidFill>
              <w14:schemeClr w14:val="tx1"/>
            </w14:solidFill>
          </w14:textFill>
        </w:rPr>
      </w:pPr>
      <w:r>
        <w:rPr>
          <w:rFonts w:hint="eastAsia" w:cs="宋体" w:asciiTheme="minorEastAsia" w:hAnsiTheme="minorEastAsia" w:eastAsiaTheme="minorEastAsia"/>
          <w:color w:val="000000" w:themeColor="text1"/>
          <w:highlight w:val="none"/>
          <w:lang w:eastAsia="zh-CN"/>
          <w14:textFill>
            <w14:solidFill>
              <w14:schemeClr w14:val="tx1"/>
            </w14:solidFill>
          </w14:textFill>
        </w:rPr>
        <w:t>2）</w:t>
      </w:r>
      <w:r>
        <w:rPr>
          <w:rFonts w:hint="eastAsia" w:ascii="宋体" w:hAnsi="宋体" w:cs="宋体"/>
          <w:color w:val="000000" w:themeColor="text1"/>
          <w:spacing w:val="-5"/>
          <w:highlight w:val="none"/>
          <w:lang w:eastAsia="zh-CN"/>
          <w14:textFill>
            <w14:solidFill>
              <w14:schemeClr w14:val="tx1"/>
            </w14:solidFill>
          </w14:textFill>
        </w:rPr>
        <w:t>▲</w:t>
      </w:r>
      <w:r>
        <w:rPr>
          <w:rFonts w:hint="eastAsia" w:cs="宋体" w:asciiTheme="minorEastAsia" w:hAnsiTheme="minorEastAsia" w:eastAsiaTheme="minorEastAsia"/>
          <w:color w:val="000000" w:themeColor="text1"/>
          <w:highlight w:val="none"/>
          <w:lang w:eastAsia="zh-CN"/>
          <w14:textFill>
            <w14:solidFill>
              <w14:schemeClr w14:val="tx1"/>
            </w14:solidFill>
          </w14:textFill>
        </w:rPr>
        <w:t>系统应具备足够的稳定性，必须具备自监控和异常通知的能力：①自监控：系统能够自监控操作系统、集群和节点、核心服务和组件，并将监控信息在一个页面统一呈现。支持自监控信息一键导出。其中，核心服务必须包括但不限于资源发现和采集服务、资产服务、用户认证和通知服务、web前端服务等；组件必须包括但不限于各类数据库、分布式处理引擎、消息中间件。②异常通知：系统监控到自身异常时，能够通过邮件、短信等方式第一时间通知运维人员。③自恢复：服务和组件状态异常时，能够自动执行服务重启，使其快速恢复，同时不影响其他服务和组件的运行。需提供具有CMA或CNAS标志的第三方权威机构出具的检测报告扫描件或</w:t>
      </w:r>
      <w:r>
        <w:rPr>
          <w:rFonts w:hint="eastAsia" w:ascii="宋体" w:hAnsi="宋体" w:cs="宋体"/>
          <w:color w:val="000000" w:themeColor="text1"/>
          <w:spacing w:val="-5"/>
          <w:highlight w:val="none"/>
          <w:lang w:eastAsia="zh-CN"/>
          <w14:textFill>
            <w14:solidFill>
              <w14:schemeClr w14:val="tx1"/>
            </w14:solidFill>
          </w14:textFill>
        </w:rPr>
        <w:t>提供官网截图和官网链接证明；</w:t>
      </w:r>
    </w:p>
    <w:p w14:paraId="736D337C">
      <w:pPr>
        <w:pStyle w:val="262"/>
        <w:widowControl w:val="0"/>
        <w:spacing w:line="440" w:lineRule="exact"/>
        <w:ind w:left="0" w:firstLine="460"/>
        <w:rPr>
          <w:rFonts w:ascii="宋体" w:hAnsi="宋体" w:cs="宋体"/>
          <w:color w:val="000000" w:themeColor="text1"/>
          <w:spacing w:val="-5"/>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3）▲</w:t>
      </w:r>
      <w:r>
        <w:rPr>
          <w:rFonts w:hint="eastAsia" w:cs="宋体" w:asciiTheme="minorEastAsia" w:hAnsiTheme="minorEastAsia" w:eastAsiaTheme="minorEastAsia"/>
          <w:color w:val="000000" w:themeColor="text1"/>
          <w:highlight w:val="none"/>
          <w:lang w:eastAsia="zh-CN"/>
          <w14:textFill>
            <w14:solidFill>
              <w14:schemeClr w14:val="tx1"/>
            </w14:solidFill>
          </w14:textFill>
        </w:rPr>
        <w:t>为了让运维人员方便快捷的使用运维系统，系统需支持以下需求：系统出厂需要内置运维工程师、运维管理员的工作台页面，让这两个角色（独立账号）的用户进入系统后就自动拥有工作台页面，无需每个用户手动添加。其中内置的运维工程师页面中需要能够看到：自己管辖范围内的资源的告警和风险、待处理的告警、待处理的风险等。内置的运维管理能够看到全局的资源数量、资源增长数量、告警总数、按资源类型展示近15日的告警和资源数量和趋势。需提供具有CMA或CNAS标志的第三方权威机构出具的检测报告扫描件或</w:t>
      </w:r>
      <w:r>
        <w:rPr>
          <w:rFonts w:hint="eastAsia" w:ascii="宋体" w:hAnsi="宋体" w:cs="宋体"/>
          <w:color w:val="000000" w:themeColor="text1"/>
          <w:spacing w:val="-5"/>
          <w:highlight w:val="none"/>
          <w:lang w:eastAsia="zh-CN"/>
          <w14:textFill>
            <w14:solidFill>
              <w14:schemeClr w14:val="tx1"/>
            </w14:solidFill>
          </w14:textFill>
        </w:rPr>
        <w:t>提供官网截图和官网链接证明；</w:t>
      </w:r>
    </w:p>
    <w:p w14:paraId="00DE6A8E">
      <w:pPr>
        <w:pStyle w:val="262"/>
        <w:widowControl w:val="0"/>
        <w:spacing w:line="440" w:lineRule="exact"/>
        <w:ind w:left="0" w:firstLine="460"/>
        <w:rPr>
          <w:rFonts w:cs="宋体" w:asciiTheme="minorEastAsia" w:hAnsiTheme="minorEastAsia" w:eastAsiaTheme="minorEastAsia"/>
          <w:color w:val="000000" w:themeColor="text1"/>
          <w:highlight w:val="none"/>
          <w:lang w:eastAsia="zh-CN"/>
          <w14:textFill>
            <w14:solidFill>
              <w14:schemeClr w14:val="tx1"/>
            </w14:solidFill>
          </w14:textFill>
        </w:rPr>
      </w:pPr>
      <w:r>
        <w:rPr>
          <w:rFonts w:hint="eastAsia" w:ascii="宋体" w:hAnsi="宋体" w:cs="宋体"/>
          <w:color w:val="000000" w:themeColor="text1"/>
          <w:spacing w:val="-5"/>
          <w:highlight w:val="none"/>
          <w:lang w:eastAsia="zh-CN"/>
          <w14:textFill>
            <w14:solidFill>
              <w14:schemeClr w14:val="tx1"/>
            </w14:solidFill>
          </w14:textFill>
        </w:rPr>
        <w:t>4）▲</w:t>
      </w:r>
      <w:r>
        <w:rPr>
          <w:rFonts w:hint="eastAsia" w:cs="宋体" w:asciiTheme="minorEastAsia" w:hAnsiTheme="minorEastAsia" w:eastAsiaTheme="minorEastAsia"/>
          <w:color w:val="000000" w:themeColor="text1"/>
          <w:highlight w:val="none"/>
          <w:lang w:eastAsia="zh-CN"/>
          <w14:textFill>
            <w14:solidFill>
              <w14:schemeClr w14:val="tx1"/>
            </w14:solidFill>
          </w14:textFill>
        </w:rPr>
        <w:t>为了帮助用户识别应用内部服务之间的调用关系，系统应能根据一定规则自动进行识别，并自动绘制数据流图。①系统应能自动识别进程之间的TCP访问关系。②系统应能自动将进程之间的关系自动识别为服务之间的访问关系。③系统应能自动检测服务之间访问链路的质量，应可提供以下指标：上行RTT、下行RTT、上行重传率、下行重传率、上行流速、下行流速、端到端RTT、重传率。需提供具有CMA或CNAS标志的第三方权威机构出具的检测报告扫描件或</w:t>
      </w:r>
      <w:r>
        <w:rPr>
          <w:rFonts w:hint="eastAsia" w:ascii="宋体" w:hAnsi="宋体" w:cs="宋体"/>
          <w:color w:val="000000" w:themeColor="text1"/>
          <w:spacing w:val="-5"/>
          <w:highlight w:val="none"/>
          <w:lang w:eastAsia="zh-CN"/>
          <w14:textFill>
            <w14:solidFill>
              <w14:schemeClr w14:val="tx1"/>
            </w14:solidFill>
          </w14:textFill>
        </w:rPr>
        <w:t>提供官网截图和官网链接证明；</w:t>
      </w:r>
    </w:p>
    <w:p w14:paraId="2A4CC10B">
      <w:pPr>
        <w:pStyle w:val="262"/>
        <w:widowControl w:val="0"/>
        <w:spacing w:line="440" w:lineRule="exact"/>
        <w:ind w:left="0" w:firstLine="480"/>
        <w:rPr>
          <w:rFonts w:cs="宋体" w:asciiTheme="minorEastAsia" w:hAnsiTheme="minorEastAsia" w:eastAsiaTheme="minorEastAsia"/>
          <w:color w:val="000000" w:themeColor="text1"/>
          <w:highlight w:val="none"/>
          <w:lang w:eastAsia="zh-CN"/>
          <w14:textFill>
            <w14:solidFill>
              <w14:schemeClr w14:val="tx1"/>
            </w14:solidFill>
          </w14:textFill>
        </w:rPr>
      </w:pPr>
      <w:r>
        <w:rPr>
          <w:rFonts w:hint="eastAsia" w:cs="宋体" w:asciiTheme="minorEastAsia" w:hAnsiTheme="minorEastAsia" w:eastAsiaTheme="minorEastAsia"/>
          <w:color w:val="000000" w:themeColor="text1"/>
          <w:highlight w:val="none"/>
          <w:lang w:eastAsia="zh-CN"/>
          <w14:textFill>
            <w14:solidFill>
              <w14:schemeClr w14:val="tx1"/>
            </w14:solidFill>
          </w14:textFill>
        </w:rPr>
        <w:t>5）为了支持IT基础架构中的各种数据平台及业务，系统支持通过API接口实现对主流虚拟化设备进行监控和管理，包括：VMware 、华三虚拟化、华为虚拟化等。</w:t>
      </w:r>
    </w:p>
    <w:p w14:paraId="27D308F6">
      <w:pPr>
        <w:pStyle w:val="262"/>
        <w:widowControl w:val="0"/>
        <w:spacing w:line="440" w:lineRule="exact"/>
        <w:ind w:left="0" w:firstLine="480"/>
        <w:rPr>
          <w:rFonts w:cs="宋体" w:asciiTheme="minorEastAsia" w:hAnsiTheme="minorEastAsia" w:eastAsiaTheme="minorEastAsia"/>
          <w:color w:val="000000" w:themeColor="text1"/>
          <w:highlight w:val="none"/>
          <w:lang w:eastAsia="zh-CN"/>
          <w14:textFill>
            <w14:solidFill>
              <w14:schemeClr w14:val="tx1"/>
            </w14:solidFill>
          </w14:textFill>
        </w:rPr>
      </w:pPr>
      <w:r>
        <w:rPr>
          <w:rFonts w:hint="eastAsia" w:cs="宋体" w:asciiTheme="minorEastAsia" w:hAnsiTheme="minorEastAsia" w:eastAsiaTheme="minorEastAsia"/>
          <w:color w:val="000000" w:themeColor="text1"/>
          <w:highlight w:val="none"/>
          <w:lang w:eastAsia="zh-CN"/>
          <w14:textFill>
            <w14:solidFill>
              <w14:schemeClr w14:val="tx1"/>
            </w14:solidFill>
          </w14:textFill>
        </w:rPr>
        <w:t>6）系统需支持对服务器的监控和检测。包括但不限于对浪潮的M3、M5、M6,华为的Taishan，以及惠普、联想、IBM、曙光、华三和戴尔等主流厂商服务器监控。</w:t>
      </w:r>
    </w:p>
    <w:p w14:paraId="69A6C427">
      <w:pPr>
        <w:pStyle w:val="262"/>
        <w:widowControl w:val="0"/>
        <w:spacing w:line="440" w:lineRule="exact"/>
        <w:ind w:left="0" w:firstLine="480"/>
        <w:rPr>
          <w:rFonts w:cs="宋体" w:asciiTheme="minorEastAsia" w:hAnsiTheme="minorEastAsia" w:eastAsiaTheme="minorEastAsia"/>
          <w:color w:val="000000" w:themeColor="text1"/>
          <w:highlight w:val="none"/>
          <w:lang w:eastAsia="zh-CN"/>
          <w14:textFill>
            <w14:solidFill>
              <w14:schemeClr w14:val="tx1"/>
            </w14:solidFill>
          </w14:textFill>
        </w:rPr>
      </w:pPr>
      <w:r>
        <w:rPr>
          <w:rFonts w:hint="eastAsia" w:cs="宋体" w:asciiTheme="minorEastAsia" w:hAnsiTheme="minorEastAsia" w:eastAsiaTheme="minorEastAsia"/>
          <w:color w:val="000000" w:themeColor="text1"/>
          <w:highlight w:val="none"/>
          <w:lang w:eastAsia="zh-CN"/>
          <w14:textFill>
            <w14:solidFill>
              <w14:schemeClr w14:val="tx1"/>
            </w14:solidFill>
          </w14:textFill>
        </w:rPr>
        <w:t>7）系统需支持与机房动环设备监控系统对接，实现对供配电设施、暖通和制冷设施、安防和消防设施、消防系统等信号接入及状态展示。监控的范围包含了：温湿度、烟感、水浸、空调、风机、照明、粉尘、电量仪、电量、电流、UPS、电池组、智能配电柜、交流配电屏、直流配电屏、配电空开、防雷、发电机、电气火灾探测器、烟感、温湿度感应器、消防报警机、视频、门禁、红外、门磁、玻璃破碎、机柜等多种资源。</w:t>
      </w:r>
    </w:p>
    <w:p w14:paraId="628128F4">
      <w:pPr>
        <w:pStyle w:val="262"/>
        <w:widowControl w:val="0"/>
        <w:spacing w:line="440" w:lineRule="exact"/>
        <w:ind w:left="0" w:firstLine="480"/>
        <w:rPr>
          <w:rFonts w:cs="宋体" w:asciiTheme="minorEastAsia" w:hAnsiTheme="minorEastAsia" w:eastAsiaTheme="minorEastAsia"/>
          <w:color w:val="000000" w:themeColor="text1"/>
          <w:highlight w:val="none"/>
          <w:lang w:eastAsia="zh-CN"/>
          <w14:textFill>
            <w14:solidFill>
              <w14:schemeClr w14:val="tx1"/>
            </w14:solidFill>
          </w14:textFill>
        </w:rPr>
      </w:pPr>
      <w:r>
        <w:rPr>
          <w:rFonts w:hint="eastAsia" w:cs="宋体" w:asciiTheme="minorEastAsia" w:hAnsiTheme="minorEastAsia" w:eastAsiaTheme="minorEastAsia"/>
          <w:color w:val="000000" w:themeColor="text1"/>
          <w:highlight w:val="none"/>
          <w:lang w:eastAsia="zh-CN"/>
          <w14:textFill>
            <w14:solidFill>
              <w14:schemeClr w14:val="tx1"/>
            </w14:solidFill>
          </w14:textFill>
        </w:rPr>
        <w:t>8）▲为实时、直观掌握医院移动查房业务运行健康度，系统需具备业务体验质量评估能力，并输出标准化SLA（服务等级协议）监控指标，指标分为真实业务运行指标与仿真性能测试指标两类：1.真实业务运行指标：网络连接成功率、网络接入时延、应用访问成功率、业务交易处理时延；2.仿真压测模拟指标：仿真场景网络连接成功率、仿真场景网络接入时延、仿真场景应用访问成功率、仿真场景业务交易处理时延。为了及时感知无线设备的运行状态，快速识别异常并恢复，以保证终端的正常上网体验，系统应具备以下能力：</w:t>
      </w:r>
      <w:r>
        <w:rPr>
          <w:rFonts w:hint="eastAsia" w:ascii="微软雅黑" w:hAnsi="微软雅黑" w:eastAsia="微软雅黑" w:cs="微软雅黑"/>
          <w:color w:val="000000" w:themeColor="text1"/>
          <w:highlight w:val="none"/>
          <w:lang w:eastAsia="zh-CN"/>
          <w14:textFill>
            <w14:solidFill>
              <w14:schemeClr w14:val="tx1"/>
            </w14:solidFill>
          </w14:textFill>
        </w:rPr>
        <w:t>①</w:t>
      </w:r>
      <w:r>
        <w:rPr>
          <w:rFonts w:hint="eastAsia" w:cs="宋体" w:asciiTheme="minorEastAsia" w:hAnsiTheme="minorEastAsia" w:eastAsiaTheme="minorEastAsia"/>
          <w:color w:val="000000" w:themeColor="text1"/>
          <w:highlight w:val="none"/>
          <w:lang w:eastAsia="zh-CN"/>
          <w14:textFill>
            <w14:solidFill>
              <w14:schemeClr w14:val="tx1"/>
            </w14:solidFill>
          </w14:textFill>
        </w:rPr>
        <w:t>支持通过SNMP、HTTP、ICMP协议对无线设备的性能指标监控和告警，包括锐捷、H3C、信锐、华为等主流厂商的无线设备；监控能力包括但不限于：ICMP状态、ICMP延时、SNMP状态、在线终端数、在线AP数、离线AP数、AP在线率、AP在线状态、Radio状态、当前信道、端口状态、端口速率等运行状态和指标。</w:t>
      </w:r>
      <w:r>
        <w:rPr>
          <w:rFonts w:hint="eastAsia" w:ascii="微软雅黑" w:hAnsi="微软雅黑" w:eastAsia="微软雅黑" w:cs="微软雅黑"/>
          <w:color w:val="000000" w:themeColor="text1"/>
          <w:highlight w:val="none"/>
          <w:lang w:eastAsia="zh-CN"/>
          <w14:textFill>
            <w14:solidFill>
              <w14:schemeClr w14:val="tx1"/>
            </w14:solidFill>
          </w14:textFill>
        </w:rPr>
        <w:t>②</w:t>
      </w:r>
      <w:r>
        <w:rPr>
          <w:rFonts w:hint="eastAsia" w:cs="宋体" w:asciiTheme="minorEastAsia" w:hAnsiTheme="minorEastAsia" w:eastAsiaTheme="minorEastAsia"/>
          <w:color w:val="000000" w:themeColor="text1"/>
          <w:highlight w:val="none"/>
          <w:lang w:eastAsia="zh-CN"/>
          <w14:textFill>
            <w14:solidFill>
              <w14:schemeClr w14:val="tx1"/>
            </w14:solidFill>
          </w14:textFill>
        </w:rPr>
        <w:t>系统应支持设备离线等严重故障的秒级告警。</w:t>
      </w:r>
      <w:r>
        <w:rPr>
          <w:rFonts w:hint="eastAsia" w:ascii="微软雅黑" w:hAnsi="微软雅黑" w:eastAsia="微软雅黑" w:cs="微软雅黑"/>
          <w:color w:val="000000" w:themeColor="text1"/>
          <w:highlight w:val="none"/>
          <w:lang w:eastAsia="zh-CN"/>
          <w14:textFill>
            <w14:solidFill>
              <w14:schemeClr w14:val="tx1"/>
            </w14:solidFill>
          </w14:textFill>
        </w:rPr>
        <w:t>③</w:t>
      </w:r>
      <w:r>
        <w:rPr>
          <w:rFonts w:hint="eastAsia" w:cs="宋体" w:asciiTheme="minorEastAsia" w:hAnsiTheme="minorEastAsia" w:eastAsiaTheme="minorEastAsia"/>
          <w:color w:val="000000" w:themeColor="text1"/>
          <w:highlight w:val="none"/>
          <w:lang w:eastAsia="zh-CN"/>
          <w14:textFill>
            <w14:solidFill>
              <w14:schemeClr w14:val="tx1"/>
            </w14:solidFill>
          </w14:textFill>
        </w:rPr>
        <w:t>为快速恢复设备的正常运行，系统应支持对AP、智分主机、微AP等无线设备进行一键重启。</w:t>
      </w:r>
      <w:r>
        <w:rPr>
          <w:rFonts w:hint="eastAsia" w:ascii="微软雅黑" w:hAnsi="微软雅黑" w:eastAsia="微软雅黑" w:cs="微软雅黑"/>
          <w:color w:val="000000" w:themeColor="text1"/>
          <w:highlight w:val="none"/>
          <w:lang w:eastAsia="zh-CN"/>
          <w14:textFill>
            <w14:solidFill>
              <w14:schemeClr w14:val="tx1"/>
            </w14:solidFill>
          </w14:textFill>
        </w:rPr>
        <w:t>④</w:t>
      </w:r>
      <w:r>
        <w:rPr>
          <w:rFonts w:hint="eastAsia" w:cs="宋体" w:asciiTheme="minorEastAsia" w:hAnsiTheme="minorEastAsia" w:eastAsiaTheme="minorEastAsia"/>
          <w:color w:val="000000" w:themeColor="text1"/>
          <w:highlight w:val="none"/>
          <w:lang w:eastAsia="zh-CN"/>
          <w14:textFill>
            <w14:solidFill>
              <w14:schemeClr w14:val="tx1"/>
            </w14:solidFill>
          </w14:textFill>
        </w:rPr>
        <w:t>为分析设备负载，系统应能准确统计每个设备的在线终端数，并按照2.4G、5G分别统计分析。</w:t>
      </w:r>
      <w:r>
        <w:rPr>
          <w:rFonts w:hint="eastAsia" w:ascii="微软雅黑" w:hAnsi="微软雅黑" w:eastAsia="微软雅黑" w:cs="微软雅黑"/>
          <w:color w:val="000000" w:themeColor="text1"/>
          <w:highlight w:val="none"/>
          <w:lang w:eastAsia="zh-CN"/>
          <w14:textFill>
            <w14:solidFill>
              <w14:schemeClr w14:val="tx1"/>
            </w14:solidFill>
          </w14:textFill>
        </w:rPr>
        <w:t>⑤</w:t>
      </w:r>
      <w:r>
        <w:rPr>
          <w:rFonts w:hint="eastAsia" w:cs="宋体" w:asciiTheme="minorEastAsia" w:hAnsiTheme="minorEastAsia" w:eastAsiaTheme="minorEastAsia"/>
          <w:color w:val="000000" w:themeColor="text1"/>
          <w:highlight w:val="none"/>
          <w:lang w:eastAsia="zh-CN"/>
          <w14:textFill>
            <w14:solidFill>
              <w14:schemeClr w14:val="tx1"/>
            </w14:solidFill>
          </w14:textFill>
        </w:rPr>
        <w:t>系统能够按照不同位置对设备进行划分，并统计每个位置的设备运行情况、在线终端数量，以识别设备运行质量差或负载高的区域，进行针对性优化。需提供系统截图或提供具有CMA或CNAS标志的第三方权威机构出具的检测报告扫描件或</w:t>
      </w:r>
      <w:r>
        <w:rPr>
          <w:rFonts w:hint="eastAsia" w:ascii="宋体" w:hAnsi="宋体" w:cs="宋体"/>
          <w:color w:val="000000" w:themeColor="text1"/>
          <w:spacing w:val="-5"/>
          <w:highlight w:val="none"/>
          <w:lang w:eastAsia="zh-CN"/>
          <w14:textFill>
            <w14:solidFill>
              <w14:schemeClr w14:val="tx1"/>
            </w14:solidFill>
          </w14:textFill>
        </w:rPr>
        <w:t>提供官网截图和官网链接证明；</w:t>
      </w:r>
    </w:p>
    <w:p w14:paraId="6A29A061">
      <w:pPr>
        <w:pStyle w:val="262"/>
        <w:widowControl w:val="0"/>
        <w:spacing w:line="440" w:lineRule="exact"/>
        <w:ind w:left="0" w:firstLine="480"/>
        <w:rPr>
          <w:rFonts w:hint="eastAsia" w:cs="宋体" w:asciiTheme="minorEastAsia" w:hAnsiTheme="minorEastAsia" w:eastAsiaTheme="minorEastAsia"/>
          <w:color w:val="000000" w:themeColor="text1"/>
          <w:highlight w:val="none"/>
          <w:lang w:eastAsia="zh-CN"/>
          <w14:textFill>
            <w14:solidFill>
              <w14:schemeClr w14:val="tx1"/>
            </w14:solidFill>
          </w14:textFill>
        </w:rPr>
      </w:pPr>
      <w:r>
        <w:rPr>
          <w:rFonts w:hint="eastAsia" w:cs="宋体" w:asciiTheme="minorEastAsia" w:hAnsiTheme="minorEastAsia" w:eastAsiaTheme="minorEastAsia"/>
          <w:color w:val="000000" w:themeColor="text1"/>
          <w:highlight w:val="none"/>
          <w:lang w:eastAsia="zh-CN"/>
          <w14:textFill>
            <w14:solidFill>
              <w14:schemeClr w14:val="tx1"/>
            </w14:solidFill>
          </w14:textFill>
        </w:rPr>
        <w:t>9）▲提供符合招标方要求的网络管理及运维管理系统使用培训。（不少于2人次，包含培训、交通、教材、住宿费，相关标准按照政府规定标准执行）。此项要求提供承诺函。</w:t>
      </w:r>
    </w:p>
    <w:p w14:paraId="2CECA5EB">
      <w:pPr>
        <w:pStyle w:val="262"/>
        <w:numPr>
          <w:ilvl w:val="0"/>
          <w:numId w:val="0"/>
        </w:numPr>
        <w:spacing w:line="440" w:lineRule="exact"/>
        <w:ind w:firstLine="480"/>
        <w:rPr>
          <w:rFonts w:ascii="宋体" w:hAnsi="宋体" w:cs="宋体"/>
          <w:b w:val="0"/>
          <w:bCs w:val="0"/>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10）</w:t>
      </w:r>
      <w:r>
        <w:rPr>
          <w:rFonts w:ascii="宋体" w:hAnsi="宋体" w:cs="宋体"/>
          <w:color w:val="000000" w:themeColor="text1"/>
          <w:highlight w:val="none"/>
          <w:lang w:eastAsia="zh-CN"/>
          <w14:textFill>
            <w14:solidFill>
              <w14:schemeClr w14:val="tx1"/>
            </w14:solidFill>
          </w14:textFill>
        </w:rPr>
        <w:t>中标后，中标人须在合同签订</w:t>
      </w:r>
      <w:r>
        <w:rPr>
          <w:rFonts w:hint="eastAsia" w:ascii="宋体" w:hAnsi="宋体" w:cs="宋体"/>
          <w:color w:val="000000" w:themeColor="text1"/>
          <w:highlight w:val="none"/>
          <w:lang w:eastAsia="zh-CN"/>
          <w14:textFill>
            <w14:solidFill>
              <w14:schemeClr w14:val="tx1"/>
            </w14:solidFill>
          </w14:textFill>
        </w:rPr>
        <w:t>时同时</w:t>
      </w:r>
      <w:r>
        <w:rPr>
          <w:rFonts w:ascii="宋体" w:hAnsi="宋体" w:cs="宋体"/>
          <w:color w:val="000000" w:themeColor="text1"/>
          <w:highlight w:val="none"/>
          <w:lang w:eastAsia="zh-CN"/>
          <w14:textFill>
            <w14:solidFill>
              <w14:schemeClr w14:val="tx1"/>
            </w14:solidFill>
          </w14:textFill>
        </w:rPr>
        <w:t>提供上述材料的纸质原件供采购人存档备查。中标人提供的存档材料须与投标文件中的材料内容一致，如发现不一致或存在伪造、变造情形的，采购人有权认定中标人存在提供虚假材料谋取中标的行为，将依法向财政部门报告，由财政部门依法处理。</w:t>
      </w:r>
    </w:p>
    <w:p w14:paraId="1BCE131B">
      <w:pPr>
        <w:spacing w:line="440" w:lineRule="exact"/>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商务标响应要求</w:t>
      </w:r>
    </w:p>
    <w:p w14:paraId="7764D6EE">
      <w:pPr>
        <w:spacing w:line="440" w:lineRule="exact"/>
        <w:ind w:firstLine="482"/>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1、交付时间：</w:t>
      </w:r>
      <w:r>
        <w:rPr>
          <w:rFonts w:hint="eastAsia" w:ascii="宋体" w:hAnsi="宋体" w:cs="宋体"/>
          <w:b w:val="0"/>
          <w:bCs w:val="0"/>
          <w:color w:val="000000" w:themeColor="text1"/>
          <w:sz w:val="24"/>
          <w:highlight w:val="none"/>
          <w14:textFill>
            <w14:solidFill>
              <w14:schemeClr w14:val="tx1"/>
            </w14:solidFill>
          </w14:textFill>
        </w:rPr>
        <w:t>自合同签订之日起120个日历天</w:t>
      </w:r>
      <w:r>
        <w:rPr>
          <w:rFonts w:hint="eastAsia" w:ascii="宋体" w:hAnsi="宋体" w:cs="宋体"/>
          <w:color w:val="000000" w:themeColor="text1"/>
          <w:sz w:val="24"/>
          <w:highlight w:val="none"/>
          <w14:textFill>
            <w14:solidFill>
              <w14:schemeClr w14:val="tx1"/>
            </w14:solidFill>
          </w14:textFill>
        </w:rPr>
        <w:t>内完成本项目所有设备供货、安装调试，并通过采购人的验收。该期限包含成交供应商的材料采购、运输、现场安装调试</w:t>
      </w:r>
      <w:r>
        <w:rPr>
          <w:rFonts w:hint="eastAsia" w:ascii="宋体" w:hAnsi="宋体" w:cs="宋体"/>
          <w:b w:val="0"/>
          <w:bCs w:val="0"/>
          <w:color w:val="000000" w:themeColor="text1"/>
          <w:sz w:val="24"/>
          <w:highlight w:val="none"/>
          <w14:textFill>
            <w14:solidFill>
              <w14:schemeClr w14:val="tx1"/>
            </w14:solidFill>
          </w14:textFill>
        </w:rPr>
        <w:t>及提交验收申请等全部时间。</w:t>
      </w:r>
    </w:p>
    <w:p w14:paraId="0938FD1C">
      <w:pPr>
        <w:spacing w:line="440" w:lineRule="exact"/>
        <w:ind w:firstLine="482"/>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2、交付地点：</w:t>
      </w:r>
      <w:r>
        <w:rPr>
          <w:rFonts w:hint="eastAsia" w:ascii="宋体" w:hAnsi="宋体" w:cs="宋体"/>
          <w:color w:val="000000" w:themeColor="text1"/>
          <w:sz w:val="24"/>
          <w:highlight w:val="none"/>
          <w14:textFill>
            <w14:solidFill>
              <w14:schemeClr w14:val="tx1"/>
            </w14:solidFill>
          </w14:textFill>
        </w:rPr>
        <w:t>采购人指定地点。</w:t>
      </w:r>
      <w:r>
        <w:rPr>
          <w:rFonts w:hint="eastAsia" w:ascii="宋体" w:hAnsi="宋体" w:cs="宋体"/>
          <w:b w:val="0"/>
          <w:bCs w:val="0"/>
          <w:color w:val="000000" w:themeColor="text1"/>
          <w:sz w:val="24"/>
          <w:highlight w:val="none"/>
          <w14:textFill>
            <w14:solidFill>
              <w14:schemeClr w14:val="tx1"/>
            </w14:solidFill>
          </w14:textFill>
        </w:rPr>
        <w:t>所有货物在验收前由中标方自行管理，损坏或丢失采购方概不负责，如需要采购方可提供临时仓库。</w:t>
      </w:r>
    </w:p>
    <w:p w14:paraId="0E2091D1">
      <w:pPr>
        <w:spacing w:line="44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3、质保期限：</w:t>
      </w:r>
      <w:r>
        <w:rPr>
          <w:rFonts w:hint="eastAsia" w:ascii="宋体" w:hAnsi="宋体" w:cs="宋体"/>
          <w:color w:val="000000" w:themeColor="text1"/>
          <w:sz w:val="24"/>
          <w:highlight w:val="none"/>
          <w14:textFill>
            <w14:solidFill>
              <w14:schemeClr w14:val="tx1"/>
            </w14:solidFill>
          </w14:textFill>
        </w:rPr>
        <w:t>本次提供产品至少三年质保，自项目整体验收合格次日起计算。</w:t>
      </w:r>
    </w:p>
    <w:p w14:paraId="65E6D99D">
      <w:pPr>
        <w:spacing w:line="440" w:lineRule="exact"/>
        <w:ind w:firstLine="482"/>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4、采购标的的验收标准：</w:t>
      </w:r>
      <w:r>
        <w:rPr>
          <w:rFonts w:hint="eastAsia" w:ascii="宋体" w:hAnsi="宋体" w:cs="宋体"/>
          <w:color w:val="000000" w:themeColor="text1"/>
          <w:sz w:val="24"/>
          <w:highlight w:val="none"/>
          <w14:textFill>
            <w14:solidFill>
              <w14:schemeClr w14:val="tx1"/>
            </w14:solidFill>
          </w14:textFill>
        </w:rPr>
        <w:t>严格根据采购文件、响应文件以及国家相关规定、标准进行验收。</w:t>
      </w:r>
    </w:p>
    <w:p w14:paraId="0E43E2A2">
      <w:pPr>
        <w:spacing w:line="440" w:lineRule="exact"/>
        <w:ind w:firstLine="482"/>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5、</w:t>
      </w:r>
      <w:r>
        <w:rPr>
          <w:rFonts w:hint="eastAsia" w:ascii="宋体" w:hAnsi="宋体" w:cs="宋体"/>
          <w:b/>
          <w:bCs/>
          <w:color w:val="000000" w:themeColor="text1"/>
          <w:sz w:val="24"/>
          <w:szCs w:val="24"/>
          <w:highlight w:val="none"/>
          <w14:textFill>
            <w14:solidFill>
              <w14:schemeClr w14:val="tx1"/>
            </w14:solidFill>
          </w14:textFill>
        </w:rPr>
        <w:t>售后服务要求</w:t>
      </w:r>
      <w:r>
        <w:rPr>
          <w:rFonts w:hint="eastAsia" w:ascii="宋体" w:hAnsi="宋体" w:cs="宋体"/>
          <w:b/>
          <w:bCs/>
          <w:color w:val="000000" w:themeColor="text1"/>
          <w:sz w:val="24"/>
          <w:highlight w:val="none"/>
          <w14:textFill>
            <w14:solidFill>
              <w14:schemeClr w14:val="tx1"/>
            </w14:solidFill>
          </w14:textFill>
        </w:rPr>
        <w:t>：</w:t>
      </w:r>
    </w:p>
    <w:p w14:paraId="67910B36">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（1）响应供应商应按采购文件规定的软硬件性能、技术要求、质量标准向采购人提供未经使用的全新产品。</w:t>
      </w:r>
    </w:p>
    <w:p w14:paraId="09A2CEE7">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（2）所提供货物质量必须符合国家相关标准，必须满足本次采购的要求，若所供货物经产品质量检测机构检测认定质量不合格，造成的损失和后果由</w:t>
      </w:r>
      <w:r>
        <w:rPr>
          <w:rFonts w:hint="eastAsia" w:ascii="宋体" w:hAnsi="宋体" w:cs="宋体"/>
          <w:color w:val="000000" w:themeColor="text1"/>
          <w:sz w:val="24"/>
          <w:highlight w:val="none"/>
          <w:lang w:val="en-US" w:eastAsia="zh-CN"/>
          <w14:textFill>
            <w14:solidFill>
              <w14:schemeClr w14:val="tx1"/>
            </w14:solidFill>
          </w14:textFill>
        </w:rPr>
        <w:t>中标方</w:t>
      </w:r>
      <w:r>
        <w:rPr>
          <w:rFonts w:hint="eastAsia" w:ascii="宋体" w:hAnsi="宋体" w:cs="宋体"/>
          <w:color w:val="000000" w:themeColor="text1"/>
          <w:sz w:val="24"/>
          <w:highlight w:val="none"/>
          <w14:textFill>
            <w14:solidFill>
              <w14:schemeClr w14:val="tx1"/>
            </w14:solidFill>
          </w14:textFill>
        </w:rPr>
        <w:t>负全责。</w:t>
      </w:r>
    </w:p>
    <w:p w14:paraId="19AE44FD">
      <w:pPr>
        <w:spacing w:beforeLines="20" w:afterLines="20" w:line="44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（3）系统发生故障时，维护人员应快速对系统设备进行诊断与故障排除，</w:t>
      </w:r>
      <w:r>
        <w:rPr>
          <w:rFonts w:hint="eastAsia" w:ascii="宋体" w:hAnsi="宋体" w:cs="宋体"/>
          <w:b w:val="0"/>
          <w:bCs w:val="0"/>
          <w:color w:val="000000" w:themeColor="text1"/>
          <w:sz w:val="24"/>
          <w:highlight w:val="none"/>
          <w14:textFill>
            <w14:solidFill>
              <w14:schemeClr w14:val="tx1"/>
            </w14:solidFill>
          </w14:textFill>
        </w:rPr>
        <w:t>对于影响到正常运行的各类故障需120分钟内立即修复，对于不影响到业务正常运行的各类故障要求</w:t>
      </w:r>
      <w:r>
        <w:rPr>
          <w:rFonts w:hint="eastAsia" w:ascii="宋体" w:hAnsi="宋体" w:cs="宋体"/>
          <w:b w:val="0"/>
          <w:bCs w:val="0"/>
          <w:color w:val="000000" w:themeColor="text1"/>
          <w:sz w:val="24"/>
          <w:highlight w:val="none"/>
          <w:lang w:val="en-US" w:eastAsia="zh-CN"/>
          <w14:textFill>
            <w14:solidFill>
              <w14:schemeClr w14:val="tx1"/>
            </w14:solidFill>
          </w14:textFill>
        </w:rPr>
        <w:t>12</w:t>
      </w:r>
      <w:r>
        <w:rPr>
          <w:rFonts w:hint="eastAsia" w:ascii="宋体" w:hAnsi="宋体" w:cs="宋体"/>
          <w:b w:val="0"/>
          <w:bCs w:val="0"/>
          <w:color w:val="000000" w:themeColor="text1"/>
          <w:sz w:val="24"/>
          <w:highlight w:val="none"/>
          <w14:textFill>
            <w14:solidFill>
              <w14:schemeClr w14:val="tx1"/>
            </w14:solidFill>
          </w14:textFill>
        </w:rPr>
        <w:t>小时内修复完成，</w:t>
      </w:r>
      <w:r>
        <w:rPr>
          <w:rFonts w:hint="eastAsia" w:ascii="宋体" w:hAnsi="宋体" w:cs="宋体"/>
          <w:color w:val="000000" w:themeColor="text1"/>
          <w:sz w:val="24"/>
          <w:highlight w:val="none"/>
          <w14:textFill>
            <w14:solidFill>
              <w14:schemeClr w14:val="tx1"/>
            </w14:solidFill>
          </w14:textFill>
        </w:rPr>
        <w:t>故障处理完毕后，需提交事件处理分析报告，并提供优化建议。维保期内，每周不少于一次必须安排一名维护人员上门巡检，填写日巡检报告。维保期限内月度、年度出具纸质巡检报告，电子档发送采购单位相关邮箱，向院方汇报维护情况以及存在的问题和下一步整改方案。上门巡检维护人员必须具备网络工程师认证证书，投标时提供承诺及人员名单。</w:t>
      </w:r>
      <w:r>
        <w:rPr>
          <w:rFonts w:hint="eastAsia" w:ascii="宋体" w:hAnsi="宋体" w:cs="宋体"/>
          <w:color w:val="000000" w:themeColor="text1"/>
          <w:sz w:val="24"/>
          <w:highlight w:val="none"/>
          <w:lang w:val="en-US" w:eastAsia="zh-CN"/>
          <w14:textFill>
            <w14:solidFill>
              <w14:schemeClr w14:val="tx1"/>
            </w14:solidFill>
          </w14:textFill>
        </w:rPr>
        <w:t>中标方应</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持续、稳定地提供符合约定标准的维保服务</w:t>
      </w:r>
      <w:r>
        <w:rPr>
          <w:rFonts w:hint="eastAsia" w:ascii="Segoe UI" w:hAnsi="Segoe UI" w:cs="Segoe UI"/>
          <w:i w:val="0"/>
          <w:iCs w:val="0"/>
          <w:caps w:val="0"/>
          <w:color w:val="000000" w:themeColor="text1"/>
          <w:spacing w:val="0"/>
          <w:sz w:val="24"/>
          <w:szCs w:val="24"/>
          <w:highlight w:val="none"/>
          <w:shd w:val="clear" w:fill="FFFFFF"/>
          <w:lang w:eastAsia="zh-CN"/>
          <w14:textFill>
            <w14:solidFill>
              <w14:schemeClr w14:val="tx1"/>
            </w14:solidFill>
          </w14:textFill>
        </w:rPr>
        <w:t>，</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服务每出现一次未能按照时限要求完成，每次</w:t>
      </w:r>
      <w:r>
        <w:rPr>
          <w:rFonts w:hint="eastAsia" w:ascii="Segoe UI" w:hAnsi="Segoe UI" w:cs="Segoe UI"/>
          <w:i w:val="0"/>
          <w:iCs w:val="0"/>
          <w:caps w:val="0"/>
          <w:color w:val="000000" w:themeColor="text1"/>
          <w:spacing w:val="0"/>
          <w:sz w:val="24"/>
          <w:szCs w:val="24"/>
          <w:highlight w:val="none"/>
          <w:shd w:val="clear" w:fill="FFFFFF"/>
          <w:lang w:val="en-US" w:eastAsia="zh-CN"/>
          <w14:textFill>
            <w14:solidFill>
              <w14:schemeClr w14:val="tx1"/>
            </w14:solidFill>
          </w14:textFill>
        </w:rPr>
        <w:t>扣罚</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合同金额的1%；未按时提交巡检报告与小结的每次</w:t>
      </w:r>
      <w:r>
        <w:rPr>
          <w:rFonts w:hint="eastAsia" w:ascii="Segoe UI" w:hAnsi="Segoe UI" w:cs="Segoe UI"/>
          <w:i w:val="0"/>
          <w:iCs w:val="0"/>
          <w:caps w:val="0"/>
          <w:color w:val="000000" w:themeColor="text1"/>
          <w:spacing w:val="0"/>
          <w:sz w:val="24"/>
          <w:szCs w:val="24"/>
          <w:highlight w:val="none"/>
          <w:shd w:val="clear" w:fill="FFFFFF"/>
          <w:lang w:val="en-US" w:eastAsia="zh-CN"/>
          <w14:textFill>
            <w14:solidFill>
              <w14:schemeClr w14:val="tx1"/>
            </w14:solidFill>
          </w14:textFill>
        </w:rPr>
        <w:t>扣罚</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合同金额的0.1%；不能提供7×24小时技术支持电话服务的每次</w:t>
      </w:r>
      <w:r>
        <w:rPr>
          <w:rFonts w:hint="eastAsia" w:ascii="Segoe UI" w:hAnsi="Segoe UI" w:cs="Segoe UI"/>
          <w:i w:val="0"/>
          <w:iCs w:val="0"/>
          <w:caps w:val="0"/>
          <w:color w:val="000000" w:themeColor="text1"/>
          <w:spacing w:val="0"/>
          <w:sz w:val="24"/>
          <w:szCs w:val="24"/>
          <w:highlight w:val="none"/>
          <w:shd w:val="clear" w:fill="FFFFFF"/>
          <w:lang w:val="en-US" w:eastAsia="zh-CN"/>
          <w14:textFill>
            <w14:solidFill>
              <w14:schemeClr w14:val="tx1"/>
            </w14:solidFill>
          </w14:textFill>
        </w:rPr>
        <w:t>扣罚合同金额的</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0.1%；不影响正常业务运行的故障未及时解决的</w:t>
      </w:r>
      <w:r>
        <w:rPr>
          <w:rFonts w:hint="eastAsia" w:ascii="Segoe UI" w:hAnsi="Segoe UI" w:cs="Segoe UI"/>
          <w:i w:val="0"/>
          <w:iCs w:val="0"/>
          <w:caps w:val="0"/>
          <w:color w:val="000000" w:themeColor="text1"/>
          <w:spacing w:val="0"/>
          <w:sz w:val="24"/>
          <w:szCs w:val="24"/>
          <w:highlight w:val="none"/>
          <w:shd w:val="clear" w:fill="FFFFFF"/>
          <w:lang w:val="en-US" w:eastAsia="zh-CN"/>
          <w14:textFill>
            <w14:solidFill>
              <w14:schemeClr w14:val="tx1"/>
            </w14:solidFill>
          </w14:textFill>
        </w:rPr>
        <w:t>每次扣罚</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合同金额的0.2%；影响业务运行的故障未及时解决的</w:t>
      </w:r>
      <w:r>
        <w:rPr>
          <w:rFonts w:hint="eastAsia" w:ascii="Segoe UI" w:hAnsi="Segoe UI" w:cs="Segoe UI"/>
          <w:i w:val="0"/>
          <w:iCs w:val="0"/>
          <w:caps w:val="0"/>
          <w:color w:val="000000" w:themeColor="text1"/>
          <w:spacing w:val="0"/>
          <w:sz w:val="24"/>
          <w:szCs w:val="24"/>
          <w:highlight w:val="none"/>
          <w:shd w:val="clear" w:fill="FFFFFF"/>
          <w:lang w:val="en-US" w:eastAsia="zh-CN"/>
          <w14:textFill>
            <w14:solidFill>
              <w14:schemeClr w14:val="tx1"/>
            </w14:solidFill>
          </w14:textFill>
        </w:rPr>
        <w:t>每次扣罚</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合同金额的0.5%</w:t>
      </w:r>
      <w:r>
        <w:rPr>
          <w:rFonts w:hint="eastAsia" w:ascii="Segoe UI" w:hAnsi="Segoe UI" w:cs="Segoe UI"/>
          <w:i w:val="0"/>
          <w:iCs w:val="0"/>
          <w:caps w:val="0"/>
          <w:color w:val="000000" w:themeColor="text1"/>
          <w:spacing w:val="0"/>
          <w:sz w:val="24"/>
          <w:szCs w:val="24"/>
          <w:highlight w:val="none"/>
          <w:shd w:val="clear" w:fill="FFFFFF"/>
          <w:lang w:eastAsia="zh-CN"/>
          <w14:textFill>
            <w14:solidFill>
              <w14:schemeClr w14:val="tx1"/>
            </w14:solidFill>
          </w14:textFill>
        </w:rPr>
        <w:t>。</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供应商</w:t>
      </w:r>
      <w:r>
        <w:rPr>
          <w:rFonts w:hint="eastAsia" w:ascii="Segoe UI" w:hAnsi="Segoe UI" w:cs="Segoe UI"/>
          <w:i w:val="0"/>
          <w:iCs w:val="0"/>
          <w:caps w:val="0"/>
          <w:color w:val="000000" w:themeColor="text1"/>
          <w:spacing w:val="0"/>
          <w:sz w:val="24"/>
          <w:szCs w:val="24"/>
          <w:highlight w:val="none"/>
          <w:shd w:val="clear" w:fill="FFFFFF"/>
          <w:lang w:val="en-US" w:eastAsia="zh-CN"/>
          <w14:textFill>
            <w14:solidFill>
              <w14:schemeClr w14:val="tx1"/>
            </w14:solidFill>
          </w14:textFill>
        </w:rPr>
        <w:t>服务期间反复违背以上服务要求，且</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累计扣</w:t>
      </w:r>
      <w:r>
        <w:rPr>
          <w:rFonts w:hint="eastAsia" w:ascii="Segoe UI" w:hAnsi="Segoe UI" w:cs="Segoe UI"/>
          <w:i w:val="0"/>
          <w:iCs w:val="0"/>
          <w:caps w:val="0"/>
          <w:color w:val="000000" w:themeColor="text1"/>
          <w:spacing w:val="0"/>
          <w:sz w:val="24"/>
          <w:szCs w:val="24"/>
          <w:highlight w:val="none"/>
          <w:shd w:val="clear" w:fill="FFFFFF"/>
          <w:lang w:val="en-US" w:eastAsia="zh-CN"/>
          <w14:textFill>
            <w14:solidFill>
              <w14:schemeClr w14:val="tx1"/>
            </w14:solidFill>
          </w14:textFill>
        </w:rPr>
        <w:t>罚</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金额达到合同金额的10%时，采购人有权解除合同，中标人应承担由此给采购人造成的实际损失（包括但不限于重新采购的费用、因服务中断造成的直接经济损失等），但因不可抗力</w:t>
      </w:r>
      <w:r>
        <w:rPr>
          <w:rFonts w:hint="eastAsia" w:ascii="Segoe UI" w:hAnsi="Segoe UI" w:cs="Segoe UI"/>
          <w:i w:val="0"/>
          <w:iCs w:val="0"/>
          <w:caps w:val="0"/>
          <w:color w:val="000000" w:themeColor="text1"/>
          <w:spacing w:val="0"/>
          <w:sz w:val="24"/>
          <w:szCs w:val="24"/>
          <w:highlight w:val="none"/>
          <w:shd w:val="clear" w:fill="FFFFFF"/>
          <w:lang w:eastAsia="zh-CN"/>
          <w14:textFill>
            <w14:solidFill>
              <w14:schemeClr w14:val="tx1"/>
            </w14:solidFill>
          </w14:textFill>
        </w:rPr>
        <w:t>（</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不可抗力是指</w:t>
      </w:r>
      <w:r>
        <w:rPr>
          <w:rFonts w:hint="eastAsia" w:ascii="Segoe UI" w:hAnsi="Segoe UI" w:eastAsia="宋体" w:cs="Segoe UI"/>
          <w:i w:val="0"/>
          <w:iCs w:val="0"/>
          <w:caps w:val="0"/>
          <w:color w:val="000000" w:themeColor="text1"/>
          <w:spacing w:val="0"/>
          <w:sz w:val="24"/>
          <w:szCs w:val="24"/>
          <w:highlight w:val="none"/>
          <w:shd w:val="clear" w:fill="FFFFFF"/>
          <w:lang w:eastAsia="zh-CN"/>
          <w14:textFill>
            <w14:solidFill>
              <w14:schemeClr w14:val="tx1"/>
            </w14:solidFill>
          </w14:textFill>
        </w:rPr>
        <w:t>：</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不能预见、不能避免且不能克服的客观情况，包括但不限于：</w:t>
      </w:r>
      <w:r>
        <w:rPr>
          <w:rFonts w:hint="eastAsia" w:ascii="Segoe UI" w:hAnsi="Segoe UI" w:eastAsia="宋体" w:cs="Segoe UI"/>
          <w:i w:val="0"/>
          <w:iCs w:val="0"/>
          <w:caps w:val="0"/>
          <w:color w:val="000000" w:themeColor="text1"/>
          <w:spacing w:val="0"/>
          <w:sz w:val="24"/>
          <w:szCs w:val="24"/>
          <w:highlight w:val="none"/>
          <w:shd w:val="clear" w:fill="FFFFFF"/>
          <w:lang w:val="en-US" w:eastAsia="zh-CN"/>
          <w14:textFill>
            <w14:solidFill>
              <w14:schemeClr w14:val="tx1"/>
            </w14:solidFill>
          </w14:textFill>
        </w:rPr>
        <w:t>a</w:t>
      </w:r>
      <w:r>
        <w:rPr>
          <w:rFonts w:hint="default"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重大自然灾害：地震、火山爆发、海啸、台风（风力≥12级）、洪水（达到当地气象或水利部门认定的50年一遇标准）、泥石流、山体滑坡等；</w:t>
      </w:r>
      <w:r>
        <w:rPr>
          <w:rFonts w:hint="eastAsia" w:ascii="Segoe UI" w:hAnsi="Segoe UI" w:eastAsia="宋体" w:cs="Segoe UI"/>
          <w:i w:val="0"/>
          <w:iCs w:val="0"/>
          <w:caps w:val="0"/>
          <w:color w:val="000000" w:themeColor="text1"/>
          <w:spacing w:val="0"/>
          <w:sz w:val="24"/>
          <w:szCs w:val="24"/>
          <w:highlight w:val="none"/>
          <w:shd w:val="clear" w:fill="FFFFFF"/>
          <w:lang w:val="en-US" w:eastAsia="zh-CN"/>
          <w14:textFill>
            <w14:solidFill>
              <w14:schemeClr w14:val="tx1"/>
            </w14:solidFill>
          </w14:textFill>
        </w:rPr>
        <w:t>b</w:t>
      </w:r>
      <w:r>
        <w:rPr>
          <w:rFonts w:hint="default"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重大公共卫生事件：经国务院或省级人民政府依法宣布的突发公共卫生事件，且导致本项目实施区域被依法采取封控、隔离等限制措施的；</w:t>
      </w:r>
      <w:r>
        <w:rPr>
          <w:rFonts w:hint="eastAsia" w:ascii="Segoe UI" w:hAnsi="Segoe UI" w:eastAsia="宋体" w:cs="Segoe UI"/>
          <w:i w:val="0"/>
          <w:iCs w:val="0"/>
          <w:caps w:val="0"/>
          <w:color w:val="000000" w:themeColor="text1"/>
          <w:spacing w:val="0"/>
          <w:sz w:val="24"/>
          <w:szCs w:val="24"/>
          <w:highlight w:val="none"/>
          <w:shd w:val="clear" w:fill="FFFFFF"/>
          <w:lang w:val="en-US" w:eastAsia="zh-CN"/>
          <w14:textFill>
            <w14:solidFill>
              <w14:schemeClr w14:val="tx1"/>
            </w14:solidFill>
          </w14:textFill>
        </w:rPr>
        <w:t>c</w:t>
      </w:r>
      <w:r>
        <w:rPr>
          <w:rFonts w:hint="default"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战争、武装冲突、暴动、恐怖袭击等；</w:t>
      </w:r>
      <w:r>
        <w:rPr>
          <w:rFonts w:hint="eastAsia" w:ascii="Segoe UI" w:hAnsi="Segoe UI" w:eastAsia="宋体" w:cs="Segoe UI"/>
          <w:i w:val="0"/>
          <w:iCs w:val="0"/>
          <w:caps w:val="0"/>
          <w:color w:val="000000" w:themeColor="text1"/>
          <w:spacing w:val="0"/>
          <w:sz w:val="24"/>
          <w:szCs w:val="24"/>
          <w:highlight w:val="none"/>
          <w:shd w:val="clear" w:fill="FFFFFF"/>
          <w:lang w:val="en-US" w:eastAsia="zh-CN"/>
          <w14:textFill>
            <w14:solidFill>
              <w14:schemeClr w14:val="tx1"/>
            </w14:solidFill>
          </w14:textFill>
        </w:rPr>
        <w:t>d</w:t>
      </w:r>
      <w:r>
        <w:rPr>
          <w:rFonts w:hint="default"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政府行为：本项目实施区域因政府依法征收、征用或实施法定紧急状态等行政行为，导致合同无法在原有场地或条件下继续履行的</w:t>
      </w:r>
      <w:r>
        <w:rPr>
          <w:rFonts w:hint="eastAsia" w:ascii="Segoe UI" w:hAnsi="Segoe UI" w:cs="Segoe UI"/>
          <w:i w:val="0"/>
          <w:iCs w:val="0"/>
          <w:caps w:val="0"/>
          <w:color w:val="000000" w:themeColor="text1"/>
          <w:spacing w:val="0"/>
          <w:sz w:val="24"/>
          <w:szCs w:val="24"/>
          <w:highlight w:val="none"/>
          <w:shd w:val="clear" w:fill="FFFFFF"/>
          <w:lang w:eastAsia="zh-CN"/>
          <w14:textFill>
            <w14:solidFill>
              <w14:schemeClr w14:val="tx1"/>
            </w14:solidFill>
          </w14:textFill>
        </w:rPr>
        <w:t>）</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或采购人原因导致的延误除外。</w:t>
      </w:r>
    </w:p>
    <w:p w14:paraId="2A4FCCAB">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（4）本项目涉及的所有拆装工作，拆除过程中造成货物损坏的，全部由</w:t>
      </w:r>
      <w:r>
        <w:rPr>
          <w:rFonts w:hint="eastAsia" w:ascii="宋体" w:hAnsi="宋体" w:cs="宋体"/>
          <w:color w:val="000000" w:themeColor="text1"/>
          <w:sz w:val="24"/>
          <w:highlight w:val="none"/>
          <w:lang w:val="en-US" w:eastAsia="zh-CN"/>
          <w14:textFill>
            <w14:solidFill>
              <w14:schemeClr w14:val="tx1"/>
            </w14:solidFill>
          </w14:textFill>
        </w:rPr>
        <w:t>中标方</w:t>
      </w:r>
      <w:r>
        <w:rPr>
          <w:rFonts w:hint="eastAsia" w:ascii="宋体" w:hAnsi="宋体" w:cs="宋体"/>
          <w:color w:val="000000" w:themeColor="text1"/>
          <w:sz w:val="24"/>
          <w:highlight w:val="none"/>
          <w14:textFill>
            <w14:solidFill>
              <w14:schemeClr w14:val="tx1"/>
            </w14:solidFill>
          </w14:textFill>
        </w:rPr>
        <w:t>负责更换为相应的全新货物。</w:t>
      </w:r>
    </w:p>
    <w:p w14:paraId="69709D18">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（5）质保期内，</w:t>
      </w:r>
      <w:r>
        <w:rPr>
          <w:rFonts w:hint="eastAsia" w:ascii="宋体" w:hAnsi="宋体" w:cs="宋体"/>
          <w:color w:val="000000" w:themeColor="text1"/>
          <w:sz w:val="24"/>
          <w:highlight w:val="none"/>
          <w:lang w:val="en-US" w:eastAsia="zh-CN"/>
          <w14:textFill>
            <w14:solidFill>
              <w14:schemeClr w14:val="tx1"/>
            </w14:solidFill>
          </w14:textFill>
        </w:rPr>
        <w:t>中标方</w:t>
      </w:r>
      <w:r>
        <w:rPr>
          <w:rFonts w:hint="eastAsia" w:ascii="宋体" w:hAnsi="宋体" w:cs="宋体"/>
          <w:color w:val="000000" w:themeColor="text1"/>
          <w:sz w:val="24"/>
          <w:highlight w:val="none"/>
          <w14:textFill>
            <w14:solidFill>
              <w14:schemeClr w14:val="tx1"/>
            </w14:solidFill>
          </w14:textFill>
        </w:rPr>
        <w:t>无偿并迅速更换故障产品或部件，各类软件免费维护和升级，并按用户要求现场进行。质保期外，成交人仍需提供上门维保服务，以成本价收取人工和部件费用。软件版本升级时，应保障免费更新升级软件版本，并提供相应的新版本软件功能说明书及修改说明书。</w:t>
      </w:r>
    </w:p>
    <w:p w14:paraId="19C181D0">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w:t>
      </w:r>
      <w:r>
        <w:rPr>
          <w:rFonts w:hint="eastAsia" w:ascii="宋体" w:hAnsi="宋体" w:cs="宋体"/>
          <w:color w:val="000000" w:themeColor="text1"/>
          <w:sz w:val="24"/>
          <w:highlight w:val="none"/>
          <w:lang w:val="en-US" w:eastAsia="zh-CN"/>
          <w14:textFill>
            <w14:solidFill>
              <w14:schemeClr w14:val="tx1"/>
            </w14:solidFill>
          </w14:textFill>
        </w:rPr>
        <w:t>中标方</w:t>
      </w:r>
      <w:r>
        <w:rPr>
          <w:rFonts w:hint="eastAsia" w:ascii="宋体" w:hAnsi="宋体" w:cs="宋体"/>
          <w:color w:val="000000" w:themeColor="text1"/>
          <w:sz w:val="24"/>
          <w:highlight w:val="none"/>
          <w14:textFill>
            <w14:solidFill>
              <w14:schemeClr w14:val="tx1"/>
            </w14:solidFill>
          </w14:textFill>
        </w:rPr>
        <w:t>须负责对采购人的技术人员免费进行安装、操作、数据处理、维护维修等方面的培训，设备、平台功能使用和保养的培训贯穿整个项目的运行周期。</w:t>
      </w:r>
    </w:p>
    <w:p w14:paraId="0A17765F">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（7）以上条款的内容如果需要修改或者有其他未涉及的事项，由双方协商解决。</w:t>
      </w:r>
    </w:p>
    <w:p w14:paraId="558119E0">
      <w:pPr>
        <w:spacing w:line="440" w:lineRule="exact"/>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6、其他要求： </w:t>
      </w:r>
    </w:p>
    <w:p w14:paraId="16A0CD5C">
      <w:pPr>
        <w:spacing w:line="440" w:lineRule="exact"/>
        <w:ind w:firstLine="361"/>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（1）商品包装环保要求：</w:t>
      </w:r>
      <w:r>
        <w:rPr>
          <w:rFonts w:hint="eastAsia" w:ascii="宋体" w:hAnsi="宋体" w:cs="宋体"/>
          <w:color w:val="000000" w:themeColor="text1"/>
          <w:sz w:val="24"/>
          <w:highlight w:val="none"/>
          <w14:textFill>
            <w14:solidFill>
              <w14:schemeClr w14:val="tx1"/>
            </w14:solidFill>
          </w14:textFill>
        </w:rPr>
        <w:t>应当按《关于印发〈商品包装政府采购需求标准（试行）〉、〈快递包装政府采购需求标准（试行）〉的通知》（财办库〔2020〕123号）文件执行。</w:t>
      </w:r>
    </w:p>
    <w:p w14:paraId="1185A0A4">
      <w:pPr>
        <w:numPr>
          <w:ilvl w:val="0"/>
          <w:numId w:val="13"/>
        </w:num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商品包装层数不得超过3层，空隙率不大于40%；</w:t>
      </w:r>
    </w:p>
    <w:p w14:paraId="142F7B1B">
      <w:pPr>
        <w:numPr>
          <w:ilvl w:val="0"/>
          <w:numId w:val="13"/>
        </w:num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商品包装尽可能使用单一材质的包装材料，如因功能需求必需使用不同材质，不同材质间应便于分离；</w:t>
      </w:r>
    </w:p>
    <w:p w14:paraId="2656A66E">
      <w:pPr>
        <w:numPr>
          <w:ilvl w:val="0"/>
          <w:numId w:val="13"/>
        </w:num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商品包装中铅、汞、镉、六价铬的总含量应不大于100mg/kg；</w:t>
      </w:r>
    </w:p>
    <w:p w14:paraId="0EE6EC03">
      <w:pPr>
        <w:numPr>
          <w:ilvl w:val="0"/>
          <w:numId w:val="13"/>
        </w:num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商品包装印刷使用的油墨中挥发性有机化合物(VOCs)含量应不大于 5%（以重量计）；</w:t>
      </w:r>
    </w:p>
    <w:p w14:paraId="4FF9CE81">
      <w:pPr>
        <w:numPr>
          <w:ilvl w:val="0"/>
          <w:numId w:val="13"/>
        </w:num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塑料材质商品包装上呈现的印刷颜色不得超过6色；</w:t>
      </w:r>
    </w:p>
    <w:p w14:paraId="0E28444D">
      <w:pPr>
        <w:numPr>
          <w:ilvl w:val="0"/>
          <w:numId w:val="13"/>
        </w:num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纸质商品包装应使用75%以上的可再生纤维原料生产；</w:t>
      </w:r>
    </w:p>
    <w:p w14:paraId="48276BDA">
      <w:pPr>
        <w:numPr>
          <w:ilvl w:val="0"/>
          <w:numId w:val="13"/>
        </w:num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木质商品包装的原料应来源于可持续性森林。</w:t>
      </w:r>
    </w:p>
    <w:p w14:paraId="586D4E0F">
      <w:pPr>
        <w:spacing w:line="440" w:lineRule="exact"/>
        <w:ind w:firstLine="361"/>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（2）快递包装环保要求：</w:t>
      </w:r>
    </w:p>
    <w:p w14:paraId="3D2615B9">
      <w:pPr>
        <w:numPr>
          <w:ilvl w:val="0"/>
          <w:numId w:val="14"/>
        </w:num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快递包装中重金属（铅、汞、镉、六价铬）总量应不大于100mg/kg；</w:t>
      </w:r>
    </w:p>
    <w:p w14:paraId="02932119">
      <w:pPr>
        <w:numPr>
          <w:ilvl w:val="0"/>
          <w:numId w:val="14"/>
        </w:num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快递包装印刷使用的油墨中不应添加邻苯二甲酸酯，其挥发性有机化合物(VOCs)含量应不大于5%（以重量计）；</w:t>
      </w:r>
    </w:p>
    <w:p w14:paraId="4ACED789">
      <w:pPr>
        <w:numPr>
          <w:ilvl w:val="0"/>
          <w:numId w:val="14"/>
        </w:num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快递包装中使用纸基材的包装材料，纸基材中的有机氯的含量应不大于150 mg/kg；</w:t>
      </w:r>
    </w:p>
    <w:p w14:paraId="05D697AB">
      <w:pPr>
        <w:numPr>
          <w:ilvl w:val="0"/>
          <w:numId w:val="14"/>
        </w:num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快递包装中使用塑料基材的包装材料不得使用邻苯二甲酸二异壬酯、邻苯二甲酸二正辛酯、邻苯二甲酸二(2-乙基)己酯、邻苯二甲酸二异癸酯、邻苯二甲酸丁基苄基酯、邻苯二甲酸二丁酯等作为增塑剂；</w:t>
      </w:r>
    </w:p>
    <w:p w14:paraId="117D2E9B">
      <w:pPr>
        <w:numPr>
          <w:ilvl w:val="0"/>
          <w:numId w:val="14"/>
        </w:num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快递中使用的塑料包装袋不得使用聚氯乙烯作为原料，且原料应为单一材质制成，生物分解率大于60%；</w:t>
      </w:r>
    </w:p>
    <w:p w14:paraId="3C8E80C2">
      <w:pPr>
        <w:numPr>
          <w:ilvl w:val="0"/>
          <w:numId w:val="14"/>
        </w:num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快递中使用的充气类填充物不得使用聚氯乙烯作为 原料，且原料为单一材质制成，生物分解率大于60%；</w:t>
      </w:r>
    </w:p>
    <w:p w14:paraId="433C611C">
      <w:pPr>
        <w:numPr>
          <w:ilvl w:val="0"/>
          <w:numId w:val="14"/>
        </w:num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快递中使用的集装袋应为单一材质制成，其重复使用次数应不小于80次；</w:t>
      </w:r>
    </w:p>
    <w:p w14:paraId="1FADB66D">
      <w:pPr>
        <w:numPr>
          <w:ilvl w:val="0"/>
          <w:numId w:val="14"/>
        </w:num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快递中应使用幅宽不大于45mm的生物降解胶带；</w:t>
      </w:r>
    </w:p>
    <w:p w14:paraId="6F53F22F">
      <w:pPr>
        <w:numPr>
          <w:ilvl w:val="0"/>
          <w:numId w:val="14"/>
        </w:num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快递包装中不得使用溶剂型胶粘剂；</w:t>
      </w:r>
    </w:p>
    <w:p w14:paraId="0C5288DE">
      <w:pPr>
        <w:numPr>
          <w:ilvl w:val="0"/>
          <w:numId w:val="14"/>
        </w:num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快递应使用电子面单；</w:t>
      </w:r>
    </w:p>
    <w:p w14:paraId="1818B540">
      <w:pPr>
        <w:numPr>
          <w:ilvl w:val="0"/>
          <w:numId w:val="14"/>
        </w:num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直接使用商品包装作为快递包装的商品，其商品包装满足《商品包装政府采购需求标准（试行）》即可；</w:t>
      </w:r>
    </w:p>
    <w:p w14:paraId="35582BCC">
      <w:pPr>
        <w:numPr>
          <w:ilvl w:val="0"/>
          <w:numId w:val="14"/>
        </w:num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快递包装产品质量和封装方式应符合相关国家或行业标准技术指标要求。</w:t>
      </w:r>
    </w:p>
    <w:p w14:paraId="078D6CA1">
      <w:pPr>
        <w:spacing w:line="440" w:lineRule="exact"/>
        <w:ind w:firstLine="361"/>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（3）绿色数据中心</w:t>
      </w:r>
    </w:p>
    <w:p w14:paraId="7BA24883">
      <w:pPr>
        <w:spacing w:line="440" w:lineRule="exact"/>
        <w:ind w:firstLine="361"/>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（4）低挥发性有机化合物产品：</w:t>
      </w:r>
      <w:r>
        <w:rPr>
          <w:rFonts w:hint="eastAsia" w:ascii="宋体" w:hAnsi="宋体" w:cs="宋体"/>
          <w:color w:val="000000" w:themeColor="text1"/>
          <w:sz w:val="24"/>
          <w:highlight w:val="none"/>
          <w14:textFill>
            <w14:solidFill>
              <w14:schemeClr w14:val="tx1"/>
            </w14:solidFill>
          </w14:textFill>
        </w:rPr>
        <w:t>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p>
    <w:p w14:paraId="49B860B0">
      <w:pPr>
        <w:spacing w:line="440" w:lineRule="exact"/>
        <w:ind w:firstLine="361"/>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（5）节能环保产品：</w:t>
      </w:r>
      <w:r>
        <w:rPr>
          <w:rFonts w:hint="eastAsia" w:ascii="宋体" w:hAnsi="宋体" w:cs="宋体"/>
          <w:color w:val="000000" w:themeColor="text1"/>
          <w:sz w:val="24"/>
          <w:highlight w:val="none"/>
          <w14:textFill>
            <w14:solidFill>
              <w14:schemeClr w14:val="tx1"/>
            </w14:solidFill>
          </w14:textFill>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7F401718">
      <w:pPr>
        <w:spacing w:line="440" w:lineRule="exact"/>
        <w:ind w:firstLine="361"/>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（6）绿色低碳管理目标和服务要求：</w:t>
      </w:r>
      <w:r>
        <w:rPr>
          <w:rFonts w:hint="eastAsia" w:ascii="宋体" w:hAnsi="宋体" w:cs="宋体"/>
          <w:color w:val="000000" w:themeColor="text1"/>
          <w:sz w:val="24"/>
          <w:highlight w:val="none"/>
          <w14:textFill>
            <w14:solidFill>
              <w14:schemeClr w14:val="tx1"/>
            </w14:solidFill>
          </w14:textFill>
        </w:rPr>
        <w:t>在物业、合同能源管理等服务类采购项目需求中，要强化绿色低碳管理目标和服务要求，促进绿色产品和服务推广应用。</w:t>
      </w:r>
    </w:p>
    <w:p w14:paraId="1F6F5777">
      <w:pPr>
        <w:spacing w:line="440" w:lineRule="exact"/>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7、付款方式</w:t>
      </w:r>
    </w:p>
    <w:p w14:paraId="3CDF953E">
      <w:pPr>
        <w:spacing w:line="440" w:lineRule="exact"/>
        <w:ind w:firstLine="480"/>
        <w:rPr>
          <w:rFonts w:hint="eastAsia" w:ascii="Segoe UI" w:hAnsi="Segoe UI" w:cs="Segoe UI"/>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合同签订后30个工作日内，采购人向中标供应商支付30%合同款，</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全部货物交货、安装和调试运行正常，并通过最终验收（稳定运行</w:t>
      </w:r>
      <w:r>
        <w:rPr>
          <w:rFonts w:hint="eastAsia" w:ascii="Segoe UI" w:hAnsi="Segoe UI" w:cs="Segoe UI"/>
          <w:i w:val="0"/>
          <w:iCs w:val="0"/>
          <w:caps w:val="0"/>
          <w:color w:val="000000" w:themeColor="text1"/>
          <w:spacing w:val="0"/>
          <w:sz w:val="24"/>
          <w:szCs w:val="24"/>
          <w:highlight w:val="none"/>
          <w:shd w:val="clear" w:fill="FFFFFF"/>
          <w:lang w:val="en-US" w:eastAsia="zh-CN"/>
          <w14:textFill>
            <w14:solidFill>
              <w14:schemeClr w14:val="tx1"/>
            </w14:solidFill>
          </w14:textFill>
        </w:rPr>
        <w:t>一</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个月）后，在</w:t>
      </w:r>
      <w:r>
        <w:rPr>
          <w:rFonts w:hint="eastAsia" w:ascii="Segoe UI" w:hAnsi="Segoe UI" w:cs="Segoe UI"/>
          <w:i w:val="0"/>
          <w:iCs w:val="0"/>
          <w:caps w:val="0"/>
          <w:color w:val="000000" w:themeColor="text1"/>
          <w:spacing w:val="0"/>
          <w:sz w:val="24"/>
          <w:szCs w:val="24"/>
          <w:highlight w:val="none"/>
          <w:shd w:val="clear" w:fill="FFFFFF"/>
          <w:lang w:val="en-US" w:eastAsia="zh-CN"/>
          <w14:textFill>
            <w14:solidFill>
              <w14:schemeClr w14:val="tx1"/>
            </w14:solidFill>
          </w14:textFill>
        </w:rPr>
        <w:t>3</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0个工作日内支付至合同总金额的</w:t>
      </w:r>
      <w:r>
        <w:rPr>
          <w:rFonts w:hint="eastAsia" w:ascii="Segoe UI" w:hAnsi="Segoe UI" w:cs="Segoe UI"/>
          <w:i w:val="0"/>
          <w:iCs w:val="0"/>
          <w:caps w:val="0"/>
          <w:color w:val="000000" w:themeColor="text1"/>
          <w:spacing w:val="0"/>
          <w:sz w:val="24"/>
          <w:szCs w:val="24"/>
          <w:highlight w:val="none"/>
          <w:shd w:val="clear" w:fill="FFFFFF"/>
          <w:lang w:val="en-US" w:eastAsia="zh-CN"/>
          <w14:textFill>
            <w14:solidFill>
              <w14:schemeClr w14:val="tx1"/>
            </w14:solidFill>
          </w14:textFill>
        </w:rPr>
        <w:t>9</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0%。</w:t>
      </w:r>
      <w:r>
        <w:rPr>
          <w:rFonts w:hint="eastAsia" w:ascii="Segoe UI" w:hAnsi="Segoe UI" w:cs="Segoe UI"/>
          <w:i w:val="0"/>
          <w:iCs w:val="0"/>
          <w:caps w:val="0"/>
          <w:color w:val="000000" w:themeColor="text1"/>
          <w:spacing w:val="0"/>
          <w:sz w:val="24"/>
          <w:szCs w:val="24"/>
          <w:highlight w:val="none"/>
          <w:shd w:val="clear" w:fill="FFFFFF"/>
          <w:lang w:val="en-US" w:eastAsia="zh-CN"/>
          <w14:textFill>
            <w14:solidFill>
              <w14:schemeClr w14:val="tx1"/>
            </w14:solidFill>
          </w14:textFill>
        </w:rPr>
        <w:t>自最终验收日起系统稳定运行一年，经采购人确认后，30个工作日内付清最后10%的合同款。</w:t>
      </w:r>
    </w:p>
    <w:p w14:paraId="51BD5260">
      <w:pPr>
        <w:spacing w:line="440" w:lineRule="exact"/>
        <w:ind w:firstLine="480"/>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以上支付全不计息。</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中标人应在采购人每次付款前开具符合国家规定的正规发票，采购人自收到发票后</w:t>
      </w:r>
      <w:r>
        <w:rPr>
          <w:rFonts w:hint="eastAsia" w:ascii="Segoe UI" w:hAnsi="Segoe UI" w:cs="Segoe UI"/>
          <w:i w:val="0"/>
          <w:iCs w:val="0"/>
          <w:caps w:val="0"/>
          <w:color w:val="000000" w:themeColor="text1"/>
          <w:spacing w:val="0"/>
          <w:sz w:val="24"/>
          <w:szCs w:val="24"/>
          <w:highlight w:val="none"/>
          <w:shd w:val="clear" w:fill="FFFFFF"/>
          <w:lang w:val="en-US" w:eastAsia="zh-CN"/>
          <w14:textFill>
            <w14:solidFill>
              <w14:schemeClr w14:val="tx1"/>
            </w14:solidFill>
          </w14:textFill>
        </w:rPr>
        <w:t>3</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0个工作日内完成资金支付。质保期内，如中标人未按约定履行质保义务，采购人有权自行安排第三方维修，</w:t>
      </w:r>
      <w:r>
        <w:rPr>
          <w:rFonts w:hint="eastAsia" w:ascii="Segoe UI" w:hAnsi="Segoe UI" w:cs="Segoe UI"/>
          <w:i w:val="0"/>
          <w:iCs w:val="0"/>
          <w:caps w:val="0"/>
          <w:color w:val="000000" w:themeColor="text1"/>
          <w:spacing w:val="0"/>
          <w:sz w:val="24"/>
          <w:szCs w:val="24"/>
          <w:highlight w:val="none"/>
          <w:shd w:val="clear" w:fill="FFFFFF"/>
          <w:lang w:val="en-US" w:eastAsia="zh-CN"/>
          <w14:textFill>
            <w14:solidFill>
              <w14:schemeClr w14:val="tx1"/>
            </w14:solidFill>
          </w14:textFill>
        </w:rPr>
        <w:t>维修费及违约罚款等</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相关费用由中标人承担，采购人</w:t>
      </w:r>
      <w:r>
        <w:rPr>
          <w:rFonts w:hint="eastAsia" w:ascii="Segoe UI" w:hAnsi="Segoe UI" w:cs="Segoe UI"/>
          <w:i w:val="0"/>
          <w:iCs w:val="0"/>
          <w:caps w:val="0"/>
          <w:color w:val="000000" w:themeColor="text1"/>
          <w:spacing w:val="0"/>
          <w:sz w:val="24"/>
          <w:szCs w:val="24"/>
          <w:highlight w:val="none"/>
          <w:shd w:val="clear" w:fill="FFFFFF"/>
          <w:lang w:val="en-US" w:eastAsia="zh-CN"/>
          <w14:textFill>
            <w14:solidFill>
              <w14:schemeClr w14:val="tx1"/>
            </w14:solidFill>
          </w14:textFill>
        </w:rPr>
        <w:t>依法</w:t>
      </w:r>
      <w:r>
        <w:rPr>
          <w:rFonts w:ascii="Segoe UI" w:hAnsi="Segoe UI" w:eastAsia="Segoe UI" w:cs="Segoe UI"/>
          <w:i w:val="0"/>
          <w:iCs w:val="0"/>
          <w:caps w:val="0"/>
          <w:color w:val="000000" w:themeColor="text1"/>
          <w:spacing w:val="0"/>
          <w:sz w:val="24"/>
          <w:szCs w:val="24"/>
          <w:highlight w:val="none"/>
          <w:shd w:val="clear" w:fill="FFFFFF"/>
          <w14:textFill>
            <w14:solidFill>
              <w14:schemeClr w14:val="tx1"/>
            </w14:solidFill>
          </w14:textFill>
        </w:rPr>
        <w:t>向中标人追偿。</w:t>
      </w:r>
    </w:p>
    <w:p w14:paraId="5DB8C1D1">
      <w:pPr>
        <w:spacing w:line="440" w:lineRule="exact"/>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8、</w:t>
      </w:r>
      <w:r>
        <w:rPr>
          <w:rFonts w:hint="eastAsia" w:ascii="宋体" w:hAnsi="宋体" w:cs="宋体"/>
          <w:b/>
          <w:bCs/>
          <w:color w:val="000000" w:themeColor="text1"/>
          <w:sz w:val="24"/>
          <w:szCs w:val="24"/>
          <w:highlight w:val="none"/>
          <w14:textFill>
            <w14:solidFill>
              <w14:schemeClr w14:val="tx1"/>
            </w14:solidFill>
          </w14:textFill>
        </w:rPr>
        <w:t>履约保证金：</w:t>
      </w:r>
      <w:r>
        <w:rPr>
          <w:rFonts w:hint="eastAsia" w:ascii="宋体" w:hAnsi="宋体" w:cs="宋体"/>
          <w:color w:val="000000" w:themeColor="text1"/>
          <w:sz w:val="24"/>
          <w:szCs w:val="24"/>
          <w:highlight w:val="none"/>
          <w14:textFill>
            <w14:solidFill>
              <w14:schemeClr w14:val="tx1"/>
            </w14:solidFill>
          </w14:textFill>
        </w:rPr>
        <w:t>本项目免收履约保证金。</w:t>
      </w:r>
    </w:p>
    <w:p w14:paraId="1810850F">
      <w:pPr>
        <w:spacing w:line="440" w:lineRule="exact"/>
        <w:ind w:firstLine="482"/>
        <w:rPr>
          <w:rFonts w:ascii="宋体" w:hAnsi="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9、</w:t>
      </w:r>
      <w:r>
        <w:rPr>
          <w:rFonts w:hint="eastAsia" w:ascii="宋体" w:hAnsi="宋体"/>
          <w:b/>
          <w:bCs/>
          <w:color w:val="000000" w:themeColor="text1"/>
          <w:sz w:val="24"/>
          <w:szCs w:val="24"/>
          <w:highlight w:val="none"/>
          <w14:textFill>
            <w14:solidFill>
              <w14:schemeClr w14:val="tx1"/>
            </w14:solidFill>
          </w14:textFill>
        </w:rPr>
        <w:t>合同条款（详见附件）</w:t>
      </w:r>
    </w:p>
    <w:p w14:paraId="1901848B">
      <w:pPr>
        <w:spacing w:line="46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附表1：</w:t>
      </w:r>
      <w:r>
        <w:rPr>
          <w:rFonts w:hint="eastAsia" w:ascii="宋体" w:hAnsi="宋体" w:cs="宋体"/>
          <w:b/>
          <w:bCs/>
          <w:color w:val="000000" w:themeColor="text1"/>
          <w:sz w:val="24"/>
          <w:highlight w:val="none"/>
          <w14:textFill>
            <w14:solidFill>
              <w14:schemeClr w14:val="tx1"/>
            </w14:solidFill>
          </w14:textFill>
        </w:rPr>
        <w:t>改造区域</w:t>
      </w:r>
    </w:p>
    <w:tbl>
      <w:tblPr>
        <w:tblStyle w:val="39"/>
        <w:tblW w:w="4841" w:type="pct"/>
        <w:jc w:val="center"/>
        <w:tblLayout w:type="autofit"/>
        <w:tblCellMar>
          <w:top w:w="0" w:type="dxa"/>
          <w:left w:w="108" w:type="dxa"/>
          <w:bottom w:w="0" w:type="dxa"/>
          <w:right w:w="108" w:type="dxa"/>
        </w:tblCellMar>
      </w:tblPr>
      <w:tblGrid>
        <w:gridCol w:w="934"/>
        <w:gridCol w:w="2263"/>
        <w:gridCol w:w="6239"/>
      </w:tblGrid>
      <w:tr w14:paraId="5C20AB82">
        <w:tblPrEx>
          <w:tblCellMar>
            <w:top w:w="0" w:type="dxa"/>
            <w:left w:w="108" w:type="dxa"/>
            <w:bottom w:w="0" w:type="dxa"/>
            <w:right w:w="108" w:type="dxa"/>
          </w:tblCellMar>
        </w:tblPrEx>
        <w:trPr>
          <w:trHeight w:val="510" w:hRule="exact"/>
          <w:jc w:val="center"/>
        </w:trPr>
        <w:tc>
          <w:tcPr>
            <w:tcW w:w="495" w:type="pct"/>
            <w:tcBorders>
              <w:top w:val="single" w:color="auto" w:sz="4" w:space="0"/>
              <w:left w:val="single" w:color="auto" w:sz="4" w:space="0"/>
              <w:bottom w:val="single" w:color="auto" w:sz="4" w:space="0"/>
              <w:right w:val="single" w:color="auto" w:sz="4" w:space="0"/>
            </w:tcBorders>
            <w:noWrap/>
            <w:vAlign w:val="center"/>
          </w:tcPr>
          <w:p w14:paraId="02B68E77">
            <w:pPr>
              <w:widowControl/>
              <w:jc w:val="center"/>
              <w:rPr>
                <w:rFonts w:cs="宋体" w:asciiTheme="minorEastAsia" w:hAnsi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b/>
                <w:bCs/>
                <w:color w:val="000000" w:themeColor="text1"/>
                <w:sz w:val="24"/>
                <w:szCs w:val="24"/>
                <w:highlight w:val="none"/>
                <w14:textFill>
                  <w14:solidFill>
                    <w14:schemeClr w14:val="tx1"/>
                  </w14:solidFill>
                </w14:textFill>
              </w:rPr>
              <w:t>序号</w:t>
            </w:r>
          </w:p>
        </w:tc>
        <w:tc>
          <w:tcPr>
            <w:tcW w:w="1199" w:type="pct"/>
            <w:tcBorders>
              <w:top w:val="single" w:color="auto" w:sz="4" w:space="0"/>
              <w:left w:val="nil"/>
              <w:bottom w:val="single" w:color="auto" w:sz="4" w:space="0"/>
              <w:right w:val="single" w:color="auto" w:sz="4" w:space="0"/>
            </w:tcBorders>
            <w:noWrap/>
            <w:vAlign w:val="center"/>
          </w:tcPr>
          <w:p w14:paraId="2E867D5E">
            <w:pPr>
              <w:widowControl/>
              <w:jc w:val="center"/>
              <w:rPr>
                <w:rFonts w:cs="宋体" w:asciiTheme="minorEastAsia" w:hAnsi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b/>
                <w:bCs/>
                <w:color w:val="000000" w:themeColor="text1"/>
                <w:sz w:val="24"/>
                <w:szCs w:val="24"/>
                <w:highlight w:val="none"/>
                <w14:textFill>
                  <w14:solidFill>
                    <w14:schemeClr w14:val="tx1"/>
                  </w14:solidFill>
                </w14:textFill>
              </w:rPr>
              <w:t>覆盖楼层</w:t>
            </w:r>
          </w:p>
        </w:tc>
        <w:tc>
          <w:tcPr>
            <w:tcW w:w="3305" w:type="pct"/>
            <w:tcBorders>
              <w:top w:val="single" w:color="auto" w:sz="4" w:space="0"/>
              <w:left w:val="nil"/>
              <w:bottom w:val="single" w:color="auto" w:sz="4" w:space="0"/>
              <w:right w:val="single" w:color="auto" w:sz="4" w:space="0"/>
            </w:tcBorders>
            <w:noWrap/>
            <w:vAlign w:val="center"/>
          </w:tcPr>
          <w:p w14:paraId="5647F01D">
            <w:pPr>
              <w:widowControl/>
              <w:jc w:val="center"/>
              <w:rPr>
                <w:rFonts w:cs="宋体" w:asciiTheme="minorEastAsia" w:hAnsi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b/>
                <w:bCs/>
                <w:color w:val="000000" w:themeColor="text1"/>
                <w:sz w:val="24"/>
                <w:szCs w:val="24"/>
                <w:highlight w:val="none"/>
                <w14:textFill>
                  <w14:solidFill>
                    <w14:schemeClr w14:val="tx1"/>
                  </w14:solidFill>
                </w14:textFill>
              </w:rPr>
              <w:t>覆盖范围</w:t>
            </w:r>
          </w:p>
        </w:tc>
      </w:tr>
      <w:tr w14:paraId="12025750">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48018DC3">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1</w:t>
            </w:r>
          </w:p>
        </w:tc>
        <w:tc>
          <w:tcPr>
            <w:tcW w:w="1199" w:type="pct"/>
            <w:tcBorders>
              <w:top w:val="nil"/>
              <w:left w:val="nil"/>
              <w:bottom w:val="single" w:color="auto" w:sz="4" w:space="0"/>
              <w:right w:val="single" w:color="auto" w:sz="4" w:space="0"/>
            </w:tcBorders>
            <w:noWrap/>
            <w:vAlign w:val="center"/>
          </w:tcPr>
          <w:p w14:paraId="42F046DE">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3号楼2楼</w:t>
            </w:r>
          </w:p>
        </w:tc>
        <w:tc>
          <w:tcPr>
            <w:tcW w:w="3305" w:type="pct"/>
            <w:tcBorders>
              <w:top w:val="nil"/>
              <w:left w:val="nil"/>
              <w:bottom w:val="single" w:color="auto" w:sz="4" w:space="0"/>
              <w:right w:val="single" w:color="auto" w:sz="4" w:space="0"/>
            </w:tcBorders>
            <w:noWrap/>
            <w:vAlign w:val="center"/>
          </w:tcPr>
          <w:p w14:paraId="29303C6E">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19441210">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27DE2F79">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2</w:t>
            </w:r>
          </w:p>
        </w:tc>
        <w:tc>
          <w:tcPr>
            <w:tcW w:w="1199" w:type="pct"/>
            <w:tcBorders>
              <w:top w:val="nil"/>
              <w:left w:val="nil"/>
              <w:bottom w:val="single" w:color="auto" w:sz="4" w:space="0"/>
              <w:right w:val="single" w:color="auto" w:sz="4" w:space="0"/>
            </w:tcBorders>
            <w:noWrap/>
            <w:vAlign w:val="center"/>
          </w:tcPr>
          <w:p w14:paraId="7779AE92">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3号楼7楼</w:t>
            </w:r>
          </w:p>
        </w:tc>
        <w:tc>
          <w:tcPr>
            <w:tcW w:w="3305" w:type="pct"/>
            <w:tcBorders>
              <w:top w:val="nil"/>
              <w:left w:val="nil"/>
              <w:bottom w:val="single" w:color="auto" w:sz="4" w:space="0"/>
              <w:right w:val="single" w:color="auto" w:sz="4" w:space="0"/>
            </w:tcBorders>
            <w:noWrap/>
            <w:vAlign w:val="center"/>
          </w:tcPr>
          <w:p w14:paraId="1EF760C9">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28837E57">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34DFB451">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3</w:t>
            </w:r>
          </w:p>
        </w:tc>
        <w:tc>
          <w:tcPr>
            <w:tcW w:w="1199" w:type="pct"/>
            <w:tcBorders>
              <w:top w:val="nil"/>
              <w:left w:val="nil"/>
              <w:bottom w:val="single" w:color="auto" w:sz="4" w:space="0"/>
              <w:right w:val="single" w:color="auto" w:sz="4" w:space="0"/>
            </w:tcBorders>
            <w:noWrap/>
            <w:vAlign w:val="center"/>
          </w:tcPr>
          <w:p w14:paraId="60E41BAA">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3号楼8楼</w:t>
            </w:r>
          </w:p>
        </w:tc>
        <w:tc>
          <w:tcPr>
            <w:tcW w:w="3305" w:type="pct"/>
            <w:tcBorders>
              <w:top w:val="nil"/>
              <w:left w:val="nil"/>
              <w:bottom w:val="single" w:color="auto" w:sz="4" w:space="0"/>
              <w:right w:val="single" w:color="auto" w:sz="4" w:space="0"/>
            </w:tcBorders>
            <w:noWrap/>
            <w:vAlign w:val="center"/>
          </w:tcPr>
          <w:p w14:paraId="02266674">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0AF52702">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02526468">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4</w:t>
            </w:r>
          </w:p>
        </w:tc>
        <w:tc>
          <w:tcPr>
            <w:tcW w:w="1199" w:type="pct"/>
            <w:tcBorders>
              <w:top w:val="nil"/>
              <w:left w:val="nil"/>
              <w:bottom w:val="single" w:color="auto" w:sz="4" w:space="0"/>
              <w:right w:val="single" w:color="auto" w:sz="4" w:space="0"/>
            </w:tcBorders>
            <w:noWrap/>
            <w:vAlign w:val="center"/>
          </w:tcPr>
          <w:p w14:paraId="7BA4CFBA">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3号楼9楼</w:t>
            </w:r>
          </w:p>
        </w:tc>
        <w:tc>
          <w:tcPr>
            <w:tcW w:w="3305" w:type="pct"/>
            <w:tcBorders>
              <w:top w:val="nil"/>
              <w:left w:val="nil"/>
              <w:bottom w:val="single" w:color="auto" w:sz="4" w:space="0"/>
              <w:right w:val="single" w:color="auto" w:sz="4" w:space="0"/>
            </w:tcBorders>
            <w:noWrap/>
            <w:vAlign w:val="center"/>
          </w:tcPr>
          <w:p w14:paraId="0C3133F1">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1D5ABBAA">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7910C8FC">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5</w:t>
            </w:r>
          </w:p>
        </w:tc>
        <w:tc>
          <w:tcPr>
            <w:tcW w:w="1199" w:type="pct"/>
            <w:tcBorders>
              <w:top w:val="nil"/>
              <w:left w:val="nil"/>
              <w:bottom w:val="single" w:color="auto" w:sz="4" w:space="0"/>
              <w:right w:val="single" w:color="auto" w:sz="4" w:space="0"/>
            </w:tcBorders>
            <w:noWrap/>
            <w:vAlign w:val="center"/>
          </w:tcPr>
          <w:p w14:paraId="1812DE9C">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3号楼10楼</w:t>
            </w:r>
          </w:p>
        </w:tc>
        <w:tc>
          <w:tcPr>
            <w:tcW w:w="3305" w:type="pct"/>
            <w:tcBorders>
              <w:top w:val="nil"/>
              <w:left w:val="nil"/>
              <w:bottom w:val="single" w:color="auto" w:sz="4" w:space="0"/>
              <w:right w:val="single" w:color="auto" w:sz="4" w:space="0"/>
            </w:tcBorders>
            <w:noWrap/>
            <w:vAlign w:val="center"/>
          </w:tcPr>
          <w:p w14:paraId="5BA332FB">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52B73AC3">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71B348CA">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6</w:t>
            </w:r>
          </w:p>
        </w:tc>
        <w:tc>
          <w:tcPr>
            <w:tcW w:w="1199" w:type="pct"/>
            <w:tcBorders>
              <w:top w:val="nil"/>
              <w:left w:val="nil"/>
              <w:bottom w:val="single" w:color="auto" w:sz="4" w:space="0"/>
              <w:right w:val="single" w:color="auto" w:sz="4" w:space="0"/>
            </w:tcBorders>
            <w:noWrap/>
            <w:vAlign w:val="center"/>
          </w:tcPr>
          <w:p w14:paraId="5F948986">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4号楼2楼</w:t>
            </w:r>
          </w:p>
        </w:tc>
        <w:tc>
          <w:tcPr>
            <w:tcW w:w="3305" w:type="pct"/>
            <w:tcBorders>
              <w:top w:val="nil"/>
              <w:left w:val="nil"/>
              <w:bottom w:val="single" w:color="auto" w:sz="4" w:space="0"/>
              <w:right w:val="single" w:color="auto" w:sz="4" w:space="0"/>
            </w:tcBorders>
            <w:noWrap/>
            <w:vAlign w:val="center"/>
          </w:tcPr>
          <w:p w14:paraId="4450C1D4">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17241E8E">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6448BAE8">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7</w:t>
            </w:r>
          </w:p>
        </w:tc>
        <w:tc>
          <w:tcPr>
            <w:tcW w:w="1199" w:type="pct"/>
            <w:tcBorders>
              <w:top w:val="nil"/>
              <w:left w:val="nil"/>
              <w:bottom w:val="single" w:color="auto" w:sz="4" w:space="0"/>
              <w:right w:val="single" w:color="auto" w:sz="4" w:space="0"/>
            </w:tcBorders>
            <w:noWrap/>
            <w:vAlign w:val="center"/>
          </w:tcPr>
          <w:p w14:paraId="0F1BC672">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4号楼4楼</w:t>
            </w:r>
          </w:p>
        </w:tc>
        <w:tc>
          <w:tcPr>
            <w:tcW w:w="3305" w:type="pct"/>
            <w:tcBorders>
              <w:top w:val="nil"/>
              <w:left w:val="nil"/>
              <w:bottom w:val="single" w:color="auto" w:sz="4" w:space="0"/>
              <w:right w:val="single" w:color="auto" w:sz="4" w:space="0"/>
            </w:tcBorders>
            <w:noWrap/>
            <w:vAlign w:val="center"/>
          </w:tcPr>
          <w:p w14:paraId="251A07C4">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病案扫码所需的范围</w:t>
            </w:r>
          </w:p>
        </w:tc>
      </w:tr>
      <w:tr w14:paraId="53B0BD81">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2D311425">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8</w:t>
            </w:r>
          </w:p>
        </w:tc>
        <w:tc>
          <w:tcPr>
            <w:tcW w:w="1199" w:type="pct"/>
            <w:tcBorders>
              <w:top w:val="nil"/>
              <w:left w:val="nil"/>
              <w:bottom w:val="single" w:color="auto" w:sz="4" w:space="0"/>
              <w:right w:val="single" w:color="auto" w:sz="4" w:space="0"/>
            </w:tcBorders>
            <w:noWrap/>
            <w:vAlign w:val="center"/>
          </w:tcPr>
          <w:p w14:paraId="5188D12B">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4号楼5楼</w:t>
            </w:r>
          </w:p>
        </w:tc>
        <w:tc>
          <w:tcPr>
            <w:tcW w:w="3305" w:type="pct"/>
            <w:tcBorders>
              <w:top w:val="nil"/>
              <w:left w:val="nil"/>
              <w:bottom w:val="single" w:color="auto" w:sz="4" w:space="0"/>
              <w:right w:val="single" w:color="auto" w:sz="4" w:space="0"/>
            </w:tcBorders>
            <w:noWrap/>
            <w:vAlign w:val="center"/>
          </w:tcPr>
          <w:p w14:paraId="59990E77">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内科ICU所需要的范围</w:t>
            </w:r>
          </w:p>
        </w:tc>
      </w:tr>
      <w:tr w14:paraId="11BBC9A1">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6A62139E">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9</w:t>
            </w:r>
          </w:p>
        </w:tc>
        <w:tc>
          <w:tcPr>
            <w:tcW w:w="1199" w:type="pct"/>
            <w:tcBorders>
              <w:top w:val="nil"/>
              <w:left w:val="nil"/>
              <w:bottom w:val="single" w:color="auto" w:sz="4" w:space="0"/>
              <w:right w:val="single" w:color="auto" w:sz="4" w:space="0"/>
            </w:tcBorders>
            <w:noWrap/>
            <w:vAlign w:val="center"/>
          </w:tcPr>
          <w:p w14:paraId="0CCBF38B">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4号楼6楼</w:t>
            </w:r>
          </w:p>
        </w:tc>
        <w:tc>
          <w:tcPr>
            <w:tcW w:w="3305" w:type="pct"/>
            <w:tcBorders>
              <w:top w:val="nil"/>
              <w:left w:val="nil"/>
              <w:bottom w:val="single" w:color="auto" w:sz="4" w:space="0"/>
              <w:right w:val="single" w:color="auto" w:sz="4" w:space="0"/>
            </w:tcBorders>
            <w:noWrap/>
            <w:vAlign w:val="center"/>
          </w:tcPr>
          <w:p w14:paraId="2A201622">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6DB96D7F">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00EFE89A">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10</w:t>
            </w:r>
          </w:p>
        </w:tc>
        <w:tc>
          <w:tcPr>
            <w:tcW w:w="1199" w:type="pct"/>
            <w:tcBorders>
              <w:top w:val="nil"/>
              <w:left w:val="nil"/>
              <w:bottom w:val="single" w:color="auto" w:sz="4" w:space="0"/>
              <w:right w:val="single" w:color="auto" w:sz="4" w:space="0"/>
            </w:tcBorders>
            <w:noWrap/>
            <w:vAlign w:val="center"/>
          </w:tcPr>
          <w:p w14:paraId="45E48868">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4号楼7楼</w:t>
            </w:r>
          </w:p>
        </w:tc>
        <w:tc>
          <w:tcPr>
            <w:tcW w:w="3305" w:type="pct"/>
            <w:tcBorders>
              <w:top w:val="nil"/>
              <w:left w:val="nil"/>
              <w:bottom w:val="single" w:color="auto" w:sz="4" w:space="0"/>
              <w:right w:val="single" w:color="auto" w:sz="4" w:space="0"/>
            </w:tcBorders>
            <w:noWrap/>
            <w:vAlign w:val="center"/>
          </w:tcPr>
          <w:p w14:paraId="0283948B">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0D2CB265">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70DFFCE9">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11</w:t>
            </w:r>
          </w:p>
        </w:tc>
        <w:tc>
          <w:tcPr>
            <w:tcW w:w="1199" w:type="pct"/>
            <w:tcBorders>
              <w:top w:val="nil"/>
              <w:left w:val="nil"/>
              <w:bottom w:val="single" w:color="auto" w:sz="4" w:space="0"/>
              <w:right w:val="single" w:color="auto" w:sz="4" w:space="0"/>
            </w:tcBorders>
            <w:noWrap/>
            <w:vAlign w:val="center"/>
          </w:tcPr>
          <w:p w14:paraId="1D01C765">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4号楼8楼</w:t>
            </w:r>
          </w:p>
        </w:tc>
        <w:tc>
          <w:tcPr>
            <w:tcW w:w="3305" w:type="pct"/>
            <w:tcBorders>
              <w:top w:val="nil"/>
              <w:left w:val="nil"/>
              <w:bottom w:val="single" w:color="auto" w:sz="4" w:space="0"/>
              <w:right w:val="single" w:color="auto" w:sz="4" w:space="0"/>
            </w:tcBorders>
            <w:noWrap/>
            <w:vAlign w:val="center"/>
          </w:tcPr>
          <w:p w14:paraId="7A7239D0">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47EA4A90">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06CCF67C">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12</w:t>
            </w:r>
          </w:p>
        </w:tc>
        <w:tc>
          <w:tcPr>
            <w:tcW w:w="1199" w:type="pct"/>
            <w:tcBorders>
              <w:top w:val="nil"/>
              <w:left w:val="nil"/>
              <w:bottom w:val="single" w:color="auto" w:sz="4" w:space="0"/>
              <w:right w:val="single" w:color="auto" w:sz="4" w:space="0"/>
            </w:tcBorders>
            <w:noWrap/>
            <w:vAlign w:val="center"/>
          </w:tcPr>
          <w:p w14:paraId="7FB1D62D">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4号楼9楼</w:t>
            </w:r>
          </w:p>
        </w:tc>
        <w:tc>
          <w:tcPr>
            <w:tcW w:w="3305" w:type="pct"/>
            <w:tcBorders>
              <w:top w:val="nil"/>
              <w:left w:val="nil"/>
              <w:bottom w:val="single" w:color="auto" w:sz="4" w:space="0"/>
              <w:right w:val="single" w:color="auto" w:sz="4" w:space="0"/>
            </w:tcBorders>
            <w:noWrap/>
            <w:vAlign w:val="center"/>
          </w:tcPr>
          <w:p w14:paraId="6FD092D2">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392688C4">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3516FAF2">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13</w:t>
            </w:r>
          </w:p>
        </w:tc>
        <w:tc>
          <w:tcPr>
            <w:tcW w:w="1199" w:type="pct"/>
            <w:tcBorders>
              <w:top w:val="nil"/>
              <w:left w:val="nil"/>
              <w:bottom w:val="single" w:color="auto" w:sz="4" w:space="0"/>
              <w:right w:val="single" w:color="auto" w:sz="4" w:space="0"/>
            </w:tcBorders>
            <w:noWrap/>
            <w:vAlign w:val="center"/>
          </w:tcPr>
          <w:p w14:paraId="5114A7B7">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4号楼10楼</w:t>
            </w:r>
          </w:p>
        </w:tc>
        <w:tc>
          <w:tcPr>
            <w:tcW w:w="3305" w:type="pct"/>
            <w:tcBorders>
              <w:top w:val="nil"/>
              <w:left w:val="nil"/>
              <w:bottom w:val="single" w:color="auto" w:sz="4" w:space="0"/>
              <w:right w:val="single" w:color="auto" w:sz="4" w:space="0"/>
            </w:tcBorders>
            <w:noWrap/>
            <w:vAlign w:val="center"/>
          </w:tcPr>
          <w:p w14:paraId="174257B2">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7FA11C4A">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3693BA0D">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14</w:t>
            </w:r>
          </w:p>
        </w:tc>
        <w:tc>
          <w:tcPr>
            <w:tcW w:w="1199" w:type="pct"/>
            <w:tcBorders>
              <w:top w:val="nil"/>
              <w:left w:val="nil"/>
              <w:bottom w:val="single" w:color="auto" w:sz="4" w:space="0"/>
              <w:right w:val="single" w:color="auto" w:sz="4" w:space="0"/>
            </w:tcBorders>
            <w:noWrap/>
            <w:vAlign w:val="center"/>
          </w:tcPr>
          <w:p w14:paraId="0ACBCB78">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4号楼11楼</w:t>
            </w:r>
          </w:p>
        </w:tc>
        <w:tc>
          <w:tcPr>
            <w:tcW w:w="3305" w:type="pct"/>
            <w:tcBorders>
              <w:top w:val="nil"/>
              <w:left w:val="nil"/>
              <w:bottom w:val="single" w:color="auto" w:sz="4" w:space="0"/>
              <w:right w:val="single" w:color="auto" w:sz="4" w:space="0"/>
            </w:tcBorders>
            <w:noWrap/>
            <w:vAlign w:val="center"/>
          </w:tcPr>
          <w:p w14:paraId="69838CA2">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7CC1BF47">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217AD2F9">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15</w:t>
            </w:r>
          </w:p>
        </w:tc>
        <w:tc>
          <w:tcPr>
            <w:tcW w:w="1199" w:type="pct"/>
            <w:tcBorders>
              <w:top w:val="nil"/>
              <w:left w:val="nil"/>
              <w:bottom w:val="single" w:color="auto" w:sz="4" w:space="0"/>
              <w:right w:val="single" w:color="auto" w:sz="4" w:space="0"/>
            </w:tcBorders>
            <w:noWrap/>
            <w:vAlign w:val="center"/>
          </w:tcPr>
          <w:p w14:paraId="15390B1A">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4号楼12楼</w:t>
            </w:r>
          </w:p>
        </w:tc>
        <w:tc>
          <w:tcPr>
            <w:tcW w:w="3305" w:type="pct"/>
            <w:tcBorders>
              <w:top w:val="nil"/>
              <w:left w:val="nil"/>
              <w:bottom w:val="single" w:color="auto" w:sz="4" w:space="0"/>
              <w:right w:val="single" w:color="auto" w:sz="4" w:space="0"/>
            </w:tcBorders>
            <w:noWrap/>
            <w:vAlign w:val="center"/>
          </w:tcPr>
          <w:p w14:paraId="7837B148">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0B080838">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5FE910B8">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16</w:t>
            </w:r>
          </w:p>
        </w:tc>
        <w:tc>
          <w:tcPr>
            <w:tcW w:w="1199" w:type="pct"/>
            <w:tcBorders>
              <w:top w:val="nil"/>
              <w:left w:val="nil"/>
              <w:bottom w:val="single" w:color="auto" w:sz="4" w:space="0"/>
              <w:right w:val="single" w:color="auto" w:sz="4" w:space="0"/>
            </w:tcBorders>
            <w:noWrap/>
            <w:vAlign w:val="center"/>
          </w:tcPr>
          <w:p w14:paraId="1EACBAE3">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4号楼13楼</w:t>
            </w:r>
          </w:p>
        </w:tc>
        <w:tc>
          <w:tcPr>
            <w:tcW w:w="3305" w:type="pct"/>
            <w:tcBorders>
              <w:top w:val="nil"/>
              <w:left w:val="nil"/>
              <w:bottom w:val="single" w:color="auto" w:sz="4" w:space="0"/>
              <w:right w:val="single" w:color="auto" w:sz="4" w:space="0"/>
            </w:tcBorders>
            <w:noWrap/>
            <w:vAlign w:val="center"/>
          </w:tcPr>
          <w:p w14:paraId="1167EFF9">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24073CD8">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546198A3">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17</w:t>
            </w:r>
          </w:p>
        </w:tc>
        <w:tc>
          <w:tcPr>
            <w:tcW w:w="1199" w:type="pct"/>
            <w:tcBorders>
              <w:top w:val="nil"/>
              <w:left w:val="nil"/>
              <w:bottom w:val="single" w:color="auto" w:sz="4" w:space="0"/>
              <w:right w:val="single" w:color="auto" w:sz="4" w:space="0"/>
            </w:tcBorders>
            <w:noWrap/>
            <w:vAlign w:val="center"/>
          </w:tcPr>
          <w:p w14:paraId="6E62076C">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4号楼14楼</w:t>
            </w:r>
          </w:p>
        </w:tc>
        <w:tc>
          <w:tcPr>
            <w:tcW w:w="3305" w:type="pct"/>
            <w:tcBorders>
              <w:top w:val="nil"/>
              <w:left w:val="nil"/>
              <w:bottom w:val="single" w:color="auto" w:sz="4" w:space="0"/>
              <w:right w:val="single" w:color="auto" w:sz="4" w:space="0"/>
            </w:tcBorders>
            <w:noWrap/>
            <w:vAlign w:val="center"/>
          </w:tcPr>
          <w:p w14:paraId="4F54E39D">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44B0FC6E">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5A5A1709">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18</w:t>
            </w:r>
          </w:p>
        </w:tc>
        <w:tc>
          <w:tcPr>
            <w:tcW w:w="1199" w:type="pct"/>
            <w:tcBorders>
              <w:top w:val="nil"/>
              <w:left w:val="nil"/>
              <w:bottom w:val="single" w:color="auto" w:sz="4" w:space="0"/>
              <w:right w:val="single" w:color="auto" w:sz="4" w:space="0"/>
            </w:tcBorders>
            <w:noWrap/>
            <w:vAlign w:val="center"/>
          </w:tcPr>
          <w:p w14:paraId="359C61C9">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4号楼15楼</w:t>
            </w:r>
          </w:p>
        </w:tc>
        <w:tc>
          <w:tcPr>
            <w:tcW w:w="3305" w:type="pct"/>
            <w:tcBorders>
              <w:top w:val="nil"/>
              <w:left w:val="nil"/>
              <w:bottom w:val="single" w:color="auto" w:sz="4" w:space="0"/>
              <w:right w:val="single" w:color="auto" w:sz="4" w:space="0"/>
            </w:tcBorders>
            <w:noWrap/>
            <w:vAlign w:val="center"/>
          </w:tcPr>
          <w:p w14:paraId="76A45E3B">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2DE2B58F">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10BEDD6A">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19</w:t>
            </w:r>
          </w:p>
        </w:tc>
        <w:tc>
          <w:tcPr>
            <w:tcW w:w="1199" w:type="pct"/>
            <w:tcBorders>
              <w:top w:val="nil"/>
              <w:left w:val="nil"/>
              <w:bottom w:val="single" w:color="auto" w:sz="4" w:space="0"/>
              <w:right w:val="single" w:color="auto" w:sz="4" w:space="0"/>
            </w:tcBorders>
            <w:noWrap/>
            <w:vAlign w:val="center"/>
          </w:tcPr>
          <w:p w14:paraId="3C4EA6A6">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4号楼16楼</w:t>
            </w:r>
          </w:p>
        </w:tc>
        <w:tc>
          <w:tcPr>
            <w:tcW w:w="3305" w:type="pct"/>
            <w:tcBorders>
              <w:top w:val="nil"/>
              <w:left w:val="nil"/>
              <w:bottom w:val="single" w:color="auto" w:sz="4" w:space="0"/>
              <w:right w:val="single" w:color="auto" w:sz="4" w:space="0"/>
            </w:tcBorders>
            <w:noWrap/>
            <w:vAlign w:val="center"/>
          </w:tcPr>
          <w:p w14:paraId="50D72467">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0277214F">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36F7884D">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20</w:t>
            </w:r>
          </w:p>
        </w:tc>
        <w:tc>
          <w:tcPr>
            <w:tcW w:w="1199" w:type="pct"/>
            <w:tcBorders>
              <w:top w:val="nil"/>
              <w:left w:val="nil"/>
              <w:bottom w:val="single" w:color="auto" w:sz="4" w:space="0"/>
              <w:right w:val="single" w:color="auto" w:sz="4" w:space="0"/>
            </w:tcBorders>
            <w:noWrap/>
            <w:vAlign w:val="center"/>
          </w:tcPr>
          <w:p w14:paraId="7B1FD7CB">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6号楼4楼</w:t>
            </w:r>
          </w:p>
        </w:tc>
        <w:tc>
          <w:tcPr>
            <w:tcW w:w="3305" w:type="pct"/>
            <w:tcBorders>
              <w:top w:val="nil"/>
              <w:left w:val="nil"/>
              <w:bottom w:val="single" w:color="auto" w:sz="4" w:space="0"/>
              <w:right w:val="single" w:color="auto" w:sz="4" w:space="0"/>
            </w:tcBorders>
            <w:noWrap/>
            <w:vAlign w:val="center"/>
          </w:tcPr>
          <w:p w14:paraId="46CBB2C7">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7197756F">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737F13B6">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21</w:t>
            </w:r>
          </w:p>
        </w:tc>
        <w:tc>
          <w:tcPr>
            <w:tcW w:w="1199" w:type="pct"/>
            <w:tcBorders>
              <w:top w:val="nil"/>
              <w:left w:val="nil"/>
              <w:bottom w:val="single" w:color="auto" w:sz="4" w:space="0"/>
              <w:right w:val="single" w:color="auto" w:sz="4" w:space="0"/>
            </w:tcBorders>
            <w:noWrap/>
            <w:vAlign w:val="center"/>
          </w:tcPr>
          <w:p w14:paraId="727DB58D">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6号楼7楼</w:t>
            </w:r>
          </w:p>
        </w:tc>
        <w:tc>
          <w:tcPr>
            <w:tcW w:w="3305" w:type="pct"/>
            <w:tcBorders>
              <w:top w:val="nil"/>
              <w:left w:val="nil"/>
              <w:bottom w:val="single" w:color="auto" w:sz="4" w:space="0"/>
              <w:right w:val="single" w:color="auto" w:sz="4" w:space="0"/>
            </w:tcBorders>
            <w:noWrap/>
            <w:vAlign w:val="center"/>
          </w:tcPr>
          <w:p w14:paraId="2B530C5B">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68AB5583">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45DC9D72">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22</w:t>
            </w:r>
          </w:p>
        </w:tc>
        <w:tc>
          <w:tcPr>
            <w:tcW w:w="1199" w:type="pct"/>
            <w:tcBorders>
              <w:top w:val="nil"/>
              <w:left w:val="nil"/>
              <w:bottom w:val="single" w:color="auto" w:sz="4" w:space="0"/>
              <w:right w:val="single" w:color="auto" w:sz="4" w:space="0"/>
            </w:tcBorders>
            <w:noWrap/>
            <w:vAlign w:val="center"/>
          </w:tcPr>
          <w:p w14:paraId="7131C332">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6号楼8楼</w:t>
            </w:r>
          </w:p>
        </w:tc>
        <w:tc>
          <w:tcPr>
            <w:tcW w:w="3305" w:type="pct"/>
            <w:tcBorders>
              <w:top w:val="nil"/>
              <w:left w:val="nil"/>
              <w:bottom w:val="single" w:color="auto" w:sz="4" w:space="0"/>
              <w:right w:val="single" w:color="auto" w:sz="4" w:space="0"/>
            </w:tcBorders>
            <w:noWrap/>
            <w:vAlign w:val="center"/>
          </w:tcPr>
          <w:p w14:paraId="1A294A44">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5292A002">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29A89F35">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23</w:t>
            </w:r>
          </w:p>
        </w:tc>
        <w:tc>
          <w:tcPr>
            <w:tcW w:w="1199" w:type="pct"/>
            <w:tcBorders>
              <w:top w:val="nil"/>
              <w:left w:val="nil"/>
              <w:bottom w:val="single" w:color="auto" w:sz="4" w:space="0"/>
              <w:right w:val="single" w:color="auto" w:sz="4" w:space="0"/>
            </w:tcBorders>
            <w:noWrap/>
            <w:vAlign w:val="center"/>
          </w:tcPr>
          <w:p w14:paraId="680B18DB">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6号楼9楼</w:t>
            </w:r>
          </w:p>
        </w:tc>
        <w:tc>
          <w:tcPr>
            <w:tcW w:w="3305" w:type="pct"/>
            <w:tcBorders>
              <w:top w:val="nil"/>
              <w:left w:val="nil"/>
              <w:bottom w:val="single" w:color="auto" w:sz="4" w:space="0"/>
              <w:right w:val="single" w:color="auto" w:sz="4" w:space="0"/>
            </w:tcBorders>
            <w:noWrap/>
            <w:vAlign w:val="center"/>
          </w:tcPr>
          <w:p w14:paraId="334F470B">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1A9F4361">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70CED615">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24</w:t>
            </w:r>
          </w:p>
        </w:tc>
        <w:tc>
          <w:tcPr>
            <w:tcW w:w="1199" w:type="pct"/>
            <w:tcBorders>
              <w:top w:val="nil"/>
              <w:left w:val="nil"/>
              <w:bottom w:val="single" w:color="auto" w:sz="4" w:space="0"/>
              <w:right w:val="single" w:color="auto" w:sz="4" w:space="0"/>
            </w:tcBorders>
            <w:noWrap/>
            <w:vAlign w:val="center"/>
          </w:tcPr>
          <w:p w14:paraId="59235476">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6号楼10楼</w:t>
            </w:r>
          </w:p>
        </w:tc>
        <w:tc>
          <w:tcPr>
            <w:tcW w:w="3305" w:type="pct"/>
            <w:tcBorders>
              <w:top w:val="nil"/>
              <w:left w:val="nil"/>
              <w:bottom w:val="single" w:color="auto" w:sz="4" w:space="0"/>
              <w:right w:val="single" w:color="auto" w:sz="4" w:space="0"/>
            </w:tcBorders>
            <w:noWrap/>
            <w:vAlign w:val="center"/>
          </w:tcPr>
          <w:p w14:paraId="49ED406D">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r w14:paraId="173FC458">
        <w:tblPrEx>
          <w:tblCellMar>
            <w:top w:w="0" w:type="dxa"/>
            <w:left w:w="108" w:type="dxa"/>
            <w:bottom w:w="0" w:type="dxa"/>
            <w:right w:w="108" w:type="dxa"/>
          </w:tblCellMar>
        </w:tblPrEx>
        <w:trPr>
          <w:trHeight w:val="510" w:hRule="exact"/>
          <w:jc w:val="center"/>
        </w:trPr>
        <w:tc>
          <w:tcPr>
            <w:tcW w:w="495" w:type="pct"/>
            <w:tcBorders>
              <w:top w:val="nil"/>
              <w:left w:val="single" w:color="auto" w:sz="4" w:space="0"/>
              <w:bottom w:val="single" w:color="auto" w:sz="4" w:space="0"/>
              <w:right w:val="single" w:color="auto" w:sz="4" w:space="0"/>
            </w:tcBorders>
            <w:noWrap/>
            <w:vAlign w:val="center"/>
          </w:tcPr>
          <w:p w14:paraId="74176681">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25</w:t>
            </w:r>
          </w:p>
        </w:tc>
        <w:tc>
          <w:tcPr>
            <w:tcW w:w="1199" w:type="pct"/>
            <w:tcBorders>
              <w:top w:val="nil"/>
              <w:left w:val="nil"/>
              <w:bottom w:val="single" w:color="auto" w:sz="4" w:space="0"/>
              <w:right w:val="single" w:color="auto" w:sz="4" w:space="0"/>
            </w:tcBorders>
            <w:noWrap/>
            <w:vAlign w:val="center"/>
          </w:tcPr>
          <w:p w14:paraId="3105F7A9">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6号楼11楼</w:t>
            </w:r>
          </w:p>
        </w:tc>
        <w:tc>
          <w:tcPr>
            <w:tcW w:w="3305" w:type="pct"/>
            <w:tcBorders>
              <w:top w:val="nil"/>
              <w:left w:val="nil"/>
              <w:bottom w:val="single" w:color="auto" w:sz="4" w:space="0"/>
              <w:right w:val="single" w:color="auto" w:sz="4" w:space="0"/>
            </w:tcBorders>
            <w:noWrap/>
            <w:vAlign w:val="center"/>
          </w:tcPr>
          <w:p w14:paraId="2D764477">
            <w:pPr>
              <w:widowControl/>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医生办公室、护士站、所有病房、过道、标本存放处置室</w:t>
            </w:r>
          </w:p>
        </w:tc>
      </w:tr>
    </w:tbl>
    <w:p w14:paraId="2EAF10A1">
      <w:pPr>
        <w:rPr>
          <w:rFonts w:hint="eastAsia" w:ascii="宋体" w:hAnsi="宋体"/>
          <w:b/>
          <w:color w:val="000000" w:themeColor="text1"/>
          <w:highlight w:val="none"/>
          <w:lang w:val="en-US" w:eastAsia="zh-CN"/>
          <w14:textFill>
            <w14:solidFill>
              <w14:schemeClr w14:val="tx1"/>
            </w14:solidFill>
          </w14:textFill>
        </w:rPr>
      </w:pPr>
    </w:p>
    <w:p w14:paraId="2D5D726B">
      <w:pPr>
        <w:rPr>
          <w:rFonts w:hint="eastAsia" w:ascii="宋体" w:hAnsi="宋体"/>
          <w:b/>
          <w:color w:val="000000" w:themeColor="text1"/>
          <w:highlight w:val="none"/>
          <w:lang w:val="en-US" w:eastAsia="zh-CN"/>
          <w14:textFill>
            <w14:solidFill>
              <w14:schemeClr w14:val="tx1"/>
            </w14:solidFill>
          </w14:textFill>
        </w:rPr>
      </w:pPr>
      <w:r>
        <w:rPr>
          <w:rFonts w:hint="eastAsia" w:ascii="宋体" w:hAnsi="宋体"/>
          <w:b/>
          <w:color w:val="000000" w:themeColor="text1"/>
          <w:highlight w:val="none"/>
          <w:lang w:val="en-US" w:eastAsia="zh-CN"/>
          <w14:textFill>
            <w14:solidFill>
              <w14:schemeClr w14:val="tx1"/>
            </w14:solidFill>
          </w14:textFill>
        </w:rPr>
        <w:t>备注：采购方可根据实际情况进行安装楼层位置调整。</w:t>
      </w:r>
    </w:p>
    <w:p w14:paraId="0F8A5706">
      <w:pPr>
        <w:rPr>
          <w:rFonts w:hint="eastAsia" w:ascii="宋体" w:hAnsi="宋体"/>
          <w:b/>
          <w:color w:val="000000" w:themeColor="text1"/>
          <w:highlight w:val="none"/>
          <w:lang w:val="en-US" w:eastAsia="zh-CN"/>
          <w14:textFill>
            <w14:solidFill>
              <w14:schemeClr w14:val="tx1"/>
            </w14:solidFill>
          </w14:textFill>
        </w:rPr>
      </w:pPr>
    </w:p>
    <w:p w14:paraId="04915A62">
      <w:pP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附表2：门禁维护清单</w:t>
      </w:r>
    </w:p>
    <w:tbl>
      <w:tblPr>
        <w:tblStyle w:val="39"/>
        <w:tblW w:w="9459" w:type="dxa"/>
        <w:tblInd w:w="93" w:type="dxa"/>
        <w:tblLayout w:type="fixed"/>
        <w:tblCellMar>
          <w:top w:w="0" w:type="dxa"/>
          <w:left w:w="108" w:type="dxa"/>
          <w:bottom w:w="0" w:type="dxa"/>
          <w:right w:w="108" w:type="dxa"/>
        </w:tblCellMar>
      </w:tblPr>
      <w:tblGrid>
        <w:gridCol w:w="5533"/>
        <w:gridCol w:w="3926"/>
      </w:tblGrid>
      <w:tr w14:paraId="1D7F02FF">
        <w:tblPrEx>
          <w:tblCellMar>
            <w:top w:w="0" w:type="dxa"/>
            <w:left w:w="108" w:type="dxa"/>
            <w:bottom w:w="0" w:type="dxa"/>
            <w:right w:w="108" w:type="dxa"/>
          </w:tblCellMar>
        </w:tblPrEx>
        <w:trPr>
          <w:trHeight w:val="309" w:hRule="atLeast"/>
        </w:trPr>
        <w:tc>
          <w:tcPr>
            <w:tcW w:w="5533" w:type="dxa"/>
            <w:tcBorders>
              <w:top w:val="single" w:color="auto" w:sz="4" w:space="0"/>
              <w:left w:val="single" w:color="auto" w:sz="4" w:space="0"/>
              <w:bottom w:val="single" w:color="auto" w:sz="4" w:space="0"/>
              <w:right w:val="single" w:color="auto" w:sz="4" w:space="0"/>
            </w:tcBorders>
            <w:noWrap/>
            <w:vAlign w:val="center"/>
          </w:tcPr>
          <w:p w14:paraId="5494EF18">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设备名称</w:t>
            </w:r>
          </w:p>
        </w:tc>
        <w:tc>
          <w:tcPr>
            <w:tcW w:w="3926" w:type="dxa"/>
            <w:tcBorders>
              <w:top w:val="single" w:color="auto" w:sz="4" w:space="0"/>
              <w:left w:val="nil"/>
              <w:bottom w:val="single" w:color="auto" w:sz="4" w:space="0"/>
              <w:right w:val="single" w:color="auto" w:sz="4" w:space="0"/>
            </w:tcBorders>
            <w:noWrap/>
            <w:vAlign w:val="center"/>
          </w:tcPr>
          <w:p w14:paraId="01381184">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设备类型</w:t>
            </w:r>
          </w:p>
        </w:tc>
      </w:tr>
      <w:tr w14:paraId="121E95A1">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49FBFBDA">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保卫科南门</w:t>
            </w:r>
          </w:p>
        </w:tc>
        <w:tc>
          <w:tcPr>
            <w:tcW w:w="3926" w:type="dxa"/>
            <w:tcBorders>
              <w:top w:val="nil"/>
              <w:left w:val="nil"/>
              <w:bottom w:val="single" w:color="auto" w:sz="4" w:space="0"/>
              <w:right w:val="single" w:color="auto" w:sz="4" w:space="0"/>
            </w:tcBorders>
            <w:noWrap/>
            <w:vAlign w:val="bottom"/>
          </w:tcPr>
          <w:p w14:paraId="0965DFBB">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集中控制器</w:t>
            </w:r>
          </w:p>
        </w:tc>
      </w:tr>
      <w:tr w14:paraId="71BFDF6A">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0A6E7F92">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护理部西门</w:t>
            </w:r>
          </w:p>
        </w:tc>
        <w:tc>
          <w:tcPr>
            <w:tcW w:w="3926" w:type="dxa"/>
            <w:tcBorders>
              <w:top w:val="nil"/>
              <w:left w:val="nil"/>
              <w:bottom w:val="single" w:color="auto" w:sz="4" w:space="0"/>
              <w:right w:val="single" w:color="auto" w:sz="4" w:space="0"/>
            </w:tcBorders>
            <w:noWrap/>
            <w:vAlign w:val="bottom"/>
          </w:tcPr>
          <w:p w14:paraId="767952C7">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集中控制器</w:t>
            </w:r>
          </w:p>
        </w:tc>
      </w:tr>
      <w:tr w14:paraId="3418311B">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14CD1774">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综合1F药库</w:t>
            </w:r>
          </w:p>
        </w:tc>
        <w:tc>
          <w:tcPr>
            <w:tcW w:w="3926" w:type="dxa"/>
            <w:tcBorders>
              <w:top w:val="nil"/>
              <w:left w:val="nil"/>
              <w:bottom w:val="single" w:color="auto" w:sz="4" w:space="0"/>
              <w:right w:val="single" w:color="auto" w:sz="4" w:space="0"/>
            </w:tcBorders>
            <w:noWrap/>
            <w:vAlign w:val="bottom"/>
          </w:tcPr>
          <w:p w14:paraId="52D3655A">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0607221D">
        <w:tblPrEx>
          <w:tblCellMar>
            <w:top w:w="0" w:type="dxa"/>
            <w:left w:w="108" w:type="dxa"/>
            <w:bottom w:w="0" w:type="dxa"/>
            <w:right w:w="108" w:type="dxa"/>
          </w:tblCellMar>
        </w:tblPrEx>
        <w:trPr>
          <w:trHeight w:val="90" w:hRule="atLeast"/>
        </w:trPr>
        <w:tc>
          <w:tcPr>
            <w:tcW w:w="5533" w:type="dxa"/>
            <w:tcBorders>
              <w:top w:val="nil"/>
              <w:left w:val="single" w:color="auto" w:sz="4" w:space="0"/>
              <w:bottom w:val="single" w:color="auto" w:sz="4" w:space="0"/>
              <w:right w:val="single" w:color="auto" w:sz="4" w:space="0"/>
            </w:tcBorders>
            <w:noWrap/>
            <w:vAlign w:val="bottom"/>
          </w:tcPr>
          <w:p w14:paraId="2CA75C97">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综合3F北门</w:t>
            </w:r>
          </w:p>
        </w:tc>
        <w:tc>
          <w:tcPr>
            <w:tcW w:w="3926" w:type="dxa"/>
            <w:tcBorders>
              <w:top w:val="nil"/>
              <w:left w:val="nil"/>
              <w:bottom w:val="single" w:color="auto" w:sz="4" w:space="0"/>
              <w:right w:val="single" w:color="auto" w:sz="4" w:space="0"/>
            </w:tcBorders>
            <w:noWrap/>
            <w:vAlign w:val="bottom"/>
          </w:tcPr>
          <w:p w14:paraId="48542770">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7C278BF7">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52293A29">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综合3F南门</w:t>
            </w:r>
          </w:p>
        </w:tc>
        <w:tc>
          <w:tcPr>
            <w:tcW w:w="3926" w:type="dxa"/>
            <w:tcBorders>
              <w:top w:val="nil"/>
              <w:left w:val="nil"/>
              <w:bottom w:val="single" w:color="auto" w:sz="4" w:space="0"/>
              <w:right w:val="single" w:color="auto" w:sz="4" w:space="0"/>
            </w:tcBorders>
            <w:noWrap/>
            <w:vAlign w:val="bottom"/>
          </w:tcPr>
          <w:p w14:paraId="14D1DBF4">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3F2CE3B1">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0ED77CB7">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机房东门</w:t>
            </w:r>
          </w:p>
        </w:tc>
        <w:tc>
          <w:tcPr>
            <w:tcW w:w="3926" w:type="dxa"/>
            <w:tcBorders>
              <w:top w:val="nil"/>
              <w:left w:val="nil"/>
              <w:bottom w:val="single" w:color="auto" w:sz="4" w:space="0"/>
              <w:right w:val="single" w:color="auto" w:sz="4" w:space="0"/>
            </w:tcBorders>
            <w:noWrap/>
            <w:vAlign w:val="bottom"/>
          </w:tcPr>
          <w:p w14:paraId="7E0DBD54">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30670423">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37DD9D38">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综合3F消防电梯口</w:t>
            </w:r>
          </w:p>
        </w:tc>
        <w:tc>
          <w:tcPr>
            <w:tcW w:w="3926" w:type="dxa"/>
            <w:tcBorders>
              <w:top w:val="nil"/>
              <w:left w:val="nil"/>
              <w:bottom w:val="single" w:color="auto" w:sz="4" w:space="0"/>
              <w:right w:val="single" w:color="auto" w:sz="4" w:space="0"/>
            </w:tcBorders>
            <w:noWrap/>
            <w:vAlign w:val="bottom"/>
          </w:tcPr>
          <w:p w14:paraId="5BF4955B">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7572D987">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543FC86B">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血透室四门电梯口</w:t>
            </w:r>
          </w:p>
        </w:tc>
        <w:tc>
          <w:tcPr>
            <w:tcW w:w="3926" w:type="dxa"/>
            <w:tcBorders>
              <w:top w:val="nil"/>
              <w:left w:val="nil"/>
              <w:bottom w:val="single" w:color="auto" w:sz="4" w:space="0"/>
              <w:right w:val="single" w:color="auto" w:sz="4" w:space="0"/>
            </w:tcBorders>
            <w:noWrap/>
            <w:vAlign w:val="bottom"/>
          </w:tcPr>
          <w:p w14:paraId="5E8400D1">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70ACF2BB">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7E72FB99">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血透室医护电梯口</w:t>
            </w:r>
          </w:p>
        </w:tc>
        <w:tc>
          <w:tcPr>
            <w:tcW w:w="3926" w:type="dxa"/>
            <w:tcBorders>
              <w:top w:val="nil"/>
              <w:left w:val="nil"/>
              <w:bottom w:val="single" w:color="auto" w:sz="4" w:space="0"/>
              <w:right w:val="single" w:color="auto" w:sz="4" w:space="0"/>
            </w:tcBorders>
            <w:noWrap/>
            <w:vAlign w:val="bottom"/>
          </w:tcPr>
          <w:p w14:paraId="65B29C2E">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6BAB2EDE">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7B1D8310">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血透室配液间</w:t>
            </w:r>
          </w:p>
        </w:tc>
        <w:tc>
          <w:tcPr>
            <w:tcW w:w="3926" w:type="dxa"/>
            <w:tcBorders>
              <w:top w:val="nil"/>
              <w:left w:val="nil"/>
              <w:bottom w:val="single" w:color="auto" w:sz="4" w:space="0"/>
              <w:right w:val="single" w:color="auto" w:sz="4" w:space="0"/>
            </w:tcBorders>
            <w:noWrap/>
            <w:vAlign w:val="bottom"/>
          </w:tcPr>
          <w:p w14:paraId="797EA755">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人脸门禁</w:t>
            </w:r>
          </w:p>
        </w:tc>
      </w:tr>
      <w:tr w14:paraId="4D7EF930">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3AB5683B">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血透室水处理</w:t>
            </w:r>
          </w:p>
        </w:tc>
        <w:tc>
          <w:tcPr>
            <w:tcW w:w="3926" w:type="dxa"/>
            <w:tcBorders>
              <w:top w:val="nil"/>
              <w:left w:val="nil"/>
              <w:bottom w:val="single" w:color="auto" w:sz="4" w:space="0"/>
              <w:right w:val="single" w:color="auto" w:sz="4" w:space="0"/>
            </w:tcBorders>
            <w:noWrap/>
            <w:vAlign w:val="bottom"/>
          </w:tcPr>
          <w:p w14:paraId="77B16105">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人脸门禁</w:t>
            </w:r>
          </w:p>
        </w:tc>
      </w:tr>
      <w:tr w14:paraId="069D11AC">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4090BC41">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1FCT一室</w:t>
            </w:r>
          </w:p>
        </w:tc>
        <w:tc>
          <w:tcPr>
            <w:tcW w:w="3926" w:type="dxa"/>
            <w:tcBorders>
              <w:top w:val="nil"/>
              <w:left w:val="nil"/>
              <w:bottom w:val="single" w:color="auto" w:sz="4" w:space="0"/>
              <w:right w:val="single" w:color="auto" w:sz="4" w:space="0"/>
            </w:tcBorders>
            <w:noWrap/>
            <w:vAlign w:val="bottom"/>
          </w:tcPr>
          <w:p w14:paraId="4C265AC7">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28D81AC9">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4D29732B">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1FCT二室</w:t>
            </w:r>
          </w:p>
        </w:tc>
        <w:tc>
          <w:tcPr>
            <w:tcW w:w="3926" w:type="dxa"/>
            <w:tcBorders>
              <w:top w:val="nil"/>
              <w:left w:val="nil"/>
              <w:bottom w:val="single" w:color="auto" w:sz="4" w:space="0"/>
              <w:right w:val="single" w:color="auto" w:sz="4" w:space="0"/>
            </w:tcBorders>
            <w:noWrap/>
            <w:vAlign w:val="bottom"/>
          </w:tcPr>
          <w:p w14:paraId="3CF523B4">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41563D0A">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22C66D92">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1FCT值班室</w:t>
            </w:r>
          </w:p>
        </w:tc>
        <w:tc>
          <w:tcPr>
            <w:tcW w:w="3926" w:type="dxa"/>
            <w:tcBorders>
              <w:top w:val="nil"/>
              <w:left w:val="nil"/>
              <w:bottom w:val="single" w:color="auto" w:sz="4" w:space="0"/>
              <w:right w:val="single" w:color="auto" w:sz="4" w:space="0"/>
            </w:tcBorders>
            <w:noWrap/>
            <w:vAlign w:val="bottom"/>
          </w:tcPr>
          <w:p w14:paraId="18D033A0">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2A4858D8">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768E6BF5">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5F院长室东门</w:t>
            </w:r>
          </w:p>
        </w:tc>
        <w:tc>
          <w:tcPr>
            <w:tcW w:w="3926" w:type="dxa"/>
            <w:tcBorders>
              <w:top w:val="nil"/>
              <w:left w:val="nil"/>
              <w:bottom w:val="single" w:color="auto" w:sz="4" w:space="0"/>
              <w:right w:val="single" w:color="auto" w:sz="4" w:space="0"/>
            </w:tcBorders>
            <w:noWrap/>
            <w:vAlign w:val="bottom"/>
          </w:tcPr>
          <w:p w14:paraId="6FE0FFEC">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363C7EB4">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62658C95">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1FCT办公区</w:t>
            </w:r>
          </w:p>
        </w:tc>
        <w:tc>
          <w:tcPr>
            <w:tcW w:w="3926" w:type="dxa"/>
            <w:tcBorders>
              <w:top w:val="nil"/>
              <w:left w:val="nil"/>
              <w:bottom w:val="single" w:color="auto" w:sz="4" w:space="0"/>
              <w:right w:val="single" w:color="auto" w:sz="4" w:space="0"/>
            </w:tcBorders>
            <w:noWrap/>
            <w:vAlign w:val="bottom"/>
          </w:tcPr>
          <w:p w14:paraId="7F050E7D">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7B8F1F8E">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38BE7CD0">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医技4楼电梯北门</w:t>
            </w:r>
          </w:p>
        </w:tc>
        <w:tc>
          <w:tcPr>
            <w:tcW w:w="3926" w:type="dxa"/>
            <w:tcBorders>
              <w:top w:val="nil"/>
              <w:left w:val="nil"/>
              <w:bottom w:val="single" w:color="auto" w:sz="4" w:space="0"/>
              <w:right w:val="single" w:color="auto" w:sz="4" w:space="0"/>
            </w:tcBorders>
            <w:noWrap/>
            <w:vAlign w:val="bottom"/>
          </w:tcPr>
          <w:p w14:paraId="05A20E46">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14417D9A">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77C7A3A7">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医技4楼电梯南门</w:t>
            </w:r>
          </w:p>
        </w:tc>
        <w:tc>
          <w:tcPr>
            <w:tcW w:w="3926" w:type="dxa"/>
            <w:tcBorders>
              <w:top w:val="nil"/>
              <w:left w:val="nil"/>
              <w:bottom w:val="single" w:color="auto" w:sz="4" w:space="0"/>
              <w:right w:val="single" w:color="auto" w:sz="4" w:space="0"/>
            </w:tcBorders>
            <w:noWrap/>
            <w:vAlign w:val="bottom"/>
          </w:tcPr>
          <w:p w14:paraId="2411D83B">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人脸门禁</w:t>
            </w:r>
          </w:p>
        </w:tc>
      </w:tr>
      <w:tr w14:paraId="3820209E">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6F424E66">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4号楼8层职工俱乐部</w:t>
            </w:r>
          </w:p>
        </w:tc>
        <w:tc>
          <w:tcPr>
            <w:tcW w:w="3926" w:type="dxa"/>
            <w:tcBorders>
              <w:top w:val="nil"/>
              <w:left w:val="nil"/>
              <w:bottom w:val="single" w:color="auto" w:sz="4" w:space="0"/>
              <w:right w:val="single" w:color="auto" w:sz="4" w:space="0"/>
            </w:tcBorders>
            <w:noWrap/>
            <w:vAlign w:val="bottom"/>
          </w:tcPr>
          <w:p w14:paraId="5F1EDFD6">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08A089F2">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0C8B1196">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2号楼2层影像中心西门</w:t>
            </w:r>
          </w:p>
        </w:tc>
        <w:tc>
          <w:tcPr>
            <w:tcW w:w="3926" w:type="dxa"/>
            <w:tcBorders>
              <w:top w:val="nil"/>
              <w:left w:val="nil"/>
              <w:bottom w:val="single" w:color="auto" w:sz="4" w:space="0"/>
              <w:right w:val="single" w:color="auto" w:sz="4" w:space="0"/>
            </w:tcBorders>
            <w:noWrap/>
            <w:vAlign w:val="bottom"/>
          </w:tcPr>
          <w:p w14:paraId="3846C12B">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270FA0B7">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6563D97C">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2号楼4层分子实验室</w:t>
            </w:r>
          </w:p>
        </w:tc>
        <w:tc>
          <w:tcPr>
            <w:tcW w:w="3926" w:type="dxa"/>
            <w:tcBorders>
              <w:top w:val="nil"/>
              <w:left w:val="nil"/>
              <w:bottom w:val="single" w:color="auto" w:sz="4" w:space="0"/>
              <w:right w:val="single" w:color="auto" w:sz="4" w:space="0"/>
            </w:tcBorders>
            <w:noWrap/>
            <w:vAlign w:val="bottom"/>
          </w:tcPr>
          <w:p w14:paraId="301BDE16">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62F7AC7C">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226211BB">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2号楼4层实验中心中间过道</w:t>
            </w:r>
          </w:p>
        </w:tc>
        <w:tc>
          <w:tcPr>
            <w:tcW w:w="3926" w:type="dxa"/>
            <w:tcBorders>
              <w:top w:val="nil"/>
              <w:left w:val="nil"/>
              <w:bottom w:val="single" w:color="auto" w:sz="4" w:space="0"/>
              <w:right w:val="single" w:color="auto" w:sz="4" w:space="0"/>
            </w:tcBorders>
            <w:noWrap/>
            <w:vAlign w:val="bottom"/>
          </w:tcPr>
          <w:p w14:paraId="760EDC67">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54DCF8B8">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0BE76FDA">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2号楼4层实验中心细菌室</w:t>
            </w:r>
          </w:p>
        </w:tc>
        <w:tc>
          <w:tcPr>
            <w:tcW w:w="3926" w:type="dxa"/>
            <w:tcBorders>
              <w:top w:val="nil"/>
              <w:left w:val="nil"/>
              <w:bottom w:val="single" w:color="auto" w:sz="4" w:space="0"/>
              <w:right w:val="single" w:color="auto" w:sz="4" w:space="0"/>
            </w:tcBorders>
            <w:noWrap/>
            <w:vAlign w:val="bottom"/>
          </w:tcPr>
          <w:p w14:paraId="08E42333">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33576D9E">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48DD7808">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4号楼4层病案室</w:t>
            </w:r>
          </w:p>
        </w:tc>
        <w:tc>
          <w:tcPr>
            <w:tcW w:w="3926" w:type="dxa"/>
            <w:tcBorders>
              <w:top w:val="nil"/>
              <w:left w:val="nil"/>
              <w:bottom w:val="single" w:color="auto" w:sz="4" w:space="0"/>
              <w:right w:val="single" w:color="auto" w:sz="4" w:space="0"/>
            </w:tcBorders>
            <w:noWrap/>
            <w:vAlign w:val="bottom"/>
          </w:tcPr>
          <w:p w14:paraId="689C8565">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45397B3C">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3F647D6B">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宿舍5楼外</w:t>
            </w:r>
          </w:p>
        </w:tc>
        <w:tc>
          <w:tcPr>
            <w:tcW w:w="3926" w:type="dxa"/>
            <w:tcBorders>
              <w:top w:val="nil"/>
              <w:left w:val="nil"/>
              <w:bottom w:val="single" w:color="auto" w:sz="4" w:space="0"/>
              <w:right w:val="single" w:color="auto" w:sz="4" w:space="0"/>
            </w:tcBorders>
            <w:noWrap/>
            <w:vAlign w:val="bottom"/>
          </w:tcPr>
          <w:p w14:paraId="7F73FA35">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7DF6EB85">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38BEE086">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宿舍7楼外</w:t>
            </w:r>
          </w:p>
        </w:tc>
        <w:tc>
          <w:tcPr>
            <w:tcW w:w="3926" w:type="dxa"/>
            <w:tcBorders>
              <w:top w:val="nil"/>
              <w:left w:val="nil"/>
              <w:bottom w:val="single" w:color="auto" w:sz="4" w:space="0"/>
              <w:right w:val="single" w:color="auto" w:sz="4" w:space="0"/>
            </w:tcBorders>
            <w:noWrap/>
            <w:vAlign w:val="bottom"/>
          </w:tcPr>
          <w:p w14:paraId="5AA38FE2">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5587CA9A">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3D69F202">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宿舍8楼外</w:t>
            </w:r>
          </w:p>
        </w:tc>
        <w:tc>
          <w:tcPr>
            <w:tcW w:w="3926" w:type="dxa"/>
            <w:tcBorders>
              <w:top w:val="nil"/>
              <w:left w:val="nil"/>
              <w:bottom w:val="single" w:color="auto" w:sz="4" w:space="0"/>
              <w:right w:val="single" w:color="auto" w:sz="4" w:space="0"/>
            </w:tcBorders>
            <w:noWrap/>
            <w:vAlign w:val="bottom"/>
          </w:tcPr>
          <w:p w14:paraId="3FCF729A">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14795E9E">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4D1AB4E1">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宿舍5楼消防门外</w:t>
            </w:r>
          </w:p>
        </w:tc>
        <w:tc>
          <w:tcPr>
            <w:tcW w:w="3926" w:type="dxa"/>
            <w:tcBorders>
              <w:top w:val="nil"/>
              <w:left w:val="nil"/>
              <w:bottom w:val="single" w:color="auto" w:sz="4" w:space="0"/>
              <w:right w:val="single" w:color="auto" w:sz="4" w:space="0"/>
            </w:tcBorders>
            <w:noWrap/>
            <w:vAlign w:val="bottom"/>
          </w:tcPr>
          <w:p w14:paraId="63F2156C">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329A66EE">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2AD83081">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宿舍7楼消防门外</w:t>
            </w:r>
          </w:p>
        </w:tc>
        <w:tc>
          <w:tcPr>
            <w:tcW w:w="3926" w:type="dxa"/>
            <w:tcBorders>
              <w:top w:val="nil"/>
              <w:left w:val="nil"/>
              <w:bottom w:val="single" w:color="auto" w:sz="4" w:space="0"/>
              <w:right w:val="single" w:color="auto" w:sz="4" w:space="0"/>
            </w:tcBorders>
            <w:noWrap/>
            <w:vAlign w:val="bottom"/>
          </w:tcPr>
          <w:p w14:paraId="491B8B05">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0C841DF1">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4C4DB238">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宿舍8楼消防门外</w:t>
            </w:r>
          </w:p>
        </w:tc>
        <w:tc>
          <w:tcPr>
            <w:tcW w:w="3926" w:type="dxa"/>
            <w:tcBorders>
              <w:top w:val="nil"/>
              <w:left w:val="nil"/>
              <w:bottom w:val="single" w:color="auto" w:sz="4" w:space="0"/>
              <w:right w:val="single" w:color="auto" w:sz="4" w:space="0"/>
            </w:tcBorders>
            <w:noWrap/>
            <w:vAlign w:val="bottom"/>
          </w:tcPr>
          <w:p w14:paraId="5C244204">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6E6923A3">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60AEAFA2">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医技5F老网管</w:t>
            </w:r>
          </w:p>
        </w:tc>
        <w:tc>
          <w:tcPr>
            <w:tcW w:w="3926" w:type="dxa"/>
            <w:tcBorders>
              <w:top w:val="nil"/>
              <w:left w:val="nil"/>
              <w:bottom w:val="single" w:color="auto" w:sz="4" w:space="0"/>
              <w:right w:val="single" w:color="auto" w:sz="4" w:space="0"/>
            </w:tcBorders>
            <w:noWrap/>
            <w:vAlign w:val="bottom"/>
          </w:tcPr>
          <w:p w14:paraId="7DDF300D">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5398D952">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215E5529">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1号楼23F南走廊西</w:t>
            </w:r>
          </w:p>
        </w:tc>
        <w:tc>
          <w:tcPr>
            <w:tcW w:w="3926" w:type="dxa"/>
            <w:tcBorders>
              <w:top w:val="nil"/>
              <w:left w:val="nil"/>
              <w:bottom w:val="single" w:color="auto" w:sz="4" w:space="0"/>
              <w:right w:val="single" w:color="auto" w:sz="4" w:space="0"/>
            </w:tcBorders>
            <w:noWrap/>
            <w:vAlign w:val="bottom"/>
          </w:tcPr>
          <w:p w14:paraId="3AC18E00">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19CC3106">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4AED3CA3">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1号楼23F电梯走廊西</w:t>
            </w:r>
          </w:p>
        </w:tc>
        <w:tc>
          <w:tcPr>
            <w:tcW w:w="3926" w:type="dxa"/>
            <w:tcBorders>
              <w:top w:val="nil"/>
              <w:left w:val="nil"/>
              <w:bottom w:val="single" w:color="auto" w:sz="4" w:space="0"/>
              <w:right w:val="single" w:color="auto" w:sz="4" w:space="0"/>
            </w:tcBorders>
            <w:noWrap/>
            <w:vAlign w:val="bottom"/>
          </w:tcPr>
          <w:p w14:paraId="47936892">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4BB4DDB7">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344A4FBD">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1号楼22F南走廊西</w:t>
            </w:r>
          </w:p>
        </w:tc>
        <w:tc>
          <w:tcPr>
            <w:tcW w:w="3926" w:type="dxa"/>
            <w:tcBorders>
              <w:top w:val="nil"/>
              <w:left w:val="nil"/>
              <w:bottom w:val="single" w:color="auto" w:sz="4" w:space="0"/>
              <w:right w:val="single" w:color="auto" w:sz="4" w:space="0"/>
            </w:tcBorders>
            <w:noWrap/>
            <w:vAlign w:val="bottom"/>
          </w:tcPr>
          <w:p w14:paraId="2A847439">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5DAD412F">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4492FF72">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1号楼22F电梯走廊西</w:t>
            </w:r>
          </w:p>
        </w:tc>
        <w:tc>
          <w:tcPr>
            <w:tcW w:w="3926" w:type="dxa"/>
            <w:tcBorders>
              <w:top w:val="nil"/>
              <w:left w:val="nil"/>
              <w:bottom w:val="single" w:color="auto" w:sz="4" w:space="0"/>
              <w:right w:val="single" w:color="auto" w:sz="4" w:space="0"/>
            </w:tcBorders>
            <w:noWrap/>
            <w:vAlign w:val="bottom"/>
          </w:tcPr>
          <w:p w14:paraId="055A6ABB">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6342483D">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bottom"/>
          </w:tcPr>
          <w:p w14:paraId="56817296">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2号楼1层登记室西侧</w:t>
            </w:r>
          </w:p>
        </w:tc>
        <w:tc>
          <w:tcPr>
            <w:tcW w:w="3926" w:type="dxa"/>
            <w:tcBorders>
              <w:top w:val="nil"/>
              <w:left w:val="nil"/>
              <w:bottom w:val="single" w:color="auto" w:sz="4" w:space="0"/>
              <w:right w:val="single" w:color="auto" w:sz="4" w:space="0"/>
            </w:tcBorders>
            <w:noWrap/>
            <w:vAlign w:val="bottom"/>
          </w:tcPr>
          <w:p w14:paraId="6FA6A08B">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4C6D39B9">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center"/>
          </w:tcPr>
          <w:p w14:paraId="6AC75F2A">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宿舍8楼消防门内</w:t>
            </w:r>
          </w:p>
        </w:tc>
        <w:tc>
          <w:tcPr>
            <w:tcW w:w="3926" w:type="dxa"/>
            <w:tcBorders>
              <w:top w:val="nil"/>
              <w:left w:val="nil"/>
              <w:bottom w:val="single" w:color="auto" w:sz="4" w:space="0"/>
              <w:right w:val="single" w:color="auto" w:sz="4" w:space="0"/>
            </w:tcBorders>
            <w:noWrap/>
            <w:vAlign w:val="bottom"/>
          </w:tcPr>
          <w:p w14:paraId="20A5515C">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6D8439EF">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center"/>
          </w:tcPr>
          <w:p w14:paraId="0CFFEE9D">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宿舍7楼消防门内</w:t>
            </w:r>
          </w:p>
        </w:tc>
        <w:tc>
          <w:tcPr>
            <w:tcW w:w="3926" w:type="dxa"/>
            <w:tcBorders>
              <w:top w:val="nil"/>
              <w:left w:val="nil"/>
              <w:bottom w:val="single" w:color="auto" w:sz="4" w:space="0"/>
              <w:right w:val="single" w:color="auto" w:sz="4" w:space="0"/>
            </w:tcBorders>
            <w:noWrap/>
            <w:vAlign w:val="bottom"/>
          </w:tcPr>
          <w:p w14:paraId="1A1E0442">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4159A6DE">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center"/>
          </w:tcPr>
          <w:p w14:paraId="1364E325">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宿舍5楼消防门内</w:t>
            </w:r>
          </w:p>
        </w:tc>
        <w:tc>
          <w:tcPr>
            <w:tcW w:w="3926" w:type="dxa"/>
            <w:tcBorders>
              <w:top w:val="nil"/>
              <w:left w:val="nil"/>
              <w:bottom w:val="single" w:color="auto" w:sz="4" w:space="0"/>
              <w:right w:val="single" w:color="auto" w:sz="4" w:space="0"/>
            </w:tcBorders>
            <w:noWrap/>
            <w:vAlign w:val="bottom"/>
          </w:tcPr>
          <w:p w14:paraId="089EEE26">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63CECD01">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center"/>
          </w:tcPr>
          <w:p w14:paraId="530BC16B">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宿舍8楼内</w:t>
            </w:r>
          </w:p>
        </w:tc>
        <w:tc>
          <w:tcPr>
            <w:tcW w:w="3926" w:type="dxa"/>
            <w:tcBorders>
              <w:top w:val="nil"/>
              <w:left w:val="nil"/>
              <w:bottom w:val="single" w:color="auto" w:sz="4" w:space="0"/>
              <w:right w:val="single" w:color="auto" w:sz="4" w:space="0"/>
            </w:tcBorders>
            <w:noWrap/>
            <w:vAlign w:val="bottom"/>
          </w:tcPr>
          <w:p w14:paraId="46220113">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611C0E4F">
        <w:tblPrEx>
          <w:tblCellMar>
            <w:top w:w="0" w:type="dxa"/>
            <w:left w:w="108" w:type="dxa"/>
            <w:bottom w:w="0" w:type="dxa"/>
            <w:right w:w="108" w:type="dxa"/>
          </w:tblCellMar>
        </w:tblPrEx>
        <w:trPr>
          <w:trHeight w:val="309" w:hRule="atLeast"/>
        </w:trPr>
        <w:tc>
          <w:tcPr>
            <w:tcW w:w="5533" w:type="dxa"/>
            <w:tcBorders>
              <w:top w:val="nil"/>
              <w:left w:val="single" w:color="auto" w:sz="4" w:space="0"/>
              <w:bottom w:val="single" w:color="auto" w:sz="4" w:space="0"/>
              <w:right w:val="single" w:color="auto" w:sz="4" w:space="0"/>
            </w:tcBorders>
            <w:noWrap/>
            <w:vAlign w:val="center"/>
          </w:tcPr>
          <w:p w14:paraId="09D18B48">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宿舍7楼内</w:t>
            </w:r>
          </w:p>
        </w:tc>
        <w:tc>
          <w:tcPr>
            <w:tcW w:w="3926" w:type="dxa"/>
            <w:tcBorders>
              <w:top w:val="nil"/>
              <w:left w:val="nil"/>
              <w:bottom w:val="single" w:color="auto" w:sz="4" w:space="0"/>
              <w:right w:val="single" w:color="auto" w:sz="4" w:space="0"/>
            </w:tcBorders>
            <w:noWrap/>
            <w:vAlign w:val="bottom"/>
          </w:tcPr>
          <w:p w14:paraId="0F1D5568">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r w14:paraId="759C61FA">
        <w:tblPrEx>
          <w:tblCellMar>
            <w:top w:w="0" w:type="dxa"/>
            <w:left w:w="108" w:type="dxa"/>
            <w:bottom w:w="0" w:type="dxa"/>
            <w:right w:w="108" w:type="dxa"/>
          </w:tblCellMar>
        </w:tblPrEx>
        <w:trPr>
          <w:trHeight w:val="320" w:hRule="atLeast"/>
        </w:trPr>
        <w:tc>
          <w:tcPr>
            <w:tcW w:w="5533" w:type="dxa"/>
            <w:tcBorders>
              <w:top w:val="nil"/>
              <w:left w:val="single" w:color="auto" w:sz="4" w:space="0"/>
              <w:bottom w:val="single" w:color="auto" w:sz="4" w:space="0"/>
              <w:right w:val="single" w:color="auto" w:sz="4" w:space="0"/>
            </w:tcBorders>
            <w:noWrap/>
            <w:vAlign w:val="center"/>
          </w:tcPr>
          <w:p w14:paraId="13D05601">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宿舍5楼内</w:t>
            </w:r>
          </w:p>
        </w:tc>
        <w:tc>
          <w:tcPr>
            <w:tcW w:w="3926" w:type="dxa"/>
            <w:tcBorders>
              <w:top w:val="nil"/>
              <w:left w:val="nil"/>
              <w:bottom w:val="single" w:color="auto" w:sz="4" w:space="0"/>
              <w:right w:val="single" w:color="auto" w:sz="4" w:space="0"/>
            </w:tcBorders>
            <w:noWrap/>
            <w:vAlign w:val="bottom"/>
          </w:tcPr>
          <w:p w14:paraId="4B8611B3">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普通门禁</w:t>
            </w:r>
          </w:p>
        </w:tc>
      </w:tr>
    </w:tbl>
    <w:tbl>
      <w:tblPr>
        <w:tblStyle w:val="39"/>
        <w:tblpPr w:leftFromText="180" w:rightFromText="180" w:vertAnchor="text" w:horzAnchor="page" w:tblpX="1247" w:tblpY="538"/>
        <w:tblW w:w="9560" w:type="dxa"/>
        <w:tblInd w:w="0" w:type="dxa"/>
        <w:tblLayout w:type="fixed"/>
        <w:tblCellMar>
          <w:top w:w="0" w:type="dxa"/>
          <w:left w:w="108" w:type="dxa"/>
          <w:bottom w:w="0" w:type="dxa"/>
          <w:right w:w="108" w:type="dxa"/>
        </w:tblCellMar>
      </w:tblPr>
      <w:tblGrid>
        <w:gridCol w:w="5745"/>
        <w:gridCol w:w="3815"/>
      </w:tblGrid>
      <w:tr w14:paraId="56A4AF86">
        <w:tblPrEx>
          <w:tblCellMar>
            <w:top w:w="0" w:type="dxa"/>
            <w:left w:w="108" w:type="dxa"/>
            <w:bottom w:w="0" w:type="dxa"/>
            <w:right w:w="108" w:type="dxa"/>
          </w:tblCellMar>
        </w:tblPrEx>
        <w:trPr>
          <w:trHeight w:val="270" w:hRule="atLeast"/>
        </w:trPr>
        <w:tc>
          <w:tcPr>
            <w:tcW w:w="9560" w:type="dxa"/>
            <w:gridSpan w:val="2"/>
            <w:tcBorders>
              <w:top w:val="nil"/>
              <w:left w:val="nil"/>
              <w:bottom w:val="single" w:color="auto" w:sz="4" w:space="0"/>
              <w:right w:val="nil"/>
            </w:tcBorders>
            <w:noWrap/>
            <w:vAlign w:val="center"/>
          </w:tcPr>
          <w:p w14:paraId="3E6C46EF">
            <w:pPr>
              <w:rPr>
                <w:rFonts w:ascii="宋体" w:hAnsi="宋体" w:cs="宋体"/>
                <w:color w:val="000000" w:themeColor="text1"/>
                <w:sz w:val="22"/>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附表3：一键报警清单</w:t>
            </w:r>
          </w:p>
        </w:tc>
      </w:tr>
      <w:tr w14:paraId="269A30DD">
        <w:tblPrEx>
          <w:tblCellMar>
            <w:top w:w="0" w:type="dxa"/>
            <w:left w:w="108" w:type="dxa"/>
            <w:bottom w:w="0" w:type="dxa"/>
            <w:right w:w="108" w:type="dxa"/>
          </w:tblCellMar>
        </w:tblPrEx>
        <w:trPr>
          <w:trHeight w:val="90" w:hRule="atLeast"/>
        </w:trPr>
        <w:tc>
          <w:tcPr>
            <w:tcW w:w="5745" w:type="dxa"/>
            <w:tcBorders>
              <w:top w:val="single" w:color="auto" w:sz="4" w:space="0"/>
              <w:left w:val="single" w:color="000000" w:sz="4" w:space="0"/>
              <w:bottom w:val="single" w:color="000000" w:sz="4" w:space="0"/>
              <w:right w:val="single" w:color="000000" w:sz="4" w:space="0"/>
            </w:tcBorders>
            <w:noWrap/>
            <w:vAlign w:val="center"/>
          </w:tcPr>
          <w:p w14:paraId="034D97BF">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设备名称</w:t>
            </w:r>
          </w:p>
        </w:tc>
        <w:tc>
          <w:tcPr>
            <w:tcW w:w="3815" w:type="dxa"/>
            <w:tcBorders>
              <w:top w:val="single" w:color="auto" w:sz="4" w:space="0"/>
              <w:left w:val="single" w:color="000000" w:sz="4" w:space="0"/>
              <w:bottom w:val="single" w:color="000000" w:sz="4" w:space="0"/>
              <w:right w:val="single" w:color="000000" w:sz="4" w:space="0"/>
            </w:tcBorders>
            <w:noWrap/>
            <w:vAlign w:val="center"/>
          </w:tcPr>
          <w:p w14:paraId="21173F26">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设备类型</w:t>
            </w:r>
          </w:p>
        </w:tc>
      </w:tr>
      <w:tr w14:paraId="54918186">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3888AE57">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4号楼2F护士站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5D3658F9">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3DE5E63F">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653B85EF">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4号楼5F护士站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0B7586FD">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20219B46">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6713FF3A">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4号楼6F护士站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4EE39567">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4F29A819">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03F00255">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4号楼7F护士站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5770DE42">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74D0668B">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17F94F7F">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4号楼8F护士站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2F12FE39">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54180D04">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544A9884">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4号楼9F护士站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73A3BAA4">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3C48899E">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67EEC771">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4号楼10F护士站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7E65F4C7">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1D547E0F">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61C21298">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4号楼11F护士站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545BE5D3">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1F6426A2">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0E59549E">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4号楼12F护士站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0144B988">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0D6CFC9C">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5601F1DD">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4号楼13F护士站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3D3B38CE">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40CED875">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72281B67">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4号楼14F护士站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265BF5BE">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6DC3937D">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00F65CD5">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4号楼15F护士站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2728836E">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0980C317">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18275C3C">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4号楼16F护士站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1BC1018B">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5C8198CF">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2307B426">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6号楼2F护士站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5ABEB13A">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4235850B">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23CC2303">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6号楼4F护士站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79EB72F1">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12DE6834">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7B3F4D3F">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6号楼5F护士站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0F50A184">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04931127">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7F687078">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6号楼6F护士站东</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0EA2BF6D">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3FBB902F">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08035C4B">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6号楼6F护士站西</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4A49AD17">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7A968A0F">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42FDEB7B">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6号楼7F护士站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4588CD2B">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6582873F">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23574A47">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6号楼8F护士站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7B179A95">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24870BFB">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570DC496">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6号楼9F护士站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1F86FBCE">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664C3663">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57C1E973">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6号楼10F护士站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0E160378">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4C813CE6">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6CF3D327">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6号楼11F护士站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1F966EDD">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0A70A751">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42763648">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3号楼2F护士站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51EC0809">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1A1159EE">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655D4766">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3号楼5F护士站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3AAD5750">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7A106105">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3F0876D6">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3号楼7F护士站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1A4F7E27">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6E00E622">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6FE85EA6">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3号楼8F护士站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19DBDA27">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6D0EE5F9">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11ABFBD8">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3号楼9F护士站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2AA367A9">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r w14:paraId="06EEEEEF">
        <w:tblPrEx>
          <w:tblCellMar>
            <w:top w:w="0" w:type="dxa"/>
            <w:left w:w="108" w:type="dxa"/>
            <w:bottom w:w="0" w:type="dxa"/>
            <w:right w:w="108" w:type="dxa"/>
          </w:tblCellMar>
        </w:tblPrEx>
        <w:trPr>
          <w:trHeight w:val="270" w:hRule="atLeast"/>
        </w:trPr>
        <w:tc>
          <w:tcPr>
            <w:tcW w:w="5745" w:type="dxa"/>
            <w:tcBorders>
              <w:top w:val="single" w:color="000000" w:sz="4" w:space="0"/>
              <w:left w:val="single" w:color="000000" w:sz="4" w:space="0"/>
              <w:bottom w:val="single" w:color="000000" w:sz="4" w:space="0"/>
              <w:right w:val="single" w:color="000000" w:sz="4" w:space="0"/>
            </w:tcBorders>
            <w:noWrap/>
            <w:vAlign w:val="center"/>
          </w:tcPr>
          <w:p w14:paraId="0E366752">
            <w:pPr>
              <w:widowControl/>
              <w:jc w:val="lef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3号楼10F护士站</w:t>
            </w:r>
          </w:p>
        </w:tc>
        <w:tc>
          <w:tcPr>
            <w:tcW w:w="3815" w:type="dxa"/>
            <w:tcBorders>
              <w:top w:val="single" w:color="000000" w:sz="4" w:space="0"/>
              <w:left w:val="single" w:color="000000" w:sz="4" w:space="0"/>
              <w:bottom w:val="single" w:color="000000" w:sz="4" w:space="0"/>
              <w:right w:val="single" w:color="000000" w:sz="4" w:space="0"/>
            </w:tcBorders>
            <w:noWrap/>
            <w:vAlign w:val="center"/>
          </w:tcPr>
          <w:p w14:paraId="0B84DF4A">
            <w:pPr>
              <w:widowControl/>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一键报警</w:t>
            </w:r>
          </w:p>
        </w:tc>
      </w:tr>
    </w:tbl>
    <w:p w14:paraId="22509187">
      <w:pPr>
        <w:rPr>
          <w:rFonts w:hint="eastAsia" w:ascii="宋体" w:hAnsi="宋体"/>
          <w:b/>
          <w:color w:val="000000" w:themeColor="text1"/>
          <w:highlight w:val="none"/>
          <w:lang w:val="en-US" w:eastAsia="zh-CN"/>
          <w14:textFill>
            <w14:solidFill>
              <w14:schemeClr w14:val="tx1"/>
            </w14:solidFill>
          </w14:textFill>
        </w:rPr>
      </w:pPr>
      <w:r>
        <w:rPr>
          <w:rFonts w:hint="eastAsia" w:ascii="宋体" w:hAnsi="宋体"/>
          <w:b/>
          <w:color w:val="000000" w:themeColor="text1"/>
          <w:highlight w:val="none"/>
          <w:lang w:val="en-US" w:eastAsia="zh-CN"/>
          <w14:textFill>
            <w14:solidFill>
              <w14:schemeClr w14:val="tx1"/>
            </w14:solidFill>
          </w14:textFill>
        </w:rPr>
        <w:br w:type="textWrapping"/>
      </w:r>
    </w:p>
    <w:p w14:paraId="0DBE5F29">
      <w:pPr>
        <w:rPr>
          <w:rFonts w:hint="eastAsia" w:ascii="宋体" w:hAnsi="宋体"/>
          <w:b/>
          <w:color w:val="000000" w:themeColor="text1"/>
          <w:highlight w:val="none"/>
          <w:lang w:val="en-US" w:eastAsia="zh-CN"/>
          <w14:textFill>
            <w14:solidFill>
              <w14:schemeClr w14:val="tx1"/>
            </w14:solidFill>
          </w14:textFill>
        </w:rPr>
      </w:pPr>
    </w:p>
    <w:p w14:paraId="25BF51C9">
      <w:pPr>
        <w:rPr>
          <w:rFonts w:hint="eastAsia" w:ascii="宋体" w:hAnsi="宋体"/>
          <w:b/>
          <w:color w:val="000000" w:themeColor="text1"/>
          <w:highlight w:val="none"/>
          <w:lang w:val="en-US" w:eastAsia="zh-CN"/>
          <w14:textFill>
            <w14:solidFill>
              <w14:schemeClr w14:val="tx1"/>
            </w14:solidFill>
          </w14:textFill>
        </w:rPr>
      </w:pPr>
    </w:p>
    <w:p w14:paraId="61D33154">
      <w:pPr>
        <w:rPr>
          <w:rFonts w:hint="eastAsia" w:ascii="宋体" w:hAnsi="宋体"/>
          <w:b/>
          <w:color w:val="000000" w:themeColor="text1"/>
          <w:highlight w:val="none"/>
          <w:lang w:val="en-US" w:eastAsia="zh-CN"/>
          <w14:textFill>
            <w14:solidFill>
              <w14:schemeClr w14:val="tx1"/>
            </w14:solidFill>
          </w14:textFill>
        </w:rPr>
      </w:pPr>
    </w:p>
    <w:p w14:paraId="4C7C871B">
      <w:pPr>
        <w:rPr>
          <w:rFonts w:hint="eastAsia" w:ascii="宋体" w:hAnsi="宋体"/>
          <w:b/>
          <w:color w:val="000000" w:themeColor="text1"/>
          <w:highlight w:val="none"/>
          <w:lang w:val="en-US" w:eastAsia="zh-CN"/>
          <w14:textFill>
            <w14:solidFill>
              <w14:schemeClr w14:val="tx1"/>
            </w14:solidFill>
          </w14:textFill>
        </w:rPr>
      </w:pPr>
    </w:p>
    <w:p w14:paraId="263554A0">
      <w:pPr>
        <w:rPr>
          <w:rFonts w:hint="eastAsia" w:ascii="宋体" w:hAnsi="宋体"/>
          <w:b/>
          <w:color w:val="000000" w:themeColor="text1"/>
          <w:highlight w:val="none"/>
          <w:lang w:val="en-US" w:eastAsia="zh-CN"/>
          <w14:textFill>
            <w14:solidFill>
              <w14:schemeClr w14:val="tx1"/>
            </w14:solidFill>
          </w14:textFill>
        </w:rPr>
      </w:pPr>
    </w:p>
    <w:p w14:paraId="41756BCD">
      <w:pPr>
        <w:rPr>
          <w:rFonts w:hint="eastAsia" w:ascii="宋体" w:hAnsi="宋体"/>
          <w:b/>
          <w:color w:val="000000" w:themeColor="text1"/>
          <w:highlight w:val="none"/>
          <w:lang w:val="en-US" w:eastAsia="zh-CN"/>
          <w14:textFill>
            <w14:solidFill>
              <w14:schemeClr w14:val="tx1"/>
            </w14:solidFill>
          </w14:textFill>
        </w:rPr>
      </w:pPr>
    </w:p>
    <w:p w14:paraId="225E7264">
      <w:pPr>
        <w:rPr>
          <w:rFonts w:hint="eastAsia" w:ascii="宋体" w:hAnsi="宋体"/>
          <w:b/>
          <w:color w:val="000000" w:themeColor="text1"/>
          <w:highlight w:val="none"/>
          <w:lang w:val="en-US" w:eastAsia="zh-CN"/>
          <w14:textFill>
            <w14:solidFill>
              <w14:schemeClr w14:val="tx1"/>
            </w14:solidFill>
          </w14:textFill>
        </w:rPr>
      </w:pPr>
    </w:p>
    <w:p w14:paraId="1D744A33">
      <w:pPr>
        <w:rPr>
          <w:rFonts w:hint="eastAsia" w:ascii="宋体" w:hAnsi="宋体"/>
          <w:b/>
          <w:color w:val="000000" w:themeColor="text1"/>
          <w:highlight w:val="none"/>
          <w:lang w:val="en-US" w:eastAsia="zh-CN"/>
          <w14:textFill>
            <w14:solidFill>
              <w14:schemeClr w14:val="tx1"/>
            </w14:solidFill>
          </w14:textFill>
        </w:rPr>
      </w:pPr>
    </w:p>
    <w:p w14:paraId="4419D66B">
      <w:pPr>
        <w:rPr>
          <w:rFonts w:hint="eastAsia" w:ascii="宋体" w:hAnsi="宋体"/>
          <w:b/>
          <w:color w:val="000000" w:themeColor="text1"/>
          <w:highlight w:val="none"/>
          <w:lang w:val="en-US" w:eastAsia="zh-CN"/>
          <w14:textFill>
            <w14:solidFill>
              <w14:schemeClr w14:val="tx1"/>
            </w14:solidFill>
          </w14:textFill>
        </w:rPr>
      </w:pPr>
    </w:p>
    <w:p w14:paraId="247D9948">
      <w:pPr>
        <w:rPr>
          <w:rFonts w:hint="eastAsia" w:ascii="宋体" w:hAnsi="宋体"/>
          <w:b/>
          <w:color w:val="000000" w:themeColor="text1"/>
          <w:highlight w:val="none"/>
          <w:lang w:val="en-US" w:eastAsia="zh-CN"/>
          <w14:textFill>
            <w14:solidFill>
              <w14:schemeClr w14:val="tx1"/>
            </w14:solidFill>
          </w14:textFill>
        </w:rPr>
      </w:pPr>
    </w:p>
    <w:p w14:paraId="0AA3205A">
      <w:pPr>
        <w:rPr>
          <w:rFonts w:hint="eastAsia" w:ascii="宋体" w:hAnsi="宋体"/>
          <w:b/>
          <w:color w:val="000000" w:themeColor="text1"/>
          <w:highlight w:val="none"/>
          <w:lang w:val="en-US" w:eastAsia="zh-CN"/>
          <w14:textFill>
            <w14:solidFill>
              <w14:schemeClr w14:val="tx1"/>
            </w14:solidFill>
          </w14:textFill>
        </w:rPr>
      </w:pPr>
    </w:p>
    <w:p w14:paraId="2E007309">
      <w:pPr>
        <w:rPr>
          <w:rFonts w:hint="eastAsia" w:ascii="宋体" w:hAnsi="宋体"/>
          <w:b/>
          <w:color w:val="000000" w:themeColor="text1"/>
          <w:highlight w:val="none"/>
          <w:lang w:val="en-US" w:eastAsia="zh-CN"/>
          <w14:textFill>
            <w14:solidFill>
              <w14:schemeClr w14:val="tx1"/>
            </w14:solidFill>
          </w14:textFill>
        </w:rPr>
      </w:pPr>
    </w:p>
    <w:p w14:paraId="2F58FE50">
      <w:pPr>
        <w:rPr>
          <w:rFonts w:hint="eastAsia" w:ascii="宋体" w:hAnsi="宋体"/>
          <w:b/>
          <w:color w:val="000000" w:themeColor="text1"/>
          <w:highlight w:val="none"/>
          <w:lang w:val="en-US" w:eastAsia="zh-CN"/>
          <w14:textFill>
            <w14:solidFill>
              <w14:schemeClr w14:val="tx1"/>
            </w14:solidFill>
          </w14:textFill>
        </w:rPr>
      </w:pPr>
    </w:p>
    <w:p w14:paraId="2471184A">
      <w:pPr>
        <w:rPr>
          <w:rFonts w:hint="eastAsia" w:ascii="宋体" w:hAnsi="宋体"/>
          <w:b/>
          <w:color w:val="000000" w:themeColor="text1"/>
          <w:highlight w:val="none"/>
          <w:lang w:val="en-US" w:eastAsia="zh-CN"/>
          <w14:textFill>
            <w14:solidFill>
              <w14:schemeClr w14:val="tx1"/>
            </w14:solidFill>
          </w14:textFill>
        </w:rPr>
      </w:pPr>
    </w:p>
    <w:p w14:paraId="7F85E1BF">
      <w:pPr>
        <w:rPr>
          <w:rFonts w:hint="eastAsia" w:ascii="宋体" w:hAnsi="宋体"/>
          <w:b/>
          <w:color w:val="000000" w:themeColor="text1"/>
          <w:highlight w:val="none"/>
          <w:lang w:val="en-US" w:eastAsia="zh-CN"/>
          <w14:textFill>
            <w14:solidFill>
              <w14:schemeClr w14:val="tx1"/>
            </w14:solidFill>
          </w14:textFill>
        </w:rPr>
      </w:pPr>
    </w:p>
    <w:p w14:paraId="6E84928D">
      <w:pPr>
        <w:rPr>
          <w:rFonts w:hint="eastAsia" w:ascii="宋体" w:hAnsi="宋体"/>
          <w:b/>
          <w:color w:val="000000" w:themeColor="text1"/>
          <w:highlight w:val="none"/>
          <w:lang w:val="en-US" w:eastAsia="zh-CN"/>
          <w14:textFill>
            <w14:solidFill>
              <w14:schemeClr w14:val="tx1"/>
            </w14:solidFill>
          </w14:textFill>
        </w:rPr>
      </w:pPr>
    </w:p>
    <w:p w14:paraId="7CEE8738">
      <w:pPr>
        <w:rPr>
          <w:rFonts w:hint="eastAsia" w:ascii="宋体" w:hAnsi="宋体"/>
          <w:b/>
          <w:color w:val="000000" w:themeColor="text1"/>
          <w:highlight w:val="none"/>
          <w:lang w:val="en-US" w:eastAsia="zh-CN"/>
          <w14:textFill>
            <w14:solidFill>
              <w14:schemeClr w14:val="tx1"/>
            </w14:solidFill>
          </w14:textFill>
        </w:rPr>
      </w:pPr>
    </w:p>
    <w:p w14:paraId="08BBD93A">
      <w:pPr>
        <w:rPr>
          <w:rFonts w:hint="eastAsia" w:ascii="宋体" w:hAnsi="宋体"/>
          <w:b/>
          <w:color w:val="000000" w:themeColor="text1"/>
          <w:highlight w:val="none"/>
          <w:lang w:val="en-US" w:eastAsia="zh-CN"/>
          <w14:textFill>
            <w14:solidFill>
              <w14:schemeClr w14:val="tx1"/>
            </w14:solidFill>
          </w14:textFill>
        </w:rPr>
      </w:pPr>
    </w:p>
    <w:p w14:paraId="1A33EFEB">
      <w:pPr>
        <w:rPr>
          <w:rFonts w:hint="eastAsia" w:ascii="宋体" w:hAnsi="宋体"/>
          <w:b/>
          <w:color w:val="000000" w:themeColor="text1"/>
          <w:highlight w:val="none"/>
          <w:lang w:val="en-US" w:eastAsia="zh-CN"/>
          <w14:textFill>
            <w14:solidFill>
              <w14:schemeClr w14:val="tx1"/>
            </w14:solidFill>
          </w14:textFill>
        </w:rPr>
      </w:pPr>
    </w:p>
    <w:p w14:paraId="1AE480A8">
      <w:pPr>
        <w:rPr>
          <w:rFonts w:hint="eastAsia" w:ascii="宋体" w:hAnsi="宋体"/>
          <w:b/>
          <w:color w:val="000000" w:themeColor="text1"/>
          <w:highlight w:val="none"/>
          <w:lang w:val="en-US" w:eastAsia="zh-CN"/>
          <w14:textFill>
            <w14:solidFill>
              <w14:schemeClr w14:val="tx1"/>
            </w14:solidFill>
          </w14:textFill>
        </w:rPr>
      </w:pPr>
    </w:p>
    <w:p w14:paraId="19A38969">
      <w:pPr>
        <w:rPr>
          <w:rFonts w:hint="eastAsia" w:ascii="宋体" w:hAnsi="宋体"/>
          <w:b/>
          <w:color w:val="000000" w:themeColor="text1"/>
          <w:highlight w:val="none"/>
          <w:lang w:val="en-US" w:eastAsia="zh-CN"/>
          <w14:textFill>
            <w14:solidFill>
              <w14:schemeClr w14:val="tx1"/>
            </w14:solidFill>
          </w14:textFill>
        </w:rPr>
      </w:pPr>
    </w:p>
    <w:p w14:paraId="0AEA5163">
      <w:pPr>
        <w:rPr>
          <w:rFonts w:hint="eastAsia" w:ascii="宋体" w:hAnsi="宋体"/>
          <w:b/>
          <w:color w:val="000000" w:themeColor="text1"/>
          <w:highlight w:val="none"/>
          <w:lang w:val="en-US" w:eastAsia="zh-CN"/>
          <w14:textFill>
            <w14:solidFill>
              <w14:schemeClr w14:val="tx1"/>
            </w14:solidFill>
          </w14:textFill>
        </w:rPr>
      </w:pPr>
    </w:p>
    <w:p w14:paraId="2E8E4CD8">
      <w:pPr>
        <w:rPr>
          <w:rFonts w:hint="eastAsia" w:ascii="宋体" w:hAnsi="宋体"/>
          <w:b/>
          <w:color w:val="000000" w:themeColor="text1"/>
          <w:highlight w:val="none"/>
          <w:lang w:val="en-US" w:eastAsia="zh-CN"/>
          <w14:textFill>
            <w14:solidFill>
              <w14:schemeClr w14:val="tx1"/>
            </w14:solidFill>
          </w14:textFill>
        </w:rPr>
      </w:pPr>
    </w:p>
    <w:p w14:paraId="364E5B1F">
      <w:pPr>
        <w:rPr>
          <w:rFonts w:hint="eastAsia" w:ascii="宋体" w:hAnsi="宋体"/>
          <w:b/>
          <w:color w:val="000000" w:themeColor="text1"/>
          <w:highlight w:val="none"/>
          <w:lang w:val="en-US" w:eastAsia="zh-CN"/>
          <w14:textFill>
            <w14:solidFill>
              <w14:schemeClr w14:val="tx1"/>
            </w14:solidFill>
          </w14:textFill>
        </w:rPr>
      </w:pPr>
    </w:p>
    <w:p w14:paraId="7162CC74">
      <w:pPr>
        <w:rPr>
          <w:rFonts w:hint="eastAsia" w:ascii="宋体" w:hAnsi="宋体"/>
          <w:b/>
          <w:color w:val="000000" w:themeColor="text1"/>
          <w:highlight w:val="none"/>
          <w:lang w:val="en-US" w:eastAsia="zh-CN"/>
          <w14:textFill>
            <w14:solidFill>
              <w14:schemeClr w14:val="tx1"/>
            </w14:solidFill>
          </w14:textFill>
        </w:rPr>
      </w:pPr>
    </w:p>
    <w:p w14:paraId="774EF6BB">
      <w:pPr>
        <w:rPr>
          <w:rFonts w:hint="eastAsia" w:ascii="宋体" w:hAnsi="宋体"/>
          <w:b/>
          <w:color w:val="000000" w:themeColor="text1"/>
          <w:highlight w:val="none"/>
          <w:lang w:val="en-US" w:eastAsia="zh-CN"/>
          <w14:textFill>
            <w14:solidFill>
              <w14:schemeClr w14:val="tx1"/>
            </w14:solidFill>
          </w14:textFill>
        </w:rPr>
      </w:pPr>
    </w:p>
    <w:p w14:paraId="7BBEBB01">
      <w:pPr>
        <w:rPr>
          <w:rFonts w:hint="eastAsia" w:ascii="宋体" w:hAnsi="宋体"/>
          <w:b/>
          <w:color w:val="000000" w:themeColor="text1"/>
          <w:highlight w:val="none"/>
          <w:lang w:val="en-US" w:eastAsia="zh-CN"/>
          <w14:textFill>
            <w14:solidFill>
              <w14:schemeClr w14:val="tx1"/>
            </w14:solidFill>
          </w14:textFill>
        </w:rPr>
      </w:pPr>
    </w:p>
    <w:p w14:paraId="0CB194C2">
      <w:pPr>
        <w:rPr>
          <w:rFonts w:hint="eastAsia" w:ascii="宋体" w:hAnsi="宋体"/>
          <w:b/>
          <w:color w:val="000000" w:themeColor="text1"/>
          <w:highlight w:val="none"/>
          <w:lang w:val="en-US" w:eastAsia="zh-CN"/>
          <w14:textFill>
            <w14:solidFill>
              <w14:schemeClr w14:val="tx1"/>
            </w14:solidFill>
          </w14:textFill>
        </w:rPr>
      </w:pPr>
    </w:p>
    <w:p w14:paraId="11A40212">
      <w:pPr>
        <w:rPr>
          <w:rFonts w:hint="eastAsia" w:ascii="宋体" w:hAnsi="宋体"/>
          <w:b/>
          <w:color w:val="000000" w:themeColor="text1"/>
          <w:highlight w:val="none"/>
          <w:lang w:val="en-US" w:eastAsia="zh-CN"/>
          <w14:textFill>
            <w14:solidFill>
              <w14:schemeClr w14:val="tx1"/>
            </w14:solidFill>
          </w14:textFill>
        </w:rPr>
      </w:pPr>
    </w:p>
    <w:p w14:paraId="4E94AEAA">
      <w:pPr>
        <w:rPr>
          <w:rFonts w:hint="eastAsia" w:ascii="宋体" w:hAnsi="宋体"/>
          <w:b/>
          <w:color w:val="000000" w:themeColor="text1"/>
          <w:highlight w:val="none"/>
          <w:lang w:val="en-US" w:eastAsia="zh-CN"/>
          <w14:textFill>
            <w14:solidFill>
              <w14:schemeClr w14:val="tx1"/>
            </w14:solidFill>
          </w14:textFill>
        </w:rPr>
      </w:pPr>
    </w:p>
    <w:p w14:paraId="499C73DC">
      <w:pPr>
        <w:rPr>
          <w:rFonts w:hint="eastAsia" w:ascii="宋体" w:hAnsi="宋体"/>
          <w:b/>
          <w:color w:val="000000" w:themeColor="text1"/>
          <w:highlight w:val="none"/>
          <w:lang w:val="en-US" w:eastAsia="zh-CN"/>
          <w14:textFill>
            <w14:solidFill>
              <w14:schemeClr w14:val="tx1"/>
            </w14:solidFill>
          </w14:textFill>
        </w:rPr>
      </w:pPr>
    </w:p>
    <w:p w14:paraId="1992EBA6">
      <w:pPr>
        <w:rPr>
          <w:rFonts w:hint="eastAsia" w:ascii="宋体" w:hAnsi="宋体"/>
          <w:b/>
          <w:color w:val="000000" w:themeColor="text1"/>
          <w:highlight w:val="none"/>
          <w:lang w:val="en-US" w:eastAsia="zh-CN"/>
          <w14:textFill>
            <w14:solidFill>
              <w14:schemeClr w14:val="tx1"/>
            </w14:solidFill>
          </w14:textFill>
        </w:rPr>
      </w:pPr>
    </w:p>
    <w:p w14:paraId="026F2E99">
      <w:pPr>
        <w:keepNext/>
        <w:keepLines/>
        <w:numPr>
          <w:ilvl w:val="0"/>
          <w:numId w:val="15"/>
        </w:numPr>
        <w:spacing w:line="560" w:lineRule="exact"/>
        <w:jc w:val="center"/>
        <w:outlineLvl w:val="0"/>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t xml:space="preserve"> 评审方法与评审标准</w:t>
      </w:r>
    </w:p>
    <w:p w14:paraId="38215384">
      <w:pPr>
        <w:spacing w:line="56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评委在认真审阅响应文件的基础上，根据各响应文件的响应程度独立评判，不得统一打分。</w:t>
      </w:r>
    </w:p>
    <w:p w14:paraId="4C8AF550">
      <w:pPr>
        <w:spacing w:line="560" w:lineRule="exact"/>
        <w:ind w:firstLine="482"/>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（一）采购人（代表）对供应商资格进行审查。</w:t>
      </w:r>
    </w:p>
    <w:p w14:paraId="3FAEA170">
      <w:pPr>
        <w:keepNext w:val="0"/>
        <w:keepLines w:val="0"/>
        <w:pageBreakBefore w:val="0"/>
        <w:widowControl w:val="0"/>
        <w:spacing w:line="500" w:lineRule="exact"/>
        <w:ind w:firstLine="482"/>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供应商资格不合格的，其响应文件判定为无效响应文件。</w:t>
      </w:r>
    </w:p>
    <w:p w14:paraId="28B7EA5C">
      <w:pPr>
        <w:spacing w:line="560" w:lineRule="exact"/>
        <w:ind w:firstLine="482"/>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（二）磋商小组对符合资格供应商的响应文件进行符合性审查。</w:t>
      </w:r>
    </w:p>
    <w:p w14:paraId="03E4A86A">
      <w:pPr>
        <w:keepNext w:val="0"/>
        <w:keepLines w:val="0"/>
        <w:pageBreakBefore w:val="0"/>
        <w:widowControl w:val="0"/>
        <w:spacing w:line="500" w:lineRule="exact"/>
        <w:ind w:firstLine="482"/>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未通过符合性审查的响应文件，将被判为不满足磋商文件实质性要求。 </w:t>
      </w:r>
    </w:p>
    <w:p w14:paraId="338E470F">
      <w:pPr>
        <w:spacing w:line="560" w:lineRule="exact"/>
        <w:ind w:firstLine="482"/>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（三）商务技术分：</w:t>
      </w:r>
      <w:r>
        <w:rPr>
          <w:rFonts w:hint="eastAsia" w:ascii="宋体" w:hAnsi="宋体"/>
          <w:b/>
          <w:color w:val="000000" w:themeColor="text1"/>
          <w:sz w:val="24"/>
          <w:szCs w:val="24"/>
          <w:highlight w:val="none"/>
          <w:lang w:val="en-US" w:eastAsia="zh-CN"/>
          <w14:textFill>
            <w14:solidFill>
              <w14:schemeClr w14:val="tx1"/>
            </w14:solidFill>
          </w14:textFill>
        </w:rPr>
        <w:t>70</w:t>
      </w:r>
      <w:r>
        <w:rPr>
          <w:rFonts w:hint="eastAsia" w:ascii="宋体" w:hAnsi="宋体"/>
          <w:b/>
          <w:color w:val="000000" w:themeColor="text1"/>
          <w:sz w:val="24"/>
          <w:szCs w:val="24"/>
          <w:highlight w:val="none"/>
          <w14:textFill>
            <w14:solidFill>
              <w14:schemeClr w14:val="tx1"/>
            </w14:solidFill>
          </w14:textFill>
        </w:rPr>
        <w:t>分</w:t>
      </w:r>
    </w:p>
    <w:p w14:paraId="6466B841">
      <w:pPr>
        <w:keepNext w:val="0"/>
        <w:keepLines w:val="0"/>
        <w:pageBreakBefore w:val="0"/>
        <w:widowControl w:val="0"/>
        <w:spacing w:line="500" w:lineRule="exact"/>
        <w:ind w:firstLine="482"/>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各供应商得分为磋商小组成员评分的算术平均分，分值保留小数点后两位。</w:t>
      </w:r>
    </w:p>
    <w:tbl>
      <w:tblPr>
        <w:tblStyle w:val="39"/>
        <w:tblW w:w="9617" w:type="dxa"/>
        <w:tblInd w:w="181" w:type="dxa"/>
        <w:tblLayout w:type="fixed"/>
        <w:tblCellMar>
          <w:top w:w="0" w:type="dxa"/>
          <w:left w:w="108" w:type="dxa"/>
          <w:bottom w:w="0" w:type="dxa"/>
          <w:right w:w="108" w:type="dxa"/>
        </w:tblCellMar>
      </w:tblPr>
      <w:tblGrid>
        <w:gridCol w:w="684"/>
        <w:gridCol w:w="1311"/>
        <w:gridCol w:w="638"/>
        <w:gridCol w:w="6984"/>
      </w:tblGrid>
      <w:tr w14:paraId="69CD534B">
        <w:tblPrEx>
          <w:tblCellMar>
            <w:top w:w="0" w:type="dxa"/>
            <w:left w:w="108" w:type="dxa"/>
            <w:bottom w:w="0" w:type="dxa"/>
            <w:right w:w="108" w:type="dxa"/>
          </w:tblCellMar>
        </w:tblPrEx>
        <w:trPr>
          <w:trHeight w:val="567"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144A4BAA">
            <w:pPr>
              <w:widowControl/>
              <w:spacing w:line="32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1311" w:type="dxa"/>
            <w:tcBorders>
              <w:top w:val="single" w:color="000000" w:sz="4" w:space="0"/>
              <w:left w:val="nil"/>
              <w:bottom w:val="single" w:color="000000" w:sz="4" w:space="0"/>
              <w:right w:val="single" w:color="000000" w:sz="4" w:space="0"/>
            </w:tcBorders>
            <w:noWrap/>
            <w:vAlign w:val="center"/>
          </w:tcPr>
          <w:p w14:paraId="20EB0F1F">
            <w:pPr>
              <w:widowControl/>
              <w:spacing w:line="32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评分点名称</w:t>
            </w:r>
          </w:p>
        </w:tc>
        <w:tc>
          <w:tcPr>
            <w:tcW w:w="638" w:type="dxa"/>
            <w:tcBorders>
              <w:top w:val="single" w:color="000000" w:sz="4" w:space="0"/>
              <w:left w:val="nil"/>
              <w:bottom w:val="single" w:color="000000" w:sz="4" w:space="0"/>
              <w:right w:val="single" w:color="000000" w:sz="4" w:space="0"/>
            </w:tcBorders>
            <w:noWrap/>
            <w:vAlign w:val="center"/>
          </w:tcPr>
          <w:p w14:paraId="33BB4FCD">
            <w:pPr>
              <w:widowControl/>
              <w:spacing w:line="32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分值</w:t>
            </w:r>
          </w:p>
        </w:tc>
        <w:tc>
          <w:tcPr>
            <w:tcW w:w="6984" w:type="dxa"/>
            <w:tcBorders>
              <w:top w:val="single" w:color="000000" w:sz="4" w:space="0"/>
              <w:left w:val="nil"/>
              <w:bottom w:val="single" w:color="000000" w:sz="4" w:space="0"/>
              <w:right w:val="single" w:color="000000" w:sz="4" w:space="0"/>
            </w:tcBorders>
            <w:noWrap/>
            <w:vAlign w:val="center"/>
          </w:tcPr>
          <w:p w14:paraId="45BC7ABD">
            <w:pPr>
              <w:widowControl/>
              <w:spacing w:line="32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评审标准</w:t>
            </w:r>
          </w:p>
        </w:tc>
      </w:tr>
      <w:tr w14:paraId="0DDAE9C0">
        <w:tblPrEx>
          <w:tblCellMar>
            <w:top w:w="0" w:type="dxa"/>
            <w:left w:w="108" w:type="dxa"/>
            <w:bottom w:w="0" w:type="dxa"/>
            <w:right w:w="108" w:type="dxa"/>
          </w:tblCellMar>
        </w:tblPrEx>
        <w:trPr>
          <w:trHeight w:val="3002" w:hRule="atLeast"/>
        </w:trPr>
        <w:tc>
          <w:tcPr>
            <w:tcW w:w="684" w:type="dxa"/>
            <w:tcBorders>
              <w:top w:val="nil"/>
              <w:left w:val="single" w:color="000000" w:sz="4" w:space="0"/>
              <w:bottom w:val="single" w:color="000000" w:sz="4" w:space="0"/>
              <w:right w:val="single" w:color="000000" w:sz="4" w:space="0"/>
            </w:tcBorders>
            <w:noWrap/>
            <w:vAlign w:val="center"/>
          </w:tcPr>
          <w:p w14:paraId="2C98DCD6">
            <w:pPr>
              <w:widowControl/>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1311" w:type="dxa"/>
            <w:tcBorders>
              <w:top w:val="nil"/>
              <w:left w:val="single" w:color="000000" w:sz="4" w:space="0"/>
              <w:bottom w:val="single" w:color="000000" w:sz="4" w:space="0"/>
              <w:right w:val="single" w:color="000000" w:sz="4" w:space="0"/>
            </w:tcBorders>
            <w:shd w:val="clear" w:color="auto" w:fill="auto"/>
            <w:noWrap/>
            <w:vAlign w:val="center"/>
          </w:tcPr>
          <w:p w14:paraId="7306F1C8">
            <w:pPr>
              <w:widowControl/>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技术响应</w:t>
            </w:r>
          </w:p>
        </w:tc>
        <w:tc>
          <w:tcPr>
            <w:tcW w:w="638" w:type="dxa"/>
            <w:tcBorders>
              <w:top w:val="nil"/>
              <w:left w:val="single" w:color="000000" w:sz="4" w:space="0"/>
              <w:bottom w:val="single" w:color="000000" w:sz="4" w:space="0"/>
              <w:right w:val="single" w:color="000000" w:sz="4" w:space="0"/>
            </w:tcBorders>
            <w:shd w:val="clear" w:color="auto" w:fill="auto"/>
            <w:noWrap/>
            <w:vAlign w:val="center"/>
          </w:tcPr>
          <w:p w14:paraId="0E60BE87">
            <w:pPr>
              <w:widowControl/>
              <w:jc w:val="center"/>
              <w:rPr>
                <w:rFonts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color w:val="000000" w:themeColor="text1"/>
                <w:sz w:val="20"/>
                <w:szCs w:val="20"/>
                <w:highlight w:val="none"/>
                <w14:textFill>
                  <w14:solidFill>
                    <w14:schemeClr w14:val="tx1"/>
                  </w14:solidFill>
                </w14:textFill>
              </w:rPr>
              <w:t>30</w:t>
            </w:r>
          </w:p>
        </w:tc>
        <w:tc>
          <w:tcPr>
            <w:tcW w:w="6984" w:type="dxa"/>
            <w:tcBorders>
              <w:top w:val="nil"/>
              <w:left w:val="single" w:color="000000" w:sz="4" w:space="0"/>
              <w:bottom w:val="single" w:color="000000" w:sz="4" w:space="0"/>
              <w:right w:val="single" w:color="000000" w:sz="4" w:space="0"/>
            </w:tcBorders>
            <w:shd w:val="clear" w:color="auto" w:fill="auto"/>
            <w:noWrap/>
            <w:vAlign w:val="center"/>
          </w:tcPr>
          <w:p w14:paraId="6EE2042E">
            <w:pPr>
              <w:spacing w:beforeLines="20" w:afterLines="20"/>
              <w:ind w:firstLine="400" w:firstLineChars="200"/>
              <w:jc w:val="left"/>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所投产品的技术参数须最大限度满足采购文件要求，具体响应规则及评分标准如下：</w:t>
            </w:r>
            <w:r>
              <w:rPr>
                <w:rFonts w:hint="eastAsia" w:ascii="宋体" w:hAnsi="宋体" w:cs="宋体"/>
                <w:color w:val="000000" w:themeColor="text1"/>
                <w:sz w:val="20"/>
                <w:szCs w:val="20"/>
                <w:highlight w:val="none"/>
                <w14:textFill>
                  <w14:solidFill>
                    <w14:schemeClr w14:val="tx1"/>
                  </w14:solidFill>
                </w14:textFill>
              </w:rPr>
              <w:br w:type="textWrapping"/>
            </w:r>
            <w:r>
              <w:rPr>
                <w:rFonts w:hint="eastAsia" w:ascii="宋体" w:hAnsi="宋体" w:cs="宋体"/>
                <w:color w:val="000000" w:themeColor="text1"/>
                <w:sz w:val="20"/>
                <w:szCs w:val="20"/>
                <w:highlight w:val="none"/>
                <w14:textFill>
                  <w14:solidFill>
                    <w14:schemeClr w14:val="tx1"/>
                  </w14:solidFill>
                </w14:textFill>
              </w:rPr>
              <w:t>★项（核心指标）：不接受负偏离，出现任意1项负偏离即视为无效响应；</w:t>
            </w:r>
            <w:r>
              <w:rPr>
                <w:rFonts w:hint="eastAsia" w:ascii="宋体" w:hAnsi="宋体" w:cs="宋体"/>
                <w:color w:val="000000" w:themeColor="text1"/>
                <w:sz w:val="20"/>
                <w:szCs w:val="20"/>
                <w:highlight w:val="none"/>
                <w14:textFill>
                  <w14:solidFill>
                    <w14:schemeClr w14:val="tx1"/>
                  </w14:solidFill>
                </w14:textFill>
              </w:rPr>
              <w:br w:type="textWrapping"/>
            </w:r>
            <w:r>
              <w:rPr>
                <w:rFonts w:hint="eastAsia" w:ascii="宋体" w:hAnsi="宋体" w:cs="宋体"/>
                <w:color w:val="000000" w:themeColor="text1"/>
                <w:sz w:val="20"/>
                <w:szCs w:val="20"/>
                <w:highlight w:val="none"/>
                <w14:textFill>
                  <w14:solidFill>
                    <w14:schemeClr w14:val="tx1"/>
                  </w14:solidFill>
                </w14:textFill>
              </w:rPr>
              <w:t>▲项（重要技术参数指标）：每有1项负偏离，扣2分；</w:t>
            </w:r>
            <w:r>
              <w:rPr>
                <w:rFonts w:hint="eastAsia" w:ascii="宋体" w:hAnsi="宋体" w:cs="宋体"/>
                <w:b/>
                <w:bCs/>
                <w:color w:val="000000" w:themeColor="text1"/>
                <w:sz w:val="20"/>
                <w:szCs w:val="20"/>
                <w:highlight w:val="none"/>
                <w14:textFill>
                  <w14:solidFill>
                    <w14:schemeClr w14:val="tx1"/>
                  </w14:solidFill>
                </w14:textFill>
              </w:rPr>
              <w:br w:type="textWrapping"/>
            </w:r>
            <w:r>
              <w:rPr>
                <w:rFonts w:ascii="宋体" w:hAnsi="宋体" w:cs="宋体"/>
                <w:color w:val="000000" w:themeColor="text1"/>
                <w:sz w:val="20"/>
                <w:szCs w:val="20"/>
                <w:highlight w:val="none"/>
                <w14:textFill>
                  <w14:solidFill>
                    <w14:schemeClr w14:val="tx1"/>
                  </w14:solidFill>
                </w14:textFill>
              </w:rPr>
              <w:t>① 所投主要设备（病房无线AP、交换机、无线控制器）的产品技术参数表，须加盖投标人公章，并对采购文件技术参数要求逐条响应；</w:t>
            </w:r>
          </w:p>
          <w:p w14:paraId="03522EDB">
            <w:pP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t>② 所投主要设备制造商出具的技术参数确认函（格式自拟），加盖公章</w:t>
            </w:r>
            <w:r>
              <w:rPr>
                <w:rFonts w:hint="eastAsia" w:ascii="宋体" w:hAnsi="宋体" w:cs="宋体"/>
                <w:color w:val="000000" w:themeColor="text1"/>
                <w:sz w:val="20"/>
                <w:szCs w:val="20"/>
                <w:highlight w:val="none"/>
                <w14:textFill>
                  <w14:solidFill>
                    <w14:schemeClr w14:val="tx1"/>
                  </w14:solidFill>
                </w14:textFill>
              </w:rPr>
              <w:t>（或制造商官网截图加盖投标人公章）</w:t>
            </w:r>
            <w:r>
              <w:rPr>
                <w:rFonts w:ascii="宋体" w:hAnsi="宋体" w:cs="宋体"/>
                <w:color w:val="000000" w:themeColor="text1"/>
                <w:sz w:val="20"/>
                <w:szCs w:val="20"/>
                <w:highlight w:val="none"/>
                <w14:textFill>
                  <w14:solidFill>
                    <w14:schemeClr w14:val="tx1"/>
                  </w14:solidFill>
                </w14:textFill>
              </w:rPr>
              <w:t>，确认投标产品技术参数符合采购文件要求；</w:t>
            </w:r>
            <w:r>
              <w:rPr>
                <w:rFonts w:hint="eastAsia" w:ascii="宋体" w:hAnsi="宋体" w:cs="宋体"/>
                <w:color w:val="000000" w:themeColor="text1"/>
                <w:sz w:val="20"/>
                <w:szCs w:val="20"/>
                <w:highlight w:val="none"/>
                <w14:textFill>
                  <w14:solidFill>
                    <w14:schemeClr w14:val="tx1"/>
                  </w14:solidFill>
                </w14:textFill>
              </w:rPr>
              <w:t>响应供应商须按采购文件要求，提供对应的证明材料或佐证材料，且材料需与采购文件描述的功能、参数完全吻合；未能提供材料，或材料体现的功能、参数不符合要求的，均视为对应项负偏离。</w:t>
            </w:r>
          </w:p>
        </w:tc>
      </w:tr>
      <w:tr w14:paraId="5C2AC122">
        <w:tblPrEx>
          <w:tblCellMar>
            <w:top w:w="0" w:type="dxa"/>
            <w:left w:w="108" w:type="dxa"/>
            <w:bottom w:w="0" w:type="dxa"/>
            <w:right w:w="108" w:type="dxa"/>
          </w:tblCellMar>
        </w:tblPrEx>
        <w:trPr>
          <w:trHeight w:val="567" w:hRule="atLeast"/>
        </w:trPr>
        <w:tc>
          <w:tcPr>
            <w:tcW w:w="684" w:type="dxa"/>
            <w:tcBorders>
              <w:top w:val="nil"/>
              <w:left w:val="single" w:color="000000" w:sz="4" w:space="0"/>
              <w:bottom w:val="single" w:color="000000" w:sz="4" w:space="0"/>
              <w:right w:val="single" w:color="000000" w:sz="4" w:space="0"/>
            </w:tcBorders>
            <w:noWrap/>
            <w:vAlign w:val="center"/>
          </w:tcPr>
          <w:p w14:paraId="5ED14E80">
            <w:pPr>
              <w:widowControl/>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p>
        </w:tc>
        <w:tc>
          <w:tcPr>
            <w:tcW w:w="1311" w:type="dxa"/>
            <w:tcBorders>
              <w:top w:val="nil"/>
              <w:left w:val="nil"/>
              <w:bottom w:val="single" w:color="000000" w:sz="4" w:space="0"/>
              <w:right w:val="single" w:color="000000" w:sz="4" w:space="0"/>
            </w:tcBorders>
            <w:shd w:val="clear" w:color="auto" w:fill="auto"/>
            <w:noWrap/>
            <w:vAlign w:val="center"/>
          </w:tcPr>
          <w:p w14:paraId="5D6B6656">
            <w:pPr>
              <w:widowControl/>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企业实力</w:t>
            </w:r>
          </w:p>
        </w:tc>
        <w:tc>
          <w:tcPr>
            <w:tcW w:w="638" w:type="dxa"/>
            <w:tcBorders>
              <w:top w:val="nil"/>
              <w:left w:val="nil"/>
              <w:bottom w:val="single" w:color="000000" w:sz="4" w:space="0"/>
              <w:right w:val="single" w:color="000000" w:sz="4" w:space="0"/>
            </w:tcBorders>
            <w:shd w:val="clear" w:color="auto" w:fill="auto"/>
            <w:noWrap/>
            <w:vAlign w:val="center"/>
          </w:tcPr>
          <w:p w14:paraId="052DA007">
            <w:pPr>
              <w:widowControl/>
              <w:jc w:val="center"/>
              <w:rPr>
                <w:rFonts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8</w:t>
            </w:r>
          </w:p>
        </w:tc>
        <w:tc>
          <w:tcPr>
            <w:tcW w:w="6984" w:type="dxa"/>
            <w:tcBorders>
              <w:top w:val="nil"/>
              <w:left w:val="nil"/>
              <w:bottom w:val="single" w:color="000000" w:sz="4" w:space="0"/>
              <w:right w:val="single" w:color="000000" w:sz="4" w:space="0"/>
            </w:tcBorders>
            <w:shd w:val="clear" w:color="auto" w:fill="auto"/>
            <w:noWrap/>
            <w:vAlign w:val="center"/>
          </w:tcPr>
          <w:p w14:paraId="4D86DBF2">
            <w:pPr>
              <w:widowControl/>
              <w:jc w:val="left"/>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1、响应供应商</w:t>
            </w:r>
            <w:r>
              <w:rPr>
                <w:rFonts w:ascii="宋体" w:hAnsi="宋体" w:cs="宋体"/>
                <w:color w:val="000000" w:themeColor="text1"/>
                <w:sz w:val="20"/>
                <w:szCs w:val="20"/>
                <w:highlight w:val="none"/>
                <w14:textFill>
                  <w14:solidFill>
                    <w14:schemeClr w14:val="tx1"/>
                  </w14:solidFill>
                </w14:textFill>
              </w:rPr>
              <w:t>具有有效期内的质量管理体系认证证书（ISO9001），得2分；</w:t>
            </w:r>
          </w:p>
          <w:p w14:paraId="7259F376">
            <w:pPr>
              <w:widowControl/>
              <w:jc w:val="left"/>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2、响应供应商</w:t>
            </w:r>
            <w:r>
              <w:rPr>
                <w:rFonts w:ascii="宋体" w:hAnsi="宋体" w:cs="宋体"/>
                <w:color w:val="000000" w:themeColor="text1"/>
                <w:sz w:val="20"/>
                <w:szCs w:val="20"/>
                <w:highlight w:val="none"/>
                <w14:textFill>
                  <w14:solidFill>
                    <w14:schemeClr w14:val="tx1"/>
                  </w14:solidFill>
                </w14:textFill>
              </w:rPr>
              <w:t>具有有效期内的信息技术服务管理体系认证证书（ISO20000），得2分；</w:t>
            </w:r>
          </w:p>
          <w:p w14:paraId="339909FF">
            <w:pPr>
              <w:widowControl/>
              <w:jc w:val="left"/>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3、响应供应商</w:t>
            </w:r>
            <w:r>
              <w:rPr>
                <w:rFonts w:ascii="宋体" w:hAnsi="宋体" w:cs="宋体"/>
                <w:color w:val="000000" w:themeColor="text1"/>
                <w:sz w:val="20"/>
                <w:szCs w:val="20"/>
                <w:highlight w:val="none"/>
                <w14:textFill>
                  <w14:solidFill>
                    <w14:schemeClr w14:val="tx1"/>
                  </w14:solidFill>
                </w14:textFill>
              </w:rPr>
              <w:t>具有有效期内的信息安全管理体系认证证书（ISO27001），得2分；</w:t>
            </w:r>
          </w:p>
          <w:p w14:paraId="4DB07A58">
            <w:pPr>
              <w:widowControl/>
              <w:jc w:val="left"/>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4、响应供应商具有国家认可的有效期内的国家信息安全测评信息安全服务资质证书（安全工程类），得1分；</w:t>
            </w:r>
            <w:r>
              <w:rPr>
                <w:rFonts w:hint="eastAsia" w:ascii="宋体" w:hAnsi="宋体" w:cs="宋体"/>
                <w:color w:val="000000" w:themeColor="text1"/>
                <w:sz w:val="20"/>
                <w:szCs w:val="20"/>
                <w:highlight w:val="none"/>
                <w14:textFill>
                  <w14:solidFill>
                    <w14:schemeClr w14:val="tx1"/>
                  </w14:solidFill>
                </w14:textFill>
              </w:rPr>
              <w:br w:type="textWrapping"/>
            </w:r>
            <w:r>
              <w:rPr>
                <w:rFonts w:hint="eastAsia" w:ascii="宋体" w:hAnsi="宋体" w:cs="宋体"/>
                <w:color w:val="000000" w:themeColor="text1"/>
                <w:sz w:val="20"/>
                <w:szCs w:val="20"/>
                <w:highlight w:val="none"/>
                <w14:textFill>
                  <w14:solidFill>
                    <w14:schemeClr w14:val="tx1"/>
                  </w14:solidFill>
                </w14:textFill>
              </w:rPr>
              <w:t>5、响应供应商具有国家认可的有效期内的信息安全服务资质认证（CCRC）安全运维服务资质认证得1分；</w:t>
            </w:r>
          </w:p>
          <w:p w14:paraId="5FA09AC4">
            <w:pPr>
              <w:widowControl/>
              <w:jc w:val="left"/>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t>以上</w:t>
            </w:r>
            <w:r>
              <w:rPr>
                <w:rFonts w:hint="eastAsia" w:ascii="宋体" w:hAnsi="宋体" w:cs="宋体"/>
                <w:color w:val="000000" w:themeColor="text1"/>
                <w:sz w:val="20"/>
                <w:szCs w:val="20"/>
                <w:highlight w:val="none"/>
                <w14:textFill>
                  <w14:solidFill>
                    <w14:schemeClr w14:val="tx1"/>
                  </w14:solidFill>
                </w14:textFill>
              </w:rPr>
              <w:t>内容均</w:t>
            </w:r>
            <w:r>
              <w:rPr>
                <w:rFonts w:ascii="宋体" w:hAnsi="宋体" w:cs="宋体"/>
                <w:color w:val="000000" w:themeColor="text1"/>
                <w:sz w:val="20"/>
                <w:szCs w:val="20"/>
                <w:highlight w:val="none"/>
                <w14:textFill>
                  <w14:solidFill>
                    <w14:schemeClr w14:val="tx1"/>
                  </w14:solidFill>
                </w14:textFill>
              </w:rPr>
              <w:t>需提供证书扫描件并加盖公章，不提供不得分。</w:t>
            </w:r>
          </w:p>
        </w:tc>
      </w:tr>
      <w:tr w14:paraId="3312FBC5">
        <w:tblPrEx>
          <w:tblCellMar>
            <w:top w:w="0" w:type="dxa"/>
            <w:left w:w="108" w:type="dxa"/>
            <w:bottom w:w="0" w:type="dxa"/>
            <w:right w:w="108" w:type="dxa"/>
          </w:tblCellMar>
        </w:tblPrEx>
        <w:trPr>
          <w:trHeight w:val="567" w:hRule="atLeast"/>
        </w:trPr>
        <w:tc>
          <w:tcPr>
            <w:tcW w:w="684" w:type="dxa"/>
            <w:tcBorders>
              <w:top w:val="nil"/>
              <w:left w:val="single" w:color="000000" w:sz="4" w:space="0"/>
              <w:bottom w:val="single" w:color="000000" w:sz="4" w:space="0"/>
              <w:right w:val="single" w:color="000000" w:sz="4" w:space="0"/>
            </w:tcBorders>
            <w:noWrap/>
            <w:vAlign w:val="center"/>
          </w:tcPr>
          <w:p w14:paraId="240671DF">
            <w:pPr>
              <w:widowControl/>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p>
        </w:tc>
        <w:tc>
          <w:tcPr>
            <w:tcW w:w="1311" w:type="dxa"/>
            <w:tcBorders>
              <w:top w:val="nil"/>
              <w:left w:val="nil"/>
              <w:bottom w:val="single" w:color="000000" w:sz="4" w:space="0"/>
              <w:right w:val="single" w:color="000000" w:sz="4" w:space="0"/>
            </w:tcBorders>
            <w:shd w:val="clear" w:color="auto" w:fill="auto"/>
            <w:noWrap/>
            <w:vAlign w:val="center"/>
          </w:tcPr>
          <w:p w14:paraId="2D525270">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产品实力</w:t>
            </w:r>
          </w:p>
        </w:tc>
        <w:tc>
          <w:tcPr>
            <w:tcW w:w="638" w:type="dxa"/>
            <w:tcBorders>
              <w:top w:val="nil"/>
              <w:left w:val="nil"/>
              <w:bottom w:val="single" w:color="000000" w:sz="4" w:space="0"/>
              <w:right w:val="single" w:color="000000" w:sz="4" w:space="0"/>
            </w:tcBorders>
            <w:shd w:val="clear" w:color="auto" w:fill="auto"/>
            <w:noWrap/>
            <w:vAlign w:val="center"/>
          </w:tcPr>
          <w:p w14:paraId="68108CD2">
            <w:pPr>
              <w:widowControl/>
              <w:jc w:val="center"/>
              <w:rPr>
                <w:rFonts w:ascii="宋体" w:hAnsi="宋体" w:cs="宋体" w:eastAsiaTheme="minorEastAsia"/>
                <w:color w:val="000000" w:themeColor="text1"/>
                <w:sz w:val="24"/>
                <w:highlight w:val="none"/>
                <w14:textFill>
                  <w14:solidFill>
                    <w14:schemeClr w14:val="tx1"/>
                  </w14:solidFill>
                </w14:textFill>
              </w:rPr>
            </w:pPr>
            <w:r>
              <w:rPr>
                <w:rFonts w:hint="eastAsia" w:ascii="宋体" w:hAnsi="宋体" w:cs="宋体" w:eastAsiaTheme="minorEastAsia"/>
                <w:color w:val="000000" w:themeColor="text1"/>
                <w:sz w:val="24"/>
                <w:highlight w:val="none"/>
                <w14:textFill>
                  <w14:solidFill>
                    <w14:schemeClr w14:val="tx1"/>
                  </w14:solidFill>
                </w14:textFill>
              </w:rPr>
              <w:t>3</w:t>
            </w:r>
          </w:p>
        </w:tc>
        <w:tc>
          <w:tcPr>
            <w:tcW w:w="6984" w:type="dxa"/>
            <w:tcBorders>
              <w:top w:val="nil"/>
              <w:left w:val="nil"/>
              <w:bottom w:val="single" w:color="000000" w:sz="4" w:space="0"/>
              <w:right w:val="single" w:color="000000" w:sz="4" w:space="0"/>
            </w:tcBorders>
            <w:shd w:val="clear" w:color="auto" w:fill="auto"/>
            <w:noWrap/>
            <w:vAlign w:val="center"/>
          </w:tcPr>
          <w:p w14:paraId="61FD619D">
            <w:pPr>
              <w:pStyle w:val="32"/>
              <w:widowControl/>
              <w:spacing w:line="330" w:lineRule="atLeast"/>
              <w:rPr>
                <w:rFonts w:hint="eastAsia" w:cs="宋体"/>
                <w:color w:val="000000" w:themeColor="text1"/>
                <w:sz w:val="20"/>
                <w:szCs w:val="20"/>
                <w:highlight w:val="none"/>
                <w14:textFill>
                  <w14:solidFill>
                    <w14:schemeClr w14:val="tx1"/>
                  </w14:solidFill>
                </w14:textFill>
              </w:rPr>
            </w:pPr>
            <w:r>
              <w:rPr>
                <w:rFonts w:cs="宋体"/>
                <w:color w:val="000000" w:themeColor="text1"/>
                <w:sz w:val="20"/>
                <w:szCs w:val="20"/>
                <w:highlight w:val="none"/>
                <w14:textFill>
                  <w14:solidFill>
                    <w14:schemeClr w14:val="tx1"/>
                  </w14:solidFill>
                </w14:textFill>
              </w:rPr>
              <w:t>1</w:t>
            </w:r>
            <w:r>
              <w:rPr>
                <w:rFonts w:cs="宋体"/>
                <w:color w:val="000000" w:themeColor="text1"/>
                <w:sz w:val="20"/>
                <w:szCs w:val="20"/>
                <w:highlight w:val="none"/>
                <w:u w:val="none"/>
                <w14:textFill>
                  <w14:solidFill>
                    <w14:schemeClr w14:val="tx1"/>
                  </w14:solidFill>
                </w14:textFill>
              </w:rPr>
              <w:t>、</w:t>
            </w:r>
            <w:r>
              <w:rPr>
                <w:rFonts w:hint="eastAsia" w:cs="宋体"/>
                <w:color w:val="000000" w:themeColor="text1"/>
                <w:sz w:val="20"/>
                <w:szCs w:val="20"/>
                <w:highlight w:val="none"/>
                <w:u w:val="none"/>
                <w14:textFill>
                  <w14:solidFill>
                    <w14:schemeClr w14:val="tx1"/>
                  </w14:solidFill>
                </w14:textFill>
              </w:rPr>
              <w:t>为减小紧急突发事件带来的影响，投标设备制造厂商须具备应急管理能力；提供应急预案管理能力评价认证证书扫描件、全国认证认可信息公共服务平台查询链接及截图（截图需体现证书名称），并加盖公章，满足得2分，不满足不得分。</w:t>
            </w:r>
          </w:p>
          <w:p w14:paraId="50F374CA">
            <w:pPr>
              <w:pStyle w:val="32"/>
              <w:widowControl/>
              <w:spacing w:line="330" w:lineRule="atLeast"/>
              <w:rPr>
                <w:rFonts w:hint="default"/>
                <w:color w:val="000000" w:themeColor="text1"/>
                <w:highlight w:val="none"/>
                <w14:textFill>
                  <w14:solidFill>
                    <w14:schemeClr w14:val="tx1"/>
                  </w14:solidFill>
                </w14:textFill>
              </w:rPr>
            </w:pPr>
            <w:r>
              <w:rPr>
                <w:rFonts w:cs="宋体"/>
                <w:color w:val="000000" w:themeColor="text1"/>
                <w:sz w:val="20"/>
                <w:szCs w:val="20"/>
                <w:highlight w:val="none"/>
                <w14:textFill>
                  <w14:solidFill>
                    <w14:schemeClr w14:val="tx1"/>
                  </w14:solidFill>
                </w14:textFill>
              </w:rPr>
              <w:t>2、为防止无线设备的故障导致医院查房业务使用不畅，所投无线设备能够支持声音定位功能，满足的得1分，不提供不得分。（提供证书或检测报告扫描件）</w:t>
            </w:r>
          </w:p>
        </w:tc>
      </w:tr>
      <w:tr w14:paraId="590A6A50">
        <w:tblPrEx>
          <w:tblCellMar>
            <w:top w:w="0" w:type="dxa"/>
            <w:left w:w="108" w:type="dxa"/>
            <w:bottom w:w="0" w:type="dxa"/>
            <w:right w:w="108" w:type="dxa"/>
          </w:tblCellMar>
        </w:tblPrEx>
        <w:trPr>
          <w:trHeight w:val="567" w:hRule="atLeast"/>
        </w:trPr>
        <w:tc>
          <w:tcPr>
            <w:tcW w:w="684" w:type="dxa"/>
            <w:tcBorders>
              <w:top w:val="nil"/>
              <w:left w:val="single" w:color="000000" w:sz="4" w:space="0"/>
              <w:bottom w:val="single" w:color="000000" w:sz="4" w:space="0"/>
              <w:right w:val="single" w:color="000000" w:sz="4" w:space="0"/>
            </w:tcBorders>
            <w:noWrap/>
            <w:vAlign w:val="center"/>
          </w:tcPr>
          <w:p w14:paraId="754E183C">
            <w:pPr>
              <w:widowControl/>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p>
        </w:tc>
        <w:tc>
          <w:tcPr>
            <w:tcW w:w="1311" w:type="dxa"/>
            <w:tcBorders>
              <w:top w:val="nil"/>
              <w:left w:val="nil"/>
              <w:bottom w:val="single" w:color="000000" w:sz="4" w:space="0"/>
              <w:right w:val="single" w:color="000000" w:sz="4" w:space="0"/>
            </w:tcBorders>
            <w:shd w:val="clear" w:color="auto" w:fill="auto"/>
            <w:noWrap/>
            <w:vAlign w:val="center"/>
          </w:tcPr>
          <w:p w14:paraId="0F5DC837">
            <w:pPr>
              <w:widowControl/>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人员配备</w:t>
            </w:r>
          </w:p>
        </w:tc>
        <w:tc>
          <w:tcPr>
            <w:tcW w:w="638" w:type="dxa"/>
            <w:tcBorders>
              <w:top w:val="nil"/>
              <w:left w:val="nil"/>
              <w:bottom w:val="single" w:color="000000" w:sz="4" w:space="0"/>
              <w:right w:val="single" w:color="000000" w:sz="4" w:space="0"/>
            </w:tcBorders>
            <w:shd w:val="clear" w:color="auto" w:fill="auto"/>
            <w:noWrap/>
            <w:vAlign w:val="center"/>
          </w:tcPr>
          <w:p w14:paraId="0332D8C3">
            <w:pPr>
              <w:widowControl/>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10</w:t>
            </w:r>
          </w:p>
        </w:tc>
        <w:tc>
          <w:tcPr>
            <w:tcW w:w="6984" w:type="dxa"/>
            <w:tcBorders>
              <w:top w:val="nil"/>
              <w:left w:val="nil"/>
              <w:bottom w:val="single" w:color="000000" w:sz="4" w:space="0"/>
              <w:right w:val="single" w:color="000000" w:sz="4" w:space="0"/>
            </w:tcBorders>
            <w:shd w:val="clear" w:color="auto" w:fill="auto"/>
            <w:noWrap/>
            <w:vAlign w:val="center"/>
          </w:tcPr>
          <w:p w14:paraId="53C73832">
            <w:pPr>
              <w:widowControl/>
              <w:jc w:val="left"/>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1、响应供应商针对本项目的项目负责人（1人）具有高级工程师(电子信息)、信息安全工程师、CISP-CISO注册信息安全专业人员(注册信息安全管理人员)、CISP-CISE注册信息安全专业人员（注册信息安全工程师）、CISAW信息安全保障人员(应急服务)的，有1个得1分，最高得4分。不提供或不符合不得分。</w:t>
            </w:r>
          </w:p>
          <w:p w14:paraId="6F38D1B9">
            <w:pPr>
              <w:widowControl/>
              <w:jc w:val="left"/>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2、响应供应商针对本项目的技术负责人（1人）具有CISAW 信息安全保障人员(安全运维)专业级、CISAW 信息安全保障人员(应急服务)专业级、信息安全工程师、通信专业技术人员职业资格(互联网技术)的，有1个得1分，最高得3分。不提供或不符合不得分。</w:t>
            </w:r>
          </w:p>
          <w:p w14:paraId="3DDD843F">
            <w:pPr>
              <w:widowControl/>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3、响应供应商针对本项目的实施负责人（1人）具有高级工程师(数字经济(通信))、通信专业技术人员职业资格(互联网技术)、网络工程师的、CISAW 信息安全保障人员(安全运维)专业级，有1个得1分，最高得3分。不提供或不符合不得分。</w:t>
            </w:r>
            <w:r>
              <w:rPr>
                <w:rFonts w:hint="eastAsia" w:ascii="宋体" w:hAnsi="宋体" w:cs="宋体"/>
                <w:color w:val="000000" w:themeColor="text1"/>
                <w:sz w:val="20"/>
                <w:szCs w:val="20"/>
                <w:highlight w:val="none"/>
                <w14:textFill>
                  <w14:solidFill>
                    <w14:schemeClr w14:val="tx1"/>
                  </w14:solidFill>
                </w14:textFill>
              </w:rPr>
              <w:br w:type="textWrapping"/>
            </w:r>
            <w:r>
              <w:rPr>
                <w:rFonts w:hint="eastAsia" w:ascii="宋体" w:hAnsi="宋体" w:cs="宋体"/>
                <w:color w:val="000000" w:themeColor="text1"/>
                <w:sz w:val="20"/>
                <w:szCs w:val="20"/>
                <w:highlight w:val="none"/>
                <w14:textFill>
                  <w14:solidFill>
                    <w14:schemeClr w14:val="tx1"/>
                  </w14:solidFill>
                </w14:textFill>
              </w:rPr>
              <w:t>注：以上人员第1、2、3项中人员不可重复计算，响应供应商须保证上述人员为本单位正式职工，响应时需提供以下材料扫描件并加盖公章：①以上人员有效期内的有关证书；②以上人员在响应供应商公司注册所在地社保部门出具的社保缴纳证明或有效期内的劳动合同。材料不全或无效的对应证书不得分。</w:t>
            </w:r>
          </w:p>
        </w:tc>
      </w:tr>
      <w:tr w14:paraId="7D8DFEBC">
        <w:tblPrEx>
          <w:tblCellMar>
            <w:top w:w="0" w:type="dxa"/>
            <w:left w:w="108" w:type="dxa"/>
            <w:bottom w:w="0" w:type="dxa"/>
            <w:right w:w="108" w:type="dxa"/>
          </w:tblCellMar>
        </w:tblPrEx>
        <w:trPr>
          <w:trHeight w:val="567" w:hRule="atLeast"/>
        </w:trPr>
        <w:tc>
          <w:tcPr>
            <w:tcW w:w="684" w:type="dxa"/>
            <w:tcBorders>
              <w:top w:val="nil"/>
              <w:left w:val="single" w:color="000000" w:sz="4" w:space="0"/>
              <w:bottom w:val="single" w:color="000000" w:sz="4" w:space="0"/>
              <w:right w:val="single" w:color="000000" w:sz="4" w:space="0"/>
            </w:tcBorders>
            <w:noWrap/>
            <w:vAlign w:val="center"/>
          </w:tcPr>
          <w:p w14:paraId="53EC80CD">
            <w:pPr>
              <w:widowControl/>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w:t>
            </w:r>
          </w:p>
        </w:tc>
        <w:tc>
          <w:tcPr>
            <w:tcW w:w="1311" w:type="dxa"/>
            <w:tcBorders>
              <w:top w:val="nil"/>
              <w:left w:val="nil"/>
              <w:bottom w:val="single" w:color="000000" w:sz="4" w:space="0"/>
              <w:right w:val="single" w:color="000000" w:sz="4" w:space="0"/>
            </w:tcBorders>
            <w:shd w:val="clear" w:color="auto" w:fill="auto"/>
            <w:noWrap/>
            <w:vAlign w:val="center"/>
          </w:tcPr>
          <w:p w14:paraId="53E81153">
            <w:pPr>
              <w:widowControl/>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业绩</w:t>
            </w:r>
          </w:p>
        </w:tc>
        <w:tc>
          <w:tcPr>
            <w:tcW w:w="638" w:type="dxa"/>
            <w:tcBorders>
              <w:top w:val="nil"/>
              <w:left w:val="nil"/>
              <w:bottom w:val="single" w:color="000000" w:sz="4" w:space="0"/>
              <w:right w:val="single" w:color="000000" w:sz="4" w:space="0"/>
            </w:tcBorders>
            <w:shd w:val="clear" w:color="auto" w:fill="auto"/>
            <w:noWrap/>
            <w:vAlign w:val="center"/>
          </w:tcPr>
          <w:p w14:paraId="5A3768F8">
            <w:pPr>
              <w:widowControl/>
              <w:jc w:val="center"/>
              <w:rPr>
                <w:rFonts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14:textFill>
                  <w14:solidFill>
                    <w14:schemeClr w14:val="tx1"/>
                  </w14:solidFill>
                </w14:textFill>
              </w:rPr>
              <w:t>2</w:t>
            </w:r>
          </w:p>
        </w:tc>
        <w:tc>
          <w:tcPr>
            <w:tcW w:w="6984" w:type="dxa"/>
            <w:tcBorders>
              <w:top w:val="nil"/>
              <w:left w:val="nil"/>
              <w:bottom w:val="single" w:color="000000" w:sz="4" w:space="0"/>
              <w:right w:val="single" w:color="000000" w:sz="4" w:space="0"/>
            </w:tcBorders>
            <w:shd w:val="clear" w:color="auto" w:fill="auto"/>
            <w:noWrap/>
            <w:vAlign w:val="center"/>
          </w:tcPr>
          <w:p w14:paraId="68A1406D">
            <w:pPr>
              <w:widowControl/>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响应供应商提供自2021年1月1日以来（以合同签订时间为准）完成的</w:t>
            </w:r>
            <w:r>
              <w:rPr>
                <w:rFonts w:hint="eastAsia" w:ascii="宋体" w:hAnsi="宋体" w:cs="宋体"/>
                <w:color w:val="000000" w:themeColor="text1"/>
                <w:sz w:val="20"/>
                <w:szCs w:val="20"/>
                <w:highlight w:val="none"/>
                <w:shd w:val="clear" w:color="auto" w:fill="auto"/>
                <w:lang w:val="en-US" w:eastAsia="zh-CN"/>
                <w14:textFill>
                  <w14:solidFill>
                    <w14:schemeClr w14:val="tx1"/>
                  </w14:solidFill>
                </w14:textFill>
              </w:rPr>
              <w:t>类似的</w:t>
            </w:r>
            <w:r>
              <w:rPr>
                <w:rFonts w:ascii="宋体" w:hAnsi="宋体" w:cs="宋体"/>
                <w:color w:val="000000" w:themeColor="text1"/>
                <w:sz w:val="20"/>
                <w:szCs w:val="20"/>
                <w:highlight w:val="none"/>
                <w14:textFill>
                  <w14:solidFill>
                    <w14:schemeClr w14:val="tx1"/>
                  </w14:solidFill>
                </w14:textFill>
              </w:rPr>
              <w:t>无线网络建设项目</w:t>
            </w:r>
            <w:r>
              <w:rPr>
                <w:rFonts w:ascii="宋体" w:hAnsi="宋体" w:cs="宋体"/>
                <w:color w:val="000000" w:themeColor="text1"/>
                <w:sz w:val="20"/>
                <w:szCs w:val="20"/>
                <w:highlight w:val="none"/>
                <w14:textFill>
                  <w14:solidFill>
                    <w14:schemeClr w14:val="tx1"/>
                  </w14:solidFill>
                </w14:textFill>
              </w:rPr>
              <w:t>，（需提供合同扫描件、验收报告</w:t>
            </w:r>
            <w:r>
              <w:rPr>
                <w:rFonts w:hint="eastAsia" w:ascii="宋体" w:hAnsi="宋体" w:cs="宋体"/>
                <w:color w:val="000000" w:themeColor="text1"/>
                <w:sz w:val="20"/>
                <w:szCs w:val="20"/>
                <w:highlight w:val="none"/>
                <w14:textFill>
                  <w14:solidFill>
                    <w14:schemeClr w14:val="tx1"/>
                  </w14:solidFill>
                </w14:textFill>
              </w:rPr>
              <w:t>扫描件</w:t>
            </w:r>
            <w:r>
              <w:rPr>
                <w:rFonts w:ascii="宋体" w:hAnsi="宋体" w:cs="宋体"/>
                <w:color w:val="000000" w:themeColor="text1"/>
                <w:sz w:val="20"/>
                <w:szCs w:val="20"/>
                <w:highlight w:val="none"/>
                <w14:textFill>
                  <w14:solidFill>
                    <w14:schemeClr w14:val="tx1"/>
                  </w14:solidFill>
                </w14:textFill>
              </w:rPr>
              <w:t>）。每提供1个得1分，最高得</w:t>
            </w:r>
            <w:r>
              <w:rPr>
                <w:rFonts w:hint="eastAsia" w:ascii="宋体" w:hAnsi="宋体" w:cs="宋体"/>
                <w:color w:val="000000" w:themeColor="text1"/>
                <w:sz w:val="20"/>
                <w:szCs w:val="20"/>
                <w:highlight w:val="none"/>
                <w14:textFill>
                  <w14:solidFill>
                    <w14:schemeClr w14:val="tx1"/>
                  </w14:solidFill>
                </w14:textFill>
              </w:rPr>
              <w:t>2</w:t>
            </w:r>
            <w:r>
              <w:rPr>
                <w:rFonts w:ascii="宋体" w:hAnsi="宋体" w:cs="宋体"/>
                <w:color w:val="000000" w:themeColor="text1"/>
                <w:sz w:val="20"/>
                <w:szCs w:val="20"/>
                <w:highlight w:val="none"/>
                <w14:textFill>
                  <w14:solidFill>
                    <w14:schemeClr w14:val="tx1"/>
                  </w14:solidFill>
                </w14:textFill>
              </w:rPr>
              <w:t>分。不提供或材料不全不得分。</w:t>
            </w:r>
          </w:p>
        </w:tc>
      </w:tr>
      <w:tr w14:paraId="5206CD11">
        <w:tblPrEx>
          <w:tblCellMar>
            <w:top w:w="0" w:type="dxa"/>
            <w:left w:w="108" w:type="dxa"/>
            <w:bottom w:w="0" w:type="dxa"/>
            <w:right w:w="108" w:type="dxa"/>
          </w:tblCellMar>
        </w:tblPrEx>
        <w:trPr>
          <w:trHeight w:val="567" w:hRule="atLeast"/>
        </w:trPr>
        <w:tc>
          <w:tcPr>
            <w:tcW w:w="684" w:type="dxa"/>
            <w:tcBorders>
              <w:top w:val="nil"/>
              <w:left w:val="single" w:color="000000" w:sz="4" w:space="0"/>
              <w:bottom w:val="single" w:color="000000" w:sz="4" w:space="0"/>
              <w:right w:val="single" w:color="000000" w:sz="4" w:space="0"/>
            </w:tcBorders>
            <w:noWrap/>
            <w:vAlign w:val="center"/>
          </w:tcPr>
          <w:p w14:paraId="311810BE">
            <w:pPr>
              <w:widowControl/>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p>
        </w:tc>
        <w:tc>
          <w:tcPr>
            <w:tcW w:w="1311" w:type="dxa"/>
            <w:tcBorders>
              <w:top w:val="nil"/>
              <w:left w:val="nil"/>
              <w:bottom w:val="single" w:color="000000" w:sz="4" w:space="0"/>
              <w:right w:val="single" w:color="000000" w:sz="4" w:space="0"/>
            </w:tcBorders>
            <w:shd w:val="clear" w:color="auto" w:fill="auto"/>
            <w:noWrap/>
            <w:vAlign w:val="center"/>
          </w:tcPr>
          <w:p w14:paraId="69BB9814">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项目方案</w:t>
            </w:r>
          </w:p>
        </w:tc>
        <w:tc>
          <w:tcPr>
            <w:tcW w:w="638" w:type="dxa"/>
            <w:tcBorders>
              <w:top w:val="nil"/>
              <w:left w:val="nil"/>
              <w:bottom w:val="single" w:color="000000" w:sz="4" w:space="0"/>
              <w:right w:val="single" w:color="000000" w:sz="4" w:space="0"/>
            </w:tcBorders>
            <w:shd w:val="clear" w:color="auto" w:fill="auto"/>
            <w:noWrap/>
            <w:vAlign w:val="center"/>
          </w:tcPr>
          <w:p w14:paraId="1840B20A">
            <w:pPr>
              <w:widowControl/>
              <w:jc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6</w:t>
            </w:r>
          </w:p>
        </w:tc>
        <w:tc>
          <w:tcPr>
            <w:tcW w:w="6984" w:type="dxa"/>
            <w:tcBorders>
              <w:top w:val="nil"/>
              <w:left w:val="nil"/>
              <w:bottom w:val="single" w:color="000000" w:sz="4" w:space="0"/>
              <w:right w:val="single" w:color="000000" w:sz="4" w:space="0"/>
            </w:tcBorders>
            <w:shd w:val="clear" w:color="auto" w:fill="auto"/>
            <w:noWrap/>
            <w:vAlign w:val="center"/>
          </w:tcPr>
          <w:p w14:paraId="6BB15017">
            <w:pPr>
              <w:widowControl/>
              <w:numPr>
                <w:ilvl w:val="0"/>
                <w:numId w:val="16"/>
              </w:numPr>
              <w:jc w:val="left"/>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提供基于现场踏勘后的无线覆盖AP点位图，得1分</w:t>
            </w:r>
            <w:r>
              <w:rPr>
                <w:rFonts w:hint="eastAsia" w:ascii="宋体" w:hAnsi="宋体" w:cs="宋体"/>
                <w:color w:val="000000" w:themeColor="text1"/>
                <w:sz w:val="20"/>
                <w:szCs w:val="20"/>
                <w:highlight w:val="none"/>
                <w14:textFill>
                  <w14:solidFill>
                    <w14:schemeClr w14:val="tx1"/>
                  </w14:solidFill>
                </w14:textFill>
              </w:rPr>
              <w:t>，不提供不得分；</w:t>
            </w:r>
          </w:p>
          <w:p w14:paraId="3F8A32D5">
            <w:pPr>
              <w:widowControl/>
              <w:numPr>
                <w:ilvl w:val="0"/>
                <w:numId w:val="16"/>
              </w:numPr>
              <w:jc w:val="left"/>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提供系统拓扑图，得1分，不提供不得分。</w:t>
            </w:r>
          </w:p>
          <w:p w14:paraId="01908112">
            <w:pPr>
              <w:widowControl/>
              <w:jc w:val="left"/>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3</w:t>
            </w:r>
            <w:r>
              <w:rPr>
                <w:rFonts w:hint="eastAsia" w:ascii="宋体" w:hAnsi="宋体" w:cs="宋体"/>
                <w:color w:val="000000" w:themeColor="text1"/>
                <w:sz w:val="20"/>
                <w:szCs w:val="20"/>
                <w:highlight w:val="none"/>
                <w14:textFill>
                  <w14:solidFill>
                    <w14:schemeClr w14:val="tx1"/>
                  </w14:solidFill>
                </w14:textFill>
              </w:rPr>
              <w:t>、提供详细的施工组织方案，要求含无线信号测试、旧网切换、安全保障，包含一项得1分，最高得3分，不提供不得分。</w:t>
            </w:r>
          </w:p>
          <w:p w14:paraId="245A302E">
            <w:pPr>
              <w:widowControl/>
              <w:jc w:val="left"/>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4</w:t>
            </w:r>
            <w:r>
              <w:rPr>
                <w:rFonts w:hint="eastAsia" w:ascii="宋体" w:hAnsi="宋体" w:cs="宋体"/>
                <w:color w:val="000000" w:themeColor="text1"/>
                <w:sz w:val="20"/>
                <w:szCs w:val="20"/>
                <w:highlight w:val="none"/>
                <w14:textFill>
                  <w14:solidFill>
                    <w14:schemeClr w14:val="tx1"/>
                  </w14:solidFill>
                </w14:textFill>
              </w:rPr>
              <w:t>、提供针对本项目的网络性能仿真预测或设计说明书（如通过软件模拟覆盖效果）得1分，不提供不得分。</w:t>
            </w:r>
          </w:p>
        </w:tc>
      </w:tr>
      <w:tr w14:paraId="45345DC7">
        <w:tblPrEx>
          <w:tblCellMar>
            <w:top w:w="0" w:type="dxa"/>
            <w:left w:w="108" w:type="dxa"/>
            <w:bottom w:w="0" w:type="dxa"/>
            <w:right w:w="108" w:type="dxa"/>
          </w:tblCellMar>
        </w:tblPrEx>
        <w:trPr>
          <w:trHeight w:val="567" w:hRule="atLeast"/>
        </w:trPr>
        <w:tc>
          <w:tcPr>
            <w:tcW w:w="684" w:type="dxa"/>
            <w:tcBorders>
              <w:top w:val="nil"/>
              <w:left w:val="single" w:color="000000" w:sz="4" w:space="0"/>
              <w:bottom w:val="single" w:color="000000" w:sz="4" w:space="0"/>
              <w:right w:val="single" w:color="000000" w:sz="4" w:space="0"/>
            </w:tcBorders>
            <w:noWrap/>
            <w:vAlign w:val="center"/>
          </w:tcPr>
          <w:p w14:paraId="2F0D04DF">
            <w:pPr>
              <w:widowControl/>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w:t>
            </w:r>
          </w:p>
        </w:tc>
        <w:tc>
          <w:tcPr>
            <w:tcW w:w="1311" w:type="dxa"/>
            <w:tcBorders>
              <w:top w:val="nil"/>
              <w:left w:val="nil"/>
              <w:bottom w:val="single" w:color="000000" w:sz="4" w:space="0"/>
              <w:right w:val="single" w:color="000000" w:sz="4" w:space="0"/>
            </w:tcBorders>
            <w:shd w:val="clear" w:color="auto" w:fill="auto"/>
            <w:noWrap/>
            <w:vAlign w:val="center"/>
          </w:tcPr>
          <w:p w14:paraId="53CED5F2">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售后服务方案</w:t>
            </w:r>
          </w:p>
        </w:tc>
        <w:tc>
          <w:tcPr>
            <w:tcW w:w="638" w:type="dxa"/>
            <w:tcBorders>
              <w:top w:val="nil"/>
              <w:left w:val="nil"/>
              <w:bottom w:val="single" w:color="000000" w:sz="4" w:space="0"/>
              <w:right w:val="single" w:color="000000" w:sz="4" w:space="0"/>
            </w:tcBorders>
            <w:shd w:val="clear" w:color="auto" w:fill="auto"/>
            <w:noWrap/>
            <w:vAlign w:val="center"/>
          </w:tcPr>
          <w:p w14:paraId="162AD3AE">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w:t>
            </w:r>
          </w:p>
        </w:tc>
        <w:tc>
          <w:tcPr>
            <w:tcW w:w="6984" w:type="dxa"/>
            <w:tcBorders>
              <w:top w:val="nil"/>
              <w:left w:val="nil"/>
              <w:bottom w:val="single" w:color="000000" w:sz="4" w:space="0"/>
              <w:right w:val="single" w:color="000000" w:sz="4" w:space="0"/>
            </w:tcBorders>
            <w:shd w:val="clear" w:color="auto" w:fill="auto"/>
            <w:noWrap/>
            <w:vAlign w:val="center"/>
          </w:tcPr>
          <w:p w14:paraId="6E8BFF4D">
            <w:pPr>
              <w:widowControl/>
              <w:jc w:val="left"/>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1、响应供应商应具备高效及时的响应能力，提供详细的售后支撑人员姓名、联系方式，同时承诺一般故障2小时内响应并到达现场，特殊情况紧急故障1.5小时内响应并到达现场，提供承诺函（承诺函格式自理，内容包括上述要求）得1分，不提供不得分。</w:t>
            </w:r>
            <w:r>
              <w:rPr>
                <w:rFonts w:hint="eastAsia" w:ascii="宋体" w:hAnsi="宋体" w:cs="宋体"/>
                <w:color w:val="000000" w:themeColor="text1"/>
                <w:sz w:val="20"/>
                <w:szCs w:val="20"/>
                <w:highlight w:val="none"/>
                <w14:textFill>
                  <w14:solidFill>
                    <w14:schemeClr w14:val="tx1"/>
                  </w14:solidFill>
                </w14:textFill>
              </w:rPr>
              <w:br w:type="textWrapping"/>
            </w:r>
            <w:r>
              <w:rPr>
                <w:rFonts w:hint="eastAsia" w:ascii="宋体" w:hAnsi="宋体" w:cs="宋体"/>
                <w:color w:val="000000" w:themeColor="text1"/>
                <w:sz w:val="20"/>
                <w:szCs w:val="20"/>
                <w:highlight w:val="none"/>
                <w14:textFill>
                  <w14:solidFill>
                    <w14:schemeClr w14:val="tx1"/>
                  </w14:solidFill>
                </w14:textFill>
              </w:rPr>
              <w:t>2、响应供应商需充分熟悉硬件设备及现场情况，根据采购需求提供硬件设备日常维护服务方案，包括</w:t>
            </w:r>
            <w:r>
              <w:rPr>
                <w:rFonts w:hint="eastAsia" w:ascii="宋体" w:hAnsi="宋体" w:cs="宋体"/>
                <w:color w:val="000000" w:themeColor="text1"/>
                <w:sz w:val="20"/>
                <w:szCs w:val="20"/>
                <w:highlight w:val="none"/>
                <w:lang w:eastAsia="zh-CN"/>
                <w14:textFill>
                  <w14:solidFill>
                    <w14:schemeClr w14:val="tx1"/>
                  </w14:solidFill>
                </w14:textFill>
              </w:rPr>
              <w:t>：①</w:t>
            </w:r>
            <w:r>
              <w:rPr>
                <w:rFonts w:hint="eastAsia" w:ascii="宋体" w:hAnsi="宋体" w:cs="宋体"/>
                <w:color w:val="000000" w:themeColor="text1"/>
                <w:sz w:val="20"/>
                <w:szCs w:val="20"/>
                <w:highlight w:val="none"/>
                <w14:textFill>
                  <w14:solidFill>
                    <w14:schemeClr w14:val="tx1"/>
                  </w14:solidFill>
                </w14:textFill>
              </w:rPr>
              <w:t>维护内容</w:t>
            </w:r>
            <w:r>
              <w:rPr>
                <w:rFonts w:hint="eastAsia" w:ascii="宋体" w:hAnsi="宋体" w:cs="宋体"/>
                <w:color w:val="000000" w:themeColor="text1"/>
                <w:sz w:val="20"/>
                <w:szCs w:val="20"/>
                <w:highlight w:val="none"/>
                <w:lang w:eastAsia="zh-CN"/>
                <w14:textFill>
                  <w14:solidFill>
                    <w14:schemeClr w14:val="tx1"/>
                  </w14:solidFill>
                </w14:textFill>
              </w:rPr>
              <w:t>；②</w:t>
            </w:r>
            <w:r>
              <w:rPr>
                <w:rFonts w:hint="eastAsia" w:ascii="宋体" w:hAnsi="宋体" w:cs="宋体"/>
                <w:color w:val="000000" w:themeColor="text1"/>
                <w:sz w:val="20"/>
                <w:szCs w:val="20"/>
                <w:highlight w:val="none"/>
                <w14:textFill>
                  <w14:solidFill>
                    <w14:schemeClr w14:val="tx1"/>
                  </w14:solidFill>
                </w14:textFill>
              </w:rPr>
              <w:t>维护流程与标准</w:t>
            </w:r>
            <w:r>
              <w:rPr>
                <w:rFonts w:hint="eastAsia" w:ascii="宋体" w:hAnsi="宋体" w:cs="宋体"/>
                <w:color w:val="000000" w:themeColor="text1"/>
                <w:sz w:val="20"/>
                <w:szCs w:val="20"/>
                <w:highlight w:val="none"/>
                <w:lang w:eastAsia="zh-CN"/>
                <w14:textFill>
                  <w14:solidFill>
                    <w14:schemeClr w14:val="tx1"/>
                  </w14:solidFill>
                </w14:textFill>
              </w:rPr>
              <w:t>；③</w:t>
            </w:r>
            <w:r>
              <w:rPr>
                <w:rFonts w:hint="eastAsia" w:ascii="宋体" w:hAnsi="宋体" w:cs="宋体"/>
                <w:color w:val="000000" w:themeColor="text1"/>
                <w:sz w:val="20"/>
                <w:szCs w:val="20"/>
                <w:highlight w:val="none"/>
                <w14:textFill>
                  <w14:solidFill>
                    <w14:schemeClr w14:val="tx1"/>
                  </w14:solidFill>
                </w14:textFill>
              </w:rPr>
              <w:t>售后服务三个维度</w:t>
            </w:r>
            <w:r>
              <w:rPr>
                <w:rFonts w:hint="eastAsia" w:ascii="宋体" w:hAnsi="宋体" w:cs="宋体"/>
                <w:color w:val="000000" w:themeColor="text1"/>
                <w:sz w:val="20"/>
                <w:szCs w:val="20"/>
                <w:highlight w:val="none"/>
                <w:lang w:eastAsia="zh-CN"/>
                <w14:textFill>
                  <w14:solidFill>
                    <w14:schemeClr w14:val="tx1"/>
                  </w14:solidFill>
                </w14:textFill>
              </w:rPr>
              <w:t>。上述3个方面每一项内容得1分，每有一项内容不完整或有缺陷的该项内容不得分，本项最高得3分。未提供不得分。</w:t>
            </w:r>
          </w:p>
          <w:p w14:paraId="5F11B8F8">
            <w:pPr>
              <w:widowControl/>
              <w:jc w:val="left"/>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p w14:paraId="6374915C">
            <w:pPr>
              <w:widowControl/>
              <w:jc w:val="left"/>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3、响应供应商承诺“备件先行”服务机制，即发现设备故障后承诺直接发新机替换而非先维修得1分，不承诺不得分。</w:t>
            </w:r>
          </w:p>
          <w:p w14:paraId="35D90CA2">
            <w:pPr>
              <w:widowControl/>
              <w:jc w:val="left"/>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4、本项目质保期为三年，响应供应商承诺，在原三年质保的基础上每免费增加原质保（含硬件、软件更新）1年得1分，本项最高得2分。响应供应商需提供承诺函，承诺函格式自理，内容至少包括以上内容，并加盖响应供应商公章，不提供不得分。</w:t>
            </w:r>
          </w:p>
          <w:p w14:paraId="0E7280DE">
            <w:pPr>
              <w:widowControl/>
              <w:jc w:val="left"/>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5、投标人</w:t>
            </w:r>
            <w:r>
              <w:rPr>
                <w:rFonts w:ascii="宋体" w:hAnsi="宋体" w:cs="宋体"/>
                <w:color w:val="000000" w:themeColor="text1"/>
                <w:sz w:val="20"/>
                <w:szCs w:val="20"/>
                <w:highlight w:val="none"/>
                <w14:textFill>
                  <w14:solidFill>
                    <w14:schemeClr w14:val="tx1"/>
                  </w14:solidFill>
                </w14:textFill>
              </w:rPr>
              <w:t>出具质保承诺函（格式自拟），加盖公章，承诺质保期限、质保内容及售后服务标准，质保期自项目整体验收合格次日起计算，且质保期内如发生硬件故障，中标人须提供免费更换或维修服务。</w:t>
            </w:r>
            <w:r>
              <w:rPr>
                <w:rFonts w:hint="eastAsia" w:ascii="宋体" w:hAnsi="宋体" w:cs="宋体"/>
                <w:color w:val="000000" w:themeColor="text1"/>
                <w:sz w:val="20"/>
                <w:szCs w:val="20"/>
                <w:highlight w:val="none"/>
                <w14:textFill>
                  <w14:solidFill>
                    <w14:schemeClr w14:val="tx1"/>
                  </w14:solidFill>
                </w14:textFill>
              </w:rPr>
              <w:t>提供承诺函得1分，不提供不得分。</w:t>
            </w:r>
          </w:p>
        </w:tc>
      </w:tr>
      <w:tr w14:paraId="56B004B2">
        <w:tblPrEx>
          <w:tblCellMar>
            <w:top w:w="0" w:type="dxa"/>
            <w:left w:w="108" w:type="dxa"/>
            <w:bottom w:w="0" w:type="dxa"/>
            <w:right w:w="108" w:type="dxa"/>
          </w:tblCellMar>
        </w:tblPrEx>
        <w:trPr>
          <w:trHeight w:val="567" w:hRule="atLeast"/>
        </w:trPr>
        <w:tc>
          <w:tcPr>
            <w:tcW w:w="684" w:type="dxa"/>
            <w:tcBorders>
              <w:top w:val="single" w:color="000000" w:sz="4" w:space="0"/>
              <w:left w:val="single" w:color="000000" w:sz="4" w:space="0"/>
              <w:bottom w:val="single" w:color="000000" w:sz="4" w:space="0"/>
              <w:right w:val="single" w:color="000000" w:sz="4" w:space="0"/>
            </w:tcBorders>
            <w:noWrap/>
            <w:vAlign w:val="center"/>
          </w:tcPr>
          <w:p w14:paraId="3D8EFCAE">
            <w:pPr>
              <w:widowControl/>
              <w:spacing w:line="32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p>
        </w:tc>
        <w:tc>
          <w:tcPr>
            <w:tcW w:w="13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4624D">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节能环保</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9E453">
            <w:pPr>
              <w:widowControl/>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3</w:t>
            </w:r>
          </w:p>
        </w:tc>
        <w:tc>
          <w:tcPr>
            <w:tcW w:w="6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BCFB1">
            <w:pPr>
              <w:widowControl/>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1、响应产品属于财政部、国家发改委公布的“节能产品品目清单”范围内的，响应供应商提供国家确定的认证机构出具的、处于有效期之内的该节能产品认证证书复印件的，有1个得0.5分，最多得1分。如响应产品均属于政府强制采购节能产品品目清单范围内，本项不得分。</w:t>
            </w:r>
            <w:r>
              <w:rPr>
                <w:rFonts w:hint="eastAsia" w:ascii="宋体" w:hAnsi="宋体" w:cs="宋体"/>
                <w:color w:val="000000" w:themeColor="text1"/>
                <w:sz w:val="20"/>
                <w:szCs w:val="20"/>
                <w:highlight w:val="none"/>
                <w14:textFill>
                  <w14:solidFill>
                    <w14:schemeClr w14:val="tx1"/>
                  </w14:solidFill>
                </w14:textFill>
              </w:rPr>
              <w:br w:type="textWrapping"/>
            </w:r>
            <w:r>
              <w:rPr>
                <w:rFonts w:hint="eastAsia" w:ascii="宋体" w:hAnsi="宋体" w:cs="宋体"/>
                <w:color w:val="000000" w:themeColor="text1"/>
                <w:sz w:val="20"/>
                <w:szCs w:val="20"/>
                <w:highlight w:val="none"/>
                <w14:textFill>
                  <w14:solidFill>
                    <w14:schemeClr w14:val="tx1"/>
                  </w14:solidFill>
                </w14:textFill>
              </w:rPr>
              <w:t>2、响应产品属于财政部、生态环境部公布的“环境标志产品品目清单”范围内的，响应供应商提供国家确定的认证机构出具的、处于有效期内的该环保产品认证证书复印件的，有1个得0.5分，最多得1分。</w:t>
            </w:r>
            <w:r>
              <w:rPr>
                <w:rFonts w:hint="eastAsia" w:ascii="宋体" w:hAnsi="宋体" w:cs="宋体"/>
                <w:color w:val="000000" w:themeColor="text1"/>
                <w:sz w:val="20"/>
                <w:szCs w:val="20"/>
                <w:highlight w:val="none"/>
                <w14:textFill>
                  <w14:solidFill>
                    <w14:schemeClr w14:val="tx1"/>
                  </w14:solidFill>
                </w14:textFill>
              </w:rPr>
              <w:br w:type="textWrapping"/>
            </w:r>
            <w:r>
              <w:rPr>
                <w:rFonts w:hint="eastAsia" w:ascii="宋体" w:hAnsi="宋体" w:cs="宋体"/>
                <w:color w:val="000000" w:themeColor="text1"/>
                <w:sz w:val="20"/>
                <w:szCs w:val="20"/>
                <w:highlight w:val="none"/>
                <w14:textFill>
                  <w14:solidFill>
                    <w14:schemeClr w14:val="tx1"/>
                  </w14:solidFill>
                </w14:textFill>
              </w:rPr>
              <w:t>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响应时须提供相应使用低VOCs含量的有效证明材料，否则不得分）。</w:t>
            </w:r>
          </w:p>
        </w:tc>
      </w:tr>
    </w:tbl>
    <w:p w14:paraId="6E10F190">
      <w:pPr>
        <w:spacing w:line="560" w:lineRule="exact"/>
        <w:ind w:firstLine="482"/>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（四）价格分：</w:t>
      </w:r>
      <w:r>
        <w:rPr>
          <w:rFonts w:hint="eastAsia" w:ascii="宋体" w:hAnsi="宋体"/>
          <w:b/>
          <w:color w:val="000000" w:themeColor="text1"/>
          <w:sz w:val="24"/>
          <w:szCs w:val="24"/>
          <w:highlight w:val="none"/>
          <w:lang w:val="en-US" w:eastAsia="zh-CN"/>
          <w14:textFill>
            <w14:solidFill>
              <w14:schemeClr w14:val="tx1"/>
            </w14:solidFill>
          </w14:textFill>
        </w:rPr>
        <w:t>30</w:t>
      </w:r>
      <w:r>
        <w:rPr>
          <w:rFonts w:hint="eastAsia" w:ascii="宋体" w:hAnsi="宋体"/>
          <w:b/>
          <w:color w:val="000000" w:themeColor="text1"/>
          <w:sz w:val="24"/>
          <w:szCs w:val="24"/>
          <w:highlight w:val="none"/>
          <w14:textFill>
            <w14:solidFill>
              <w14:schemeClr w14:val="tx1"/>
            </w14:solidFill>
          </w14:textFill>
        </w:rPr>
        <w:t>分</w:t>
      </w:r>
    </w:p>
    <w:p w14:paraId="0140ABD4">
      <w:pPr>
        <w:keepNext w:val="0"/>
        <w:keepLines w:val="0"/>
        <w:pageBreakBefore w:val="0"/>
        <w:widowControl w:val="0"/>
        <w:spacing w:line="500" w:lineRule="exact"/>
        <w:ind w:firstLine="482"/>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价格分统一采用低价优先法计算，即满足磋商文件要求且最后报价最低的供应商的价格为磋商基准价，其价格分为满分。其他供应商的价格分统一按照下列公式计算：</w:t>
      </w:r>
    </w:p>
    <w:p w14:paraId="44D0CF11">
      <w:pPr>
        <w:keepNext w:val="0"/>
        <w:keepLines w:val="0"/>
        <w:pageBreakBefore w:val="0"/>
        <w:widowControl w:val="0"/>
        <w:spacing w:line="500" w:lineRule="exact"/>
        <w:ind w:firstLine="482"/>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磋商报价得分=（磋商基准价/最后磋商报价）×价格权值×100</w:t>
      </w:r>
    </w:p>
    <w:p w14:paraId="7B09B4EC">
      <w:pPr>
        <w:keepNext w:val="0"/>
        <w:keepLines w:val="0"/>
        <w:pageBreakBefore w:val="0"/>
        <w:widowControl w:val="0"/>
        <w:spacing w:line="500" w:lineRule="exact"/>
        <w:ind w:firstLine="482"/>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出现下列情形之一的，磋商小组应当启动异常低价响应审查程序：</w:t>
      </w:r>
    </w:p>
    <w:p w14:paraId="5318493E">
      <w:pPr>
        <w:keepNext w:val="0"/>
        <w:keepLines w:val="0"/>
        <w:pageBreakBefore w:val="0"/>
        <w:widowControl w:val="0"/>
        <w:spacing w:line="500" w:lineRule="exact"/>
        <w:ind w:firstLine="482"/>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287CD7B0">
      <w:pPr>
        <w:keepNext w:val="0"/>
        <w:keepLines w:val="0"/>
        <w:pageBreakBefore w:val="0"/>
        <w:widowControl w:val="0"/>
        <w:spacing w:line="500" w:lineRule="exact"/>
        <w:ind w:firstLine="482"/>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10BCD986">
      <w:pPr>
        <w:keepNext w:val="0"/>
        <w:keepLines w:val="0"/>
        <w:pageBreakBefore w:val="0"/>
        <w:widowControl w:val="0"/>
        <w:spacing w:line="500" w:lineRule="exact"/>
        <w:ind w:firstLine="482"/>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3.投标（响应）报价低于采购项目最高限价45%的，即投标（响应）报价&lt;采购项目最高限价×45%；</w:t>
      </w:r>
    </w:p>
    <w:p w14:paraId="3FAE29A6">
      <w:pPr>
        <w:keepNext w:val="0"/>
        <w:keepLines w:val="0"/>
        <w:pageBreakBefore w:val="0"/>
        <w:widowControl w:val="0"/>
        <w:spacing w:line="500" w:lineRule="exact"/>
        <w:ind w:firstLine="482"/>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4.评审委员会基于专业判断，认为供应商报价过低，有可能影响产品质量或者不能诚信履约的其他情形。</w:t>
      </w:r>
    </w:p>
    <w:p w14:paraId="130C710F">
      <w:pPr>
        <w:keepNext w:val="0"/>
        <w:keepLines w:val="0"/>
        <w:pageBreakBefore w:val="0"/>
        <w:widowControl w:val="0"/>
        <w:spacing w:line="500" w:lineRule="exact"/>
        <w:ind w:firstLine="482"/>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磋商小组启动异常低价响应审查后，属于前述第1项至第4项情形的，磋商小组将通过苏采云系统要求相关供应商在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4CABC259">
      <w:pPr>
        <w:keepNext w:val="0"/>
        <w:keepLines w:val="0"/>
        <w:pageBreakBefore w:val="0"/>
        <w:widowControl w:val="0"/>
        <w:spacing w:line="500" w:lineRule="exact"/>
        <w:ind w:firstLine="482"/>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由磋商小组依据专业经验，参考同类项目中标（成交）价格、类似产品市场价格水平、行业人工费用标准、国家有关部门指导行业协会发布的行业平均成本等情况，对报价合理性进行判断。</w:t>
      </w:r>
    </w:p>
    <w:p w14:paraId="00C83A8F">
      <w:pPr>
        <w:keepNext w:val="0"/>
        <w:keepLines w:val="0"/>
        <w:pageBreakBefore w:val="0"/>
        <w:widowControl w:val="0"/>
        <w:spacing w:line="500" w:lineRule="exact"/>
        <w:ind w:firstLine="482"/>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p>
    <w:p w14:paraId="388483ED">
      <w:pPr>
        <w:spacing w:line="560" w:lineRule="exact"/>
        <w:ind w:firstLine="482"/>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（五）政府采购政策功能落实</w:t>
      </w:r>
    </w:p>
    <w:p w14:paraId="2E321A07">
      <w:pPr>
        <w:keepNext w:val="0"/>
        <w:keepLines w:val="0"/>
        <w:pageBreakBefore w:val="0"/>
        <w:widowControl w:val="0"/>
        <w:spacing w:line="500" w:lineRule="exact"/>
        <w:ind w:firstLine="482"/>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本项目为</w:t>
      </w:r>
      <w:r>
        <w:rPr>
          <w:rFonts w:hint="eastAsia" w:ascii="宋体" w:hAnsi="宋体"/>
          <w:b/>
          <w:color w:val="000000" w:themeColor="text1"/>
          <w:sz w:val="24"/>
          <w:szCs w:val="24"/>
          <w:highlight w:val="none"/>
          <w:lang w:val="en-US" w:eastAsia="zh-CN"/>
          <w14:textFill>
            <w14:solidFill>
              <w14:schemeClr w14:val="tx1"/>
            </w14:solidFill>
          </w14:textFill>
        </w:rPr>
        <w:t>非</w:t>
      </w:r>
      <w:r>
        <w:rPr>
          <w:rFonts w:hint="eastAsia" w:ascii="宋体" w:hAnsi="宋体"/>
          <w:b/>
          <w:color w:val="000000" w:themeColor="text1"/>
          <w:sz w:val="24"/>
          <w:szCs w:val="24"/>
          <w:highlight w:val="none"/>
          <w14:textFill>
            <w14:solidFill>
              <w14:schemeClr w14:val="tx1"/>
            </w14:solidFill>
          </w14:textFill>
        </w:rPr>
        <w:t>专门面向中小微企业采购项目。</w:t>
      </w:r>
    </w:p>
    <w:p w14:paraId="6DF37A44">
      <w:pPr>
        <w:keepNext w:val="0"/>
        <w:keepLines w:val="0"/>
        <w:pageBreakBefore w:val="0"/>
        <w:widowControl w:val="0"/>
        <w:spacing w:line="500" w:lineRule="exact"/>
        <w:ind w:firstLine="480"/>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1、小微型企业价格扣除</w:t>
      </w:r>
    </w:p>
    <w:p w14:paraId="3093381B">
      <w:pPr>
        <w:keepNext w:val="0"/>
        <w:keepLines w:val="0"/>
        <w:pageBreakBefore w:val="0"/>
        <w:widowControl w:val="0"/>
        <w:spacing w:line="500" w:lineRule="exact"/>
        <w:ind w:firstLine="480"/>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（1）本项目对小型和微型企业产品给予</w:t>
      </w:r>
      <w:r>
        <w:rPr>
          <w:rFonts w:hint="eastAsia" w:ascii="宋体" w:hAnsi="宋体"/>
          <w:color w:val="000000" w:themeColor="text1"/>
          <w:sz w:val="24"/>
          <w:szCs w:val="24"/>
          <w:highlight w:val="none"/>
          <w:u w:val="single"/>
          <w14:textFill>
            <w14:solidFill>
              <w14:schemeClr w14:val="tx1"/>
            </w14:solidFill>
          </w14:textFill>
        </w:rPr>
        <w:t>20%</w:t>
      </w:r>
      <w:r>
        <w:rPr>
          <w:rFonts w:hint="eastAsia" w:ascii="宋体" w:hAnsi="宋体"/>
          <w:color w:val="000000" w:themeColor="text1"/>
          <w:sz w:val="24"/>
          <w:szCs w:val="24"/>
          <w:highlight w:val="none"/>
          <w14:textFill>
            <w14:solidFill>
              <w14:schemeClr w14:val="tx1"/>
            </w14:solidFill>
          </w14:textFill>
        </w:rPr>
        <w:t>的扣除价格，用扣除后的价格参与评审。</w:t>
      </w:r>
    </w:p>
    <w:p w14:paraId="711DB730">
      <w:pPr>
        <w:keepNext w:val="0"/>
        <w:keepLines w:val="0"/>
        <w:pageBreakBefore w:val="0"/>
        <w:widowControl w:val="0"/>
        <w:spacing w:line="500" w:lineRule="exact"/>
        <w:ind w:firstLine="480"/>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（2）供应商需按照采购文件的要求提供相应的《中小企业声明函》。</w:t>
      </w:r>
    </w:p>
    <w:p w14:paraId="6BAF6E4D">
      <w:pPr>
        <w:keepNext w:val="0"/>
        <w:keepLines w:val="0"/>
        <w:pageBreakBefore w:val="0"/>
        <w:widowControl w:val="0"/>
        <w:spacing w:line="500" w:lineRule="exact"/>
        <w:ind w:firstLine="480"/>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（3）企业标准请参照《关于印发中小企业划型标准规定的通知》（工信部联企业[2011]300号）文件规定自行填写。</w:t>
      </w:r>
    </w:p>
    <w:p w14:paraId="5F022D03">
      <w:pPr>
        <w:keepNext w:val="0"/>
        <w:keepLines w:val="0"/>
        <w:pageBreakBefore w:val="0"/>
        <w:widowControl w:val="0"/>
        <w:spacing w:line="500" w:lineRule="exact"/>
        <w:ind w:firstLine="480"/>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2、残疾人福利单位价格扣除</w:t>
      </w:r>
    </w:p>
    <w:p w14:paraId="0C46B46D">
      <w:pPr>
        <w:keepNext w:val="0"/>
        <w:keepLines w:val="0"/>
        <w:pageBreakBefore w:val="0"/>
        <w:widowControl w:val="0"/>
        <w:spacing w:line="500" w:lineRule="exact"/>
        <w:ind w:left="120" w:firstLine="480"/>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（1）本项目对残疾人福利性单位视同小型、微型企业，给予</w:t>
      </w:r>
      <w:r>
        <w:rPr>
          <w:rFonts w:hint="eastAsia" w:ascii="宋体" w:hAnsi="宋体"/>
          <w:color w:val="000000" w:themeColor="text1"/>
          <w:sz w:val="24"/>
          <w:szCs w:val="24"/>
          <w:highlight w:val="none"/>
          <w:u w:val="single"/>
          <w14:textFill>
            <w14:solidFill>
              <w14:schemeClr w14:val="tx1"/>
            </w14:solidFill>
          </w14:textFill>
        </w:rPr>
        <w:t>20%</w:t>
      </w:r>
      <w:r>
        <w:rPr>
          <w:rFonts w:hint="eastAsia" w:ascii="宋体" w:hAnsi="宋体"/>
          <w:color w:val="000000" w:themeColor="text1"/>
          <w:sz w:val="24"/>
          <w:szCs w:val="24"/>
          <w:highlight w:val="none"/>
          <w14:textFill>
            <w14:solidFill>
              <w14:schemeClr w14:val="tx1"/>
            </w14:solidFill>
          </w14:textFill>
        </w:rPr>
        <w:t>的价格扣除，用扣除后的价格参与评审。</w:t>
      </w:r>
    </w:p>
    <w:p w14:paraId="28149E22">
      <w:pPr>
        <w:keepNext w:val="0"/>
        <w:keepLines w:val="0"/>
        <w:pageBreakBefore w:val="0"/>
        <w:widowControl w:val="0"/>
        <w:spacing w:line="500" w:lineRule="exact"/>
        <w:ind w:left="120" w:firstLine="480"/>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（2）残疾人福利单位需按照采购文件的要求提供《残疾人福利性单位声明函》。</w:t>
      </w:r>
    </w:p>
    <w:p w14:paraId="69E9A7DB">
      <w:pPr>
        <w:keepNext w:val="0"/>
        <w:keepLines w:val="0"/>
        <w:pageBreakBefore w:val="0"/>
        <w:widowControl w:val="0"/>
        <w:spacing w:line="500" w:lineRule="exact"/>
        <w:ind w:left="120" w:firstLine="480"/>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（3）残疾人福利单位标准请参照《关于促进残疾人就业政府采购政策的通知》（财库〔2017〕141号）。</w:t>
      </w:r>
    </w:p>
    <w:p w14:paraId="4BF1EF87">
      <w:pPr>
        <w:keepNext w:val="0"/>
        <w:keepLines w:val="0"/>
        <w:pageBreakBefore w:val="0"/>
        <w:widowControl w:val="0"/>
        <w:spacing w:line="500" w:lineRule="exact"/>
        <w:ind w:firstLine="480"/>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3、监狱和戒毒企业价格扣除</w:t>
      </w:r>
    </w:p>
    <w:p w14:paraId="1609BF12">
      <w:pPr>
        <w:keepNext w:val="0"/>
        <w:keepLines w:val="0"/>
        <w:pageBreakBefore w:val="0"/>
        <w:widowControl w:val="0"/>
        <w:spacing w:line="500" w:lineRule="exact"/>
        <w:ind w:firstLine="480"/>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（1）本项目对监狱和戒毒企业（简称监狱企业）视同小型、微型企业，给予</w:t>
      </w:r>
      <w:r>
        <w:rPr>
          <w:rFonts w:hint="eastAsia" w:ascii="宋体" w:hAnsi="宋体"/>
          <w:color w:val="000000" w:themeColor="text1"/>
          <w:sz w:val="24"/>
          <w:szCs w:val="24"/>
          <w:highlight w:val="none"/>
          <w:u w:val="single"/>
          <w14:textFill>
            <w14:solidFill>
              <w14:schemeClr w14:val="tx1"/>
            </w14:solidFill>
          </w14:textFill>
        </w:rPr>
        <w:t>20%</w:t>
      </w:r>
      <w:r>
        <w:rPr>
          <w:rFonts w:hint="eastAsia" w:ascii="宋体" w:hAnsi="宋体"/>
          <w:color w:val="000000" w:themeColor="text1"/>
          <w:sz w:val="24"/>
          <w:szCs w:val="24"/>
          <w:highlight w:val="none"/>
          <w14:textFill>
            <w14:solidFill>
              <w14:schemeClr w14:val="tx1"/>
            </w14:solidFill>
          </w14:textFill>
        </w:rPr>
        <w:t>的价格扣除，用扣除后的价格参与评审。</w:t>
      </w:r>
    </w:p>
    <w:p w14:paraId="0649D347">
      <w:pPr>
        <w:keepNext w:val="0"/>
        <w:keepLines w:val="0"/>
        <w:pageBreakBefore w:val="0"/>
        <w:widowControl w:val="0"/>
        <w:spacing w:line="500" w:lineRule="exact"/>
        <w:ind w:firstLine="480"/>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0AB52310">
      <w:pPr>
        <w:keepNext w:val="0"/>
        <w:keepLines w:val="0"/>
        <w:pageBreakBefore w:val="0"/>
        <w:widowControl w:val="0"/>
        <w:spacing w:line="500" w:lineRule="exact"/>
        <w:ind w:firstLine="480"/>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（3）监狱企业标准请参照《关于政府采购支持监狱企业发展有关问题的通知》（</w:t>
      </w:r>
      <w:r>
        <w:rPr>
          <w:rFonts w:ascii="宋体" w:hAnsi="宋体"/>
          <w:color w:val="000000" w:themeColor="text1"/>
          <w:sz w:val="24"/>
          <w:szCs w:val="24"/>
          <w:highlight w:val="none"/>
          <w14:textFill>
            <w14:solidFill>
              <w14:schemeClr w14:val="tx1"/>
            </w14:solidFill>
          </w14:textFill>
        </w:rPr>
        <w:t>财库</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2014</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68号</w:t>
      </w:r>
      <w:r>
        <w:rPr>
          <w:rFonts w:hint="eastAsia" w:ascii="宋体" w:hAnsi="宋体"/>
          <w:color w:val="000000" w:themeColor="text1"/>
          <w:sz w:val="24"/>
          <w:szCs w:val="24"/>
          <w:highlight w:val="none"/>
          <w14:textFill>
            <w14:solidFill>
              <w14:schemeClr w14:val="tx1"/>
            </w14:solidFill>
          </w14:textFill>
        </w:rPr>
        <w:t>）。</w:t>
      </w:r>
    </w:p>
    <w:p w14:paraId="16163624">
      <w:pPr>
        <w:keepNext w:val="0"/>
        <w:keepLines w:val="0"/>
        <w:pageBreakBefore w:val="0"/>
        <w:widowControl w:val="0"/>
        <w:spacing w:line="500" w:lineRule="exact"/>
        <w:ind w:firstLine="480"/>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4、残疾人福利单位、监狱企业属于小型、微型企业的，不重复享受政策。</w:t>
      </w:r>
    </w:p>
    <w:p w14:paraId="1EF0DE9C">
      <w:pPr>
        <w:keepNext w:val="0"/>
        <w:keepLines w:val="0"/>
        <w:pageBreakBefore w:val="0"/>
        <w:widowControl w:val="0"/>
        <w:spacing w:line="500" w:lineRule="exact"/>
        <w:ind w:firstLine="480"/>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themeColor="text1"/>
          <w:sz w:val="24"/>
          <w:szCs w:val="24"/>
          <w:highlight w:val="none"/>
          <w:u w:val="single"/>
          <w14:textFill>
            <w14:solidFill>
              <w14:schemeClr w14:val="tx1"/>
            </w14:solidFill>
          </w14:textFill>
        </w:rPr>
        <w:t>6%</w:t>
      </w:r>
      <w:r>
        <w:rPr>
          <w:rFonts w:hint="eastAsia" w:ascii="宋体" w:hAnsi="宋体"/>
          <w:color w:val="000000" w:themeColor="text1"/>
          <w:sz w:val="24"/>
          <w:szCs w:val="24"/>
          <w:highlight w:val="none"/>
          <w14:textFill>
            <w14:solidFill>
              <w14:schemeClr w14:val="tx1"/>
            </w14:solidFill>
          </w14:textFill>
        </w:rPr>
        <w:t>的价格扣除，用扣除后的价格参与评审。</w:t>
      </w:r>
    </w:p>
    <w:p w14:paraId="2BE7BDE1">
      <w:pPr>
        <w:keepNext w:val="0"/>
        <w:keepLines w:val="0"/>
        <w:pageBreakBefore w:val="0"/>
        <w:widowControl w:val="0"/>
        <w:spacing w:line="500" w:lineRule="exact"/>
        <w:ind w:firstLine="480"/>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6、联合体各方均为小型、微型企业（残疾人福利单位、监狱企业）的，联合体享受</w:t>
      </w:r>
      <w:r>
        <w:rPr>
          <w:rFonts w:hint="eastAsia" w:ascii="宋体" w:hAnsi="宋体"/>
          <w:color w:val="000000" w:themeColor="text1"/>
          <w:sz w:val="24"/>
          <w:szCs w:val="24"/>
          <w:highlight w:val="none"/>
          <w:u w:val="single"/>
          <w14:textFill>
            <w14:solidFill>
              <w14:schemeClr w14:val="tx1"/>
            </w14:solidFill>
          </w14:textFill>
        </w:rPr>
        <w:t>20%</w:t>
      </w:r>
      <w:r>
        <w:rPr>
          <w:rFonts w:hint="eastAsia" w:ascii="宋体" w:hAnsi="宋体"/>
          <w:color w:val="000000" w:themeColor="text1"/>
          <w:sz w:val="24"/>
          <w:szCs w:val="24"/>
          <w:highlight w:val="none"/>
          <w14:textFill>
            <w14:solidFill>
              <w14:schemeClr w14:val="tx1"/>
            </w14:solidFill>
          </w14:textFill>
        </w:rPr>
        <w:t>价格扣除，用扣除后的价格参与评审。</w:t>
      </w:r>
    </w:p>
    <w:p w14:paraId="4B8EC02E">
      <w:pPr>
        <w:keepNext w:val="0"/>
        <w:keepLines w:val="0"/>
        <w:pageBreakBefore w:val="0"/>
        <w:widowControl w:val="0"/>
        <w:spacing w:line="500" w:lineRule="exact"/>
        <w:ind w:firstLine="480"/>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7、专门面向中小企业采购的项目或者采购包，不再执行价格评审优惠的扶持政策。</w:t>
      </w:r>
    </w:p>
    <w:p w14:paraId="51C19B30">
      <w:pPr>
        <w:rPr>
          <w:rFonts w:hint="eastAsia" w:ascii="黑体" w:eastAsia="黑体"/>
          <w:bCs/>
          <w:color w:val="000000" w:themeColor="text1"/>
          <w:sz w:val="44"/>
          <w:szCs w:val="28"/>
          <w:highlight w:val="none"/>
          <w14:textFill>
            <w14:solidFill>
              <w14:schemeClr w14:val="tx1"/>
            </w14:solidFill>
          </w14:textFill>
        </w:rPr>
      </w:pPr>
      <w:r>
        <w:rPr>
          <w:rFonts w:hint="eastAsia" w:ascii="黑体" w:eastAsia="黑体"/>
          <w:bCs/>
          <w:color w:val="000000" w:themeColor="text1"/>
          <w:sz w:val="44"/>
          <w:szCs w:val="28"/>
          <w:highlight w:val="none"/>
          <w14:textFill>
            <w14:solidFill>
              <w14:schemeClr w14:val="tx1"/>
            </w14:solidFill>
          </w14:textFill>
        </w:rPr>
        <w:br w:type="page" w:clear="all"/>
      </w:r>
    </w:p>
    <w:p w14:paraId="6D0D242D">
      <w:pPr>
        <w:keepNext/>
        <w:jc w:val="center"/>
        <w:outlineLvl w:val="0"/>
        <w:rPr>
          <w:rFonts w:ascii="黑体" w:eastAsia="黑体"/>
          <w:bCs/>
          <w:color w:val="000000" w:themeColor="text1"/>
          <w:sz w:val="44"/>
          <w:szCs w:val="28"/>
          <w:highlight w:val="none"/>
          <w14:textFill>
            <w14:solidFill>
              <w14:schemeClr w14:val="tx1"/>
            </w14:solidFill>
          </w14:textFill>
        </w:rPr>
      </w:pPr>
      <w:r>
        <w:rPr>
          <w:rFonts w:hint="eastAsia" w:ascii="黑体" w:eastAsia="黑体"/>
          <w:bCs/>
          <w:color w:val="000000" w:themeColor="text1"/>
          <w:sz w:val="44"/>
          <w:szCs w:val="28"/>
          <w:highlight w:val="none"/>
          <w14:textFill>
            <w14:solidFill>
              <w14:schemeClr w14:val="tx1"/>
            </w14:solidFill>
          </w14:textFill>
        </w:rPr>
        <w:t>第</w:t>
      </w:r>
      <w:r>
        <w:rPr>
          <w:rFonts w:hint="eastAsia" w:ascii="黑体" w:eastAsia="黑体"/>
          <w:bCs/>
          <w:color w:val="000000" w:themeColor="text1"/>
          <w:sz w:val="44"/>
          <w:szCs w:val="28"/>
          <w:highlight w:val="none"/>
          <w:lang w:val="en-US" w:eastAsia="zh-CN"/>
          <w14:textFill>
            <w14:solidFill>
              <w14:schemeClr w14:val="tx1"/>
            </w14:solidFill>
          </w14:textFill>
        </w:rPr>
        <w:t>五</w:t>
      </w:r>
      <w:r>
        <w:rPr>
          <w:rFonts w:hint="eastAsia" w:ascii="黑体" w:eastAsia="黑体"/>
          <w:bCs/>
          <w:color w:val="000000" w:themeColor="text1"/>
          <w:sz w:val="44"/>
          <w:szCs w:val="28"/>
          <w:highlight w:val="none"/>
          <w14:textFill>
            <w14:solidFill>
              <w14:schemeClr w14:val="tx1"/>
            </w14:solidFill>
          </w14:textFill>
        </w:rPr>
        <w:t xml:space="preserve">章  响应文件格式 </w:t>
      </w:r>
    </w:p>
    <w:p w14:paraId="34DC23BB">
      <w:pPr>
        <w:jc w:val="center"/>
        <w:rPr>
          <w:rFonts w:ascii="宋体" w:hAnsi="宋体"/>
          <w:b/>
          <w:color w:val="000000" w:themeColor="text1"/>
          <w:sz w:val="72"/>
          <w:szCs w:val="21"/>
          <w:highlight w:val="none"/>
          <w14:textFill>
            <w14:solidFill>
              <w14:schemeClr w14:val="tx1"/>
            </w14:solidFill>
          </w14:textFill>
        </w:rPr>
      </w:pPr>
    </w:p>
    <w:p w14:paraId="13A504FF">
      <w:pPr>
        <w:jc w:val="center"/>
        <w:rPr>
          <w:rFonts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响  应  文  件</w:t>
      </w:r>
    </w:p>
    <w:p w14:paraId="24BE0F42">
      <w:pPr>
        <w:jc w:val="center"/>
        <w:rPr>
          <w:rFonts w:ascii="宋体" w:hAnsi="宋体"/>
          <w:b/>
          <w:color w:val="000000" w:themeColor="text1"/>
          <w:sz w:val="72"/>
          <w:szCs w:val="21"/>
          <w:highlight w:val="none"/>
          <w14:textFill>
            <w14:solidFill>
              <w14:schemeClr w14:val="tx1"/>
            </w14:solidFill>
          </w14:textFill>
        </w:rPr>
      </w:pPr>
    </w:p>
    <w:p w14:paraId="00A3E1BA">
      <w:pPr>
        <w:jc w:val="center"/>
        <w:rPr>
          <w:rFonts w:ascii="宋体" w:hAnsi="宋体"/>
          <w:b/>
          <w:color w:val="000000" w:themeColor="text1"/>
          <w:sz w:val="72"/>
          <w:szCs w:val="21"/>
          <w:highlight w:val="none"/>
          <w14:textFill>
            <w14:solidFill>
              <w14:schemeClr w14:val="tx1"/>
            </w14:solidFill>
          </w14:textFill>
        </w:rPr>
      </w:pPr>
    </w:p>
    <w:p w14:paraId="52493AB1">
      <w:pPr>
        <w:jc w:val="center"/>
        <w:rPr>
          <w:rFonts w:ascii="宋体" w:hAnsi="宋体"/>
          <w:b/>
          <w:color w:val="000000" w:themeColor="text1"/>
          <w:sz w:val="36"/>
          <w:szCs w:val="21"/>
          <w:highlight w:val="none"/>
          <w14:textFill>
            <w14:solidFill>
              <w14:schemeClr w14:val="tx1"/>
            </w14:solidFill>
          </w14:textFill>
        </w:rPr>
      </w:pPr>
    </w:p>
    <w:p w14:paraId="0DE5ED6B">
      <w:pPr>
        <w:jc w:val="center"/>
        <w:rPr>
          <w:rFonts w:ascii="宋体" w:hAnsi="宋体"/>
          <w:b/>
          <w:color w:val="000000" w:themeColor="text1"/>
          <w:sz w:val="36"/>
          <w:szCs w:val="21"/>
          <w:highlight w:val="none"/>
          <w14:textFill>
            <w14:solidFill>
              <w14:schemeClr w14:val="tx1"/>
            </w14:solidFill>
          </w14:textFill>
        </w:rPr>
      </w:pPr>
    </w:p>
    <w:p w14:paraId="6EB91B51">
      <w:pPr>
        <w:jc w:val="center"/>
        <w:rPr>
          <w:rFonts w:ascii="宋体" w:hAnsi="宋体"/>
          <w:b/>
          <w:color w:val="000000" w:themeColor="text1"/>
          <w:sz w:val="36"/>
          <w:szCs w:val="21"/>
          <w:highlight w:val="none"/>
          <w14:textFill>
            <w14:solidFill>
              <w14:schemeClr w14:val="tx1"/>
            </w14:solidFill>
          </w14:textFill>
        </w:rPr>
      </w:pPr>
    </w:p>
    <w:p w14:paraId="0CF2F23C">
      <w:pPr>
        <w:ind w:firstLine="1084"/>
        <w:rPr>
          <w:rFonts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项 目 名 称：</w:t>
      </w:r>
    </w:p>
    <w:p w14:paraId="5B94E317">
      <w:pPr>
        <w:ind w:firstLine="1084"/>
        <w:rPr>
          <w:rFonts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项 目 编 号：</w:t>
      </w:r>
    </w:p>
    <w:p w14:paraId="54E402CB">
      <w:pPr>
        <w:rPr>
          <w:rFonts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供应商名称 ：</w:t>
      </w:r>
      <w:r>
        <w:rPr>
          <w:rFonts w:hint="eastAsia" w:ascii="宋体" w:hAnsi="宋体"/>
          <w:b/>
          <w:color w:val="000000" w:themeColor="text1"/>
          <w:sz w:val="36"/>
          <w:szCs w:val="21"/>
          <w:highlight w:val="none"/>
          <w:u w:val="single"/>
          <w14:textFill>
            <w14:solidFill>
              <w14:schemeClr w14:val="tx1"/>
            </w14:solidFill>
          </w14:textFill>
        </w:rPr>
        <w:t>（加盖CA电子公章）</w:t>
      </w:r>
    </w:p>
    <w:p w14:paraId="2E44F367">
      <w:pPr>
        <w:rPr>
          <w:rFonts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p>
    <w:p w14:paraId="67CBA54F">
      <w:pPr>
        <w:spacing w:line="440" w:lineRule="exact"/>
        <w:jc w:val="center"/>
        <w:rPr>
          <w:rFonts w:ascii="宋体" w:hAnsi="宋体"/>
          <w:b/>
          <w:bCs/>
          <w:color w:val="000000" w:themeColor="text1"/>
          <w:sz w:val="32"/>
          <w:szCs w:val="32"/>
          <w:highlight w:val="none"/>
          <w14:textFill>
            <w14:solidFill>
              <w14:schemeClr w14:val="tx1"/>
            </w14:solidFill>
          </w14:textFill>
        </w:rPr>
      </w:pPr>
    </w:p>
    <w:p w14:paraId="52F7E594">
      <w:pPr>
        <w:spacing w:line="440" w:lineRule="exact"/>
        <w:rPr>
          <w:rFonts w:ascii="宋体" w:hAnsi="宋体"/>
          <w:color w:val="000000" w:themeColor="text1"/>
          <w:szCs w:val="21"/>
          <w:highlight w:val="none"/>
          <w14:textFill>
            <w14:solidFill>
              <w14:schemeClr w14:val="tx1"/>
            </w14:solidFill>
          </w14:textFill>
        </w:rPr>
      </w:pPr>
    </w:p>
    <w:p w14:paraId="38D52D60">
      <w:pPr>
        <w:spacing w:line="560" w:lineRule="exact"/>
        <w:jc w:val="center"/>
        <w:rPr>
          <w:rFonts w:ascii="宋体" w:hAnsi="宋体"/>
          <w:b/>
          <w:bCs/>
          <w:color w:val="000000" w:themeColor="text1"/>
          <w:sz w:val="44"/>
          <w:szCs w:val="44"/>
          <w:highlight w:val="none"/>
          <w14:textFill>
            <w14:solidFill>
              <w14:schemeClr w14:val="tx1"/>
            </w14:solidFill>
          </w14:textFill>
        </w:rPr>
      </w:pPr>
      <w:r>
        <w:rPr>
          <w:rFonts w:ascii="宋体" w:hAnsi="宋体"/>
          <w:b/>
          <w:color w:val="000000" w:themeColor="text1"/>
          <w:sz w:val="36"/>
          <w:szCs w:val="21"/>
          <w:highlight w:val="none"/>
          <w:u w:val="single"/>
          <w14:textFill>
            <w14:solidFill>
              <w14:schemeClr w14:val="tx1"/>
            </w14:solidFill>
          </w14:textFill>
        </w:rPr>
        <w:br w:type="page" w:clear="all"/>
      </w:r>
      <w:r>
        <w:rPr>
          <w:rFonts w:hint="eastAsia" w:ascii="宋体" w:hAnsi="宋体"/>
          <w:b/>
          <w:bCs/>
          <w:color w:val="000000" w:themeColor="text1"/>
          <w:sz w:val="44"/>
          <w:szCs w:val="44"/>
          <w:highlight w:val="none"/>
          <w14:textFill>
            <w14:solidFill>
              <w14:schemeClr w14:val="tx1"/>
            </w14:solidFill>
          </w14:textFill>
        </w:rPr>
        <w:t>响应文件目录</w:t>
      </w:r>
    </w:p>
    <w:p w14:paraId="00C156B5">
      <w:pPr>
        <w:spacing w:line="560" w:lineRule="exact"/>
        <w:jc w:val="center"/>
        <w:rPr>
          <w:rFonts w:ascii="宋体" w:hAnsi="宋体"/>
          <w:b/>
          <w:bCs/>
          <w:color w:val="000000" w:themeColor="text1"/>
          <w:sz w:val="32"/>
          <w:szCs w:val="32"/>
          <w:highlight w:val="none"/>
          <w14:textFill>
            <w14:solidFill>
              <w14:schemeClr w14:val="tx1"/>
            </w14:solidFill>
          </w14:textFill>
        </w:rPr>
      </w:pPr>
    </w:p>
    <w:p w14:paraId="36C2FF93">
      <w:pPr>
        <w:spacing w:line="720" w:lineRule="exact"/>
        <w:ind w:left="482"/>
        <w:rPr>
          <w:rFonts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一、资格审查证明材料</w:t>
      </w:r>
    </w:p>
    <w:p w14:paraId="4BA16791">
      <w:pPr>
        <w:spacing w:line="720" w:lineRule="exact"/>
        <w:ind w:left="482"/>
        <w:rPr>
          <w:rFonts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二、商务、技术标</w:t>
      </w:r>
    </w:p>
    <w:p w14:paraId="6E57FD77">
      <w:pPr>
        <w:spacing w:line="720" w:lineRule="exact"/>
        <w:ind w:left="482"/>
        <w:rPr>
          <w:rFonts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三、价格标</w:t>
      </w:r>
    </w:p>
    <w:p w14:paraId="676C1E9E">
      <w:pPr>
        <w:spacing w:line="720" w:lineRule="exact"/>
        <w:ind w:left="482"/>
        <w:rPr>
          <w:rFonts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四、其他资料（如有）</w:t>
      </w:r>
    </w:p>
    <w:p w14:paraId="6444E163">
      <w:pPr>
        <w:spacing w:line="560" w:lineRule="exact"/>
        <w:ind w:firstLine="640"/>
        <w:rPr>
          <w:rFonts w:hint="eastAsia" w:ascii="黑体" w:hAnsi="黑体" w:eastAsia="黑体"/>
          <w:color w:val="000000" w:themeColor="text1"/>
          <w:sz w:val="32"/>
          <w:szCs w:val="32"/>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br w:type="page" w:clear="all"/>
      </w:r>
      <w:r>
        <w:rPr>
          <w:rFonts w:hint="eastAsia" w:ascii="黑体" w:hAnsi="黑体" w:eastAsia="黑体"/>
          <w:color w:val="000000" w:themeColor="text1"/>
          <w:sz w:val="32"/>
          <w:szCs w:val="32"/>
          <w:highlight w:val="none"/>
          <w14:textFill>
            <w14:solidFill>
              <w14:schemeClr w14:val="tx1"/>
            </w14:solidFill>
          </w14:textFill>
        </w:rPr>
        <w:t>一、资格审查证明材料</w:t>
      </w:r>
    </w:p>
    <w:p w14:paraId="77173AB5">
      <w:pPr>
        <w:spacing w:line="560" w:lineRule="exact"/>
        <w:ind w:firstLine="480"/>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1.供应商符合《政府采购法》第二十二条规定条件的承诺函（格式见附件1）</w:t>
      </w:r>
      <w:r>
        <w:rPr>
          <w:rFonts w:hint="eastAsia" w:ascii="宋体" w:hAnsi="宋体"/>
          <w:color w:val="000000" w:themeColor="text1"/>
          <w:sz w:val="24"/>
          <w:szCs w:val="24"/>
          <w:highlight w:val="none"/>
          <w:lang w:eastAsia="zh-CN"/>
          <w14:textFill>
            <w14:solidFill>
              <w14:schemeClr w14:val="tx1"/>
            </w14:solidFill>
          </w14:textFill>
        </w:rPr>
        <w:t>；</w:t>
      </w:r>
    </w:p>
    <w:p w14:paraId="6331FF01">
      <w:pPr>
        <w:spacing w:line="56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2.法定代表人身份证明书（格式见附件2）；</w:t>
      </w:r>
    </w:p>
    <w:p w14:paraId="694688DF">
      <w:pPr>
        <w:spacing w:line="5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lang w:val="en-US"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法人授权书（格式见附件</w:t>
      </w:r>
      <w:r>
        <w:rPr>
          <w:rFonts w:hint="eastAsia" w:ascii="宋体" w:hAnsi="宋体"/>
          <w:color w:val="000000" w:themeColor="text1"/>
          <w:sz w:val="24"/>
          <w:szCs w:val="24"/>
          <w:highlight w:val="none"/>
          <w:lang w:val="en-US" w:eastAsia="zh-CN"/>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w:t>
      </w:r>
    </w:p>
    <w:p w14:paraId="2CA42BC1">
      <w:pPr>
        <w:spacing w:line="5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4</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eastAsia="zh-CN"/>
          <w14:textFill>
            <w14:solidFill>
              <w14:schemeClr w14:val="tx1"/>
            </w14:solidFill>
          </w14:textFill>
        </w:rPr>
        <w:t>磋商</w:t>
      </w:r>
      <w:r>
        <w:rPr>
          <w:rFonts w:hint="eastAsia" w:ascii="宋体" w:hAnsi="宋体"/>
          <w:color w:val="000000" w:themeColor="text1"/>
          <w:sz w:val="24"/>
          <w:szCs w:val="24"/>
          <w:highlight w:val="none"/>
          <w14:textFill>
            <w14:solidFill>
              <w14:schemeClr w14:val="tx1"/>
            </w14:solidFill>
          </w14:textFill>
        </w:rPr>
        <w:t>响应函（格式见附件</w:t>
      </w:r>
      <w:r>
        <w:rPr>
          <w:rFonts w:hint="eastAsia" w:ascii="宋体" w:hAnsi="宋体"/>
          <w:color w:val="000000" w:themeColor="text1"/>
          <w:sz w:val="24"/>
          <w:szCs w:val="24"/>
          <w:highlight w:val="none"/>
          <w:lang w:val="en-US" w:eastAsia="zh-CN"/>
          <w14:textFill>
            <w14:solidFill>
              <w14:schemeClr w14:val="tx1"/>
            </w14:solidFill>
          </w14:textFill>
        </w:rPr>
        <w:t>4</w:t>
      </w:r>
      <w:r>
        <w:rPr>
          <w:rFonts w:hint="eastAsia" w:ascii="宋体" w:hAnsi="宋体"/>
          <w:color w:val="000000" w:themeColor="text1"/>
          <w:sz w:val="24"/>
          <w:szCs w:val="24"/>
          <w:highlight w:val="none"/>
          <w14:textFill>
            <w14:solidFill>
              <w14:schemeClr w14:val="tx1"/>
            </w14:solidFill>
          </w14:textFill>
        </w:rPr>
        <w:t>）</w:t>
      </w:r>
    </w:p>
    <w:p w14:paraId="7C389313">
      <w:pPr>
        <w:spacing w:line="5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5</w:t>
      </w:r>
      <w:r>
        <w:rPr>
          <w:rFonts w:hint="eastAsia" w:ascii="宋体" w:hAnsi="宋体"/>
          <w:color w:val="000000" w:themeColor="text1"/>
          <w:sz w:val="24"/>
          <w:szCs w:val="24"/>
          <w:highlight w:val="none"/>
          <w14:textFill>
            <w14:solidFill>
              <w14:schemeClr w14:val="tx1"/>
            </w14:solidFill>
          </w14:textFill>
        </w:rPr>
        <w:t>.采购公告中“二、申请人的资格要求”提供相应的佐证材料；</w:t>
      </w:r>
    </w:p>
    <w:p w14:paraId="2BDBF2FF">
      <w:pPr>
        <w:spacing w:line="5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6</w:t>
      </w:r>
      <w:r>
        <w:rPr>
          <w:rFonts w:hint="eastAsia" w:ascii="宋体" w:hAnsi="宋体"/>
          <w:color w:val="000000" w:themeColor="text1"/>
          <w:sz w:val="24"/>
          <w:szCs w:val="24"/>
          <w:highlight w:val="none"/>
          <w14:textFill>
            <w14:solidFill>
              <w14:schemeClr w14:val="tx1"/>
            </w14:solidFill>
          </w14:textFill>
        </w:rPr>
        <w:t>.其它需要提交的资格审查证明材料。</w:t>
      </w:r>
    </w:p>
    <w:p w14:paraId="21D14805">
      <w:pPr>
        <w:spacing w:line="560" w:lineRule="exact"/>
        <w:ind w:firstLine="640"/>
        <w:rPr>
          <w:rFonts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二、商务、技术标</w:t>
      </w:r>
    </w:p>
    <w:p w14:paraId="0C188928">
      <w:pPr>
        <w:spacing w:line="5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1.商务部分正负偏离表；（格式见附件</w:t>
      </w:r>
      <w:r>
        <w:rPr>
          <w:rFonts w:hint="eastAsia" w:ascii="宋体" w:hAnsi="宋体"/>
          <w:color w:val="000000" w:themeColor="text1"/>
          <w:sz w:val="24"/>
          <w:szCs w:val="24"/>
          <w:highlight w:val="none"/>
          <w:lang w:val="en-US" w:eastAsia="zh-CN"/>
          <w14:textFill>
            <w14:solidFill>
              <w14:schemeClr w14:val="tx1"/>
            </w14:solidFill>
          </w14:textFill>
        </w:rPr>
        <w:t>5</w:t>
      </w:r>
      <w:r>
        <w:rPr>
          <w:rFonts w:hint="eastAsia" w:ascii="宋体" w:hAnsi="宋体"/>
          <w:color w:val="000000" w:themeColor="text1"/>
          <w:sz w:val="24"/>
          <w:szCs w:val="24"/>
          <w:highlight w:val="none"/>
          <w14:textFill>
            <w14:solidFill>
              <w14:schemeClr w14:val="tx1"/>
            </w14:solidFill>
          </w14:textFill>
        </w:rPr>
        <w:t>）</w:t>
      </w:r>
    </w:p>
    <w:p w14:paraId="1C752DE0">
      <w:pPr>
        <w:spacing w:line="5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2.技术部分正负偏离表；（格式见附件</w:t>
      </w:r>
      <w:r>
        <w:rPr>
          <w:rFonts w:hint="eastAsia" w:ascii="宋体" w:hAnsi="宋体"/>
          <w:color w:val="000000" w:themeColor="text1"/>
          <w:sz w:val="24"/>
          <w:szCs w:val="24"/>
          <w:highlight w:val="none"/>
          <w:lang w:val="en-US" w:eastAsia="zh-CN"/>
          <w14:textFill>
            <w14:solidFill>
              <w14:schemeClr w14:val="tx1"/>
            </w14:solidFill>
          </w14:textFill>
        </w:rPr>
        <w:t>6</w:t>
      </w:r>
      <w:r>
        <w:rPr>
          <w:rFonts w:hint="eastAsia" w:ascii="宋体" w:hAnsi="宋体"/>
          <w:color w:val="000000" w:themeColor="text1"/>
          <w:sz w:val="24"/>
          <w:szCs w:val="24"/>
          <w:highlight w:val="none"/>
          <w14:textFill>
            <w14:solidFill>
              <w14:schemeClr w14:val="tx1"/>
            </w14:solidFill>
          </w14:textFill>
        </w:rPr>
        <w:t>）</w:t>
      </w:r>
    </w:p>
    <w:p w14:paraId="13ACEAF2">
      <w:pPr>
        <w:spacing w:line="56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3.响应方案、货物（服务）清单。具有项目、数量、品牌、型号、配置性能等；</w:t>
      </w:r>
    </w:p>
    <w:p w14:paraId="0CE92138">
      <w:pPr>
        <w:spacing w:line="56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4.</w:t>
      </w:r>
      <w:r>
        <w:rPr>
          <w:rFonts w:hint="eastAsia" w:ascii="宋体" w:hAnsi="宋体"/>
          <w:color w:val="000000" w:themeColor="text1"/>
          <w:sz w:val="24"/>
          <w:szCs w:val="24"/>
          <w:highlight w:val="none"/>
          <w14:textFill>
            <w14:solidFill>
              <w14:schemeClr w14:val="tx1"/>
            </w14:solidFill>
          </w14:textFill>
        </w:rPr>
        <w:t>商务、技术评分标准中须提供的相关得分佐证材料；</w:t>
      </w:r>
    </w:p>
    <w:p w14:paraId="3FBD1547">
      <w:pPr>
        <w:spacing w:line="56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5</w:t>
      </w:r>
      <w:r>
        <w:rPr>
          <w:rFonts w:hint="eastAsia" w:ascii="宋体" w:hAnsi="宋体"/>
          <w:color w:val="000000" w:themeColor="text1"/>
          <w:sz w:val="24"/>
          <w:szCs w:val="24"/>
          <w:highlight w:val="none"/>
          <w14:textFill>
            <w14:solidFill>
              <w14:schemeClr w14:val="tx1"/>
            </w14:solidFill>
          </w14:textFill>
        </w:rPr>
        <w:t>.供应商认为需要提交的其他商务、技术材料。</w:t>
      </w:r>
    </w:p>
    <w:p w14:paraId="78F25B56">
      <w:pPr>
        <w:spacing w:line="560" w:lineRule="exact"/>
        <w:ind w:firstLine="640"/>
        <w:rPr>
          <w:rFonts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三、价格标</w:t>
      </w:r>
    </w:p>
    <w:p w14:paraId="05D61C41">
      <w:pPr>
        <w:spacing w:line="5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1.报价总表（格式见附件</w:t>
      </w:r>
      <w:r>
        <w:rPr>
          <w:rFonts w:hint="eastAsia" w:ascii="宋体" w:hAnsi="宋体"/>
          <w:color w:val="000000" w:themeColor="text1"/>
          <w:sz w:val="24"/>
          <w:szCs w:val="24"/>
          <w:highlight w:val="none"/>
          <w:lang w:val="en-US" w:eastAsia="zh-CN"/>
          <w14:textFill>
            <w14:solidFill>
              <w14:schemeClr w14:val="tx1"/>
            </w14:solidFill>
          </w14:textFill>
        </w:rPr>
        <w:t>7</w:t>
      </w:r>
      <w:r>
        <w:rPr>
          <w:rFonts w:hint="eastAsia" w:ascii="宋体" w:hAnsi="宋体"/>
          <w:color w:val="000000" w:themeColor="text1"/>
          <w:sz w:val="24"/>
          <w:szCs w:val="24"/>
          <w:highlight w:val="none"/>
          <w14:textFill>
            <w14:solidFill>
              <w14:schemeClr w14:val="tx1"/>
            </w14:solidFill>
          </w14:textFill>
        </w:rPr>
        <w:t>）；</w:t>
      </w:r>
    </w:p>
    <w:p w14:paraId="4EBA5452">
      <w:pPr>
        <w:spacing w:line="5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2.分项报价明细表（格式见附件</w:t>
      </w:r>
      <w:r>
        <w:rPr>
          <w:rFonts w:hint="eastAsia" w:ascii="宋体" w:hAnsi="宋体"/>
          <w:color w:val="000000" w:themeColor="text1"/>
          <w:sz w:val="24"/>
          <w:szCs w:val="24"/>
          <w:highlight w:val="none"/>
          <w:lang w:val="en-US" w:eastAsia="zh-CN"/>
          <w14:textFill>
            <w14:solidFill>
              <w14:schemeClr w14:val="tx1"/>
            </w14:solidFill>
          </w14:textFill>
        </w:rPr>
        <w:t>8</w:t>
      </w:r>
      <w:r>
        <w:rPr>
          <w:rFonts w:hint="eastAsia" w:ascii="宋体" w:hAnsi="宋体"/>
          <w:color w:val="000000" w:themeColor="text1"/>
          <w:sz w:val="24"/>
          <w:szCs w:val="24"/>
          <w:highlight w:val="none"/>
          <w14:textFill>
            <w14:solidFill>
              <w14:schemeClr w14:val="tx1"/>
            </w14:solidFill>
          </w14:textFill>
        </w:rPr>
        <w:t>）。</w:t>
      </w:r>
    </w:p>
    <w:p w14:paraId="5813121D">
      <w:pPr>
        <w:spacing w:line="5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3.中小企业声明函（如有）（格式见附件</w:t>
      </w:r>
      <w:r>
        <w:rPr>
          <w:rFonts w:hint="eastAsia" w:ascii="宋体" w:hAnsi="宋体"/>
          <w:color w:val="000000" w:themeColor="text1"/>
          <w:sz w:val="24"/>
          <w:szCs w:val="24"/>
          <w:highlight w:val="none"/>
          <w:lang w:val="en-US" w:eastAsia="zh-CN"/>
          <w14:textFill>
            <w14:solidFill>
              <w14:schemeClr w14:val="tx1"/>
            </w14:solidFill>
          </w14:textFill>
        </w:rPr>
        <w:t>9</w:t>
      </w:r>
      <w:r>
        <w:rPr>
          <w:rFonts w:hint="eastAsia" w:ascii="宋体" w:hAnsi="宋体"/>
          <w:color w:val="000000" w:themeColor="text1"/>
          <w:sz w:val="24"/>
          <w:szCs w:val="24"/>
          <w:highlight w:val="none"/>
          <w14:textFill>
            <w14:solidFill>
              <w14:schemeClr w14:val="tx1"/>
            </w14:solidFill>
          </w14:textFill>
        </w:rPr>
        <w:t>）</w:t>
      </w:r>
    </w:p>
    <w:p w14:paraId="3A98872B">
      <w:pPr>
        <w:spacing w:line="5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4.残疾人福利性单位声明函（如有）（格式见附件1</w:t>
      </w:r>
      <w:r>
        <w:rPr>
          <w:rFonts w:hint="eastAsia" w:ascii="宋体" w:hAnsi="宋体"/>
          <w:color w:val="000000" w:themeColor="text1"/>
          <w:sz w:val="24"/>
          <w:szCs w:val="24"/>
          <w:highlight w:val="none"/>
          <w:lang w:val="en-US" w:eastAsia="zh-CN"/>
          <w14:textFill>
            <w14:solidFill>
              <w14:schemeClr w14:val="tx1"/>
            </w14:solidFill>
          </w14:textFill>
        </w:rPr>
        <w:t>0</w:t>
      </w:r>
      <w:r>
        <w:rPr>
          <w:rFonts w:hint="eastAsia" w:ascii="宋体" w:hAnsi="宋体"/>
          <w:color w:val="000000" w:themeColor="text1"/>
          <w:sz w:val="24"/>
          <w:szCs w:val="24"/>
          <w:highlight w:val="none"/>
          <w14:textFill>
            <w14:solidFill>
              <w14:schemeClr w14:val="tx1"/>
            </w14:solidFill>
          </w14:textFill>
        </w:rPr>
        <w:t>）</w:t>
      </w:r>
    </w:p>
    <w:p w14:paraId="37B7C036">
      <w:pPr>
        <w:spacing w:line="560" w:lineRule="exact"/>
        <w:ind w:firstLine="480"/>
        <w:rPr>
          <w:rFonts w:ascii="黑体" w:hAnsi="黑体" w:eastAsia="黑体"/>
          <w:color w:val="000000" w:themeColor="text1"/>
          <w:sz w:val="32"/>
          <w:szCs w:val="32"/>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5.监狱和戒毒企业证明材料（如有）（格式见附件</w:t>
      </w:r>
      <w:r>
        <w:rPr>
          <w:rFonts w:hint="eastAsia" w:ascii="宋体" w:hAnsi="宋体"/>
          <w:color w:val="000000" w:themeColor="text1"/>
          <w:sz w:val="24"/>
          <w:szCs w:val="24"/>
          <w:highlight w:val="none"/>
          <w:lang w:val="en-US" w:eastAsia="zh-CN"/>
          <w14:textFill>
            <w14:solidFill>
              <w14:schemeClr w14:val="tx1"/>
            </w14:solidFill>
          </w14:textFill>
        </w:rPr>
        <w:t>11</w:t>
      </w:r>
      <w:r>
        <w:rPr>
          <w:rFonts w:hint="eastAsia" w:ascii="宋体" w:hAnsi="宋体"/>
          <w:color w:val="000000" w:themeColor="text1"/>
          <w:sz w:val="24"/>
          <w:szCs w:val="24"/>
          <w:highlight w:val="none"/>
          <w14:textFill>
            <w14:solidFill>
              <w14:schemeClr w14:val="tx1"/>
            </w14:solidFill>
          </w14:textFill>
        </w:rPr>
        <w:t>）</w:t>
      </w:r>
    </w:p>
    <w:p w14:paraId="0E6CF0A6">
      <w:pPr>
        <w:spacing w:line="440" w:lineRule="exact"/>
        <w:ind w:firstLine="480"/>
        <w:rPr>
          <w:rFonts w:ascii="宋体" w:hAnsi="宋体"/>
          <w:color w:val="000000" w:themeColor="text1"/>
          <w:sz w:val="24"/>
          <w:szCs w:val="21"/>
          <w:highlight w:val="none"/>
          <w14:textFill>
            <w14:solidFill>
              <w14:schemeClr w14:val="tx1"/>
            </w14:solidFill>
          </w14:textFill>
        </w:rPr>
      </w:pPr>
    </w:p>
    <w:p w14:paraId="5ED2604F">
      <w:pPr>
        <w:spacing w:line="300" w:lineRule="auto"/>
        <w:outlineLvl w:val="3"/>
        <w:rPr>
          <w:rFonts w:hint="eastAsia" w:ascii="Times New Roman" w:hAnsi="Times New Roman" w:eastAsia="方正黑体_GBK"/>
          <w:color w:val="000000" w:themeColor="text1"/>
          <w:sz w:val="32"/>
          <w:szCs w:val="32"/>
          <w:highlight w:val="none"/>
          <w:lang w:val="zh-CN"/>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br w:type="page" w:clear="all"/>
      </w:r>
      <w:r>
        <w:rPr>
          <w:rFonts w:hint="eastAsia" w:ascii="Times New Roman" w:hAnsi="Times New Roman" w:eastAsia="方正黑体_GBK"/>
          <w:color w:val="000000" w:themeColor="text1"/>
          <w:sz w:val="32"/>
          <w:szCs w:val="32"/>
          <w:highlight w:val="none"/>
          <w:lang w:val="zh-CN"/>
          <w14:textFill>
            <w14:solidFill>
              <w14:schemeClr w14:val="tx1"/>
            </w14:solidFill>
          </w14:textFill>
        </w:rPr>
        <w:t>附件1</w:t>
      </w:r>
    </w:p>
    <w:p w14:paraId="1610FB0F">
      <w:pPr>
        <w:jc w:val="cente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供应商符合《政府采购法》第二十二条规定条件的声明函</w:t>
      </w:r>
    </w:p>
    <w:p w14:paraId="47923420">
      <w:pPr>
        <w:spacing w:line="460" w:lineRule="exact"/>
        <w:rPr>
          <w:rFonts w:hint="eastAsia"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24"/>
          <w:szCs w:val="21"/>
          <w:highlight w:val="none"/>
          <w14:textFill>
            <w14:solidFill>
              <w14:schemeClr w14:val="tx1"/>
            </w14:solidFill>
          </w14:textFill>
        </w:rPr>
        <w:t xml:space="preserve">                       </w:t>
      </w:r>
      <w:r>
        <w:rPr>
          <w:rFonts w:hint="eastAsia" w:ascii="宋体" w:hAnsi="宋体"/>
          <w:b/>
          <w:bCs/>
          <w:color w:val="000000" w:themeColor="text1"/>
          <w:sz w:val="44"/>
          <w:szCs w:val="44"/>
          <w:highlight w:val="none"/>
          <w14:textFill>
            <w14:solidFill>
              <w14:schemeClr w14:val="tx1"/>
            </w14:solidFill>
          </w14:textFill>
        </w:rPr>
        <w:t xml:space="preserve">   </w:t>
      </w:r>
    </w:p>
    <w:p w14:paraId="20512789">
      <w:pPr>
        <w:spacing w:line="520" w:lineRule="exact"/>
        <w:ind w:firstLine="480"/>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我单位参加</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（项目名称），</w:t>
      </w:r>
      <w:r>
        <w:rPr>
          <w:rFonts w:hint="eastAsia" w:ascii="宋体" w:hAnsi="宋体"/>
          <w:bCs/>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（项目编号）采购活动。针对《中华人民共和国政府采购法》第二十二条规定做出如下声明：</w:t>
      </w:r>
    </w:p>
    <w:p w14:paraId="652B0734">
      <w:pPr>
        <w:spacing w:line="520" w:lineRule="exact"/>
        <w:ind w:firstLine="482"/>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1.我单位具有独立承担民事责任的能力；</w:t>
      </w:r>
    </w:p>
    <w:p w14:paraId="296DBBCA">
      <w:pPr>
        <w:spacing w:line="520" w:lineRule="exact"/>
        <w:ind w:firstLine="482"/>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2.我单位具有良好的商业信誉和健全的财务会计制度；</w:t>
      </w:r>
    </w:p>
    <w:p w14:paraId="530F7B34">
      <w:pPr>
        <w:spacing w:line="520" w:lineRule="exact"/>
        <w:ind w:firstLine="482"/>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3.我单位具有履行合同所必需的设备和专业技术能力；</w:t>
      </w:r>
    </w:p>
    <w:p w14:paraId="7DC1E16B">
      <w:pPr>
        <w:spacing w:line="520" w:lineRule="exact"/>
        <w:ind w:firstLine="482"/>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4.我单位有依法缴纳税收和社会保障资金的良好记录；</w:t>
      </w:r>
    </w:p>
    <w:p w14:paraId="7F632152">
      <w:pPr>
        <w:spacing w:line="520" w:lineRule="exact"/>
        <w:ind w:firstLine="482"/>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7A40F909">
      <w:pPr>
        <w:spacing w:line="520" w:lineRule="exact"/>
        <w:ind w:firstLine="482"/>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6.我单位满足法律、行政法规规定的其他条件。</w:t>
      </w:r>
    </w:p>
    <w:p w14:paraId="642C4097">
      <w:pPr>
        <w:spacing w:line="500" w:lineRule="exact"/>
        <w:ind w:firstLine="482"/>
        <w:rPr>
          <w:rFonts w:hint="eastAsia" w:ascii="宋体" w:hAnsi="宋体"/>
          <w:color w:val="000000" w:themeColor="text1"/>
          <w:sz w:val="24"/>
          <w:szCs w:val="24"/>
          <w:highlight w:val="none"/>
          <w14:textFill>
            <w14:solidFill>
              <w14:schemeClr w14:val="tx1"/>
            </w14:solidFill>
          </w14:textFill>
        </w:rPr>
      </w:pPr>
    </w:p>
    <w:p w14:paraId="0AAA9ED7">
      <w:pPr>
        <w:spacing w:line="500" w:lineRule="exact"/>
        <w:rPr>
          <w:rFonts w:hint="eastAsia" w:ascii="宋体" w:hAnsi="宋体"/>
          <w:color w:val="000000" w:themeColor="text1"/>
          <w:sz w:val="24"/>
          <w:szCs w:val="24"/>
          <w:highlight w:val="none"/>
          <w14:textFill>
            <w14:solidFill>
              <w14:schemeClr w14:val="tx1"/>
            </w14:solidFill>
          </w14:textFill>
        </w:rPr>
      </w:pPr>
    </w:p>
    <w:p w14:paraId="3C28E7C3">
      <w:pPr>
        <w:spacing w:line="500" w:lineRule="exact"/>
        <w:rPr>
          <w:rFonts w:hint="eastAsia" w:ascii="宋体" w:hAnsi="宋体"/>
          <w:bCs/>
          <w:color w:val="000000" w:themeColor="text1"/>
          <w:sz w:val="24"/>
          <w:szCs w:val="21"/>
          <w:highlight w:val="none"/>
          <w14:textFill>
            <w14:solidFill>
              <w14:schemeClr w14:val="tx1"/>
            </w14:solidFill>
          </w14:textFill>
        </w:rPr>
      </w:pPr>
    </w:p>
    <w:p w14:paraId="2004134E">
      <w:pPr>
        <w:spacing w:line="500" w:lineRule="exact"/>
        <w:rPr>
          <w:rFonts w:hint="eastAsia" w:ascii="宋体" w:hAnsi="宋体"/>
          <w:bCs/>
          <w:color w:val="000000" w:themeColor="text1"/>
          <w:sz w:val="24"/>
          <w:szCs w:val="21"/>
          <w:highlight w:val="none"/>
          <w14:textFill>
            <w14:solidFill>
              <w14:schemeClr w14:val="tx1"/>
            </w14:solidFill>
          </w14:textFill>
        </w:rPr>
      </w:pPr>
    </w:p>
    <w:p w14:paraId="5B198F89">
      <w:pPr>
        <w:spacing w:line="500" w:lineRule="exact"/>
        <w:rPr>
          <w:rFonts w:hint="eastAsia" w:ascii="宋体" w:hAnsi="宋体"/>
          <w:bCs/>
          <w:color w:val="000000" w:themeColor="text1"/>
          <w:sz w:val="24"/>
          <w:szCs w:val="21"/>
          <w:highlight w:val="none"/>
          <w14:textFill>
            <w14:solidFill>
              <w14:schemeClr w14:val="tx1"/>
            </w14:solidFill>
          </w14:textFill>
        </w:rPr>
      </w:pPr>
    </w:p>
    <w:p w14:paraId="6F8EA169">
      <w:pPr>
        <w:spacing w:line="460" w:lineRule="exact"/>
        <w:jc w:val="center"/>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承诺人名称（公章）：</w:t>
      </w:r>
    </w:p>
    <w:p w14:paraId="7B82E40C">
      <w:pPr>
        <w:spacing w:line="460" w:lineRule="exact"/>
        <w:jc w:val="righ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w:t>
      </w:r>
    </w:p>
    <w:p w14:paraId="4BB87984">
      <w:pPr>
        <w:spacing w:line="460" w:lineRule="exact"/>
        <w:jc w:val="righ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日期：</w:t>
      </w:r>
      <w:r>
        <w:rPr>
          <w:rFonts w:hint="eastAsia" w:ascii="宋体" w:hAnsi="宋体"/>
          <w:bCs/>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年</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月</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日</w:t>
      </w:r>
    </w:p>
    <w:p w14:paraId="6B6288B5">
      <w:pPr>
        <w:spacing w:line="360" w:lineRule="auto"/>
        <w:jc w:val="both"/>
        <w:rPr>
          <w:rFonts w:ascii="宋体" w:cs="宋体"/>
          <w:color w:val="000000" w:themeColor="text1"/>
          <w:sz w:val="24"/>
          <w:szCs w:val="24"/>
          <w:highlight w:val="none"/>
          <w14:textFill>
            <w14:solidFill>
              <w14:schemeClr w14:val="tx1"/>
            </w14:solidFill>
          </w14:textFill>
        </w:rPr>
      </w:pPr>
    </w:p>
    <w:p w14:paraId="49AF305C">
      <w:pPr>
        <w:spacing w:line="300" w:lineRule="auto"/>
        <w:outlineLvl w:val="3"/>
        <w:rPr>
          <w:rFonts w:hint="eastAsia" w:ascii="Times New Roman" w:hAnsi="Times New Roman" w:eastAsia="方正黑体_GBK"/>
          <w:color w:val="000000" w:themeColor="text1"/>
          <w:sz w:val="32"/>
          <w:szCs w:val="32"/>
          <w:highlight w:val="none"/>
          <w:lang w:val="zh-CN" w:eastAsia="zh-CN"/>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br w:type="page" w:clear="all"/>
      </w:r>
      <w:r>
        <w:rPr>
          <w:rFonts w:hint="eastAsia" w:ascii="Times New Roman" w:hAnsi="Times New Roman" w:eastAsia="方正黑体_GBK"/>
          <w:color w:val="000000" w:themeColor="text1"/>
          <w:sz w:val="32"/>
          <w:szCs w:val="32"/>
          <w:highlight w:val="none"/>
          <w:lang w:val="zh-CN"/>
          <w14:textFill>
            <w14:solidFill>
              <w14:schemeClr w14:val="tx1"/>
            </w14:solidFill>
          </w14:textFill>
        </w:rPr>
        <w:t>附件</w:t>
      </w:r>
      <w:r>
        <w:rPr>
          <w:rFonts w:hint="eastAsia" w:eastAsia="方正黑体_GBK"/>
          <w:color w:val="000000" w:themeColor="text1"/>
          <w:sz w:val="32"/>
          <w:szCs w:val="32"/>
          <w:highlight w:val="none"/>
          <w:lang w:val="en-US" w:eastAsia="zh-CN"/>
          <w14:textFill>
            <w14:solidFill>
              <w14:schemeClr w14:val="tx1"/>
            </w14:solidFill>
          </w14:textFill>
        </w:rPr>
        <w:t>2</w:t>
      </w:r>
    </w:p>
    <w:p w14:paraId="5DB4CCE9">
      <w:pPr>
        <w:spacing w:line="560" w:lineRule="exact"/>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法定代表人身份证明</w:t>
      </w:r>
    </w:p>
    <w:p w14:paraId="562F82E4">
      <w:pPr>
        <w:spacing w:line="480" w:lineRule="exact"/>
        <w:rPr>
          <w:rFonts w:ascii="宋体" w:hAnsi="宋体"/>
          <w:color w:val="000000" w:themeColor="text1"/>
          <w:sz w:val="24"/>
          <w:szCs w:val="24"/>
          <w:highlight w:val="none"/>
          <w14:textFill>
            <w14:solidFill>
              <w14:schemeClr w14:val="tx1"/>
            </w14:solidFill>
          </w14:textFill>
        </w:rPr>
      </w:pPr>
    </w:p>
    <w:p w14:paraId="1DF6E1C3">
      <w:pPr>
        <w:spacing w:line="48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先生/女士：</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现任我单位</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职务，为法定代表人，特此证明。</w:t>
      </w:r>
    </w:p>
    <w:p w14:paraId="0B713602">
      <w:pPr>
        <w:spacing w:line="480" w:lineRule="exact"/>
        <w:ind w:firstLine="480"/>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身份证号码：</w:t>
      </w:r>
      <w:r>
        <w:rPr>
          <w:rFonts w:ascii="宋体" w:hAnsi="宋体"/>
          <w:color w:val="000000" w:themeColor="text1"/>
          <w:sz w:val="24"/>
          <w:szCs w:val="24"/>
          <w:highlight w:val="none"/>
          <w:u w:val="single"/>
          <w14:textFill>
            <w14:solidFill>
              <w14:schemeClr w14:val="tx1"/>
            </w14:solidFill>
          </w14:textFill>
        </w:rPr>
        <w:t xml:space="preserve">                                               </w:t>
      </w:r>
    </w:p>
    <w:p w14:paraId="5A7C0F13">
      <w:pPr>
        <w:spacing w:line="480" w:lineRule="exact"/>
        <w:ind w:firstLine="480"/>
        <w:rPr>
          <w:rFonts w:ascii="宋体" w:hAnsi="宋体"/>
          <w:color w:val="000000" w:themeColor="text1"/>
          <w:sz w:val="24"/>
          <w:szCs w:val="24"/>
          <w:highlight w:val="none"/>
          <w14:textFill>
            <w14:solidFill>
              <w14:schemeClr w14:val="tx1"/>
            </w14:solidFill>
          </w14:textFill>
        </w:rPr>
      </w:pPr>
    </w:p>
    <w:p w14:paraId="619E7E34">
      <w:pPr>
        <w:spacing w:line="6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注：提供法定代表人的身份证复印件盖公章</w:t>
      </w:r>
    </w:p>
    <w:p w14:paraId="69C51EE8">
      <w:pPr>
        <w:spacing w:line="440" w:lineRule="exact"/>
        <w:ind w:firstLine="480"/>
        <w:rPr>
          <w:rFonts w:ascii="宋体" w:hAnsi="宋体"/>
          <w:color w:val="000000" w:themeColor="text1"/>
          <w:sz w:val="24"/>
          <w:szCs w:val="21"/>
          <w:highlight w:val="none"/>
          <w14:textFill>
            <w14:solidFill>
              <w14:schemeClr w14:val="tx1"/>
            </w14:solidFill>
          </w14:textFill>
        </w:rPr>
      </w:pPr>
    </w:p>
    <w:p w14:paraId="64254930">
      <w:pPr>
        <w:spacing w:line="460" w:lineRule="exact"/>
        <w:rPr>
          <w:rFonts w:ascii="宋体" w:hAnsi="宋体"/>
          <w:bCs/>
          <w:color w:val="000000" w:themeColor="text1"/>
          <w:sz w:val="24"/>
          <w:szCs w:val="21"/>
          <w:highlight w:val="none"/>
          <w14:textFill>
            <w14:solidFill>
              <w14:schemeClr w14:val="tx1"/>
            </w14:solidFill>
          </w14:textFill>
        </w:rPr>
      </w:pPr>
    </w:p>
    <w:p w14:paraId="6F764022">
      <w:pPr>
        <w:spacing w:line="300" w:lineRule="auto"/>
        <w:outlineLvl w:val="3"/>
        <w:rPr>
          <w:rFonts w:hint="eastAsia" w:ascii="Times New Roman" w:hAnsi="Times New Roman" w:eastAsia="方正黑体_GBK"/>
          <w:color w:val="000000" w:themeColor="text1"/>
          <w:sz w:val="32"/>
          <w:szCs w:val="32"/>
          <w:highlight w:val="none"/>
          <w:lang w:val="zh-CN" w:eastAsia="zh-CN"/>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br w:type="page" w:clear="all"/>
      </w:r>
      <w:r>
        <w:rPr>
          <w:rFonts w:hint="eastAsia" w:ascii="Times New Roman" w:hAnsi="Times New Roman" w:eastAsia="方正黑体_GBK"/>
          <w:color w:val="000000" w:themeColor="text1"/>
          <w:sz w:val="32"/>
          <w:szCs w:val="32"/>
          <w:highlight w:val="none"/>
          <w:lang w:val="zh-CN"/>
          <w14:textFill>
            <w14:solidFill>
              <w14:schemeClr w14:val="tx1"/>
            </w14:solidFill>
          </w14:textFill>
        </w:rPr>
        <w:t>附件</w:t>
      </w:r>
      <w:r>
        <w:rPr>
          <w:rFonts w:hint="eastAsia" w:eastAsia="方正黑体_GBK"/>
          <w:color w:val="000000" w:themeColor="text1"/>
          <w:sz w:val="32"/>
          <w:szCs w:val="32"/>
          <w:highlight w:val="none"/>
          <w:lang w:val="en-US" w:eastAsia="zh-CN"/>
          <w14:textFill>
            <w14:solidFill>
              <w14:schemeClr w14:val="tx1"/>
            </w14:solidFill>
          </w14:textFill>
        </w:rPr>
        <w:t>3</w:t>
      </w:r>
    </w:p>
    <w:p w14:paraId="4DAB6CBE">
      <w:pPr>
        <w:keepNext w:val="0"/>
        <w:keepLines w:val="0"/>
        <w:pageBreakBefore w:val="0"/>
        <w:widowControl w:val="0"/>
        <w:spacing w:line="520" w:lineRule="exact"/>
        <w:jc w:val="cente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法人授权书</w:t>
      </w:r>
    </w:p>
    <w:p w14:paraId="4CEAB8A3">
      <w:pPr>
        <w:keepNext w:val="0"/>
        <w:keepLines w:val="0"/>
        <w:pageBreakBefore w:val="0"/>
        <w:widowControl w:val="0"/>
        <w:tabs>
          <w:tab w:val="left" w:pos="360"/>
        </w:tabs>
        <w:spacing w:line="520" w:lineRule="exact"/>
        <w:ind w:firstLine="480"/>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本授权书声明：____________（供应商名称）授权________________（被授权人的姓名）为我方就项目编号：</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rPr>
          <w:rFonts w:hint="eastAsia" w:ascii="Times New Roman" w:hAnsi="Times New Roman"/>
          <w:color w:val="000000" w:themeColor="text1"/>
          <w:sz w:val="24"/>
          <w:szCs w:val="24"/>
          <w:highlight w:val="none"/>
          <w14:textFill>
            <w14:solidFill>
              <w14:schemeClr w14:val="tx1"/>
            </w14:solidFill>
          </w14:textFill>
        </w:rPr>
        <w:t>项目采购活动的合法代理人，以本单位名义全权处理一切与该项目采购有关的事务。</w:t>
      </w:r>
    </w:p>
    <w:p w14:paraId="38F26197">
      <w:pPr>
        <w:keepNext w:val="0"/>
        <w:keepLines w:val="0"/>
        <w:pageBreakBefore w:val="0"/>
        <w:widowControl w:val="0"/>
        <w:tabs>
          <w:tab w:val="left" w:pos="360"/>
        </w:tabs>
        <w:spacing w:line="520" w:lineRule="exact"/>
        <w:ind w:firstLine="480"/>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本授权书于______年____月____日起生效，特此声明。</w:t>
      </w:r>
    </w:p>
    <w:p w14:paraId="2E3138CB">
      <w:pPr>
        <w:keepNext w:val="0"/>
        <w:keepLines w:val="0"/>
        <w:pageBreakBefore w:val="0"/>
        <w:widowControl w:val="0"/>
        <w:tabs>
          <w:tab w:val="left" w:pos="360"/>
        </w:tabs>
        <w:spacing w:line="520" w:lineRule="exact"/>
        <w:rPr>
          <w:rFonts w:hint="eastAsia"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被授权人身份证号码：</w:t>
      </w:r>
      <w:r>
        <w:rPr>
          <w:rFonts w:hint="eastAsia" w:ascii="Times New Roman" w:hAnsi="Times New Roman"/>
          <w:color w:val="000000" w:themeColor="text1"/>
          <w:sz w:val="24"/>
          <w:szCs w:val="24"/>
          <w:highlight w:val="none"/>
          <w:u w:val="single"/>
          <w14:textFill>
            <w14:solidFill>
              <w14:schemeClr w14:val="tx1"/>
            </w14:solidFill>
          </w14:textFill>
        </w:rPr>
        <w:t xml:space="preserve">                              </w:t>
      </w:r>
    </w:p>
    <w:p w14:paraId="7D9BEE68">
      <w:pPr>
        <w:keepNext w:val="0"/>
        <w:keepLines w:val="0"/>
        <w:pageBreakBefore w:val="0"/>
        <w:widowControl w:val="0"/>
        <w:tabs>
          <w:tab w:val="left" w:pos="360"/>
        </w:tabs>
        <w:spacing w:line="520" w:lineRule="exact"/>
        <w:rPr>
          <w:rFonts w:hint="eastAsia"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被授权人联系电话：（手机）</w:t>
      </w:r>
      <w:r>
        <w:rPr>
          <w:rFonts w:hint="eastAsia" w:ascii="Times New Roman" w:hAnsi="Times New Roman"/>
          <w:color w:val="000000" w:themeColor="text1"/>
          <w:sz w:val="24"/>
          <w:szCs w:val="24"/>
          <w:highlight w:val="none"/>
          <w:u w:val="single"/>
          <w14:textFill>
            <w14:solidFill>
              <w14:schemeClr w14:val="tx1"/>
            </w14:solidFill>
          </w14:textFill>
        </w:rPr>
        <w:t xml:space="preserve">                          </w:t>
      </w:r>
    </w:p>
    <w:p w14:paraId="6904EA72">
      <w:pPr>
        <w:keepNext w:val="0"/>
        <w:keepLines w:val="0"/>
        <w:pageBreakBefore w:val="0"/>
        <w:widowControl w:val="0"/>
        <w:tabs>
          <w:tab w:val="left" w:pos="360"/>
        </w:tabs>
        <w:spacing w:line="520" w:lineRule="exact"/>
        <w:ind w:firstLine="1200"/>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授权单位名称：</w:t>
      </w:r>
      <w:r>
        <w:rPr>
          <w:rFonts w:hint="eastAsia" w:ascii="Times New Roman" w:hAnsi="Times New Roman"/>
          <w:color w:val="000000" w:themeColor="text1"/>
          <w:sz w:val="24"/>
          <w:szCs w:val="24"/>
          <w:highlight w:val="none"/>
          <w:u w:val="single"/>
          <w14:textFill>
            <w14:solidFill>
              <w14:schemeClr w14:val="tx1"/>
            </w14:solidFill>
          </w14:textFill>
        </w:rPr>
        <w:t>（加盖CA电子公章）</w:t>
      </w:r>
    </w:p>
    <w:p w14:paraId="70291256">
      <w:pPr>
        <w:keepNext w:val="0"/>
        <w:keepLines w:val="0"/>
        <w:pageBreakBefore w:val="0"/>
        <w:widowControl w:val="0"/>
        <w:tabs>
          <w:tab w:val="left" w:pos="360"/>
        </w:tabs>
        <w:spacing w:line="520" w:lineRule="exact"/>
        <w:ind w:firstLine="480"/>
        <w:rPr>
          <w:rFonts w:hint="eastAsia"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单位地址：</w:t>
      </w:r>
      <w:r>
        <w:rPr>
          <w:rFonts w:hint="eastAsia" w:ascii="Times New Roman" w:hAnsi="Times New Roman"/>
          <w:color w:val="000000" w:themeColor="text1"/>
          <w:sz w:val="24"/>
          <w:szCs w:val="24"/>
          <w:highlight w:val="none"/>
          <w:u w:val="single"/>
          <w14:textFill>
            <w14:solidFill>
              <w14:schemeClr w14:val="tx1"/>
            </w14:solidFill>
          </w14:textFill>
        </w:rPr>
        <w:t xml:space="preserve">                                         </w:t>
      </w:r>
    </w:p>
    <w:p w14:paraId="07F991BA">
      <w:pPr>
        <w:keepNext w:val="0"/>
        <w:keepLines w:val="0"/>
        <w:pageBreakBefore w:val="0"/>
        <w:widowControl w:val="0"/>
        <w:tabs>
          <w:tab w:val="left" w:pos="360"/>
        </w:tabs>
        <w:spacing w:line="520" w:lineRule="exact"/>
        <w:ind w:firstLine="480"/>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日期：</w:t>
      </w:r>
      <w:r>
        <w:rPr>
          <w:rFonts w:hint="eastAsia" w:ascii="Times New Roman" w:hAnsi="Times New Roman"/>
          <w:color w:val="000000" w:themeColor="text1"/>
          <w:sz w:val="24"/>
          <w:szCs w:val="24"/>
          <w:highlight w:val="none"/>
          <w:u w:val="single"/>
          <w14:textFill>
            <w14:solidFill>
              <w14:schemeClr w14:val="tx1"/>
            </w14:solidFill>
          </w14:textFill>
        </w:rPr>
        <w:t xml:space="preserve">                                         </w:t>
      </w:r>
    </w:p>
    <w:p w14:paraId="79DF4E6A">
      <w:pPr>
        <w:keepNext w:val="0"/>
        <w:keepLines w:val="0"/>
        <w:pageBreakBefore w:val="0"/>
        <w:widowControl w:val="0"/>
        <w:spacing w:line="520" w:lineRule="exact"/>
        <w:ind w:firstLine="420"/>
        <w:rPr>
          <w:rFonts w:hint="eastAsia" w:ascii="Times New Roman" w:hAnsi="Times New Roman"/>
          <w:i/>
          <w:color w:val="000000" w:themeColor="text1"/>
          <w:sz w:val="24"/>
          <w:szCs w:val="24"/>
          <w:highlight w:val="none"/>
          <w:u w:val="single"/>
          <w14:textFill>
            <w14:solidFill>
              <w14:schemeClr w14:val="tx1"/>
            </w14:solidFill>
          </w14:textFill>
        </w:rPr>
      </w:pPr>
    </w:p>
    <w:p w14:paraId="0380C25C">
      <w:pPr>
        <w:keepNext w:val="0"/>
        <w:keepLines w:val="0"/>
        <w:pageBreakBefore w:val="0"/>
        <w:widowControl w:val="0"/>
        <w:spacing w:line="520" w:lineRule="exact"/>
        <w:rPr>
          <w:rFonts w:hint="eastAsia" w:ascii="Times New Roman" w:hAnsi="Times New Roman"/>
          <w:color w:val="000000" w:themeColor="text1"/>
          <w:szCs w:val="21"/>
          <w:highlight w:val="none"/>
          <w14:textFill>
            <w14:solidFill>
              <w14:schemeClr w14:val="tx1"/>
            </w14:solidFill>
          </w14:textFill>
        </w:rPr>
      </w:pPr>
    </w:p>
    <w:p w14:paraId="6D08CC90">
      <w:pPr>
        <w:keepNext w:val="0"/>
        <w:keepLines w:val="0"/>
        <w:pageBreakBefore w:val="0"/>
        <w:widowControl w:val="0"/>
        <w:spacing w:line="480" w:lineRule="exact"/>
        <w:rPr>
          <w:rFonts w:hint="eastAsia" w:ascii="宋体" w:hAnsi="宋体"/>
          <w:bCs/>
          <w:color w:val="000000" w:themeColor="text1"/>
          <w:sz w:val="24"/>
          <w:szCs w:val="21"/>
          <w:highlight w:val="none"/>
          <w14:textFill>
            <w14:solidFill>
              <w14:schemeClr w14:val="tx1"/>
            </w14:solidFill>
          </w14:textFill>
        </w:rPr>
      </w:pPr>
    </w:p>
    <w:p w14:paraId="0EE76CE1">
      <w:pPr>
        <w:spacing w:line="460" w:lineRule="exact"/>
        <w:rPr>
          <w:rFonts w:ascii="宋体" w:hAnsi="宋体"/>
          <w:bCs/>
          <w:color w:val="000000" w:themeColor="text1"/>
          <w:sz w:val="24"/>
          <w:szCs w:val="21"/>
          <w:highlight w:val="none"/>
          <w14:textFill>
            <w14:solidFill>
              <w14:schemeClr w14:val="tx1"/>
            </w14:solidFill>
          </w14:textFill>
        </w:rPr>
      </w:pPr>
    </w:p>
    <w:p w14:paraId="121E07ED">
      <w:pPr>
        <w:spacing w:line="300" w:lineRule="auto"/>
        <w:outlineLvl w:val="3"/>
        <w:rPr>
          <w:rFonts w:hint="eastAsia" w:ascii="Times New Roman" w:hAnsi="Times New Roman" w:eastAsia="方正黑体_GBK"/>
          <w:color w:val="000000" w:themeColor="text1"/>
          <w:sz w:val="32"/>
          <w:szCs w:val="32"/>
          <w:highlight w:val="none"/>
          <w:lang w:val="zh-CN" w:eastAsia="zh-CN"/>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br w:type="page" w:clear="all"/>
      </w:r>
      <w:r>
        <w:rPr>
          <w:rFonts w:hint="eastAsia" w:ascii="Times New Roman" w:hAnsi="Times New Roman" w:eastAsia="方正黑体_GBK"/>
          <w:color w:val="000000" w:themeColor="text1"/>
          <w:sz w:val="32"/>
          <w:szCs w:val="32"/>
          <w:highlight w:val="none"/>
          <w:lang w:val="zh-CN"/>
          <w14:textFill>
            <w14:solidFill>
              <w14:schemeClr w14:val="tx1"/>
            </w14:solidFill>
          </w14:textFill>
        </w:rPr>
        <w:t>附件</w:t>
      </w:r>
      <w:r>
        <w:rPr>
          <w:rFonts w:hint="eastAsia" w:eastAsia="方正黑体_GBK"/>
          <w:color w:val="000000" w:themeColor="text1"/>
          <w:sz w:val="32"/>
          <w:szCs w:val="32"/>
          <w:highlight w:val="none"/>
          <w:lang w:val="en-US" w:eastAsia="zh-CN"/>
          <w14:textFill>
            <w14:solidFill>
              <w14:schemeClr w14:val="tx1"/>
            </w14:solidFill>
          </w14:textFill>
        </w:rPr>
        <w:t>4</w:t>
      </w:r>
    </w:p>
    <w:p w14:paraId="0C3F8BE2">
      <w:pPr>
        <w:spacing w:line="560" w:lineRule="exact"/>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lang w:eastAsia="zh-CN"/>
          <w14:textFill>
            <w14:solidFill>
              <w14:schemeClr w14:val="tx1"/>
            </w14:solidFill>
          </w14:textFill>
        </w:rPr>
        <w:t>磋商</w:t>
      </w:r>
      <w:r>
        <w:rPr>
          <w:rFonts w:hint="eastAsia" w:ascii="宋体" w:hAnsi="宋体"/>
          <w:b/>
          <w:bCs/>
          <w:color w:val="000000" w:themeColor="text1"/>
          <w:sz w:val="32"/>
          <w:szCs w:val="32"/>
          <w:highlight w:val="none"/>
          <w14:textFill>
            <w14:solidFill>
              <w14:schemeClr w14:val="tx1"/>
            </w14:solidFill>
          </w14:textFill>
        </w:rPr>
        <w:t>响应函</w:t>
      </w:r>
    </w:p>
    <w:p w14:paraId="532649DB">
      <w:pPr>
        <w:spacing w:line="420" w:lineRule="exact"/>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致：采购人</w:t>
      </w:r>
    </w:p>
    <w:p w14:paraId="15993B42">
      <w:pPr>
        <w:spacing w:line="420" w:lineRule="exact"/>
        <w:ind w:firstLine="480"/>
        <w:jc w:val="lef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根据贵方的</w:t>
      </w:r>
      <w:r>
        <w:rPr>
          <w:rFonts w:hint="eastAsia" w:ascii="Times New Roman" w:hAnsi="Times New Roman"/>
          <w:color w:val="000000" w:themeColor="text1"/>
          <w:sz w:val="24"/>
          <w:szCs w:val="24"/>
          <w:highlight w:val="none"/>
          <w14:textFill>
            <w14:solidFill>
              <w14:schemeClr w14:val="tx1"/>
            </w14:solidFill>
          </w14:textFill>
        </w:rPr>
        <w:t>项目编号：</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磋商</w:t>
      </w:r>
      <w:r>
        <w:rPr>
          <w:rFonts w:hint="eastAsia" w:ascii="宋体" w:hAnsi="宋体"/>
          <w:color w:val="000000" w:themeColor="text1"/>
          <w:sz w:val="24"/>
          <w:szCs w:val="21"/>
          <w:highlight w:val="none"/>
          <w14:textFill>
            <w14:solidFill>
              <w14:schemeClr w14:val="tx1"/>
            </w14:solidFill>
          </w14:textFill>
        </w:rPr>
        <w:t>文件，正式授权下述签字人______(姓名)代表我方______________（供应商的名称），全权处理本次项目</w:t>
      </w:r>
      <w:r>
        <w:rPr>
          <w:rFonts w:hint="eastAsia" w:ascii="宋体" w:hAnsi="宋体"/>
          <w:color w:val="000000" w:themeColor="text1"/>
          <w:sz w:val="24"/>
          <w:szCs w:val="21"/>
          <w:highlight w:val="none"/>
          <w:lang w:eastAsia="zh-CN"/>
          <w14:textFill>
            <w14:solidFill>
              <w14:schemeClr w14:val="tx1"/>
            </w14:solidFill>
          </w14:textFill>
        </w:rPr>
        <w:t>磋商</w:t>
      </w:r>
      <w:r>
        <w:rPr>
          <w:rFonts w:hint="eastAsia" w:ascii="宋体" w:hAnsi="宋体"/>
          <w:color w:val="000000" w:themeColor="text1"/>
          <w:sz w:val="24"/>
          <w:szCs w:val="21"/>
          <w:highlight w:val="none"/>
          <w14:textFill>
            <w14:solidFill>
              <w14:schemeClr w14:val="tx1"/>
            </w14:solidFill>
          </w14:textFill>
        </w:rPr>
        <w:t>的有关事宜。</w:t>
      </w:r>
    </w:p>
    <w:p w14:paraId="2C9C37CE">
      <w:pPr>
        <w:spacing w:line="420" w:lineRule="exact"/>
        <w:ind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据此函，__________签字人兹宣布同意如下：</w:t>
      </w:r>
    </w:p>
    <w:p w14:paraId="72063B97">
      <w:pPr>
        <w:spacing w:line="420" w:lineRule="exact"/>
        <w:ind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1.按</w:t>
      </w:r>
      <w:r>
        <w:rPr>
          <w:rFonts w:hint="eastAsia" w:ascii="宋体" w:hAnsi="宋体"/>
          <w:color w:val="000000" w:themeColor="text1"/>
          <w:sz w:val="24"/>
          <w:szCs w:val="21"/>
          <w:highlight w:val="none"/>
          <w:lang w:eastAsia="zh-CN"/>
          <w14:textFill>
            <w14:solidFill>
              <w14:schemeClr w14:val="tx1"/>
            </w14:solidFill>
          </w14:textFill>
        </w:rPr>
        <w:t>磋商</w:t>
      </w:r>
      <w:r>
        <w:rPr>
          <w:rFonts w:hint="eastAsia" w:ascii="宋体" w:hAnsi="宋体"/>
          <w:color w:val="000000" w:themeColor="text1"/>
          <w:sz w:val="24"/>
          <w:szCs w:val="21"/>
          <w:highlight w:val="none"/>
          <w14:textFill>
            <w14:solidFill>
              <w14:schemeClr w14:val="tx1"/>
            </w14:solidFill>
          </w14:textFill>
        </w:rPr>
        <w:t>文件规定的各项要求，向买方提供所需货物、服务（包含与货物相关的服务及与服务相关的货物）。</w:t>
      </w:r>
    </w:p>
    <w:p w14:paraId="6FDB55A8">
      <w:pPr>
        <w:spacing w:line="420" w:lineRule="exact"/>
        <w:ind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2.我们完全理解贵方不一定将合同授予最低报价的供应商。</w:t>
      </w:r>
    </w:p>
    <w:p w14:paraId="64234E76">
      <w:pPr>
        <w:spacing w:line="420" w:lineRule="exact"/>
        <w:ind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3.我们已详细审核全部</w:t>
      </w:r>
      <w:r>
        <w:rPr>
          <w:rFonts w:hint="eastAsia" w:ascii="宋体" w:hAnsi="宋体"/>
          <w:color w:val="000000" w:themeColor="text1"/>
          <w:sz w:val="24"/>
          <w:szCs w:val="21"/>
          <w:highlight w:val="none"/>
          <w:lang w:eastAsia="zh-CN"/>
          <w14:textFill>
            <w14:solidFill>
              <w14:schemeClr w14:val="tx1"/>
            </w14:solidFill>
          </w14:textFill>
        </w:rPr>
        <w:t>磋商</w:t>
      </w:r>
      <w:r>
        <w:rPr>
          <w:rFonts w:hint="eastAsia" w:ascii="宋体" w:hAnsi="宋体"/>
          <w:color w:val="000000" w:themeColor="text1"/>
          <w:sz w:val="24"/>
          <w:szCs w:val="21"/>
          <w:highlight w:val="none"/>
          <w14:textFill>
            <w14:solidFill>
              <w14:schemeClr w14:val="tx1"/>
            </w14:solidFill>
          </w14:textFill>
        </w:rPr>
        <w:t>文件及其有效补充文件，我们知道必须放弃提出含糊不清或误解问题的权利。</w:t>
      </w:r>
    </w:p>
    <w:p w14:paraId="614D0001">
      <w:pPr>
        <w:spacing w:line="420" w:lineRule="exact"/>
        <w:ind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4.我们同意从规定的开标日期起遵循本响应文件，并在规定的</w:t>
      </w:r>
      <w:r>
        <w:rPr>
          <w:rFonts w:hint="eastAsia" w:ascii="宋体" w:hAnsi="宋体"/>
          <w:color w:val="000000" w:themeColor="text1"/>
          <w:sz w:val="24"/>
          <w:szCs w:val="21"/>
          <w:highlight w:val="none"/>
          <w:lang w:eastAsia="zh-CN"/>
          <w14:textFill>
            <w14:solidFill>
              <w14:schemeClr w14:val="tx1"/>
            </w14:solidFill>
          </w14:textFill>
        </w:rPr>
        <w:t>磋商</w:t>
      </w:r>
      <w:r>
        <w:rPr>
          <w:rFonts w:hint="eastAsia" w:ascii="宋体" w:hAnsi="宋体"/>
          <w:color w:val="000000" w:themeColor="text1"/>
          <w:sz w:val="24"/>
          <w:szCs w:val="21"/>
          <w:highlight w:val="none"/>
          <w14:textFill>
            <w14:solidFill>
              <w14:schemeClr w14:val="tx1"/>
            </w14:solidFill>
          </w14:textFill>
        </w:rPr>
        <w:t>有效期期满之前均具有约束力。</w:t>
      </w:r>
    </w:p>
    <w:p w14:paraId="0D9ECB78">
      <w:pPr>
        <w:spacing w:line="420" w:lineRule="exact"/>
        <w:ind w:firstLine="480"/>
        <w:jc w:val="lef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5</w:t>
      </w:r>
      <w:r>
        <w:rPr>
          <w:rFonts w:hint="eastAsia" w:ascii="宋体" w:hAnsi="宋体"/>
          <w:color w:val="000000" w:themeColor="text1"/>
          <w:sz w:val="24"/>
          <w:szCs w:val="21"/>
          <w:highlight w:val="none"/>
          <w14:textFill>
            <w14:solidFill>
              <w14:schemeClr w14:val="tx1"/>
            </w14:solidFill>
          </w14:textFill>
        </w:rPr>
        <w:t>.同意向贵方提供贵方可能另外要求的与</w:t>
      </w:r>
      <w:r>
        <w:rPr>
          <w:rFonts w:hint="eastAsia" w:ascii="宋体" w:hAnsi="宋体"/>
          <w:color w:val="000000" w:themeColor="text1"/>
          <w:sz w:val="24"/>
          <w:szCs w:val="21"/>
          <w:highlight w:val="none"/>
          <w:lang w:eastAsia="zh-CN"/>
          <w14:textFill>
            <w14:solidFill>
              <w14:schemeClr w14:val="tx1"/>
            </w14:solidFill>
          </w14:textFill>
        </w:rPr>
        <w:t>磋商</w:t>
      </w:r>
      <w:r>
        <w:rPr>
          <w:rFonts w:hint="eastAsia" w:ascii="宋体" w:hAnsi="宋体"/>
          <w:color w:val="000000" w:themeColor="text1"/>
          <w:sz w:val="24"/>
          <w:szCs w:val="21"/>
          <w:highlight w:val="none"/>
          <w14:textFill>
            <w14:solidFill>
              <w14:schemeClr w14:val="tx1"/>
            </w14:solidFill>
          </w14:textFill>
        </w:rPr>
        <w:t>有关的任何证据或资料，并保证我方已提供和将要提供的文件是真实的、准确的。</w:t>
      </w:r>
    </w:p>
    <w:p w14:paraId="5C5902C1">
      <w:pPr>
        <w:spacing w:line="420" w:lineRule="exact"/>
        <w:ind w:firstLine="480"/>
        <w:jc w:val="lef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6</w:t>
      </w:r>
      <w:r>
        <w:rPr>
          <w:rFonts w:hint="eastAsia" w:ascii="宋体" w:hAnsi="宋体"/>
          <w:color w:val="000000" w:themeColor="text1"/>
          <w:sz w:val="24"/>
          <w:szCs w:val="21"/>
          <w:highlight w:val="none"/>
          <w14:textFill>
            <w14:solidFill>
              <w14:schemeClr w14:val="tx1"/>
            </w14:solidFill>
          </w14:textFill>
        </w:rPr>
        <w:t>.一旦我方成交</w:t>
      </w:r>
      <w:r>
        <w:rPr>
          <w:rFonts w:hint="eastAsia" w:ascii="宋体" w:hAnsi="宋体"/>
          <w:color w:val="000000" w:themeColor="text1"/>
          <w:sz w:val="24"/>
          <w:szCs w:val="21"/>
          <w:highlight w:val="none"/>
          <w:lang w:eastAsia="zh-CN"/>
          <w14:textFill>
            <w14:solidFill>
              <w14:schemeClr w14:val="tx1"/>
            </w14:solidFill>
          </w14:textFill>
        </w:rPr>
        <w:t>，</w:t>
      </w:r>
      <w:r>
        <w:rPr>
          <w:rFonts w:hint="eastAsia" w:ascii="宋体" w:hAnsi="宋体"/>
          <w:color w:val="000000" w:themeColor="text1"/>
          <w:sz w:val="24"/>
          <w:szCs w:val="21"/>
          <w:highlight w:val="none"/>
          <w14:textFill>
            <w14:solidFill>
              <w14:schemeClr w14:val="tx1"/>
            </w14:solidFill>
          </w14:textFill>
        </w:rPr>
        <w:t>我方将根据</w:t>
      </w:r>
      <w:r>
        <w:rPr>
          <w:rFonts w:hint="eastAsia" w:ascii="宋体" w:hAnsi="宋体"/>
          <w:color w:val="000000" w:themeColor="text1"/>
          <w:sz w:val="24"/>
          <w:szCs w:val="21"/>
          <w:highlight w:val="none"/>
          <w:lang w:eastAsia="zh-CN"/>
          <w14:textFill>
            <w14:solidFill>
              <w14:schemeClr w14:val="tx1"/>
            </w14:solidFill>
          </w14:textFill>
        </w:rPr>
        <w:t>磋商</w:t>
      </w:r>
      <w:r>
        <w:rPr>
          <w:rFonts w:hint="eastAsia" w:ascii="宋体" w:hAnsi="宋体"/>
          <w:color w:val="000000" w:themeColor="text1"/>
          <w:sz w:val="24"/>
          <w:szCs w:val="21"/>
          <w:highlight w:val="none"/>
          <w14:textFill>
            <w14:solidFill>
              <w14:schemeClr w14:val="tx1"/>
            </w14:solidFill>
          </w14:textFill>
        </w:rPr>
        <w:t>文件的规定，严格履行合同的责任和义务</w:t>
      </w:r>
      <w:r>
        <w:rPr>
          <w:rFonts w:hint="eastAsia" w:ascii="宋体" w:hAnsi="宋体"/>
          <w:color w:val="000000" w:themeColor="text1"/>
          <w:sz w:val="24"/>
          <w:szCs w:val="21"/>
          <w:highlight w:val="none"/>
          <w:lang w:eastAsia="zh-CN"/>
          <w14:textFill>
            <w14:solidFill>
              <w14:schemeClr w14:val="tx1"/>
            </w14:solidFill>
          </w14:textFill>
        </w:rPr>
        <w:t>，</w:t>
      </w:r>
      <w:r>
        <w:rPr>
          <w:rFonts w:hint="eastAsia" w:ascii="宋体" w:hAnsi="宋体"/>
          <w:color w:val="000000" w:themeColor="text1"/>
          <w:sz w:val="24"/>
          <w:szCs w:val="21"/>
          <w:highlight w:val="none"/>
          <w14:textFill>
            <w14:solidFill>
              <w14:schemeClr w14:val="tx1"/>
            </w14:solidFill>
          </w14:textFill>
        </w:rPr>
        <w:t>并保证在</w:t>
      </w:r>
      <w:r>
        <w:rPr>
          <w:rFonts w:hint="eastAsia" w:ascii="宋体" w:hAnsi="宋体"/>
          <w:color w:val="000000" w:themeColor="text1"/>
          <w:sz w:val="24"/>
          <w:szCs w:val="21"/>
          <w:highlight w:val="none"/>
          <w:lang w:eastAsia="zh-CN"/>
          <w14:textFill>
            <w14:solidFill>
              <w14:schemeClr w14:val="tx1"/>
            </w14:solidFill>
          </w14:textFill>
        </w:rPr>
        <w:t>磋商</w:t>
      </w:r>
      <w:r>
        <w:rPr>
          <w:rFonts w:hint="eastAsia" w:ascii="宋体" w:hAnsi="宋体"/>
          <w:color w:val="000000" w:themeColor="text1"/>
          <w:sz w:val="24"/>
          <w:szCs w:val="21"/>
          <w:highlight w:val="none"/>
          <w14:textFill>
            <w14:solidFill>
              <w14:schemeClr w14:val="tx1"/>
            </w14:solidFill>
          </w14:textFill>
        </w:rPr>
        <w:t>文件规定的时间完成项目，交付买方验收、使用。</w:t>
      </w:r>
    </w:p>
    <w:p w14:paraId="382D4874">
      <w:pPr>
        <w:spacing w:line="420" w:lineRule="exact"/>
        <w:ind w:left="425"/>
        <w:jc w:val="lef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7</w:t>
      </w:r>
      <w:r>
        <w:rPr>
          <w:rFonts w:hint="eastAsia" w:ascii="宋体" w:hAnsi="宋体"/>
          <w:color w:val="000000" w:themeColor="text1"/>
          <w:sz w:val="24"/>
          <w:szCs w:val="21"/>
          <w:highlight w:val="none"/>
          <w14:textFill>
            <w14:solidFill>
              <w14:schemeClr w14:val="tx1"/>
            </w14:solidFill>
          </w14:textFill>
        </w:rPr>
        <w:t>.我方与本</w:t>
      </w:r>
      <w:r>
        <w:rPr>
          <w:rFonts w:hint="eastAsia" w:ascii="宋体" w:hAnsi="宋体"/>
          <w:color w:val="000000" w:themeColor="text1"/>
          <w:sz w:val="24"/>
          <w:szCs w:val="21"/>
          <w:highlight w:val="none"/>
          <w:lang w:eastAsia="zh-CN"/>
          <w14:textFill>
            <w14:solidFill>
              <w14:schemeClr w14:val="tx1"/>
            </w14:solidFill>
          </w14:textFill>
        </w:rPr>
        <w:t>磋商</w:t>
      </w:r>
      <w:r>
        <w:rPr>
          <w:rFonts w:hint="eastAsia" w:ascii="宋体" w:hAnsi="宋体"/>
          <w:color w:val="000000" w:themeColor="text1"/>
          <w:sz w:val="24"/>
          <w:szCs w:val="21"/>
          <w:highlight w:val="none"/>
          <w14:textFill>
            <w14:solidFill>
              <w14:schemeClr w14:val="tx1"/>
            </w14:solidFill>
          </w14:textFill>
        </w:rPr>
        <w:t>有关的正式通讯地址为：</w:t>
      </w:r>
    </w:p>
    <w:p w14:paraId="07100E28">
      <w:pPr>
        <w:spacing w:line="420" w:lineRule="exact"/>
        <w:ind w:left="420"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地          址：</w:t>
      </w:r>
    </w:p>
    <w:p w14:paraId="707D5528">
      <w:pPr>
        <w:spacing w:line="420" w:lineRule="exact"/>
        <w:ind w:left="420"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邮          编：</w:t>
      </w:r>
    </w:p>
    <w:p w14:paraId="05A07B1F">
      <w:pPr>
        <w:spacing w:line="420" w:lineRule="exact"/>
        <w:ind w:left="420"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电          话：</w:t>
      </w:r>
    </w:p>
    <w:p w14:paraId="334A71A7">
      <w:pPr>
        <w:spacing w:line="420" w:lineRule="exact"/>
        <w:ind w:left="420"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传          真：</w:t>
      </w:r>
    </w:p>
    <w:p w14:paraId="1C01C363">
      <w:pPr>
        <w:spacing w:line="420" w:lineRule="exact"/>
        <w:ind w:left="420"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供应商开户行：</w:t>
      </w:r>
    </w:p>
    <w:p w14:paraId="4E08A045">
      <w:pPr>
        <w:spacing w:line="420" w:lineRule="exact"/>
        <w:ind w:left="420"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p>
    <w:p w14:paraId="19AA3DC1">
      <w:pPr>
        <w:spacing w:line="420" w:lineRule="exact"/>
        <w:ind w:left="420" w:firstLine="48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日           期：________年____月____日</w:t>
      </w:r>
    </w:p>
    <w:p w14:paraId="2693CE86">
      <w:pPr>
        <w:spacing w:line="400" w:lineRule="exact"/>
        <w:contextualSpacing/>
        <w:rPr>
          <w:rFonts w:ascii="宋体" w:hAnsi="宋体"/>
          <w:bCs/>
          <w:color w:val="000000" w:themeColor="text1"/>
          <w:sz w:val="24"/>
          <w:szCs w:val="21"/>
          <w:highlight w:val="none"/>
          <w14:textFill>
            <w14:solidFill>
              <w14:schemeClr w14:val="tx1"/>
            </w14:solidFill>
          </w14:textFill>
        </w:rPr>
      </w:pPr>
    </w:p>
    <w:p w14:paraId="7102A024">
      <w:pPr>
        <w:spacing w:line="440" w:lineRule="exact"/>
        <w:ind w:left="420" w:firstLine="480"/>
        <w:jc w:val="left"/>
        <w:rPr>
          <w:rFonts w:ascii="宋体" w:hAnsi="宋体"/>
          <w:color w:val="000000" w:themeColor="text1"/>
          <w:sz w:val="24"/>
          <w:szCs w:val="21"/>
          <w:highlight w:val="none"/>
          <w14:textFill>
            <w14:solidFill>
              <w14:schemeClr w14:val="tx1"/>
            </w14:solidFill>
          </w14:textFill>
        </w:rPr>
      </w:pPr>
    </w:p>
    <w:p w14:paraId="290660D6">
      <w:pPr>
        <w:spacing w:line="440" w:lineRule="exact"/>
        <w:ind w:left="420" w:firstLine="240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响应供应商全称(盖公章)：</w:t>
      </w:r>
    </w:p>
    <w:p w14:paraId="0C1C9844">
      <w:pPr>
        <w:spacing w:line="440" w:lineRule="exact"/>
        <w:ind w:left="420" w:firstLine="240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法定代表人（签字或盖章）：</w:t>
      </w:r>
    </w:p>
    <w:p w14:paraId="41274B1B">
      <w:pPr>
        <w:spacing w:line="460" w:lineRule="exact"/>
        <w:rPr>
          <w:rFonts w:ascii="宋体" w:hAnsi="宋体"/>
          <w:bCs/>
          <w:color w:val="000000" w:themeColor="text1"/>
          <w:sz w:val="24"/>
          <w:szCs w:val="21"/>
          <w:highlight w:val="none"/>
          <w14:textFill>
            <w14:solidFill>
              <w14:schemeClr w14:val="tx1"/>
            </w14:solidFill>
          </w14:textFill>
        </w:rPr>
      </w:pPr>
    </w:p>
    <w:p w14:paraId="64B3A34F">
      <w:pPr>
        <w:spacing w:line="460" w:lineRule="exact"/>
        <w:rPr>
          <w:rFonts w:eastAsia="方正黑体_GBK"/>
          <w:color w:val="000000" w:themeColor="text1"/>
          <w:sz w:val="32"/>
          <w:szCs w:val="32"/>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br w:type="page" w:clear="all"/>
      </w:r>
    </w:p>
    <w:p w14:paraId="099A98C0">
      <w:pPr>
        <w:spacing w:line="300" w:lineRule="auto"/>
        <w:outlineLvl w:val="3"/>
        <w:rPr>
          <w:rFonts w:hint="eastAsia" w:ascii="Times New Roman" w:hAnsi="Times New Roman" w:eastAsia="方正黑体_GBK"/>
          <w:color w:val="000000" w:themeColor="text1"/>
          <w:sz w:val="32"/>
          <w:szCs w:val="32"/>
          <w:highlight w:val="none"/>
          <w:lang w:val="en-US" w:eastAsia="zh-CN"/>
          <w14:textFill>
            <w14:solidFill>
              <w14:schemeClr w14:val="tx1"/>
            </w14:solidFill>
          </w14:textFill>
        </w:rPr>
      </w:pPr>
      <w:r>
        <w:rPr>
          <w:rFonts w:hint="eastAsia" w:ascii="Times New Roman" w:hAnsi="Times New Roman" w:eastAsia="方正黑体_GBK"/>
          <w:color w:val="000000" w:themeColor="text1"/>
          <w:sz w:val="32"/>
          <w:szCs w:val="32"/>
          <w:highlight w:val="none"/>
          <w:lang w:val="zh-CN"/>
          <w14:textFill>
            <w14:solidFill>
              <w14:schemeClr w14:val="tx1"/>
            </w14:solidFill>
          </w14:textFill>
        </w:rPr>
        <w:t>附件</w:t>
      </w:r>
      <w:r>
        <w:rPr>
          <w:rFonts w:hint="eastAsia" w:eastAsia="方正黑体_GBK"/>
          <w:color w:val="000000" w:themeColor="text1"/>
          <w:sz w:val="32"/>
          <w:szCs w:val="32"/>
          <w:highlight w:val="none"/>
          <w:lang w:val="en-US" w:eastAsia="zh-CN"/>
          <w14:textFill>
            <w14:solidFill>
              <w14:schemeClr w14:val="tx1"/>
            </w14:solidFill>
          </w14:textFill>
        </w:rPr>
        <w:t>5</w:t>
      </w:r>
    </w:p>
    <w:p w14:paraId="5685A587">
      <w:pPr>
        <w:spacing w:line="300" w:lineRule="auto"/>
        <w:contextualSpacing/>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商务部分正负偏离表</w:t>
      </w:r>
    </w:p>
    <w:p w14:paraId="30BB800F">
      <w:pPr>
        <w:ind w:firstLine="560"/>
        <w:jc w:val="cente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（由供应商据实填写，表格不够自行添加）</w:t>
      </w:r>
    </w:p>
    <w:tbl>
      <w:tblPr>
        <w:tblStyle w:val="3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11"/>
        <w:gridCol w:w="2255"/>
        <w:gridCol w:w="2856"/>
        <w:gridCol w:w="2564"/>
        <w:gridCol w:w="1330"/>
      </w:tblGrid>
      <w:tr w14:paraId="22D03F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33F7DF23">
            <w:pPr>
              <w:spacing w:line="3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08E0C87C">
            <w:pPr>
              <w:spacing w:line="3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5572D7DD">
            <w:pPr>
              <w:spacing w:line="3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磋商</w:t>
            </w:r>
            <w:r>
              <w:rPr>
                <w:rFonts w:hint="eastAsia" w:ascii="宋体" w:hAnsi="宋体"/>
                <w:color w:val="000000" w:themeColor="text1"/>
                <w:sz w:val="24"/>
                <w:szCs w:val="24"/>
                <w:highlight w:val="none"/>
                <w14:textFill>
                  <w14:solidFill>
                    <w14:schemeClr w14:val="tx1"/>
                  </w14:solidFill>
                </w14:textFill>
              </w:rPr>
              <w:t>文件要求的商务条款</w:t>
            </w:r>
          </w:p>
        </w:tc>
        <w:tc>
          <w:tcPr>
            <w:tcW w:w="1413" w:type="pct"/>
            <w:tcBorders>
              <w:top w:val="single" w:color="auto" w:sz="12" w:space="0"/>
              <w:left w:val="single" w:color="auto" w:sz="6" w:space="0"/>
              <w:bottom w:val="single" w:color="auto" w:sz="6" w:space="0"/>
              <w:right w:val="single" w:color="auto" w:sz="6" w:space="0"/>
            </w:tcBorders>
            <w:noWrap/>
            <w:vAlign w:val="center"/>
          </w:tcPr>
          <w:p w14:paraId="6740B0C6">
            <w:pPr>
              <w:spacing w:line="3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0ABB01D2">
            <w:pPr>
              <w:spacing w:line="340" w:lineRule="exact"/>
              <w:jc w:val="center"/>
              <w:rPr>
                <w:rFonts w:ascii="宋体" w:hAnsi="宋体"/>
                <w:color w:val="000000" w:themeColor="text1"/>
                <w:sz w:val="24"/>
                <w:szCs w:val="24"/>
                <w:highlight w:val="none"/>
                <w14:textFill>
                  <w14:solidFill>
                    <w14:schemeClr w14:val="tx1"/>
                  </w14:solidFill>
                </w14:textFill>
              </w:rPr>
            </w:pPr>
          </w:p>
          <w:p w14:paraId="18BDE69F">
            <w:pPr>
              <w:spacing w:line="3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偏离说明</w:t>
            </w:r>
          </w:p>
        </w:tc>
      </w:tr>
      <w:tr w14:paraId="318812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60" w:type="pct"/>
            <w:tcBorders>
              <w:top w:val="single" w:color="auto" w:sz="6" w:space="0"/>
              <w:left w:val="single" w:color="auto" w:sz="12" w:space="0"/>
              <w:bottom w:val="single" w:color="auto" w:sz="6" w:space="0"/>
              <w:right w:val="single" w:color="auto" w:sz="6" w:space="0"/>
            </w:tcBorders>
            <w:noWrap/>
          </w:tcPr>
          <w:p w14:paraId="710ABED0">
            <w:pPr>
              <w:spacing w:line="3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2FE090BF">
            <w:pPr>
              <w:spacing w:line="340" w:lineRule="exact"/>
              <w:jc w:val="left"/>
              <w:rPr>
                <w:rFonts w:ascii="宋体" w:hAnsi="宋体"/>
                <w:color w:val="000000" w:themeColor="text1"/>
                <w:sz w:val="24"/>
                <w:szCs w:val="24"/>
                <w:highlight w:val="none"/>
                <w14:textFill>
                  <w14:solidFill>
                    <w14:schemeClr w14:val="tx1"/>
                  </w14:solidFill>
                </w14:textFill>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3576682A">
            <w:pPr>
              <w:spacing w:line="340" w:lineRule="exact"/>
              <w:jc w:val="left"/>
              <w:rPr>
                <w:rFonts w:ascii="宋体" w:hAnsi="宋体"/>
                <w:color w:val="000000" w:themeColor="text1"/>
                <w:sz w:val="24"/>
                <w:szCs w:val="24"/>
                <w:highlight w:val="none"/>
                <w14:textFill>
                  <w14:solidFill>
                    <w14:schemeClr w14:val="tx1"/>
                  </w14:solidFill>
                </w14:textFill>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1CCC9C81">
            <w:pPr>
              <w:spacing w:line="340" w:lineRule="exact"/>
              <w:jc w:val="left"/>
              <w:rPr>
                <w:color w:val="000000" w:themeColor="text1"/>
                <w:sz w:val="24"/>
                <w:szCs w:val="24"/>
                <w:highlight w:val="none"/>
                <w14:textFill>
                  <w14:solidFill>
                    <w14:schemeClr w14:val="tx1"/>
                  </w14:solidFill>
                </w14:textFill>
              </w:rPr>
            </w:pPr>
          </w:p>
        </w:tc>
        <w:tc>
          <w:tcPr>
            <w:tcW w:w="778" w:type="pct"/>
            <w:tcBorders>
              <w:top w:val="single" w:color="auto" w:sz="6" w:space="0"/>
              <w:left w:val="single" w:color="auto" w:sz="6" w:space="0"/>
              <w:bottom w:val="single" w:color="auto" w:sz="6" w:space="0"/>
              <w:right w:val="single" w:color="auto" w:sz="12" w:space="0"/>
            </w:tcBorders>
            <w:noWrap/>
          </w:tcPr>
          <w:p w14:paraId="6431F644">
            <w:pPr>
              <w:spacing w:line="340" w:lineRule="exact"/>
              <w:jc w:val="left"/>
              <w:rPr>
                <w:color w:val="000000" w:themeColor="text1"/>
                <w:sz w:val="24"/>
                <w:szCs w:val="24"/>
                <w:highlight w:val="none"/>
                <w14:textFill>
                  <w14:solidFill>
                    <w14:schemeClr w14:val="tx1"/>
                  </w14:solidFill>
                </w14:textFill>
              </w:rPr>
            </w:pPr>
          </w:p>
        </w:tc>
      </w:tr>
      <w:tr w14:paraId="197BDD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60" w:type="pct"/>
            <w:tcBorders>
              <w:top w:val="single" w:color="auto" w:sz="6" w:space="0"/>
              <w:left w:val="single" w:color="auto" w:sz="12" w:space="0"/>
              <w:bottom w:val="single" w:color="auto" w:sz="6" w:space="0"/>
              <w:right w:val="single" w:color="auto" w:sz="6" w:space="0"/>
            </w:tcBorders>
            <w:noWrap/>
          </w:tcPr>
          <w:p w14:paraId="7F15951E">
            <w:pPr>
              <w:spacing w:line="3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1AF6B03D">
            <w:pPr>
              <w:spacing w:line="340" w:lineRule="exact"/>
              <w:jc w:val="left"/>
              <w:rPr>
                <w:rFonts w:ascii="宋体" w:hAnsi="宋体"/>
                <w:color w:val="000000" w:themeColor="text1"/>
                <w:sz w:val="24"/>
                <w:szCs w:val="24"/>
                <w:highlight w:val="none"/>
                <w14:textFill>
                  <w14:solidFill>
                    <w14:schemeClr w14:val="tx1"/>
                  </w14:solidFill>
                </w14:textFill>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4324C926">
            <w:pPr>
              <w:spacing w:line="340" w:lineRule="exact"/>
              <w:jc w:val="left"/>
              <w:rPr>
                <w:rFonts w:ascii="宋体" w:hAnsi="宋体"/>
                <w:color w:val="000000" w:themeColor="text1"/>
                <w:sz w:val="24"/>
                <w:szCs w:val="24"/>
                <w:highlight w:val="none"/>
                <w14:textFill>
                  <w14:solidFill>
                    <w14:schemeClr w14:val="tx1"/>
                  </w14:solidFill>
                </w14:textFill>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7041E41D">
            <w:pPr>
              <w:spacing w:line="340" w:lineRule="exact"/>
              <w:jc w:val="left"/>
              <w:rPr>
                <w:color w:val="000000" w:themeColor="text1"/>
                <w:sz w:val="24"/>
                <w:szCs w:val="24"/>
                <w:highlight w:val="none"/>
                <w14:textFill>
                  <w14:solidFill>
                    <w14:schemeClr w14:val="tx1"/>
                  </w14:solidFill>
                </w14:textFill>
              </w:rPr>
            </w:pPr>
          </w:p>
        </w:tc>
        <w:tc>
          <w:tcPr>
            <w:tcW w:w="778" w:type="pct"/>
            <w:tcBorders>
              <w:top w:val="single" w:color="auto" w:sz="6" w:space="0"/>
              <w:left w:val="single" w:color="auto" w:sz="6" w:space="0"/>
              <w:bottom w:val="single" w:color="auto" w:sz="6" w:space="0"/>
              <w:right w:val="single" w:color="auto" w:sz="12" w:space="0"/>
            </w:tcBorders>
            <w:noWrap/>
          </w:tcPr>
          <w:p w14:paraId="094571DE">
            <w:pPr>
              <w:spacing w:line="340" w:lineRule="exact"/>
              <w:jc w:val="left"/>
              <w:rPr>
                <w:color w:val="000000" w:themeColor="text1"/>
                <w:sz w:val="24"/>
                <w:szCs w:val="24"/>
                <w:highlight w:val="none"/>
                <w14:textFill>
                  <w14:solidFill>
                    <w14:schemeClr w14:val="tx1"/>
                  </w14:solidFill>
                </w14:textFill>
              </w:rPr>
            </w:pPr>
          </w:p>
        </w:tc>
      </w:tr>
      <w:tr w14:paraId="7626A2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60" w:type="pct"/>
            <w:tcBorders>
              <w:top w:val="single" w:color="auto" w:sz="6" w:space="0"/>
              <w:left w:val="single" w:color="auto" w:sz="12" w:space="0"/>
              <w:bottom w:val="single" w:color="auto" w:sz="6" w:space="0"/>
              <w:right w:val="single" w:color="auto" w:sz="6" w:space="0"/>
            </w:tcBorders>
            <w:noWrap/>
          </w:tcPr>
          <w:p w14:paraId="05A553DB">
            <w:pPr>
              <w:spacing w:line="3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3F582390">
            <w:pPr>
              <w:spacing w:line="340" w:lineRule="exact"/>
              <w:jc w:val="left"/>
              <w:rPr>
                <w:rFonts w:ascii="宋体" w:hAnsi="宋体"/>
                <w:color w:val="000000" w:themeColor="text1"/>
                <w:sz w:val="24"/>
                <w:szCs w:val="24"/>
                <w:highlight w:val="none"/>
                <w14:textFill>
                  <w14:solidFill>
                    <w14:schemeClr w14:val="tx1"/>
                  </w14:solidFill>
                </w14:textFill>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03BC2B26">
            <w:pPr>
              <w:spacing w:line="340" w:lineRule="exact"/>
              <w:jc w:val="left"/>
              <w:rPr>
                <w:color w:val="000000" w:themeColor="text1"/>
                <w:sz w:val="24"/>
                <w:szCs w:val="24"/>
                <w:highlight w:val="none"/>
                <w14:textFill>
                  <w14:solidFill>
                    <w14:schemeClr w14:val="tx1"/>
                  </w14:solidFill>
                </w14:textFill>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4E2F4005">
            <w:pPr>
              <w:spacing w:line="340" w:lineRule="exact"/>
              <w:jc w:val="left"/>
              <w:rPr>
                <w:color w:val="000000" w:themeColor="text1"/>
                <w:sz w:val="24"/>
                <w:szCs w:val="24"/>
                <w:highlight w:val="none"/>
                <w14:textFill>
                  <w14:solidFill>
                    <w14:schemeClr w14:val="tx1"/>
                  </w14:solidFill>
                </w14:textFill>
              </w:rPr>
            </w:pPr>
          </w:p>
        </w:tc>
        <w:tc>
          <w:tcPr>
            <w:tcW w:w="778" w:type="pct"/>
            <w:tcBorders>
              <w:top w:val="single" w:color="auto" w:sz="6" w:space="0"/>
              <w:left w:val="single" w:color="auto" w:sz="6" w:space="0"/>
              <w:bottom w:val="single" w:color="auto" w:sz="6" w:space="0"/>
              <w:right w:val="single" w:color="auto" w:sz="12" w:space="0"/>
            </w:tcBorders>
            <w:noWrap/>
          </w:tcPr>
          <w:p w14:paraId="3385942A">
            <w:pPr>
              <w:spacing w:line="340" w:lineRule="exact"/>
              <w:jc w:val="left"/>
              <w:rPr>
                <w:color w:val="000000" w:themeColor="text1"/>
                <w:sz w:val="24"/>
                <w:szCs w:val="24"/>
                <w:highlight w:val="none"/>
                <w14:textFill>
                  <w14:solidFill>
                    <w14:schemeClr w14:val="tx1"/>
                  </w14:solidFill>
                </w14:textFill>
              </w:rPr>
            </w:pPr>
          </w:p>
        </w:tc>
      </w:tr>
      <w:tr w14:paraId="2FC806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60" w:type="pct"/>
            <w:tcBorders>
              <w:top w:val="single" w:color="auto" w:sz="6" w:space="0"/>
              <w:left w:val="single" w:color="auto" w:sz="12" w:space="0"/>
              <w:bottom w:val="single" w:color="auto" w:sz="6" w:space="0"/>
              <w:right w:val="single" w:color="auto" w:sz="6" w:space="0"/>
            </w:tcBorders>
            <w:noWrap/>
          </w:tcPr>
          <w:p w14:paraId="5492712D">
            <w:pPr>
              <w:spacing w:line="3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3127CCFC">
            <w:pPr>
              <w:spacing w:line="340" w:lineRule="exact"/>
              <w:jc w:val="left"/>
              <w:rPr>
                <w:rFonts w:ascii="宋体" w:hAnsi="宋体"/>
                <w:color w:val="000000" w:themeColor="text1"/>
                <w:sz w:val="24"/>
                <w:szCs w:val="24"/>
                <w:highlight w:val="none"/>
                <w14:textFill>
                  <w14:solidFill>
                    <w14:schemeClr w14:val="tx1"/>
                  </w14:solidFill>
                </w14:textFill>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B9EAEDB">
            <w:pPr>
              <w:spacing w:line="340" w:lineRule="exact"/>
              <w:jc w:val="left"/>
              <w:rPr>
                <w:rFonts w:ascii="宋体" w:hAnsi="宋体"/>
                <w:color w:val="000000" w:themeColor="text1"/>
                <w:sz w:val="24"/>
                <w:szCs w:val="24"/>
                <w:highlight w:val="none"/>
                <w14:textFill>
                  <w14:solidFill>
                    <w14:schemeClr w14:val="tx1"/>
                  </w14:solidFill>
                </w14:textFill>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607190B5">
            <w:pPr>
              <w:spacing w:line="340" w:lineRule="exact"/>
              <w:jc w:val="left"/>
              <w:rPr>
                <w:color w:val="000000" w:themeColor="text1"/>
                <w:sz w:val="24"/>
                <w:szCs w:val="24"/>
                <w:highlight w:val="none"/>
                <w14:textFill>
                  <w14:solidFill>
                    <w14:schemeClr w14:val="tx1"/>
                  </w14:solidFill>
                </w14:textFill>
              </w:rPr>
            </w:pPr>
          </w:p>
        </w:tc>
        <w:tc>
          <w:tcPr>
            <w:tcW w:w="778" w:type="pct"/>
            <w:tcBorders>
              <w:top w:val="single" w:color="auto" w:sz="6" w:space="0"/>
              <w:left w:val="single" w:color="auto" w:sz="6" w:space="0"/>
              <w:bottom w:val="single" w:color="auto" w:sz="6" w:space="0"/>
              <w:right w:val="single" w:color="auto" w:sz="12" w:space="0"/>
            </w:tcBorders>
            <w:noWrap/>
          </w:tcPr>
          <w:p w14:paraId="53CA434E">
            <w:pPr>
              <w:spacing w:line="340" w:lineRule="exact"/>
              <w:jc w:val="left"/>
              <w:rPr>
                <w:color w:val="000000" w:themeColor="text1"/>
                <w:sz w:val="24"/>
                <w:szCs w:val="24"/>
                <w:highlight w:val="none"/>
                <w14:textFill>
                  <w14:solidFill>
                    <w14:schemeClr w14:val="tx1"/>
                  </w14:solidFill>
                </w14:textFill>
              </w:rPr>
            </w:pPr>
          </w:p>
        </w:tc>
      </w:tr>
    </w:tbl>
    <w:p w14:paraId="7009FDFF">
      <w:pPr>
        <w:spacing w:line="560" w:lineRule="exact"/>
        <w:contextualSpacing/>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注：</w:t>
      </w:r>
    </w:p>
    <w:p w14:paraId="631FE046">
      <w:pPr>
        <w:spacing w:line="560" w:lineRule="exact"/>
        <w:ind w:firstLine="480"/>
        <w:contextualSpacing/>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1.供应商提交的响应文件中与</w:t>
      </w:r>
      <w:r>
        <w:rPr>
          <w:rFonts w:hint="eastAsia" w:ascii="宋体" w:hAnsi="宋体"/>
          <w:color w:val="000000" w:themeColor="text1"/>
          <w:sz w:val="24"/>
          <w:szCs w:val="24"/>
          <w:highlight w:val="none"/>
          <w:lang w:eastAsia="zh-CN"/>
          <w14:textFill>
            <w14:solidFill>
              <w14:schemeClr w14:val="tx1"/>
            </w14:solidFill>
          </w14:textFill>
        </w:rPr>
        <w:t>磋商</w:t>
      </w:r>
      <w:r>
        <w:rPr>
          <w:rFonts w:hint="eastAsia" w:ascii="宋体" w:hAnsi="宋体"/>
          <w:color w:val="000000" w:themeColor="text1"/>
          <w:sz w:val="24"/>
          <w:szCs w:val="24"/>
          <w:highlight w:val="none"/>
          <w14:textFill>
            <w14:solidFill>
              <w14:schemeClr w14:val="tx1"/>
            </w14:solidFill>
          </w14:textFill>
        </w:rPr>
        <w:t>文件第三部分“项目需求”中的商务部分的要求，应逐条填列在偏离表中。</w:t>
      </w:r>
    </w:p>
    <w:p w14:paraId="1F841A4D">
      <w:pPr>
        <w:spacing w:line="560" w:lineRule="exact"/>
        <w:ind w:firstLine="480"/>
        <w:contextualSpacing/>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2.“偏离说明”一栏选择“正偏离”、“无偏离”、“负偏离”进行填写。正偏离、无偏离的确认和负偏离的是否响应采购文件，由</w:t>
      </w:r>
      <w:r>
        <w:rPr>
          <w:rFonts w:hint="eastAsia" w:ascii="宋体" w:hAnsi="宋体"/>
          <w:color w:val="000000" w:themeColor="text1"/>
          <w:sz w:val="24"/>
          <w:szCs w:val="24"/>
          <w:highlight w:val="none"/>
          <w:lang w:eastAsia="zh-CN"/>
          <w14:textFill>
            <w14:solidFill>
              <w14:schemeClr w14:val="tx1"/>
            </w14:solidFill>
          </w14:textFill>
        </w:rPr>
        <w:t>磋商</w:t>
      </w:r>
      <w:r>
        <w:rPr>
          <w:rFonts w:hint="eastAsia" w:ascii="宋体" w:hAnsi="宋体"/>
          <w:color w:val="000000" w:themeColor="text1"/>
          <w:sz w:val="24"/>
          <w:szCs w:val="24"/>
          <w:highlight w:val="none"/>
          <w14:textFill>
            <w14:solidFill>
              <w14:schemeClr w14:val="tx1"/>
            </w14:solidFill>
          </w14:textFill>
        </w:rPr>
        <w:t>小组认定。</w:t>
      </w:r>
    </w:p>
    <w:p w14:paraId="669D80F3">
      <w:pPr>
        <w:spacing w:line="560" w:lineRule="exact"/>
        <w:ind w:firstLine="480"/>
        <w:contextualSpacing/>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3.供应商如果虚假响应，将被暂停参加采购人组织政府采购活动。</w:t>
      </w:r>
    </w:p>
    <w:p w14:paraId="003040E5">
      <w:pPr>
        <w:spacing w:line="560" w:lineRule="exact"/>
        <w:ind w:firstLine="480"/>
        <w:contextualSpacing/>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4.供应商若提供其他增值服务，可以在表中自行据实填写。</w:t>
      </w:r>
    </w:p>
    <w:p w14:paraId="5F45742B">
      <w:pPr>
        <w:spacing w:line="560" w:lineRule="exact"/>
        <w:ind w:firstLine="540"/>
        <w:contextualSpacing/>
        <w:rPr>
          <w:rFonts w:ascii="宋体" w:hAnsi="宋体" w:cs="宋体"/>
          <w:b/>
          <w:color w:val="000000" w:themeColor="text1"/>
          <w:sz w:val="28"/>
          <w:szCs w:val="28"/>
          <w:highlight w:val="none"/>
          <w14:textFill>
            <w14:solidFill>
              <w14:schemeClr w14:val="tx1"/>
            </w14:solidFill>
          </w14:textFill>
        </w:rPr>
      </w:pPr>
    </w:p>
    <w:p w14:paraId="520EAFBD">
      <w:pPr>
        <w:spacing w:line="460" w:lineRule="exact"/>
        <w:rPr>
          <w:rFonts w:ascii="宋体" w:hAnsi="宋体"/>
          <w:bCs/>
          <w:color w:val="000000" w:themeColor="text1"/>
          <w:sz w:val="24"/>
          <w:szCs w:val="21"/>
          <w:highlight w:val="none"/>
          <w14:textFill>
            <w14:solidFill>
              <w14:schemeClr w14:val="tx1"/>
            </w14:solidFill>
          </w14:textFill>
        </w:rPr>
      </w:pPr>
    </w:p>
    <w:p w14:paraId="6F4176FD">
      <w:pPr>
        <w:spacing w:line="300" w:lineRule="auto"/>
        <w:outlineLvl w:val="3"/>
        <w:rPr>
          <w:rFonts w:hint="eastAsia" w:ascii="Times New Roman" w:hAnsi="Times New Roman" w:eastAsia="方正黑体_GBK"/>
          <w:color w:val="000000" w:themeColor="text1"/>
          <w:sz w:val="32"/>
          <w:szCs w:val="32"/>
          <w:highlight w:val="none"/>
          <w:lang w:val="zh-CN" w:eastAsia="zh-CN"/>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br w:type="page" w:clear="all"/>
      </w:r>
      <w:r>
        <w:rPr>
          <w:rFonts w:hint="eastAsia" w:ascii="Times New Roman" w:hAnsi="Times New Roman" w:eastAsia="方正黑体_GBK"/>
          <w:color w:val="000000" w:themeColor="text1"/>
          <w:sz w:val="32"/>
          <w:szCs w:val="32"/>
          <w:highlight w:val="none"/>
          <w:lang w:val="zh-CN"/>
          <w14:textFill>
            <w14:solidFill>
              <w14:schemeClr w14:val="tx1"/>
            </w14:solidFill>
          </w14:textFill>
        </w:rPr>
        <w:t>附件</w:t>
      </w:r>
      <w:r>
        <w:rPr>
          <w:rFonts w:hint="eastAsia" w:eastAsia="方正黑体_GBK"/>
          <w:color w:val="000000" w:themeColor="text1"/>
          <w:sz w:val="32"/>
          <w:szCs w:val="32"/>
          <w:highlight w:val="none"/>
          <w:lang w:val="en-US" w:eastAsia="zh-CN"/>
          <w14:textFill>
            <w14:solidFill>
              <w14:schemeClr w14:val="tx1"/>
            </w14:solidFill>
          </w14:textFill>
        </w:rPr>
        <w:t>6</w:t>
      </w:r>
    </w:p>
    <w:p w14:paraId="1B598214">
      <w:pPr>
        <w:spacing w:line="300" w:lineRule="auto"/>
        <w:contextualSpacing/>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技术部分正负偏离表</w:t>
      </w:r>
    </w:p>
    <w:p w14:paraId="3109FA0B">
      <w:pPr>
        <w:ind w:firstLine="560"/>
        <w:jc w:val="cente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（由供应商据实填写，表格不够自行添加）</w:t>
      </w:r>
    </w:p>
    <w:tbl>
      <w:tblPr>
        <w:tblStyle w:val="3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11"/>
        <w:gridCol w:w="2255"/>
        <w:gridCol w:w="2856"/>
        <w:gridCol w:w="2564"/>
        <w:gridCol w:w="1330"/>
      </w:tblGrid>
      <w:tr w14:paraId="0E9112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346BED26">
            <w:pPr>
              <w:spacing w:line="3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574B93AA">
            <w:pPr>
              <w:spacing w:line="3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04EB3482">
            <w:pPr>
              <w:spacing w:line="3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磋商</w:t>
            </w:r>
            <w:r>
              <w:rPr>
                <w:rFonts w:hint="eastAsia" w:ascii="宋体" w:hAnsi="宋体"/>
                <w:color w:val="000000" w:themeColor="text1"/>
                <w:sz w:val="24"/>
                <w:szCs w:val="24"/>
                <w:highlight w:val="none"/>
                <w14:textFill>
                  <w14:solidFill>
                    <w14:schemeClr w14:val="tx1"/>
                  </w14:solidFill>
                </w14:textFill>
              </w:rPr>
              <w:t>文件要求的技术要求</w:t>
            </w:r>
          </w:p>
        </w:tc>
        <w:tc>
          <w:tcPr>
            <w:tcW w:w="1413" w:type="pct"/>
            <w:tcBorders>
              <w:top w:val="single" w:color="auto" w:sz="12" w:space="0"/>
              <w:left w:val="single" w:color="auto" w:sz="6" w:space="0"/>
              <w:bottom w:val="single" w:color="auto" w:sz="6" w:space="0"/>
              <w:right w:val="single" w:color="auto" w:sz="6" w:space="0"/>
            </w:tcBorders>
            <w:noWrap/>
            <w:vAlign w:val="center"/>
          </w:tcPr>
          <w:p w14:paraId="0B564DCA">
            <w:pPr>
              <w:spacing w:line="3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229E762E">
            <w:pPr>
              <w:spacing w:line="340" w:lineRule="exact"/>
              <w:jc w:val="center"/>
              <w:rPr>
                <w:rFonts w:ascii="宋体" w:hAnsi="宋体"/>
                <w:color w:val="000000" w:themeColor="text1"/>
                <w:sz w:val="24"/>
                <w:szCs w:val="24"/>
                <w:highlight w:val="none"/>
                <w14:textFill>
                  <w14:solidFill>
                    <w14:schemeClr w14:val="tx1"/>
                  </w14:solidFill>
                </w14:textFill>
              </w:rPr>
            </w:pPr>
          </w:p>
          <w:p w14:paraId="52BBB3F7">
            <w:pPr>
              <w:spacing w:line="3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偏离说明</w:t>
            </w:r>
          </w:p>
        </w:tc>
      </w:tr>
      <w:tr w14:paraId="28A989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60" w:type="pct"/>
            <w:tcBorders>
              <w:top w:val="single" w:color="auto" w:sz="6" w:space="0"/>
              <w:left w:val="single" w:color="auto" w:sz="12" w:space="0"/>
              <w:bottom w:val="single" w:color="auto" w:sz="6" w:space="0"/>
              <w:right w:val="single" w:color="auto" w:sz="6" w:space="0"/>
            </w:tcBorders>
            <w:noWrap/>
          </w:tcPr>
          <w:p w14:paraId="17B48ABB">
            <w:pPr>
              <w:spacing w:line="3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48BAA337">
            <w:pPr>
              <w:spacing w:line="340" w:lineRule="exact"/>
              <w:jc w:val="left"/>
              <w:rPr>
                <w:rFonts w:ascii="宋体" w:hAnsi="宋体"/>
                <w:color w:val="000000" w:themeColor="text1"/>
                <w:sz w:val="24"/>
                <w:szCs w:val="24"/>
                <w:highlight w:val="none"/>
                <w14:textFill>
                  <w14:solidFill>
                    <w14:schemeClr w14:val="tx1"/>
                  </w14:solidFill>
                </w14:textFill>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6BACEE2">
            <w:pPr>
              <w:spacing w:line="340" w:lineRule="exact"/>
              <w:jc w:val="left"/>
              <w:rPr>
                <w:rFonts w:ascii="宋体" w:hAnsi="宋体"/>
                <w:color w:val="000000" w:themeColor="text1"/>
                <w:sz w:val="24"/>
                <w:szCs w:val="24"/>
                <w:highlight w:val="none"/>
                <w14:textFill>
                  <w14:solidFill>
                    <w14:schemeClr w14:val="tx1"/>
                  </w14:solidFill>
                </w14:textFill>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46806F9B">
            <w:pPr>
              <w:spacing w:line="340" w:lineRule="exact"/>
              <w:jc w:val="left"/>
              <w:rPr>
                <w:color w:val="000000" w:themeColor="text1"/>
                <w:sz w:val="24"/>
                <w:szCs w:val="24"/>
                <w:highlight w:val="none"/>
                <w14:textFill>
                  <w14:solidFill>
                    <w14:schemeClr w14:val="tx1"/>
                  </w14:solidFill>
                </w14:textFill>
              </w:rPr>
            </w:pPr>
          </w:p>
        </w:tc>
        <w:tc>
          <w:tcPr>
            <w:tcW w:w="778" w:type="pct"/>
            <w:tcBorders>
              <w:top w:val="single" w:color="auto" w:sz="6" w:space="0"/>
              <w:left w:val="single" w:color="auto" w:sz="6" w:space="0"/>
              <w:bottom w:val="single" w:color="auto" w:sz="6" w:space="0"/>
              <w:right w:val="single" w:color="auto" w:sz="12" w:space="0"/>
            </w:tcBorders>
            <w:noWrap/>
          </w:tcPr>
          <w:p w14:paraId="70CC1348">
            <w:pPr>
              <w:spacing w:line="340" w:lineRule="exact"/>
              <w:jc w:val="left"/>
              <w:rPr>
                <w:color w:val="000000" w:themeColor="text1"/>
                <w:sz w:val="24"/>
                <w:szCs w:val="24"/>
                <w:highlight w:val="none"/>
                <w14:textFill>
                  <w14:solidFill>
                    <w14:schemeClr w14:val="tx1"/>
                  </w14:solidFill>
                </w14:textFill>
              </w:rPr>
            </w:pPr>
          </w:p>
        </w:tc>
      </w:tr>
      <w:tr w14:paraId="463BEC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60" w:type="pct"/>
            <w:tcBorders>
              <w:top w:val="single" w:color="auto" w:sz="6" w:space="0"/>
              <w:left w:val="single" w:color="auto" w:sz="12" w:space="0"/>
              <w:bottom w:val="single" w:color="auto" w:sz="6" w:space="0"/>
              <w:right w:val="single" w:color="auto" w:sz="6" w:space="0"/>
            </w:tcBorders>
            <w:noWrap/>
          </w:tcPr>
          <w:p w14:paraId="660E22EF">
            <w:pPr>
              <w:spacing w:line="3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7EC75FDF">
            <w:pPr>
              <w:spacing w:line="340" w:lineRule="exact"/>
              <w:jc w:val="left"/>
              <w:rPr>
                <w:rFonts w:ascii="宋体" w:hAnsi="宋体"/>
                <w:color w:val="000000" w:themeColor="text1"/>
                <w:sz w:val="24"/>
                <w:szCs w:val="24"/>
                <w:highlight w:val="none"/>
                <w14:textFill>
                  <w14:solidFill>
                    <w14:schemeClr w14:val="tx1"/>
                  </w14:solidFill>
                </w14:textFill>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5DDD448A">
            <w:pPr>
              <w:spacing w:line="340" w:lineRule="exact"/>
              <w:jc w:val="left"/>
              <w:rPr>
                <w:rFonts w:ascii="宋体" w:hAnsi="宋体"/>
                <w:color w:val="000000" w:themeColor="text1"/>
                <w:sz w:val="24"/>
                <w:szCs w:val="24"/>
                <w:highlight w:val="none"/>
                <w14:textFill>
                  <w14:solidFill>
                    <w14:schemeClr w14:val="tx1"/>
                  </w14:solidFill>
                </w14:textFill>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320D7DB8">
            <w:pPr>
              <w:spacing w:line="340" w:lineRule="exact"/>
              <w:jc w:val="left"/>
              <w:rPr>
                <w:color w:val="000000" w:themeColor="text1"/>
                <w:sz w:val="24"/>
                <w:szCs w:val="24"/>
                <w:highlight w:val="none"/>
                <w14:textFill>
                  <w14:solidFill>
                    <w14:schemeClr w14:val="tx1"/>
                  </w14:solidFill>
                </w14:textFill>
              </w:rPr>
            </w:pPr>
          </w:p>
        </w:tc>
        <w:tc>
          <w:tcPr>
            <w:tcW w:w="778" w:type="pct"/>
            <w:tcBorders>
              <w:top w:val="single" w:color="auto" w:sz="6" w:space="0"/>
              <w:left w:val="single" w:color="auto" w:sz="6" w:space="0"/>
              <w:bottom w:val="single" w:color="auto" w:sz="6" w:space="0"/>
              <w:right w:val="single" w:color="auto" w:sz="12" w:space="0"/>
            </w:tcBorders>
            <w:noWrap/>
          </w:tcPr>
          <w:p w14:paraId="64AE4216">
            <w:pPr>
              <w:spacing w:line="340" w:lineRule="exact"/>
              <w:jc w:val="left"/>
              <w:rPr>
                <w:color w:val="000000" w:themeColor="text1"/>
                <w:sz w:val="24"/>
                <w:szCs w:val="24"/>
                <w:highlight w:val="none"/>
                <w14:textFill>
                  <w14:solidFill>
                    <w14:schemeClr w14:val="tx1"/>
                  </w14:solidFill>
                </w14:textFill>
              </w:rPr>
            </w:pPr>
          </w:p>
        </w:tc>
      </w:tr>
      <w:tr w14:paraId="4CAC53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60" w:type="pct"/>
            <w:tcBorders>
              <w:top w:val="single" w:color="auto" w:sz="6" w:space="0"/>
              <w:left w:val="single" w:color="auto" w:sz="12" w:space="0"/>
              <w:bottom w:val="single" w:color="auto" w:sz="6" w:space="0"/>
              <w:right w:val="single" w:color="auto" w:sz="6" w:space="0"/>
            </w:tcBorders>
            <w:noWrap/>
          </w:tcPr>
          <w:p w14:paraId="66DAF6BF">
            <w:pPr>
              <w:spacing w:line="3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717829BA">
            <w:pPr>
              <w:spacing w:line="340" w:lineRule="exact"/>
              <w:jc w:val="left"/>
              <w:rPr>
                <w:rFonts w:ascii="宋体" w:hAnsi="宋体"/>
                <w:color w:val="000000" w:themeColor="text1"/>
                <w:sz w:val="24"/>
                <w:szCs w:val="24"/>
                <w:highlight w:val="none"/>
                <w14:textFill>
                  <w14:solidFill>
                    <w14:schemeClr w14:val="tx1"/>
                  </w14:solidFill>
                </w14:textFill>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624B29B">
            <w:pPr>
              <w:spacing w:line="340" w:lineRule="exact"/>
              <w:jc w:val="left"/>
              <w:rPr>
                <w:color w:val="000000" w:themeColor="text1"/>
                <w:sz w:val="24"/>
                <w:szCs w:val="24"/>
                <w:highlight w:val="none"/>
                <w14:textFill>
                  <w14:solidFill>
                    <w14:schemeClr w14:val="tx1"/>
                  </w14:solidFill>
                </w14:textFill>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7C8A3EC4">
            <w:pPr>
              <w:spacing w:line="340" w:lineRule="exact"/>
              <w:jc w:val="left"/>
              <w:rPr>
                <w:color w:val="000000" w:themeColor="text1"/>
                <w:sz w:val="24"/>
                <w:szCs w:val="24"/>
                <w:highlight w:val="none"/>
                <w14:textFill>
                  <w14:solidFill>
                    <w14:schemeClr w14:val="tx1"/>
                  </w14:solidFill>
                </w14:textFill>
              </w:rPr>
            </w:pPr>
          </w:p>
        </w:tc>
        <w:tc>
          <w:tcPr>
            <w:tcW w:w="778" w:type="pct"/>
            <w:tcBorders>
              <w:top w:val="single" w:color="auto" w:sz="6" w:space="0"/>
              <w:left w:val="single" w:color="auto" w:sz="6" w:space="0"/>
              <w:bottom w:val="single" w:color="auto" w:sz="6" w:space="0"/>
              <w:right w:val="single" w:color="auto" w:sz="12" w:space="0"/>
            </w:tcBorders>
            <w:noWrap/>
          </w:tcPr>
          <w:p w14:paraId="701510FC">
            <w:pPr>
              <w:spacing w:line="340" w:lineRule="exact"/>
              <w:jc w:val="left"/>
              <w:rPr>
                <w:color w:val="000000" w:themeColor="text1"/>
                <w:sz w:val="24"/>
                <w:szCs w:val="24"/>
                <w:highlight w:val="none"/>
                <w14:textFill>
                  <w14:solidFill>
                    <w14:schemeClr w14:val="tx1"/>
                  </w14:solidFill>
                </w14:textFill>
              </w:rPr>
            </w:pPr>
          </w:p>
        </w:tc>
      </w:tr>
      <w:tr w14:paraId="52EA63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60" w:type="pct"/>
            <w:tcBorders>
              <w:top w:val="single" w:color="auto" w:sz="6" w:space="0"/>
              <w:left w:val="single" w:color="auto" w:sz="12" w:space="0"/>
              <w:bottom w:val="single" w:color="auto" w:sz="6" w:space="0"/>
              <w:right w:val="single" w:color="auto" w:sz="6" w:space="0"/>
            </w:tcBorders>
            <w:noWrap/>
          </w:tcPr>
          <w:p w14:paraId="73F08BDE">
            <w:pPr>
              <w:spacing w:line="3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4CA491AE">
            <w:pPr>
              <w:spacing w:line="340" w:lineRule="exact"/>
              <w:jc w:val="left"/>
              <w:rPr>
                <w:rFonts w:ascii="宋体" w:hAnsi="宋体"/>
                <w:color w:val="000000" w:themeColor="text1"/>
                <w:sz w:val="24"/>
                <w:szCs w:val="24"/>
                <w:highlight w:val="none"/>
                <w14:textFill>
                  <w14:solidFill>
                    <w14:schemeClr w14:val="tx1"/>
                  </w14:solidFill>
                </w14:textFill>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0FE6A21">
            <w:pPr>
              <w:spacing w:line="340" w:lineRule="exact"/>
              <w:jc w:val="left"/>
              <w:rPr>
                <w:rFonts w:ascii="宋体" w:hAnsi="宋体"/>
                <w:color w:val="000000" w:themeColor="text1"/>
                <w:sz w:val="24"/>
                <w:szCs w:val="24"/>
                <w:highlight w:val="none"/>
                <w14:textFill>
                  <w14:solidFill>
                    <w14:schemeClr w14:val="tx1"/>
                  </w14:solidFill>
                </w14:textFill>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062A7C3F">
            <w:pPr>
              <w:spacing w:line="340" w:lineRule="exact"/>
              <w:jc w:val="left"/>
              <w:rPr>
                <w:color w:val="000000" w:themeColor="text1"/>
                <w:sz w:val="24"/>
                <w:szCs w:val="24"/>
                <w:highlight w:val="none"/>
                <w14:textFill>
                  <w14:solidFill>
                    <w14:schemeClr w14:val="tx1"/>
                  </w14:solidFill>
                </w14:textFill>
              </w:rPr>
            </w:pPr>
          </w:p>
        </w:tc>
        <w:tc>
          <w:tcPr>
            <w:tcW w:w="778" w:type="pct"/>
            <w:tcBorders>
              <w:top w:val="single" w:color="auto" w:sz="6" w:space="0"/>
              <w:left w:val="single" w:color="auto" w:sz="6" w:space="0"/>
              <w:bottom w:val="single" w:color="auto" w:sz="6" w:space="0"/>
              <w:right w:val="single" w:color="auto" w:sz="12" w:space="0"/>
            </w:tcBorders>
            <w:noWrap/>
          </w:tcPr>
          <w:p w14:paraId="3E1EE7C8">
            <w:pPr>
              <w:spacing w:line="340" w:lineRule="exact"/>
              <w:jc w:val="left"/>
              <w:rPr>
                <w:color w:val="000000" w:themeColor="text1"/>
                <w:sz w:val="24"/>
                <w:szCs w:val="24"/>
                <w:highlight w:val="none"/>
                <w14:textFill>
                  <w14:solidFill>
                    <w14:schemeClr w14:val="tx1"/>
                  </w14:solidFill>
                </w14:textFill>
              </w:rPr>
            </w:pPr>
          </w:p>
        </w:tc>
      </w:tr>
    </w:tbl>
    <w:p w14:paraId="2AB8AEDA">
      <w:pPr>
        <w:spacing w:line="560" w:lineRule="exact"/>
        <w:contextualSpacing/>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注：</w:t>
      </w:r>
    </w:p>
    <w:p w14:paraId="5BFD1D1E">
      <w:pPr>
        <w:spacing w:line="560" w:lineRule="exact"/>
        <w:ind w:firstLine="480"/>
        <w:contextualSpacing/>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1.供应商提交的响应文件中与</w:t>
      </w:r>
      <w:r>
        <w:rPr>
          <w:rFonts w:hint="eastAsia" w:ascii="宋体" w:hAnsi="宋体"/>
          <w:color w:val="000000" w:themeColor="text1"/>
          <w:sz w:val="24"/>
          <w:szCs w:val="24"/>
          <w:highlight w:val="none"/>
          <w:lang w:eastAsia="zh-CN"/>
          <w14:textFill>
            <w14:solidFill>
              <w14:schemeClr w14:val="tx1"/>
            </w14:solidFill>
          </w14:textFill>
        </w:rPr>
        <w:t>磋商</w:t>
      </w:r>
      <w:r>
        <w:rPr>
          <w:rFonts w:hint="eastAsia" w:ascii="宋体" w:hAnsi="宋体"/>
          <w:color w:val="000000" w:themeColor="text1"/>
          <w:sz w:val="24"/>
          <w:szCs w:val="24"/>
          <w:highlight w:val="none"/>
          <w14:textFill>
            <w14:solidFill>
              <w14:schemeClr w14:val="tx1"/>
            </w14:solidFill>
          </w14:textFill>
        </w:rPr>
        <w:t>文件第三部分“项目需求”中的技术部分的要求，应逐条填列在偏离表中。</w:t>
      </w:r>
    </w:p>
    <w:p w14:paraId="1E6AFC7F">
      <w:pPr>
        <w:spacing w:line="560" w:lineRule="exact"/>
        <w:ind w:firstLine="480"/>
        <w:contextualSpacing/>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2.“偏离说明”一栏选择“正偏离”、“无偏离”、“负偏离”进行填写。正偏离、无偏离的确认和负偏离的是否响应采购文件，由</w:t>
      </w:r>
      <w:r>
        <w:rPr>
          <w:rFonts w:hint="eastAsia" w:ascii="宋体" w:hAnsi="宋体"/>
          <w:color w:val="000000" w:themeColor="text1"/>
          <w:sz w:val="24"/>
          <w:szCs w:val="24"/>
          <w:highlight w:val="none"/>
          <w:lang w:eastAsia="zh-CN"/>
          <w14:textFill>
            <w14:solidFill>
              <w14:schemeClr w14:val="tx1"/>
            </w14:solidFill>
          </w14:textFill>
        </w:rPr>
        <w:t>磋商</w:t>
      </w:r>
      <w:r>
        <w:rPr>
          <w:rFonts w:hint="eastAsia" w:ascii="宋体" w:hAnsi="宋体"/>
          <w:color w:val="000000" w:themeColor="text1"/>
          <w:sz w:val="24"/>
          <w:szCs w:val="24"/>
          <w:highlight w:val="none"/>
          <w14:textFill>
            <w14:solidFill>
              <w14:schemeClr w14:val="tx1"/>
            </w14:solidFill>
          </w14:textFill>
        </w:rPr>
        <w:t>小组认定。</w:t>
      </w:r>
    </w:p>
    <w:p w14:paraId="34238BF3">
      <w:pPr>
        <w:spacing w:line="560" w:lineRule="exact"/>
        <w:ind w:firstLine="480"/>
        <w:contextualSpacing/>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3.供应商如果虚假响应，将被暂停参加采购人组织政府采购活动。</w:t>
      </w:r>
    </w:p>
    <w:p w14:paraId="255FB9E3">
      <w:pPr>
        <w:spacing w:line="560" w:lineRule="exact"/>
        <w:ind w:firstLine="480"/>
        <w:contextualSpacing/>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4.供应商若提供其他增值服务，可以在表中自行据实填写。</w:t>
      </w:r>
    </w:p>
    <w:p w14:paraId="7E2B2A4D">
      <w:pPr>
        <w:spacing w:line="460" w:lineRule="exact"/>
        <w:rPr>
          <w:rFonts w:ascii="宋体" w:hAnsi="宋体"/>
          <w:bCs/>
          <w:color w:val="000000" w:themeColor="text1"/>
          <w:sz w:val="24"/>
          <w:szCs w:val="21"/>
          <w:highlight w:val="none"/>
          <w14:textFill>
            <w14:solidFill>
              <w14:schemeClr w14:val="tx1"/>
            </w14:solidFill>
          </w14:textFill>
        </w:rPr>
      </w:pPr>
    </w:p>
    <w:p w14:paraId="5BAFE927">
      <w:pPr>
        <w:spacing w:line="300" w:lineRule="auto"/>
        <w:outlineLvl w:val="3"/>
        <w:rPr>
          <w:rFonts w:hint="eastAsia" w:ascii="Times New Roman" w:hAnsi="Times New Roman" w:eastAsia="方正黑体_GBK"/>
          <w:color w:val="000000" w:themeColor="text1"/>
          <w:sz w:val="32"/>
          <w:szCs w:val="32"/>
          <w:highlight w:val="none"/>
          <w:lang w:val="zh-CN" w:eastAsia="zh-CN"/>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br w:type="page" w:clear="all"/>
      </w:r>
      <w:r>
        <w:rPr>
          <w:rFonts w:hint="eastAsia" w:ascii="Times New Roman" w:hAnsi="Times New Roman" w:eastAsia="方正黑体_GBK"/>
          <w:color w:val="000000" w:themeColor="text1"/>
          <w:sz w:val="32"/>
          <w:szCs w:val="32"/>
          <w:highlight w:val="none"/>
          <w:lang w:val="zh-CN"/>
          <w14:textFill>
            <w14:solidFill>
              <w14:schemeClr w14:val="tx1"/>
            </w14:solidFill>
          </w14:textFill>
        </w:rPr>
        <w:t>附件</w:t>
      </w:r>
      <w:r>
        <w:rPr>
          <w:rFonts w:hint="eastAsia" w:eastAsia="方正黑体_GBK"/>
          <w:color w:val="000000" w:themeColor="text1"/>
          <w:sz w:val="32"/>
          <w:szCs w:val="32"/>
          <w:highlight w:val="none"/>
          <w:lang w:val="en-US" w:eastAsia="zh-CN"/>
          <w14:textFill>
            <w14:solidFill>
              <w14:schemeClr w14:val="tx1"/>
            </w14:solidFill>
          </w14:textFill>
        </w:rPr>
        <w:t>7</w:t>
      </w:r>
    </w:p>
    <w:p w14:paraId="64F735A0">
      <w:pPr>
        <w:widowControl/>
        <w:spacing w:before="100" w:beforeAutospacing="1" w:after="100" w:afterAutospacing="1" w:line="500" w:lineRule="atLeast"/>
        <w:jc w:val="center"/>
        <w:rPr>
          <w:rFonts w:ascii="宋体" w:hAnsi="宋体" w:cs="宋体"/>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报价总表</w:t>
      </w:r>
    </w:p>
    <w:p w14:paraId="605EC886">
      <w:pPr>
        <w:keepNext w:val="0"/>
        <w:keepLines w:val="0"/>
        <w:pageBreakBefore w:val="0"/>
        <w:widowControl w:val="0"/>
        <w:spacing w:line="520" w:lineRule="exact"/>
        <w:rPr>
          <w:rFonts w:ascii="宋体" w:hAnsi="宋体" w:cs="宋体"/>
          <w:color w:val="000000" w:themeColor="text1"/>
          <w:sz w:val="28"/>
          <w:szCs w:val="28"/>
          <w:highlight w:val="none"/>
          <w:u w:val="singl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供应商全称（加盖公章）：</w:t>
      </w:r>
    </w:p>
    <w:p w14:paraId="30C9DA6C">
      <w:pPr>
        <w:keepNext w:val="0"/>
        <w:keepLines w:val="0"/>
        <w:pageBreakBefore w:val="0"/>
        <w:widowControl w:val="0"/>
        <w:spacing w:line="520" w:lineRule="exact"/>
        <w:rPr>
          <w:rFonts w:ascii="宋体" w:hAnsi="宋体" w:cs="宋体"/>
          <w:color w:val="000000" w:themeColor="text1"/>
          <w:sz w:val="28"/>
          <w:szCs w:val="28"/>
          <w:highlight w:val="none"/>
          <w:u w:val="singl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项目名称：</w:t>
      </w:r>
    </w:p>
    <w:p w14:paraId="30FE7018">
      <w:pPr>
        <w:keepNext w:val="0"/>
        <w:keepLines w:val="0"/>
        <w:pageBreakBefore w:val="0"/>
        <w:widowControl w:val="0"/>
        <w:spacing w:line="52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项目编号：</w:t>
      </w:r>
    </w:p>
    <w:p w14:paraId="5D1D53DB">
      <w:pPr>
        <w:keepNext w:val="0"/>
        <w:keepLines w:val="0"/>
        <w:pageBreakBefore w:val="0"/>
        <w:widowControl w:val="0"/>
        <w:spacing w:line="52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分包号：</w:t>
      </w:r>
    </w:p>
    <w:tbl>
      <w:tblPr>
        <w:tblStyle w:val="39"/>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4607"/>
      </w:tblGrid>
      <w:tr w14:paraId="3954A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noWrap w:val="0"/>
            <w:vAlign w:val="top"/>
          </w:tcPr>
          <w:p w14:paraId="06B3EBF6">
            <w:pPr>
              <w:spacing w:line="560" w:lineRule="exact"/>
              <w:jc w:val="center"/>
              <w:rPr>
                <w:rFonts w:ascii="等线" w:hAnsi="等线" w:eastAsia="等线"/>
                <w:color w:val="000000" w:themeColor="text1"/>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磋商</w:t>
            </w:r>
            <w:r>
              <w:rPr>
                <w:rFonts w:ascii="宋体" w:hAnsi="宋体" w:cs="宋体"/>
                <w:color w:val="000000" w:themeColor="text1"/>
                <w:sz w:val="28"/>
                <w:szCs w:val="28"/>
                <w:highlight w:val="none"/>
                <w14:textFill>
                  <w14:solidFill>
                    <w14:schemeClr w14:val="tx1"/>
                  </w14:solidFill>
                </w14:textFill>
              </w:rPr>
              <w:t>货物、服务名称</w:t>
            </w:r>
          </w:p>
        </w:tc>
        <w:tc>
          <w:tcPr>
            <w:tcW w:w="4607" w:type="dxa"/>
            <w:noWrap w:val="0"/>
            <w:vAlign w:val="top"/>
          </w:tcPr>
          <w:p w14:paraId="3B1C0EE4">
            <w:pPr>
              <w:spacing w:line="560" w:lineRule="exact"/>
              <w:jc w:val="center"/>
              <w:rPr>
                <w:rFonts w:ascii="等线" w:hAnsi="等线" w:eastAsia="等线"/>
                <w:color w:val="000000" w:themeColor="text1"/>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磋商</w:t>
            </w:r>
            <w:r>
              <w:rPr>
                <w:rFonts w:ascii="宋体" w:hAnsi="宋体" w:cs="宋体"/>
                <w:color w:val="000000" w:themeColor="text1"/>
                <w:sz w:val="28"/>
                <w:szCs w:val="28"/>
                <w:highlight w:val="none"/>
                <w14:textFill>
                  <w14:solidFill>
                    <w14:schemeClr w14:val="tx1"/>
                  </w14:solidFill>
                </w14:textFill>
              </w:rPr>
              <w:t>总报价</w:t>
            </w:r>
          </w:p>
        </w:tc>
      </w:tr>
      <w:tr w14:paraId="11E99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4148" w:type="dxa"/>
            <w:noWrap w:val="0"/>
            <w:vAlign w:val="top"/>
          </w:tcPr>
          <w:p w14:paraId="608A90F7">
            <w:pPr>
              <w:spacing w:line="560" w:lineRule="exact"/>
              <w:rPr>
                <w:rFonts w:ascii="等线" w:hAnsi="等线" w:eastAsia="等线"/>
                <w:color w:val="000000" w:themeColor="text1"/>
                <w:highlight w:val="none"/>
                <w14:textFill>
                  <w14:solidFill>
                    <w14:schemeClr w14:val="tx1"/>
                  </w14:solidFill>
                </w14:textFill>
              </w:rPr>
            </w:pPr>
          </w:p>
        </w:tc>
        <w:tc>
          <w:tcPr>
            <w:tcW w:w="4607" w:type="dxa"/>
            <w:noWrap w:val="0"/>
            <w:vAlign w:val="top"/>
          </w:tcPr>
          <w:p w14:paraId="52501895">
            <w:pPr>
              <w:spacing w:line="560" w:lineRule="exact"/>
              <w:rPr>
                <w:rFonts w:ascii="等线" w:hAnsi="等线" w:eastAsia="等线"/>
                <w:color w:val="000000" w:themeColor="text1"/>
                <w:highlight w:val="none"/>
                <w:u w:val="singl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大写：</w:t>
            </w:r>
            <w:r>
              <w:rPr>
                <w:rFonts w:ascii="宋体" w:hAnsi="宋体" w:cs="宋体"/>
                <w:color w:val="000000" w:themeColor="text1"/>
                <w:sz w:val="28"/>
                <w:szCs w:val="28"/>
                <w:highlight w:val="none"/>
                <w14:textFill>
                  <w14:solidFill>
                    <w14:schemeClr w14:val="tx1"/>
                  </w14:solidFill>
                </w14:textFill>
              </w:rPr>
              <w:br w:type="textWrapping"/>
            </w:r>
            <w:r>
              <w:rPr>
                <w:rFonts w:ascii="宋体" w:hAnsi="宋体" w:cs="宋体"/>
                <w:color w:val="000000" w:themeColor="text1"/>
                <w:sz w:val="28"/>
                <w:szCs w:val="28"/>
                <w:highlight w:val="none"/>
                <w14:textFill>
                  <w14:solidFill>
                    <w14:schemeClr w14:val="tx1"/>
                  </w14:solidFill>
                </w14:textFill>
              </w:rPr>
              <w:t>小写：元（人民币）</w:t>
            </w:r>
          </w:p>
        </w:tc>
      </w:tr>
      <w:tr w14:paraId="154FA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noWrap w:val="0"/>
            <w:vAlign w:val="top"/>
          </w:tcPr>
          <w:p w14:paraId="02C57625">
            <w:pPr>
              <w:spacing w:line="560" w:lineRule="exact"/>
              <w:rPr>
                <w:rFonts w:ascii="等线" w:hAnsi="等线" w:eastAsia="等线"/>
                <w:color w:val="000000" w:themeColor="text1"/>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主要货物、服务制造商及产地</w:t>
            </w:r>
          </w:p>
        </w:tc>
        <w:tc>
          <w:tcPr>
            <w:tcW w:w="4607" w:type="dxa"/>
            <w:noWrap w:val="0"/>
            <w:vAlign w:val="top"/>
          </w:tcPr>
          <w:p w14:paraId="5B3143E5">
            <w:pPr>
              <w:spacing w:line="560" w:lineRule="exact"/>
              <w:rPr>
                <w:rFonts w:ascii="等线" w:hAnsi="等线" w:eastAsia="等线"/>
                <w:color w:val="000000" w:themeColor="text1"/>
                <w:highlight w:val="none"/>
                <w14:textFill>
                  <w14:solidFill>
                    <w14:schemeClr w14:val="tx1"/>
                  </w14:solidFill>
                </w14:textFill>
              </w:rPr>
            </w:pPr>
          </w:p>
        </w:tc>
      </w:tr>
      <w:tr w14:paraId="3EEB2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4148" w:type="dxa"/>
            <w:noWrap w:val="0"/>
            <w:vAlign w:val="top"/>
          </w:tcPr>
          <w:p w14:paraId="33B3A65E">
            <w:pPr>
              <w:spacing w:line="560" w:lineRule="exact"/>
              <w:rPr>
                <w:rFonts w:ascii="等线" w:hAnsi="等线" w:eastAsia="等线"/>
                <w:color w:val="000000" w:themeColor="text1"/>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核心产品品牌（如有）</w:t>
            </w:r>
          </w:p>
        </w:tc>
        <w:tc>
          <w:tcPr>
            <w:tcW w:w="4607" w:type="dxa"/>
            <w:noWrap w:val="0"/>
            <w:vAlign w:val="top"/>
          </w:tcPr>
          <w:p w14:paraId="697CACBA">
            <w:pPr>
              <w:spacing w:line="560" w:lineRule="exact"/>
              <w:rPr>
                <w:rFonts w:ascii="等线" w:hAnsi="等线" w:eastAsia="等线"/>
                <w:color w:val="000000" w:themeColor="text1"/>
                <w:highlight w:val="none"/>
                <w14:textFill>
                  <w14:solidFill>
                    <w14:schemeClr w14:val="tx1"/>
                  </w14:solidFill>
                </w14:textFill>
              </w:rPr>
            </w:pPr>
          </w:p>
        </w:tc>
      </w:tr>
    </w:tbl>
    <w:p w14:paraId="13D3A7A2">
      <w:pPr>
        <w:spacing w:line="56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日期：</w:t>
      </w:r>
    </w:p>
    <w:p w14:paraId="0465EC29">
      <w:pPr>
        <w:spacing w:line="5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填写说明：</w:t>
      </w:r>
    </w:p>
    <w:p w14:paraId="64660E4C">
      <w:pPr>
        <w:keepNext w:val="0"/>
        <w:keepLines w:val="0"/>
        <w:pageBreakBefore w:val="0"/>
        <w:widowControl w:val="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报价总表</w:t>
      </w:r>
      <w:r>
        <w:rPr>
          <w:rFonts w:ascii="宋体" w:hAnsi="宋体" w:cs="宋体"/>
          <w:color w:val="000000" w:themeColor="text1"/>
          <w:sz w:val="24"/>
          <w:szCs w:val="24"/>
          <w:highlight w:val="none"/>
          <w14:textFill>
            <w14:solidFill>
              <w14:schemeClr w14:val="tx1"/>
            </w14:solidFill>
          </w14:textFill>
        </w:rPr>
        <w:t>必须加盖</w:t>
      </w:r>
      <w:r>
        <w:rPr>
          <w:rFonts w:hint="eastAsia" w:ascii="宋体" w:hAnsi="宋体" w:cs="宋体"/>
          <w:color w:val="000000" w:themeColor="text1"/>
          <w:sz w:val="24"/>
          <w:szCs w:val="24"/>
          <w:highlight w:val="none"/>
          <w14:textFill>
            <w14:solidFill>
              <w14:schemeClr w14:val="tx1"/>
            </w14:solidFill>
          </w14:textFill>
        </w:rPr>
        <w:t>供应商</w:t>
      </w:r>
      <w:r>
        <w:rPr>
          <w:rFonts w:ascii="宋体" w:hAnsi="宋体" w:cs="宋体"/>
          <w:color w:val="000000" w:themeColor="text1"/>
          <w:sz w:val="24"/>
          <w:szCs w:val="24"/>
          <w:highlight w:val="none"/>
          <w14:textFill>
            <w14:solidFill>
              <w14:schemeClr w14:val="tx1"/>
            </w14:solidFill>
          </w14:textFill>
        </w:rPr>
        <w:t>公章（复印件无效）。</w:t>
      </w:r>
    </w:p>
    <w:p w14:paraId="27353C63">
      <w:pPr>
        <w:keepNext w:val="0"/>
        <w:keepLines w:val="0"/>
        <w:pageBreakBefore w:val="0"/>
        <w:widowControl w:val="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ascii="宋体" w:hAnsi="宋体" w:cs="宋体"/>
          <w:color w:val="000000" w:themeColor="text1"/>
          <w:sz w:val="24"/>
          <w:szCs w:val="24"/>
          <w:highlight w:val="none"/>
          <w14:textFill>
            <w14:solidFill>
              <w14:schemeClr w14:val="tx1"/>
            </w14:solidFill>
          </w14:textFill>
        </w:rPr>
        <w:t>、如有分包，</w:t>
      </w:r>
      <w:r>
        <w:rPr>
          <w:rFonts w:hint="eastAsia" w:ascii="宋体" w:hAnsi="宋体" w:cs="宋体"/>
          <w:color w:val="000000" w:themeColor="text1"/>
          <w:sz w:val="24"/>
          <w:szCs w:val="24"/>
          <w:highlight w:val="none"/>
          <w14:textFill>
            <w14:solidFill>
              <w14:schemeClr w14:val="tx1"/>
            </w14:solidFill>
          </w14:textFill>
        </w:rPr>
        <w:t>供应商</w:t>
      </w:r>
      <w:r>
        <w:rPr>
          <w:rFonts w:ascii="宋体" w:hAnsi="宋体" w:cs="宋体"/>
          <w:color w:val="000000" w:themeColor="text1"/>
          <w:sz w:val="24"/>
          <w:szCs w:val="24"/>
          <w:highlight w:val="none"/>
          <w14:textFill>
            <w14:solidFill>
              <w14:schemeClr w14:val="tx1"/>
            </w14:solidFill>
          </w14:textFill>
        </w:rPr>
        <w:t>投任何一个包的标的，都需单独填写</w:t>
      </w:r>
      <w:r>
        <w:rPr>
          <w:rFonts w:hint="eastAsia" w:ascii="宋体" w:hAnsi="宋体" w:cs="宋体"/>
          <w:color w:val="000000" w:themeColor="text1"/>
          <w:sz w:val="24"/>
          <w:szCs w:val="24"/>
          <w:highlight w:val="none"/>
          <w14:textFill>
            <w14:solidFill>
              <w14:schemeClr w14:val="tx1"/>
            </w14:solidFill>
          </w14:textFill>
        </w:rPr>
        <w:t>报价总表</w:t>
      </w:r>
      <w:r>
        <w:rPr>
          <w:rFonts w:ascii="宋体" w:hAnsi="宋体" w:cs="宋体"/>
          <w:color w:val="000000" w:themeColor="text1"/>
          <w:sz w:val="24"/>
          <w:szCs w:val="24"/>
          <w:highlight w:val="none"/>
          <w14:textFill>
            <w14:solidFill>
              <w14:schemeClr w14:val="tx1"/>
            </w14:solidFill>
          </w14:textFill>
        </w:rPr>
        <w:t>。</w:t>
      </w:r>
    </w:p>
    <w:p w14:paraId="55FAC584">
      <w:pPr>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br w:type="page" w:clear="all"/>
      </w:r>
    </w:p>
    <w:p w14:paraId="1788CD1C">
      <w:pPr>
        <w:spacing w:line="300" w:lineRule="auto"/>
        <w:outlineLvl w:val="3"/>
        <w:rPr>
          <w:rFonts w:hint="eastAsia" w:ascii="Times New Roman" w:hAnsi="Times New Roman" w:eastAsia="方正黑体_GBK"/>
          <w:color w:val="000000" w:themeColor="text1"/>
          <w:sz w:val="32"/>
          <w:szCs w:val="32"/>
          <w:highlight w:val="none"/>
          <w:lang w:val="zh-CN" w:eastAsia="zh-CN"/>
          <w14:textFill>
            <w14:solidFill>
              <w14:schemeClr w14:val="tx1"/>
            </w14:solidFill>
          </w14:textFill>
        </w:rPr>
      </w:pPr>
      <w:r>
        <w:rPr>
          <w:rFonts w:hint="eastAsia" w:ascii="Times New Roman" w:hAnsi="Times New Roman" w:eastAsia="方正黑体_GBK"/>
          <w:color w:val="000000" w:themeColor="text1"/>
          <w:sz w:val="32"/>
          <w:szCs w:val="32"/>
          <w:highlight w:val="none"/>
          <w:lang w:val="zh-CN"/>
          <w14:textFill>
            <w14:solidFill>
              <w14:schemeClr w14:val="tx1"/>
            </w14:solidFill>
          </w14:textFill>
        </w:rPr>
        <w:t>附件</w:t>
      </w:r>
      <w:r>
        <w:rPr>
          <w:rFonts w:hint="eastAsia" w:eastAsia="方正黑体_GBK"/>
          <w:color w:val="000000" w:themeColor="text1"/>
          <w:sz w:val="32"/>
          <w:szCs w:val="32"/>
          <w:highlight w:val="none"/>
          <w:lang w:val="en-US" w:eastAsia="zh-CN"/>
          <w14:textFill>
            <w14:solidFill>
              <w14:schemeClr w14:val="tx1"/>
            </w14:solidFill>
          </w14:textFill>
        </w:rPr>
        <w:t>8</w:t>
      </w:r>
    </w:p>
    <w:p w14:paraId="496D916B">
      <w:pPr>
        <w:spacing w:line="400" w:lineRule="exact"/>
        <w:contextualSpacing/>
        <w:rPr>
          <w:rFonts w:ascii="宋体" w:hAnsi="宋体" w:cs="宋体"/>
          <w:color w:val="000000" w:themeColor="text1"/>
          <w:sz w:val="28"/>
          <w:szCs w:val="28"/>
          <w:highlight w:val="none"/>
          <w14:textFill>
            <w14:solidFill>
              <w14:schemeClr w14:val="tx1"/>
            </w14:solidFill>
          </w14:textFill>
        </w:rPr>
      </w:pPr>
    </w:p>
    <w:p w14:paraId="614AD328">
      <w:pPr>
        <w:spacing w:line="400" w:lineRule="exact"/>
        <w:jc w:val="center"/>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分项报价明细表（服务类）</w:t>
      </w:r>
    </w:p>
    <w:p w14:paraId="748CF6AA">
      <w:pPr>
        <w:spacing w:line="40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供应商（盖章）：</w:t>
      </w:r>
    </w:p>
    <w:tbl>
      <w:tblPr>
        <w:tblStyle w:val="39"/>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321"/>
        <w:gridCol w:w="1417"/>
        <w:gridCol w:w="1418"/>
        <w:gridCol w:w="1275"/>
        <w:gridCol w:w="1276"/>
        <w:gridCol w:w="851"/>
        <w:gridCol w:w="1151"/>
      </w:tblGrid>
      <w:tr w14:paraId="2C904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971" w:type="dxa"/>
            <w:noWrap/>
            <w:vAlign w:val="center"/>
          </w:tcPr>
          <w:p w14:paraId="52B2CC85">
            <w:pPr>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序号</w:t>
            </w:r>
          </w:p>
        </w:tc>
        <w:tc>
          <w:tcPr>
            <w:tcW w:w="1321" w:type="dxa"/>
            <w:noWrap/>
            <w:vAlign w:val="center"/>
          </w:tcPr>
          <w:p w14:paraId="7C85C9FC">
            <w:pPr>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名称</w:t>
            </w:r>
          </w:p>
        </w:tc>
        <w:tc>
          <w:tcPr>
            <w:tcW w:w="1417" w:type="dxa"/>
            <w:noWrap/>
            <w:vAlign w:val="center"/>
          </w:tcPr>
          <w:p w14:paraId="4FB2CBEB">
            <w:pPr>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服务范围</w:t>
            </w:r>
          </w:p>
        </w:tc>
        <w:tc>
          <w:tcPr>
            <w:tcW w:w="1418" w:type="dxa"/>
            <w:noWrap/>
            <w:vAlign w:val="center"/>
          </w:tcPr>
          <w:p w14:paraId="4780DD00">
            <w:pPr>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服务要求</w:t>
            </w:r>
          </w:p>
        </w:tc>
        <w:tc>
          <w:tcPr>
            <w:tcW w:w="1275" w:type="dxa"/>
            <w:noWrap/>
            <w:vAlign w:val="center"/>
          </w:tcPr>
          <w:p w14:paraId="5EAB5C81">
            <w:pPr>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服务时间</w:t>
            </w:r>
          </w:p>
        </w:tc>
        <w:tc>
          <w:tcPr>
            <w:tcW w:w="1276" w:type="dxa"/>
            <w:noWrap/>
            <w:vAlign w:val="center"/>
          </w:tcPr>
          <w:p w14:paraId="142341B5">
            <w:pPr>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服务标准</w:t>
            </w:r>
          </w:p>
        </w:tc>
        <w:tc>
          <w:tcPr>
            <w:tcW w:w="851" w:type="dxa"/>
            <w:noWrap/>
            <w:vAlign w:val="center"/>
          </w:tcPr>
          <w:p w14:paraId="5E698565">
            <w:pPr>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金额</w:t>
            </w:r>
          </w:p>
        </w:tc>
        <w:tc>
          <w:tcPr>
            <w:tcW w:w="1151" w:type="dxa"/>
            <w:noWrap/>
            <w:vAlign w:val="center"/>
          </w:tcPr>
          <w:p w14:paraId="6B5F378D">
            <w:pPr>
              <w:spacing w:line="360" w:lineRule="auto"/>
              <w:ind w:firstLine="105"/>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备注</w:t>
            </w:r>
          </w:p>
        </w:tc>
      </w:tr>
      <w:tr w14:paraId="6C95E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971" w:type="dxa"/>
            <w:noWrap/>
            <w:vAlign w:val="center"/>
          </w:tcPr>
          <w:p w14:paraId="792B5241">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t>1</w:t>
            </w:r>
          </w:p>
        </w:tc>
        <w:tc>
          <w:tcPr>
            <w:tcW w:w="1321" w:type="dxa"/>
            <w:noWrap/>
            <w:vAlign w:val="center"/>
          </w:tcPr>
          <w:p w14:paraId="1C685C6F">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417" w:type="dxa"/>
            <w:noWrap/>
            <w:vAlign w:val="center"/>
          </w:tcPr>
          <w:p w14:paraId="07D90F1F">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418" w:type="dxa"/>
            <w:noWrap/>
            <w:vAlign w:val="center"/>
          </w:tcPr>
          <w:p w14:paraId="6A374C5E">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275" w:type="dxa"/>
            <w:noWrap/>
            <w:vAlign w:val="center"/>
          </w:tcPr>
          <w:p w14:paraId="298DF09E">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276" w:type="dxa"/>
            <w:noWrap/>
            <w:vAlign w:val="center"/>
          </w:tcPr>
          <w:p w14:paraId="6F4FD0BA">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851" w:type="dxa"/>
            <w:noWrap/>
            <w:vAlign w:val="center"/>
          </w:tcPr>
          <w:p w14:paraId="5C59EA46">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151" w:type="dxa"/>
            <w:noWrap/>
            <w:vAlign w:val="center"/>
          </w:tcPr>
          <w:p w14:paraId="4BA509E2">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r>
      <w:tr w14:paraId="38EAB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971" w:type="dxa"/>
            <w:noWrap/>
            <w:vAlign w:val="center"/>
          </w:tcPr>
          <w:p w14:paraId="33CC4A95">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t>2</w:t>
            </w:r>
          </w:p>
        </w:tc>
        <w:tc>
          <w:tcPr>
            <w:tcW w:w="1321" w:type="dxa"/>
            <w:noWrap/>
            <w:vAlign w:val="center"/>
          </w:tcPr>
          <w:p w14:paraId="39E2627D">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417" w:type="dxa"/>
            <w:noWrap/>
            <w:vAlign w:val="center"/>
          </w:tcPr>
          <w:p w14:paraId="29D99978">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418" w:type="dxa"/>
            <w:noWrap/>
            <w:vAlign w:val="center"/>
          </w:tcPr>
          <w:p w14:paraId="5DABB607">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275" w:type="dxa"/>
            <w:noWrap/>
            <w:vAlign w:val="center"/>
          </w:tcPr>
          <w:p w14:paraId="54F8746A">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276" w:type="dxa"/>
            <w:noWrap/>
            <w:vAlign w:val="center"/>
          </w:tcPr>
          <w:p w14:paraId="13CAB4F2">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851" w:type="dxa"/>
            <w:noWrap/>
            <w:vAlign w:val="center"/>
          </w:tcPr>
          <w:p w14:paraId="6A159585">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151" w:type="dxa"/>
            <w:noWrap/>
            <w:vAlign w:val="center"/>
          </w:tcPr>
          <w:p w14:paraId="6AA2A54E">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r>
      <w:tr w14:paraId="5A771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4C44B9B6">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t>3</w:t>
            </w:r>
          </w:p>
        </w:tc>
        <w:tc>
          <w:tcPr>
            <w:tcW w:w="1321" w:type="dxa"/>
            <w:noWrap/>
            <w:vAlign w:val="center"/>
          </w:tcPr>
          <w:p w14:paraId="4B6FAA13">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417" w:type="dxa"/>
            <w:noWrap/>
            <w:vAlign w:val="center"/>
          </w:tcPr>
          <w:p w14:paraId="3057942F">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418" w:type="dxa"/>
            <w:noWrap/>
            <w:vAlign w:val="center"/>
          </w:tcPr>
          <w:p w14:paraId="549D7598">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275" w:type="dxa"/>
            <w:noWrap/>
            <w:vAlign w:val="center"/>
          </w:tcPr>
          <w:p w14:paraId="7548DAF5">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276" w:type="dxa"/>
            <w:noWrap/>
            <w:vAlign w:val="center"/>
          </w:tcPr>
          <w:p w14:paraId="19262BB0">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851" w:type="dxa"/>
            <w:noWrap/>
            <w:vAlign w:val="center"/>
          </w:tcPr>
          <w:p w14:paraId="4149687D">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151" w:type="dxa"/>
            <w:noWrap/>
            <w:vAlign w:val="center"/>
          </w:tcPr>
          <w:p w14:paraId="238CF4C7">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r>
      <w:tr w14:paraId="74CCC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71F816D4">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t>4</w:t>
            </w:r>
          </w:p>
        </w:tc>
        <w:tc>
          <w:tcPr>
            <w:tcW w:w="1321" w:type="dxa"/>
            <w:noWrap/>
            <w:vAlign w:val="center"/>
          </w:tcPr>
          <w:p w14:paraId="19AE24A1">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417" w:type="dxa"/>
            <w:noWrap/>
            <w:vAlign w:val="center"/>
          </w:tcPr>
          <w:p w14:paraId="27DFD509">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418" w:type="dxa"/>
            <w:noWrap/>
            <w:vAlign w:val="center"/>
          </w:tcPr>
          <w:p w14:paraId="28453B7F">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275" w:type="dxa"/>
            <w:noWrap/>
            <w:vAlign w:val="center"/>
          </w:tcPr>
          <w:p w14:paraId="632E6FAF">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276" w:type="dxa"/>
            <w:noWrap/>
            <w:vAlign w:val="center"/>
          </w:tcPr>
          <w:p w14:paraId="3C8A3F9E">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851" w:type="dxa"/>
            <w:noWrap/>
            <w:vAlign w:val="center"/>
          </w:tcPr>
          <w:p w14:paraId="7116CF79">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151" w:type="dxa"/>
            <w:noWrap/>
            <w:vAlign w:val="center"/>
          </w:tcPr>
          <w:p w14:paraId="3937A68F">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r>
      <w:tr w14:paraId="3906F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319E0D96">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321" w:type="dxa"/>
            <w:noWrap/>
            <w:vAlign w:val="center"/>
          </w:tcPr>
          <w:p w14:paraId="56A4DF35">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417" w:type="dxa"/>
            <w:noWrap/>
            <w:vAlign w:val="center"/>
          </w:tcPr>
          <w:p w14:paraId="79F3B92F">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418" w:type="dxa"/>
            <w:noWrap/>
            <w:vAlign w:val="center"/>
          </w:tcPr>
          <w:p w14:paraId="5588253F">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275" w:type="dxa"/>
            <w:noWrap/>
            <w:vAlign w:val="center"/>
          </w:tcPr>
          <w:p w14:paraId="7DF86E78">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276" w:type="dxa"/>
            <w:noWrap/>
            <w:vAlign w:val="center"/>
          </w:tcPr>
          <w:p w14:paraId="410C7A0A">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851" w:type="dxa"/>
            <w:noWrap/>
            <w:vAlign w:val="center"/>
          </w:tcPr>
          <w:p w14:paraId="47DC9B2C">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c>
          <w:tcPr>
            <w:tcW w:w="1151" w:type="dxa"/>
            <w:noWrap/>
            <w:vAlign w:val="center"/>
          </w:tcPr>
          <w:p w14:paraId="1B12D88E">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r>
      <w:tr w14:paraId="2CF51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971" w:type="dxa"/>
            <w:noWrap/>
            <w:vAlign w:val="center"/>
          </w:tcPr>
          <w:p w14:paraId="21A7C84C">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t>合计</w:t>
            </w:r>
          </w:p>
        </w:tc>
        <w:tc>
          <w:tcPr>
            <w:tcW w:w="8709" w:type="dxa"/>
            <w:gridSpan w:val="7"/>
            <w:noWrap/>
            <w:vAlign w:val="center"/>
          </w:tcPr>
          <w:p w14:paraId="098CE1A7">
            <w:pPr>
              <w:spacing w:line="360" w:lineRule="auto"/>
              <w:jc w:val="center"/>
              <w:rPr>
                <w:rFonts w:ascii="仿宋_GB2312" w:hAnsi="宋体" w:eastAsia="仿宋_GB2312"/>
                <w:color w:val="000000" w:themeColor="text1"/>
                <w:sz w:val="24"/>
                <w:szCs w:val="24"/>
                <w:highlight w:val="none"/>
                <w14:textFill>
                  <w14:solidFill>
                    <w14:schemeClr w14:val="tx1"/>
                  </w14:solidFill>
                </w14:textFill>
              </w:rPr>
            </w:pPr>
          </w:p>
        </w:tc>
      </w:tr>
    </w:tbl>
    <w:p w14:paraId="1EFCD66D">
      <w:pPr>
        <w:spacing w:line="300" w:lineRule="auto"/>
        <w:outlineLvl w:val="9"/>
        <w:rPr>
          <w:rFonts w:ascii="宋体" w:hAnsi="宋体" w:cs="宋体"/>
          <w:b/>
          <w:color w:val="000000" w:themeColor="text1"/>
          <w:sz w:val="28"/>
          <w:szCs w:val="28"/>
          <w:highlight w:val="none"/>
          <w:lang w:val="zh-CN"/>
          <w14:textFill>
            <w14:solidFill>
              <w14:schemeClr w14:val="tx1"/>
            </w14:solidFill>
          </w14:textFill>
        </w:rPr>
      </w:pPr>
    </w:p>
    <w:p w14:paraId="7E6242B4">
      <w:pPr>
        <w:spacing w:line="520" w:lineRule="exact"/>
        <w:ind w:firstLine="562"/>
        <w:outlineLvl w:val="0"/>
        <w:rPr>
          <w:rFonts w:hint="eastAsia" w:ascii="宋体" w:hAnsi="宋体" w:cs="宋体"/>
          <w:b/>
          <w:color w:val="000000" w:themeColor="text1"/>
          <w:sz w:val="24"/>
          <w:szCs w:val="24"/>
          <w:highlight w:val="none"/>
          <w:lang w:val="zh-CN"/>
          <w14:textFill>
            <w14:solidFill>
              <w14:schemeClr w14:val="tx1"/>
            </w14:solidFill>
          </w14:textFill>
        </w:rPr>
      </w:pPr>
      <w:r>
        <w:rPr>
          <w:rFonts w:hint="eastAsia" w:ascii="宋体" w:hAnsi="宋体" w:cs="宋体"/>
          <w:b/>
          <w:color w:val="000000" w:themeColor="text1"/>
          <w:sz w:val="28"/>
          <w:szCs w:val="28"/>
          <w:highlight w:val="none"/>
          <w:lang w:val="zh-CN"/>
          <w14:textFill>
            <w14:solidFill>
              <w14:schemeClr w14:val="tx1"/>
            </w14:solidFill>
          </w14:textFill>
        </w:rPr>
        <w:t>注：</w:t>
      </w:r>
      <w:r>
        <w:rPr>
          <w:rFonts w:hint="eastAsia" w:ascii="宋体" w:hAnsi="宋体" w:cs="宋体"/>
          <w:b/>
          <w:color w:val="000000" w:themeColor="text1"/>
          <w:sz w:val="24"/>
          <w:szCs w:val="24"/>
          <w:highlight w:val="none"/>
          <w:lang w:val="zh-CN"/>
          <w14:textFill>
            <w14:solidFill>
              <w14:schemeClr w14:val="tx1"/>
            </w14:solidFill>
          </w14:textFill>
        </w:rPr>
        <w:t>1.投标人必须详细、准确填写本报价表中各个子项的名称、品牌、规格型号、数量、单价、备注中的内容（是否为主要标的）等内容。</w:t>
      </w:r>
    </w:p>
    <w:p w14:paraId="68084C6E">
      <w:pPr>
        <w:spacing w:line="520" w:lineRule="exact"/>
        <w:ind w:firstLine="482"/>
        <w:outlineLvl w:val="0"/>
        <w:rPr>
          <w:rFonts w:hint="eastAsia" w:ascii="宋体" w:hAnsi="宋体" w:cs="宋体"/>
          <w:b/>
          <w:color w:val="000000" w:themeColor="text1"/>
          <w:sz w:val="24"/>
          <w:szCs w:val="24"/>
          <w:highlight w:val="none"/>
          <w:lang w:val="zh-CN"/>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t>2.本表各分项报价合计应当与“开标一览表”中“投标总报价”（或“投标优惠率”）数额一致。</w:t>
      </w:r>
    </w:p>
    <w:p w14:paraId="32069AE5">
      <w:pPr>
        <w:spacing w:line="520" w:lineRule="exact"/>
        <w:ind w:firstLine="482"/>
        <w:outlineLvl w:val="0"/>
        <w:rPr>
          <w:rFonts w:hint="eastAsia" w:ascii="宋体" w:hAnsi="宋体" w:cs="宋体"/>
          <w:b/>
          <w:color w:val="000000" w:themeColor="text1"/>
          <w:sz w:val="24"/>
          <w:szCs w:val="24"/>
          <w:highlight w:val="none"/>
          <w:lang w:val="zh-CN"/>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t>3.</w:t>
      </w:r>
      <w:r>
        <w:rPr>
          <w:rFonts w:hint="eastAsia" w:ascii="宋体" w:hAnsi="宋体" w:cs="宋体"/>
          <w:b/>
          <w:color w:val="000000" w:themeColor="text1"/>
          <w:sz w:val="24"/>
          <w:szCs w:val="24"/>
          <w:highlight w:val="none"/>
          <w14:textFill>
            <w14:solidFill>
              <w14:schemeClr w14:val="tx1"/>
            </w14:solidFill>
          </w14:textFill>
        </w:rPr>
        <w:t>供应商须详细备注主要标的信息，并</w:t>
      </w:r>
      <w:r>
        <w:rPr>
          <w:rFonts w:hint="eastAsia" w:ascii="宋体" w:hAnsi="宋体" w:cs="宋体"/>
          <w:b/>
          <w:color w:val="000000" w:themeColor="text1"/>
          <w:sz w:val="24"/>
          <w:szCs w:val="24"/>
          <w:highlight w:val="none"/>
          <w:lang w:val="zh-CN"/>
          <w14:textFill>
            <w14:solidFill>
              <w14:schemeClr w14:val="tx1"/>
            </w14:solidFill>
          </w14:textFill>
        </w:rPr>
        <w:t>将随中标公告进行公示。</w:t>
      </w:r>
    </w:p>
    <w:p w14:paraId="72CBC1B1">
      <w:pPr>
        <w:spacing w:line="520" w:lineRule="exact"/>
        <w:ind w:firstLine="482"/>
        <w:outlineLvl w:val="0"/>
        <w:rPr>
          <w:rFonts w:hint="eastAsia" w:ascii="宋体" w:hAnsi="宋体" w:cs="宋体"/>
          <w:b/>
          <w:bCs/>
          <w:color w:val="000000" w:themeColor="text1"/>
          <w:sz w:val="24"/>
          <w:szCs w:val="24"/>
          <w:highlight w:val="none"/>
          <w:lang w:val="zh-CN"/>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t>4.</w:t>
      </w:r>
      <w:r>
        <w:rPr>
          <w:rFonts w:hint="eastAsia" w:ascii="宋体" w:hAnsi="宋体" w:eastAsia="宋体" w:cs="宋体"/>
          <w:b/>
          <w:bCs/>
          <w:color w:val="000000" w:themeColor="text1"/>
          <w:spacing w:val="7"/>
          <w:sz w:val="24"/>
          <w:szCs w:val="24"/>
          <w:highlight w:val="none"/>
          <w14:textFill>
            <w14:solidFill>
              <w14:schemeClr w14:val="tx1"/>
            </w14:solidFill>
          </w14:textFill>
        </w:rPr>
        <w:t>本采购包中含有多种产品时，供应商未填写本采购包中提供的符合本国产品标准的产品成本之和占该采购包提供的全部产品成本之和的比例数值的，或比例数值未达到80%的，将不享受本国产品价格评审优惠。全部产品是指货物或服务采购项目或采购包中包含的全部货物、服务产品。</w:t>
      </w:r>
    </w:p>
    <w:p w14:paraId="6E36CD9D">
      <w:pPr>
        <w:spacing w:line="300" w:lineRule="auto"/>
        <w:outlineLvl w:val="9"/>
        <w:rPr>
          <w:rFonts w:ascii="宋体" w:hAnsi="宋体" w:cs="宋体"/>
          <w:b/>
          <w:color w:val="000000" w:themeColor="text1"/>
          <w:sz w:val="28"/>
          <w:szCs w:val="28"/>
          <w:highlight w:val="none"/>
          <w:lang w:val="zh-CN"/>
          <w14:textFill>
            <w14:solidFill>
              <w14:schemeClr w14:val="tx1"/>
            </w14:solidFill>
          </w14:textFill>
        </w:rPr>
      </w:pPr>
    </w:p>
    <w:p w14:paraId="61F45A50">
      <w:pPr>
        <w:spacing w:line="300" w:lineRule="auto"/>
        <w:outlineLvl w:val="3"/>
        <w:rPr>
          <w:rFonts w:hint="eastAsia" w:ascii="Times New Roman" w:hAnsi="Times New Roman" w:eastAsia="方正黑体_GBK"/>
          <w:color w:val="000000" w:themeColor="text1"/>
          <w:sz w:val="32"/>
          <w:szCs w:val="32"/>
          <w:highlight w:val="none"/>
          <w:lang w:val="zh-CN" w:eastAsia="zh-CN"/>
          <w14:textFill>
            <w14:solidFill>
              <w14:schemeClr w14:val="tx1"/>
            </w14:solidFill>
          </w14:textFill>
        </w:rPr>
      </w:pPr>
      <w:r>
        <w:rPr>
          <w:rFonts w:ascii="宋体" w:hAnsi="宋体" w:eastAsia="幼圆" w:cs="Arial"/>
          <w:b/>
          <w:color w:val="000000" w:themeColor="text1"/>
          <w:sz w:val="24"/>
          <w:szCs w:val="44"/>
          <w:highlight w:val="none"/>
          <w14:textFill>
            <w14:solidFill>
              <w14:schemeClr w14:val="tx1"/>
            </w14:solidFill>
          </w14:textFill>
        </w:rPr>
        <w:br w:type="page" w:clear="all"/>
      </w:r>
      <w:r>
        <w:rPr>
          <w:rFonts w:hint="eastAsia" w:ascii="Times New Roman" w:hAnsi="Times New Roman" w:eastAsia="方正黑体_GBK"/>
          <w:color w:val="000000" w:themeColor="text1"/>
          <w:sz w:val="32"/>
          <w:szCs w:val="32"/>
          <w:highlight w:val="none"/>
          <w:lang w:val="zh-CN"/>
          <w14:textFill>
            <w14:solidFill>
              <w14:schemeClr w14:val="tx1"/>
            </w14:solidFill>
          </w14:textFill>
        </w:rPr>
        <w:t>附件</w:t>
      </w:r>
      <w:r>
        <w:rPr>
          <w:rFonts w:hint="eastAsia" w:eastAsia="方正黑体_GBK"/>
          <w:color w:val="000000" w:themeColor="text1"/>
          <w:sz w:val="32"/>
          <w:szCs w:val="32"/>
          <w:highlight w:val="none"/>
          <w:lang w:val="en-US" w:eastAsia="zh-CN"/>
          <w14:textFill>
            <w14:solidFill>
              <w14:schemeClr w14:val="tx1"/>
            </w14:solidFill>
          </w14:textFill>
        </w:rPr>
        <w:t>9</w:t>
      </w:r>
    </w:p>
    <w:p w14:paraId="1B21628E">
      <w:pPr>
        <w:spacing w:line="300" w:lineRule="auto"/>
        <w:jc w:val="center"/>
        <w:outlineLvl w:val="9"/>
        <w:rPr>
          <w:b/>
          <w:bCs/>
          <w:color w:val="000000" w:themeColor="text1"/>
          <w:sz w:val="28"/>
          <w:szCs w:val="28"/>
          <w:highlight w:val="none"/>
          <w:lang w:bidi="zh-CN"/>
          <w14:textFill>
            <w14:solidFill>
              <w14:schemeClr w14:val="tx1"/>
            </w14:solidFill>
          </w14:textFill>
        </w:rPr>
      </w:pPr>
      <w:r>
        <w:rPr>
          <w:b/>
          <w:bCs/>
          <w:color w:val="000000" w:themeColor="text1"/>
          <w:sz w:val="28"/>
          <w:szCs w:val="28"/>
          <w:highlight w:val="none"/>
          <w:lang w:bidi="zh-CN"/>
          <w14:textFill>
            <w14:solidFill>
              <w14:schemeClr w14:val="tx1"/>
            </w14:solidFill>
          </w14:textFill>
        </w:rPr>
        <w:t>中小企业声明函（工程、服务）</w:t>
      </w:r>
    </w:p>
    <w:p w14:paraId="08F00F80">
      <w:pPr>
        <w:spacing w:line="360" w:lineRule="auto"/>
        <w:ind w:firstLine="560"/>
        <w:outlineLvl w:val="9"/>
        <w:rPr>
          <w:color w:val="000000" w:themeColor="text1"/>
          <w:sz w:val="28"/>
          <w:szCs w:val="28"/>
          <w:highlight w:val="none"/>
          <w:lang w:bidi="zh-CN"/>
          <w14:textFill>
            <w14:solidFill>
              <w14:schemeClr w14:val="tx1"/>
            </w14:solidFill>
          </w14:textFill>
        </w:rPr>
      </w:pPr>
      <w:r>
        <w:rPr>
          <w:color w:val="000000" w:themeColor="text1"/>
          <w:sz w:val="28"/>
          <w:szCs w:val="28"/>
          <w:highlight w:val="none"/>
          <w:lang w:bidi="zh-CN"/>
          <w14:textFill>
            <w14:solidFill>
              <w14:schemeClr w14:val="tx1"/>
            </w14:solidFill>
          </w14:textFill>
        </w:rPr>
        <w:t>本公司（联合体）郑重声明，根据《政府采购促进中小企业发展管理办法》（财库</w:t>
      </w:r>
      <w:r>
        <w:rPr>
          <w:rFonts w:hint="eastAsia"/>
          <w:color w:val="000000" w:themeColor="text1"/>
          <w:sz w:val="28"/>
          <w:szCs w:val="28"/>
          <w:highlight w:val="none"/>
          <w:lang w:bidi="zh-CN"/>
          <w14:textFill>
            <w14:solidFill>
              <w14:schemeClr w14:val="tx1"/>
            </w14:solidFill>
          </w14:textFill>
        </w:rPr>
        <w:t>﹝</w:t>
      </w:r>
      <w:r>
        <w:rPr>
          <w:color w:val="000000" w:themeColor="text1"/>
          <w:sz w:val="28"/>
          <w:szCs w:val="28"/>
          <w:highlight w:val="none"/>
          <w:lang w:bidi="zh-CN"/>
          <w14:textFill>
            <w14:solidFill>
              <w14:schemeClr w14:val="tx1"/>
            </w14:solidFill>
          </w14:textFill>
        </w:rPr>
        <w:t>2020</w:t>
      </w:r>
      <w:r>
        <w:rPr>
          <w:rFonts w:hint="eastAsia"/>
          <w:color w:val="000000" w:themeColor="text1"/>
          <w:sz w:val="28"/>
          <w:szCs w:val="28"/>
          <w:highlight w:val="none"/>
          <w:lang w:bidi="zh-CN"/>
          <w14:textFill>
            <w14:solidFill>
              <w14:schemeClr w14:val="tx1"/>
            </w14:solidFill>
          </w14:textFill>
        </w:rPr>
        <w:t>﹞</w:t>
      </w:r>
      <w:r>
        <w:rPr>
          <w:color w:val="000000" w:themeColor="text1"/>
          <w:sz w:val="28"/>
          <w:szCs w:val="28"/>
          <w:highlight w:val="none"/>
          <w:lang w:bidi="zh-CN"/>
          <w14:textFill>
            <w14:solidFill>
              <w14:schemeClr w14:val="tx1"/>
            </w14:solidFill>
          </w14:textFill>
        </w:rPr>
        <w:t>46 号）的规定，本公司（联合体）参加</w:t>
      </w:r>
      <w:r>
        <w:rPr>
          <w:color w:val="000000" w:themeColor="text1"/>
          <w:sz w:val="28"/>
          <w:szCs w:val="28"/>
          <w:highlight w:val="none"/>
          <w:u w:val="single"/>
          <w:lang w:bidi="zh-CN"/>
          <w14:textFill>
            <w14:solidFill>
              <w14:schemeClr w14:val="tx1"/>
            </w14:solidFill>
          </w14:textFill>
        </w:rPr>
        <w:t>（单位名称）</w:t>
      </w:r>
      <w:r>
        <w:rPr>
          <w:color w:val="000000" w:themeColor="text1"/>
          <w:sz w:val="28"/>
          <w:szCs w:val="28"/>
          <w:highlight w:val="none"/>
          <w:lang w:bidi="zh-CN"/>
          <w14:textFill>
            <w14:solidFill>
              <w14:schemeClr w14:val="tx1"/>
            </w14:solidFill>
          </w14:textFill>
        </w:rPr>
        <w:t>的</w:t>
      </w:r>
      <w:r>
        <w:rPr>
          <w:color w:val="000000" w:themeColor="text1"/>
          <w:sz w:val="28"/>
          <w:szCs w:val="28"/>
          <w:highlight w:val="none"/>
          <w:u w:val="single"/>
          <w:lang w:bidi="zh-CN"/>
          <w14:textFill>
            <w14:solidFill>
              <w14:schemeClr w14:val="tx1"/>
            </w14:solidFill>
          </w14:textFill>
        </w:rPr>
        <w:t>（项目名称）</w:t>
      </w:r>
      <w:r>
        <w:rPr>
          <w:color w:val="000000" w:themeColor="text1"/>
          <w:sz w:val="28"/>
          <w:szCs w:val="28"/>
          <w:highlight w:val="none"/>
          <w:lang w:bidi="zh-CN"/>
          <w14:textFill>
            <w14:solidFill>
              <w14:schemeClr w14:val="tx1"/>
            </w14:solidFill>
          </w14:textFill>
        </w:rPr>
        <w:t>采购活动，工程的施工单位全部为符合政策要求的中小企业（或者：服务全部由符合政策要求的中小企业承接）。相关企业（含联合 体中的中小企业、签订分包意向协议的中小企业）的具体情况如下：</w:t>
      </w:r>
    </w:p>
    <w:p w14:paraId="13488286">
      <w:pPr>
        <w:spacing w:line="360" w:lineRule="auto"/>
        <w:jc w:val="left"/>
        <w:outlineLvl w:val="9"/>
        <w:rPr>
          <w:color w:val="000000" w:themeColor="text1"/>
          <w:sz w:val="28"/>
          <w:szCs w:val="28"/>
          <w:highlight w:val="none"/>
          <w:lang w:bidi="zh-CN"/>
          <w14:textFill>
            <w14:solidFill>
              <w14:schemeClr w14:val="tx1"/>
            </w14:solidFill>
          </w14:textFill>
        </w:rPr>
      </w:pPr>
      <w:r>
        <w:rPr>
          <w:rFonts w:hint="eastAsia"/>
          <w:color w:val="000000" w:themeColor="text1"/>
          <w:sz w:val="28"/>
          <w:szCs w:val="28"/>
          <w:highlight w:val="none"/>
          <w:lang w:bidi="zh-CN"/>
          <w14:textFill>
            <w14:solidFill>
              <w14:schemeClr w14:val="tx1"/>
            </w14:solidFill>
          </w14:textFill>
        </w:rPr>
        <w:t>1.</w:t>
      </w:r>
      <w:r>
        <w:rPr>
          <w:color w:val="000000" w:themeColor="text1"/>
          <w:sz w:val="28"/>
          <w:szCs w:val="28"/>
          <w:highlight w:val="none"/>
          <w:u w:val="single"/>
          <w:lang w:bidi="zh-CN"/>
          <w14:textFill>
            <w14:solidFill>
              <w14:schemeClr w14:val="tx1"/>
            </w14:solidFill>
          </w14:textFill>
        </w:rPr>
        <w:t>（标的名称）</w:t>
      </w:r>
      <w:r>
        <w:rPr>
          <w:color w:val="000000" w:themeColor="text1"/>
          <w:sz w:val="28"/>
          <w:szCs w:val="28"/>
          <w:highlight w:val="none"/>
          <w:lang w:bidi="zh-CN"/>
          <w14:textFill>
            <w14:solidFill>
              <w14:schemeClr w14:val="tx1"/>
            </w14:solidFill>
          </w14:textFill>
        </w:rPr>
        <w:t>，属于（</w:t>
      </w:r>
      <w:r>
        <w:rPr>
          <w:color w:val="000000" w:themeColor="text1"/>
          <w:sz w:val="28"/>
          <w:szCs w:val="28"/>
          <w:highlight w:val="none"/>
          <w:u w:val="single"/>
          <w:lang w:bidi="zh-CN"/>
          <w14:textFill>
            <w14:solidFill>
              <w14:schemeClr w14:val="tx1"/>
            </w14:solidFill>
          </w14:textFill>
        </w:rPr>
        <w:t>采购文件中明确的所属行业）</w:t>
      </w:r>
      <w:r>
        <w:rPr>
          <w:color w:val="000000" w:themeColor="text1"/>
          <w:sz w:val="28"/>
          <w:szCs w:val="28"/>
          <w:highlight w:val="none"/>
          <w:lang w:bidi="zh-CN"/>
          <w14:textFill>
            <w14:solidFill>
              <w14:schemeClr w14:val="tx1"/>
            </w14:solidFill>
          </w14:textFill>
        </w:rPr>
        <w:t>；承建（承接）企业为</w:t>
      </w:r>
      <w:r>
        <w:rPr>
          <w:color w:val="000000" w:themeColor="text1"/>
          <w:sz w:val="28"/>
          <w:szCs w:val="28"/>
          <w:highlight w:val="none"/>
          <w:u w:val="single"/>
          <w:lang w:bidi="zh-CN"/>
          <w14:textFill>
            <w14:solidFill>
              <w14:schemeClr w14:val="tx1"/>
            </w14:solidFill>
          </w14:textFill>
        </w:rPr>
        <w:t>（企业名称）</w:t>
      </w:r>
      <w:r>
        <w:rPr>
          <w:color w:val="000000" w:themeColor="text1"/>
          <w:sz w:val="28"/>
          <w:szCs w:val="28"/>
          <w:highlight w:val="none"/>
          <w:lang w:bidi="zh-CN"/>
          <w14:textFill>
            <w14:solidFill>
              <w14:schemeClr w14:val="tx1"/>
            </w14:solidFill>
          </w14:textFill>
        </w:rPr>
        <w:t>，从业人员</w:t>
      </w:r>
      <w:r>
        <w:rPr>
          <w:color w:val="000000" w:themeColor="text1"/>
          <w:sz w:val="28"/>
          <w:szCs w:val="28"/>
          <w:highlight w:val="none"/>
          <w:u w:val="single"/>
          <w:lang w:bidi="zh-CN"/>
          <w14:textFill>
            <w14:solidFill>
              <w14:schemeClr w14:val="tx1"/>
            </w14:solidFill>
          </w14:textFill>
        </w:rPr>
        <w:tab/>
      </w:r>
      <w:r>
        <w:rPr>
          <w:color w:val="000000" w:themeColor="text1"/>
          <w:sz w:val="28"/>
          <w:szCs w:val="28"/>
          <w:highlight w:val="none"/>
          <w:lang w:bidi="zh-CN"/>
          <w14:textFill>
            <w14:solidFill>
              <w14:schemeClr w14:val="tx1"/>
            </w14:solidFill>
          </w14:textFill>
        </w:rPr>
        <w:t>人，营业收入为</w:t>
      </w:r>
      <w:r>
        <w:rPr>
          <w:color w:val="000000" w:themeColor="text1"/>
          <w:sz w:val="28"/>
          <w:szCs w:val="28"/>
          <w:highlight w:val="none"/>
          <w:u w:val="single"/>
          <w:lang w:bidi="zh-CN"/>
          <w14:textFill>
            <w14:solidFill>
              <w14:schemeClr w14:val="tx1"/>
            </w14:solidFill>
          </w14:textFill>
        </w:rPr>
        <w:tab/>
      </w:r>
      <w:r>
        <w:rPr>
          <w:color w:val="000000" w:themeColor="text1"/>
          <w:sz w:val="28"/>
          <w:szCs w:val="28"/>
          <w:highlight w:val="none"/>
          <w:lang w:bidi="zh-CN"/>
          <w14:textFill>
            <w14:solidFill>
              <w14:schemeClr w14:val="tx1"/>
            </w14:solidFill>
          </w14:textFill>
        </w:rPr>
        <w:t>万元，资产总额为</w:t>
      </w:r>
      <w:r>
        <w:rPr>
          <w:color w:val="000000" w:themeColor="text1"/>
          <w:sz w:val="28"/>
          <w:szCs w:val="28"/>
          <w:highlight w:val="none"/>
          <w:u w:val="single"/>
          <w:lang w:bidi="zh-CN"/>
          <w14:textFill>
            <w14:solidFill>
              <w14:schemeClr w14:val="tx1"/>
            </w14:solidFill>
          </w14:textFill>
        </w:rPr>
        <w:tab/>
      </w:r>
      <w:r>
        <w:rPr>
          <w:color w:val="000000" w:themeColor="text1"/>
          <w:sz w:val="28"/>
          <w:szCs w:val="28"/>
          <w:highlight w:val="none"/>
          <w:lang w:bidi="zh-CN"/>
          <w14:textFill>
            <w14:solidFill>
              <w14:schemeClr w14:val="tx1"/>
            </w14:solidFill>
          </w14:textFill>
        </w:rPr>
        <w:t>万元，属于</w:t>
      </w:r>
      <w:r>
        <w:rPr>
          <w:color w:val="000000" w:themeColor="text1"/>
          <w:sz w:val="28"/>
          <w:szCs w:val="28"/>
          <w:highlight w:val="none"/>
          <w:u w:val="single"/>
          <w:lang w:bidi="zh-CN"/>
          <w14:textFill>
            <w14:solidFill>
              <w14:schemeClr w14:val="tx1"/>
            </w14:solidFill>
          </w14:textFill>
        </w:rPr>
        <w:t>（中型企业、小型企业、微型企业）</w:t>
      </w:r>
      <w:r>
        <w:rPr>
          <w:color w:val="000000" w:themeColor="text1"/>
          <w:sz w:val="28"/>
          <w:szCs w:val="28"/>
          <w:highlight w:val="none"/>
          <w:lang w:bidi="zh-CN"/>
          <w14:textFill>
            <w14:solidFill>
              <w14:schemeClr w14:val="tx1"/>
            </w14:solidFill>
          </w14:textFill>
        </w:rPr>
        <w:t>；</w:t>
      </w:r>
    </w:p>
    <w:p w14:paraId="1423461C">
      <w:pPr>
        <w:spacing w:line="360" w:lineRule="auto"/>
        <w:ind w:firstLine="560"/>
        <w:outlineLvl w:val="9"/>
        <w:rPr>
          <w:color w:val="000000" w:themeColor="text1"/>
          <w:sz w:val="28"/>
          <w:szCs w:val="28"/>
          <w:highlight w:val="none"/>
          <w:lang w:bidi="zh-CN"/>
          <w14:textFill>
            <w14:solidFill>
              <w14:schemeClr w14:val="tx1"/>
            </w14:solidFill>
          </w14:textFill>
        </w:rPr>
      </w:pPr>
      <w:r>
        <w:rPr>
          <w:color w:val="000000" w:themeColor="text1"/>
          <w:sz w:val="28"/>
          <w:szCs w:val="28"/>
          <w:highlight w:val="none"/>
          <w:lang w:bidi="zh-CN"/>
          <w14:textFill>
            <w14:solidFill>
              <w14:schemeClr w14:val="tx1"/>
            </w14:solidFill>
          </w14:textFill>
        </w:rPr>
        <w:t>以上企业，不属于大企业的分支机构，不存在控股股东为大企业的情形，也不存在与大企业的负责人为同一人的情形。</w:t>
      </w:r>
    </w:p>
    <w:p w14:paraId="27E650CF">
      <w:pPr>
        <w:spacing w:line="360" w:lineRule="auto"/>
        <w:ind w:firstLine="560"/>
        <w:outlineLvl w:val="9"/>
        <w:rPr>
          <w:color w:val="000000" w:themeColor="text1"/>
          <w:sz w:val="28"/>
          <w:szCs w:val="28"/>
          <w:highlight w:val="none"/>
          <w:lang w:bidi="zh-CN"/>
          <w14:textFill>
            <w14:solidFill>
              <w14:schemeClr w14:val="tx1"/>
            </w14:solidFill>
          </w14:textFill>
        </w:rPr>
      </w:pPr>
      <w:r>
        <w:rPr>
          <w:color w:val="000000" w:themeColor="text1"/>
          <w:sz w:val="28"/>
          <w:szCs w:val="28"/>
          <w:highlight w:val="none"/>
          <w:lang w:bidi="zh-CN"/>
          <w14:textFill>
            <w14:solidFill>
              <w14:schemeClr w14:val="tx1"/>
            </w14:solidFill>
          </w14:textFill>
        </w:rPr>
        <w:t>本企业对上述声明内容的真实性负责。如有虚假，将依法承担相应责任。</w:t>
      </w:r>
    </w:p>
    <w:p w14:paraId="49C01EA9">
      <w:pPr>
        <w:spacing w:line="300" w:lineRule="auto"/>
        <w:outlineLvl w:val="9"/>
        <w:rPr>
          <w:rFonts w:hint="eastAsia" w:ascii="宋体" w:hAnsi="宋体" w:cs="宋体"/>
          <w:color w:val="000000" w:themeColor="text1"/>
          <w:sz w:val="24"/>
          <w:szCs w:val="24"/>
          <w:highlight w:val="none"/>
          <w:lang w:bidi="zh-CN"/>
          <w14:textFill>
            <w14:solidFill>
              <w14:schemeClr w14:val="tx1"/>
            </w14:solidFill>
          </w14:textFill>
        </w:rPr>
      </w:pPr>
    </w:p>
    <w:p w14:paraId="3A33B192">
      <w:pPr>
        <w:spacing w:line="300" w:lineRule="auto"/>
        <w:outlineLvl w:val="9"/>
        <w:rPr>
          <w:rFonts w:ascii="宋体" w:hAnsi="宋体" w:cs="宋体"/>
          <w:color w:val="000000" w:themeColor="text1"/>
          <w:sz w:val="24"/>
          <w:szCs w:val="24"/>
          <w:highlight w:val="none"/>
          <w:lang w:bidi="zh-CN"/>
          <w14:textFill>
            <w14:solidFill>
              <w14:schemeClr w14:val="tx1"/>
            </w14:solidFill>
          </w14:textFill>
        </w:rPr>
      </w:pPr>
      <w:r>
        <w:rPr>
          <w:rFonts w:hint="eastAsia" w:ascii="宋体" w:hAnsi="宋体" w:cs="宋体"/>
          <w:color w:val="000000" w:themeColor="text1"/>
          <w:sz w:val="24"/>
          <w:szCs w:val="24"/>
          <w:highlight w:val="none"/>
          <w:lang w:bidi="zh-CN"/>
          <w14:textFill>
            <w14:solidFill>
              <w14:schemeClr w14:val="tx1"/>
            </w14:solidFill>
          </w14:textFill>
        </w:rPr>
        <w:t>注：1.如项目属性为“服务”或“工程”，请按本表填写。</w:t>
      </w:r>
    </w:p>
    <w:p w14:paraId="65FC6CF3">
      <w:pPr>
        <w:spacing w:line="300" w:lineRule="auto"/>
        <w:ind w:firstLine="420"/>
        <w:outlineLvl w:val="9"/>
        <w:rPr>
          <w:rFonts w:ascii="宋体" w:hAnsi="宋体" w:cs="宋体"/>
          <w:color w:val="000000" w:themeColor="text1"/>
          <w:sz w:val="24"/>
          <w:szCs w:val="24"/>
          <w:highlight w:val="none"/>
          <w:lang w:bidi="zh-CN"/>
          <w14:textFill>
            <w14:solidFill>
              <w14:schemeClr w14:val="tx1"/>
            </w14:solidFill>
          </w14:textFill>
        </w:rPr>
      </w:pPr>
      <w:r>
        <w:rPr>
          <w:rFonts w:hint="eastAsia" w:ascii="宋体" w:hAnsi="宋体" w:cs="宋体"/>
          <w:color w:val="000000" w:themeColor="text1"/>
          <w:sz w:val="24"/>
          <w:szCs w:val="24"/>
          <w:highlight w:val="none"/>
          <w:lang w:bidi="zh-CN"/>
          <w14:textFill>
            <w14:solidFill>
              <w14:schemeClr w14:val="tx1"/>
            </w14:solidFill>
          </w14:textFill>
        </w:rPr>
        <w:t>2.从业人员、营业收入、资产总额填报上一年度数据，无上一年度数据的新成立企业可不填报。</w:t>
      </w:r>
    </w:p>
    <w:p w14:paraId="6751C8F0">
      <w:pPr>
        <w:spacing w:line="300" w:lineRule="auto"/>
        <w:ind w:firstLine="420"/>
        <w:outlineLvl w:val="9"/>
        <w:rPr>
          <w:color w:val="000000" w:themeColor="text1"/>
          <w:sz w:val="36"/>
          <w:szCs w:val="36"/>
          <w:highlight w:val="none"/>
          <w:lang w:bidi="zh-CN"/>
          <w14:textFill>
            <w14:solidFill>
              <w14:schemeClr w14:val="tx1"/>
            </w14:solidFill>
          </w14:textFill>
        </w:rPr>
      </w:pPr>
      <w:r>
        <w:rPr>
          <w:rFonts w:hint="eastAsia" w:ascii="宋体" w:hAnsi="宋体" w:cs="宋体"/>
          <w:color w:val="000000" w:themeColor="text1"/>
          <w:sz w:val="24"/>
          <w:szCs w:val="24"/>
          <w:highlight w:val="none"/>
          <w:lang w:bidi="zh-CN"/>
          <w14:textFill>
            <w14:solidFill>
              <w14:schemeClr w14:val="tx1"/>
            </w14:solidFill>
          </w14:textFill>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27C433C5">
      <w:pPr>
        <w:spacing w:line="300" w:lineRule="auto"/>
        <w:ind w:firstLine="4900"/>
        <w:outlineLvl w:val="9"/>
        <w:rPr>
          <w:color w:val="000000" w:themeColor="text1"/>
          <w:sz w:val="28"/>
          <w:szCs w:val="28"/>
          <w:highlight w:val="none"/>
          <w:lang w:bidi="zh-CN"/>
          <w14:textFill>
            <w14:solidFill>
              <w14:schemeClr w14:val="tx1"/>
            </w14:solidFill>
          </w14:textFill>
        </w:rPr>
      </w:pPr>
    </w:p>
    <w:p w14:paraId="7608AD7A">
      <w:pPr>
        <w:spacing w:line="300" w:lineRule="auto"/>
        <w:ind w:firstLine="4900"/>
        <w:outlineLvl w:val="9"/>
        <w:rPr>
          <w:color w:val="000000" w:themeColor="text1"/>
          <w:sz w:val="28"/>
          <w:szCs w:val="28"/>
          <w:highlight w:val="none"/>
          <w:lang w:bidi="zh-CN"/>
          <w14:textFill>
            <w14:solidFill>
              <w14:schemeClr w14:val="tx1"/>
            </w14:solidFill>
          </w14:textFill>
        </w:rPr>
      </w:pPr>
    </w:p>
    <w:p w14:paraId="297C7D68">
      <w:pPr>
        <w:spacing w:line="300" w:lineRule="auto"/>
        <w:ind w:firstLine="4900"/>
        <w:outlineLvl w:val="9"/>
        <w:rPr>
          <w:color w:val="000000" w:themeColor="text1"/>
          <w:sz w:val="28"/>
          <w:szCs w:val="28"/>
          <w:highlight w:val="none"/>
          <w:lang w:bidi="zh-CN"/>
          <w14:textFill>
            <w14:solidFill>
              <w14:schemeClr w14:val="tx1"/>
            </w14:solidFill>
          </w14:textFill>
        </w:rPr>
      </w:pPr>
      <w:r>
        <w:rPr>
          <w:color w:val="000000" w:themeColor="text1"/>
          <w:sz w:val="28"/>
          <w:szCs w:val="28"/>
          <w:highlight w:val="none"/>
          <w:lang w:bidi="zh-CN"/>
          <w14:textFill>
            <w14:solidFill>
              <w14:schemeClr w14:val="tx1"/>
            </w14:solidFill>
          </w14:textFill>
        </w:rPr>
        <w:t>企业名称（盖章）：</w:t>
      </w:r>
    </w:p>
    <w:p w14:paraId="4E2B0EAD">
      <w:pPr>
        <w:spacing w:line="300" w:lineRule="auto"/>
        <w:ind w:firstLine="4900"/>
        <w:outlineLvl w:val="9"/>
        <w:rPr>
          <w:color w:val="000000" w:themeColor="text1"/>
          <w:sz w:val="28"/>
          <w:szCs w:val="28"/>
          <w:highlight w:val="none"/>
          <w:lang w:bidi="zh-CN"/>
          <w14:textFill>
            <w14:solidFill>
              <w14:schemeClr w14:val="tx1"/>
            </w14:solidFill>
          </w14:textFill>
        </w:rPr>
      </w:pPr>
      <w:r>
        <w:rPr>
          <w:color w:val="000000" w:themeColor="text1"/>
          <w:sz w:val="28"/>
          <w:szCs w:val="28"/>
          <w:highlight w:val="none"/>
          <w:lang w:bidi="zh-CN"/>
          <w14:textFill>
            <w14:solidFill>
              <w14:schemeClr w14:val="tx1"/>
            </w14:solidFill>
          </w14:textFill>
        </w:rPr>
        <w:t>日期：</w:t>
      </w:r>
    </w:p>
    <w:p w14:paraId="2500892B">
      <w:pPr>
        <w:rPr>
          <w:rFonts w:hint="eastAsia" w:ascii="宋体" w:hAnsi="宋体" w:cs="宋体"/>
          <w:color w:val="000000" w:themeColor="text1"/>
          <w:highlight w:val="none"/>
          <w14:textFill>
            <w14:solidFill>
              <w14:schemeClr w14:val="tx1"/>
            </w14:solidFill>
          </w14:textFill>
        </w:rPr>
      </w:pPr>
    </w:p>
    <w:p w14:paraId="76E7155C">
      <w:pPr>
        <w:rPr>
          <w:rFonts w:hint="eastAsia" w:ascii="宋体" w:hAnsi="宋体" w:cs="宋体"/>
          <w:color w:val="000000" w:themeColor="text1"/>
          <w:highlight w:val="none"/>
          <w14:textFill>
            <w14:solidFill>
              <w14:schemeClr w14:val="tx1"/>
            </w14:solidFill>
          </w14:textFill>
        </w:rPr>
      </w:pPr>
    </w:p>
    <w:p w14:paraId="65144AA8">
      <w:pPr>
        <w:rPr>
          <w:rFonts w:hint="eastAsia" w:ascii="宋体" w:hAnsi="宋体" w:cs="宋体"/>
          <w:color w:val="000000" w:themeColor="text1"/>
          <w:highlight w:val="none"/>
          <w14:textFill>
            <w14:solidFill>
              <w14:schemeClr w14:val="tx1"/>
            </w14:solidFill>
          </w14:textFill>
        </w:rPr>
      </w:pPr>
    </w:p>
    <w:p w14:paraId="706741D1">
      <w:pPr>
        <w:rPr>
          <w:rFonts w:hint="eastAsia" w:ascii="宋体" w:hAnsi="宋体" w:cs="宋体"/>
          <w:color w:val="000000" w:themeColor="text1"/>
          <w:highlight w:val="none"/>
          <w14:textFill>
            <w14:solidFill>
              <w14:schemeClr w14:val="tx1"/>
            </w14:solidFill>
          </w14:textFill>
        </w:rPr>
      </w:pPr>
    </w:p>
    <w:p w14:paraId="5D8C4719">
      <w:pPr>
        <w:rPr>
          <w:rFonts w:hint="eastAsia" w:ascii="宋体" w:hAnsi="宋体" w:cs="宋体"/>
          <w:color w:val="000000" w:themeColor="text1"/>
          <w:highlight w:val="none"/>
          <w14:textFill>
            <w14:solidFill>
              <w14:schemeClr w14:val="tx1"/>
            </w14:solidFill>
          </w14:textFill>
        </w:rPr>
      </w:pPr>
    </w:p>
    <w:p w14:paraId="2A1C1479">
      <w:pPr>
        <w:rPr>
          <w:rFonts w:hint="eastAsia" w:ascii="宋体" w:hAnsi="宋体" w:cs="宋体"/>
          <w:color w:val="000000" w:themeColor="text1"/>
          <w:highlight w:val="none"/>
          <w14:textFill>
            <w14:solidFill>
              <w14:schemeClr w14:val="tx1"/>
            </w14:solidFill>
          </w14:textFill>
        </w:rPr>
      </w:pPr>
    </w:p>
    <w:p w14:paraId="3CAE2DA8">
      <w:pPr>
        <w:rPr>
          <w:rFonts w:hint="eastAsia" w:ascii="宋体" w:hAnsi="宋体" w:cs="宋体"/>
          <w:color w:val="000000" w:themeColor="text1"/>
          <w:highlight w:val="none"/>
          <w14:textFill>
            <w14:solidFill>
              <w14:schemeClr w14:val="tx1"/>
            </w14:solidFill>
          </w14:textFill>
        </w:rPr>
      </w:pPr>
    </w:p>
    <w:p w14:paraId="012D81C6">
      <w:pPr>
        <w:rPr>
          <w:rFonts w:hint="eastAsia" w:ascii="宋体" w:hAnsi="宋体" w:cs="宋体"/>
          <w:color w:val="000000" w:themeColor="text1"/>
          <w:highlight w:val="none"/>
          <w14:textFill>
            <w14:solidFill>
              <w14:schemeClr w14:val="tx1"/>
            </w14:solidFill>
          </w14:textFill>
        </w:rPr>
      </w:pPr>
    </w:p>
    <w:p w14:paraId="3767CE13">
      <w:pPr>
        <w:rPr>
          <w:rFonts w:hint="eastAsia" w:ascii="宋体" w:hAnsi="宋体" w:cs="宋体"/>
          <w:color w:val="000000" w:themeColor="text1"/>
          <w:highlight w:val="none"/>
          <w14:textFill>
            <w14:solidFill>
              <w14:schemeClr w14:val="tx1"/>
            </w14:solidFill>
          </w14:textFill>
        </w:rPr>
      </w:pPr>
    </w:p>
    <w:p w14:paraId="2D46CA3D">
      <w:pPr>
        <w:spacing w:line="300" w:lineRule="auto"/>
        <w:outlineLvl w:val="3"/>
        <w:rPr>
          <w:rFonts w:hint="eastAsia" w:ascii="Times New Roman" w:hAnsi="Times New Roman" w:eastAsia="方正黑体_GBK"/>
          <w:color w:val="000000" w:themeColor="text1"/>
          <w:sz w:val="32"/>
          <w:szCs w:val="32"/>
          <w:highlight w:val="none"/>
          <w:lang w:val="zh-CN" w:eastAsia="zh-CN"/>
          <w14:textFill>
            <w14:solidFill>
              <w14:schemeClr w14:val="tx1"/>
            </w14:solidFill>
          </w14:textFill>
        </w:rPr>
      </w:pPr>
      <w:r>
        <w:rPr>
          <w:rFonts w:hint="eastAsia" w:ascii="Times New Roman" w:hAnsi="Times New Roman" w:eastAsia="方正黑体_GBK"/>
          <w:color w:val="000000" w:themeColor="text1"/>
          <w:sz w:val="32"/>
          <w:szCs w:val="32"/>
          <w:highlight w:val="none"/>
          <w:lang w:val="zh-CN"/>
          <w14:textFill>
            <w14:solidFill>
              <w14:schemeClr w14:val="tx1"/>
            </w14:solidFill>
          </w14:textFill>
        </w:rPr>
        <w:t>附件1</w:t>
      </w:r>
      <w:r>
        <w:rPr>
          <w:rFonts w:hint="eastAsia" w:eastAsia="方正黑体_GBK"/>
          <w:color w:val="000000" w:themeColor="text1"/>
          <w:sz w:val="32"/>
          <w:szCs w:val="32"/>
          <w:highlight w:val="none"/>
          <w:lang w:val="en-US" w:eastAsia="zh-CN"/>
          <w14:textFill>
            <w14:solidFill>
              <w14:schemeClr w14:val="tx1"/>
            </w14:solidFill>
          </w14:textFill>
        </w:rPr>
        <w:t>0</w:t>
      </w:r>
    </w:p>
    <w:p w14:paraId="4F01B5FB">
      <w:pPr>
        <w:spacing w:line="460" w:lineRule="exact"/>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残疾人福利性单位声明函</w:t>
      </w:r>
    </w:p>
    <w:p w14:paraId="2F779CBF">
      <w:pPr>
        <w:spacing w:line="588" w:lineRule="exact"/>
        <w:ind w:firstLine="56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p>
    <w:p w14:paraId="143BFFF8">
      <w:pPr>
        <w:spacing w:line="588" w:lineRule="exact"/>
        <w:ind w:firstLine="56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本单位对上述声明的真实性负责。如有虚假，将依法承担相应责任。</w:t>
      </w:r>
    </w:p>
    <w:p w14:paraId="11762E5E">
      <w:pPr>
        <w:spacing w:line="588" w:lineRule="exact"/>
        <w:ind w:firstLine="560"/>
        <w:rPr>
          <w:rFonts w:ascii="宋体" w:hAnsi="宋体"/>
          <w:color w:val="000000" w:themeColor="text1"/>
          <w:sz w:val="28"/>
          <w:szCs w:val="28"/>
          <w:highlight w:val="none"/>
          <w14:textFill>
            <w14:solidFill>
              <w14:schemeClr w14:val="tx1"/>
            </w14:solidFill>
          </w14:textFill>
        </w:rPr>
      </w:pPr>
    </w:p>
    <w:p w14:paraId="2643AD7F">
      <w:pPr>
        <w:spacing w:line="588" w:lineRule="exact"/>
        <w:ind w:firstLine="560"/>
        <w:rPr>
          <w:rFonts w:ascii="宋体" w:hAnsi="宋体"/>
          <w:color w:val="000000" w:themeColor="text1"/>
          <w:sz w:val="28"/>
          <w:szCs w:val="28"/>
          <w:highlight w:val="none"/>
          <w14:textFill>
            <w14:solidFill>
              <w14:schemeClr w14:val="tx1"/>
            </w14:solidFill>
          </w14:textFill>
        </w:rPr>
      </w:pPr>
    </w:p>
    <w:p w14:paraId="076719B9">
      <w:pPr>
        <w:spacing w:line="588" w:lineRule="exact"/>
        <w:ind w:firstLine="560"/>
        <w:rPr>
          <w:rFonts w:ascii="宋体" w:hAnsi="宋体"/>
          <w:color w:val="000000" w:themeColor="text1"/>
          <w:sz w:val="28"/>
          <w:szCs w:val="28"/>
          <w:highlight w:val="none"/>
          <w14:textFill>
            <w14:solidFill>
              <w14:schemeClr w14:val="tx1"/>
            </w14:solidFill>
          </w14:textFill>
        </w:rPr>
      </w:pPr>
    </w:p>
    <w:p w14:paraId="5BC07BB8">
      <w:pPr>
        <w:spacing w:line="588" w:lineRule="exact"/>
        <w:ind w:firstLine="560"/>
        <w:rPr>
          <w:rFonts w:ascii="宋体" w:hAnsi="宋体"/>
          <w:color w:val="000000" w:themeColor="text1"/>
          <w:sz w:val="28"/>
          <w:szCs w:val="28"/>
          <w:highlight w:val="none"/>
          <w14:textFill>
            <w14:solidFill>
              <w14:schemeClr w14:val="tx1"/>
            </w14:solidFill>
          </w14:textFill>
        </w:rPr>
      </w:pPr>
    </w:p>
    <w:p w14:paraId="21D372F6">
      <w:pPr>
        <w:spacing w:line="300" w:lineRule="auto"/>
        <w:outlineLvl w:val="9"/>
        <w:rPr>
          <w:rFonts w:ascii="宋体" w:hAnsi="宋体" w:cs="宋体"/>
          <w:color w:val="000000" w:themeColor="text1"/>
          <w:sz w:val="28"/>
          <w:szCs w:val="28"/>
          <w:highlight w:val="none"/>
          <w:lang w:bidi="zh-CN"/>
          <w14:textFill>
            <w14:solidFill>
              <w14:schemeClr w14:val="tx1"/>
            </w14:solidFill>
          </w14:textFill>
        </w:rPr>
      </w:pPr>
      <w:r>
        <w:rPr>
          <w:rFonts w:hint="eastAsia" w:ascii="宋体" w:hAnsi="宋体" w:cs="宋体"/>
          <w:color w:val="000000" w:themeColor="text1"/>
          <w:sz w:val="28"/>
          <w:szCs w:val="28"/>
          <w:highlight w:val="none"/>
          <w:lang w:bidi="zh-CN"/>
          <w14:textFill>
            <w14:solidFill>
              <w14:schemeClr w14:val="tx1"/>
            </w14:solidFill>
          </w14:textFill>
        </w:rPr>
        <w:t>注：1、供应商如不提供此声明函，价格将不做相应扣除。</w:t>
      </w:r>
    </w:p>
    <w:p w14:paraId="5E642FB8">
      <w:pPr>
        <w:spacing w:line="588" w:lineRule="exact"/>
        <w:ind w:firstLine="560"/>
        <w:rPr>
          <w:rFonts w:ascii="仿宋_GB2312" w:eastAsia="仿宋_GB2312"/>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bidi="zh-CN"/>
          <w14:textFill>
            <w14:solidFill>
              <w14:schemeClr w14:val="tx1"/>
            </w14:solidFill>
          </w14:textFill>
        </w:rPr>
        <w:t>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19304F66">
      <w:pPr>
        <w:spacing w:line="588" w:lineRule="exact"/>
        <w:ind w:firstLine="584"/>
        <w:rPr>
          <w:rFonts w:ascii="仿宋_GB2312" w:eastAsia="仿宋_GB2312"/>
          <w:color w:val="000000" w:themeColor="text1"/>
          <w:spacing w:val="6"/>
          <w:sz w:val="28"/>
          <w:szCs w:val="28"/>
          <w:highlight w:val="none"/>
          <w14:textFill>
            <w14:solidFill>
              <w14:schemeClr w14:val="tx1"/>
            </w14:solidFill>
          </w14:textFill>
        </w:rPr>
      </w:pPr>
    </w:p>
    <w:p w14:paraId="52CB1C25">
      <w:pPr>
        <w:tabs>
          <w:tab w:val="left" w:pos="4860"/>
        </w:tabs>
        <w:spacing w:line="588" w:lineRule="exact"/>
        <w:ind w:right="1560" w:firstLine="584"/>
        <w:jc w:val="cente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供应商全称（盖章）：</w:t>
      </w:r>
    </w:p>
    <w:p w14:paraId="106EFC9E">
      <w:pPr>
        <w:tabs>
          <w:tab w:val="left" w:pos="4860"/>
        </w:tabs>
        <w:spacing w:line="588" w:lineRule="exact"/>
        <w:ind w:right="1560" w:firstLine="560"/>
        <w:jc w:val="cente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日  期：</w:t>
      </w:r>
    </w:p>
    <w:p w14:paraId="63A07EC7">
      <w:pPr>
        <w:spacing w:line="560" w:lineRule="exact"/>
        <w:ind w:firstLine="240"/>
        <w:jc w:val="center"/>
        <w:rPr>
          <w:rFonts w:ascii="宋体" w:hAnsi="宋体"/>
          <w:bCs/>
          <w:color w:val="000000" w:themeColor="text1"/>
          <w:sz w:val="24"/>
          <w:szCs w:val="21"/>
          <w:highlight w:val="none"/>
          <w14:textFill>
            <w14:solidFill>
              <w14:schemeClr w14:val="tx1"/>
            </w14:solidFill>
          </w14:textFill>
        </w:rPr>
      </w:pPr>
    </w:p>
    <w:p w14:paraId="1B38CE4B">
      <w:pPr>
        <w:spacing w:line="560" w:lineRule="exact"/>
        <w:ind w:firstLine="240"/>
        <w:jc w:val="center"/>
        <w:rPr>
          <w:rFonts w:ascii="宋体" w:hAnsi="宋体"/>
          <w:bCs/>
          <w:color w:val="000000" w:themeColor="text1"/>
          <w:sz w:val="24"/>
          <w:szCs w:val="21"/>
          <w:highlight w:val="none"/>
          <w14:textFill>
            <w14:solidFill>
              <w14:schemeClr w14:val="tx1"/>
            </w14:solidFill>
          </w14:textFill>
        </w:rPr>
      </w:pPr>
    </w:p>
    <w:p w14:paraId="0C5C56B9">
      <w:pPr>
        <w:spacing w:line="560" w:lineRule="exact"/>
        <w:ind w:firstLine="240"/>
        <w:jc w:val="center"/>
        <w:rPr>
          <w:rFonts w:ascii="宋体" w:hAnsi="宋体"/>
          <w:bCs/>
          <w:color w:val="000000" w:themeColor="text1"/>
          <w:sz w:val="24"/>
          <w:szCs w:val="21"/>
          <w:highlight w:val="none"/>
          <w14:textFill>
            <w14:solidFill>
              <w14:schemeClr w14:val="tx1"/>
            </w14:solidFill>
          </w14:textFill>
        </w:rPr>
      </w:pPr>
    </w:p>
    <w:p w14:paraId="5964CCBC">
      <w:pPr>
        <w:spacing w:line="300" w:lineRule="auto"/>
        <w:outlineLvl w:val="3"/>
        <w:rPr>
          <w:rFonts w:hint="default" w:ascii="Times New Roman" w:hAnsi="Times New Roman" w:eastAsia="方正黑体_GBK"/>
          <w:color w:val="000000" w:themeColor="text1"/>
          <w:sz w:val="32"/>
          <w:szCs w:val="32"/>
          <w:highlight w:val="none"/>
          <w:lang w:val="en-US" w:eastAsia="zh-CN"/>
          <w14:textFill>
            <w14:solidFill>
              <w14:schemeClr w14:val="tx1"/>
            </w14:solidFill>
          </w14:textFill>
        </w:rPr>
      </w:pPr>
      <w:r>
        <w:rPr>
          <w:rFonts w:hint="eastAsia" w:ascii="Times New Roman" w:hAnsi="Times New Roman" w:eastAsia="方正黑体_GBK"/>
          <w:color w:val="000000" w:themeColor="text1"/>
          <w:sz w:val="32"/>
          <w:szCs w:val="32"/>
          <w:highlight w:val="none"/>
          <w:lang w:val="zh-CN"/>
          <w14:textFill>
            <w14:solidFill>
              <w14:schemeClr w14:val="tx1"/>
            </w14:solidFill>
          </w14:textFill>
        </w:rPr>
        <w:t>附件</w:t>
      </w:r>
      <w:r>
        <w:rPr>
          <w:rFonts w:hint="eastAsia" w:eastAsia="方正黑体_GBK"/>
          <w:color w:val="000000" w:themeColor="text1"/>
          <w:sz w:val="32"/>
          <w:szCs w:val="32"/>
          <w:highlight w:val="none"/>
          <w:lang w:val="en-US" w:eastAsia="zh-CN"/>
          <w14:textFill>
            <w14:solidFill>
              <w14:schemeClr w14:val="tx1"/>
            </w14:solidFill>
          </w14:textFill>
        </w:rPr>
        <w:t>11</w:t>
      </w:r>
    </w:p>
    <w:p w14:paraId="1EFB5972">
      <w:pPr>
        <w:spacing w:line="420" w:lineRule="exact"/>
        <w:jc w:val="center"/>
        <w:outlineLvl w:val="9"/>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监狱和戒毒企业证明材料</w:t>
      </w:r>
    </w:p>
    <w:p w14:paraId="3F4AAB86">
      <w:pPr>
        <w:spacing w:line="420" w:lineRule="exact"/>
        <w:ind w:firstLine="495"/>
        <w:rPr>
          <w:rFonts w:ascii="宋体" w:hAnsi="宋体" w:cs="宋体"/>
          <w:color w:val="000000" w:themeColor="text1"/>
          <w:sz w:val="28"/>
          <w:szCs w:val="28"/>
          <w:highlight w:val="none"/>
          <w14:textFill>
            <w14:solidFill>
              <w14:schemeClr w14:val="tx1"/>
            </w14:solidFill>
          </w14:textFill>
        </w:rPr>
      </w:pPr>
    </w:p>
    <w:p w14:paraId="76539D22">
      <w:pPr>
        <w:spacing w:line="420" w:lineRule="exact"/>
        <w:ind w:firstLine="498"/>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（格式自拟）</w:t>
      </w:r>
    </w:p>
    <w:p w14:paraId="1A28A4FC">
      <w:pPr>
        <w:spacing w:line="420" w:lineRule="exact"/>
        <w:ind w:firstLine="495"/>
        <w:rPr>
          <w:rFonts w:ascii="宋体" w:hAnsi="宋体" w:cs="宋体"/>
          <w:color w:val="000000" w:themeColor="text1"/>
          <w:sz w:val="28"/>
          <w:szCs w:val="28"/>
          <w:highlight w:val="none"/>
          <w14:textFill>
            <w14:solidFill>
              <w14:schemeClr w14:val="tx1"/>
            </w14:solidFill>
          </w14:textFill>
        </w:rPr>
      </w:pPr>
    </w:p>
    <w:p w14:paraId="5380FD5B">
      <w:pPr>
        <w:spacing w:line="420" w:lineRule="exact"/>
        <w:ind w:firstLine="6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66C8FD40">
      <w:pPr>
        <w:spacing w:line="420" w:lineRule="exact"/>
        <w:ind w:firstLine="660"/>
        <w:outlineLvl w:val="9"/>
        <w:rPr>
          <w:rFonts w:hint="eastAsia" w:ascii="宋体" w:hAnsi="宋体" w:cs="宋体"/>
          <w:color w:val="000000" w:themeColor="text1"/>
          <w:sz w:val="28"/>
          <w:szCs w:val="28"/>
          <w:highlight w:val="none"/>
          <w14:textFill>
            <w14:solidFill>
              <w14:schemeClr w14:val="tx1"/>
            </w14:solidFill>
          </w14:textFill>
        </w:rPr>
      </w:pPr>
    </w:p>
    <w:p w14:paraId="5E11D1BE">
      <w:pPr>
        <w:spacing w:line="420" w:lineRule="exact"/>
        <w:ind w:firstLine="660"/>
        <w:outlineLvl w:val="9"/>
        <w:rPr>
          <w:rFonts w:hint="eastAsia" w:ascii="宋体" w:hAnsi="宋体" w:cs="宋体"/>
          <w:color w:val="000000" w:themeColor="text1"/>
          <w:sz w:val="28"/>
          <w:szCs w:val="28"/>
          <w:highlight w:val="none"/>
          <w14:textFill>
            <w14:solidFill>
              <w14:schemeClr w14:val="tx1"/>
            </w14:solidFill>
          </w14:textFill>
        </w:rPr>
      </w:pPr>
    </w:p>
    <w:p w14:paraId="14C2C198">
      <w:pPr>
        <w:spacing w:line="420" w:lineRule="exact"/>
        <w:ind w:firstLine="660"/>
        <w:outlineLvl w:val="9"/>
        <w:rPr>
          <w:rFonts w:hint="eastAsia" w:ascii="宋体" w:hAnsi="宋体" w:cs="宋体"/>
          <w:color w:val="000000" w:themeColor="text1"/>
          <w:sz w:val="28"/>
          <w:szCs w:val="28"/>
          <w:highlight w:val="none"/>
          <w14:textFill>
            <w14:solidFill>
              <w14:schemeClr w14:val="tx1"/>
            </w14:solidFill>
          </w14:textFill>
        </w:rPr>
      </w:pPr>
    </w:p>
    <w:p w14:paraId="529D2ECB">
      <w:pPr>
        <w:spacing w:line="420" w:lineRule="exact"/>
        <w:ind w:firstLine="660"/>
        <w:outlineLvl w:val="9"/>
        <w:rPr>
          <w:rFonts w:hint="eastAsia" w:ascii="宋体" w:hAnsi="宋体" w:cs="宋体"/>
          <w:color w:val="000000" w:themeColor="text1"/>
          <w:sz w:val="28"/>
          <w:szCs w:val="28"/>
          <w:highlight w:val="none"/>
          <w14:textFill>
            <w14:solidFill>
              <w14:schemeClr w14:val="tx1"/>
            </w14:solidFill>
          </w14:textFill>
        </w:rPr>
      </w:pPr>
    </w:p>
    <w:p w14:paraId="2FF4861F">
      <w:pPr>
        <w:spacing w:line="420" w:lineRule="exact"/>
        <w:ind w:firstLine="660"/>
        <w:outlineLvl w:val="9"/>
        <w:rPr>
          <w:rFonts w:hint="eastAsia" w:ascii="宋体" w:hAnsi="宋体" w:cs="宋体"/>
          <w:color w:val="000000" w:themeColor="text1"/>
          <w:sz w:val="28"/>
          <w:szCs w:val="28"/>
          <w:highlight w:val="none"/>
          <w14:textFill>
            <w14:solidFill>
              <w14:schemeClr w14:val="tx1"/>
            </w14:solidFill>
          </w14:textFill>
        </w:rPr>
      </w:pPr>
    </w:p>
    <w:p w14:paraId="586073DB">
      <w:pPr>
        <w:spacing w:line="420" w:lineRule="exact"/>
        <w:ind w:firstLine="660"/>
        <w:outlineLvl w:val="9"/>
        <w:rPr>
          <w:rFonts w:hint="eastAsia" w:ascii="宋体" w:hAnsi="宋体" w:cs="宋体"/>
          <w:color w:val="000000" w:themeColor="text1"/>
          <w:sz w:val="28"/>
          <w:szCs w:val="28"/>
          <w:highlight w:val="none"/>
          <w14:textFill>
            <w14:solidFill>
              <w14:schemeClr w14:val="tx1"/>
            </w14:solidFill>
          </w14:textFill>
        </w:rPr>
      </w:pPr>
    </w:p>
    <w:p w14:paraId="7AE4B1F3">
      <w:pPr>
        <w:spacing w:line="300" w:lineRule="auto"/>
        <w:outlineLvl w:val="9"/>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注：1、供应商如不提供此声明函，价格将不做相应扣除。</w:t>
      </w:r>
    </w:p>
    <w:p w14:paraId="763801EB">
      <w:pPr>
        <w:spacing w:line="300" w:lineRule="auto"/>
        <w:ind w:firstLine="560"/>
        <w:outlineLvl w:val="9"/>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2、成交供应商为监狱企业的，此声明函将随成交结果同时公告，接受社会监督。供应商按照本办法规定提供声明函内容不实的，属于提供虚假材料谋取中标、成交，依照《中华人民共和国政府采购法》</w:t>
      </w:r>
      <w:r>
        <w:rPr>
          <w:rFonts w:hint="eastAsia"/>
          <w:color w:val="000000" w:themeColor="text1"/>
          <w:sz w:val="28"/>
          <w:szCs w:val="28"/>
          <w:highlight w:val="none"/>
          <w:lang w:eastAsia="zh-CN"/>
          <w14:textFill>
            <w14:solidFill>
              <w14:schemeClr w14:val="tx1"/>
            </w14:solidFill>
          </w14:textFill>
        </w:rPr>
        <w:t>、</w:t>
      </w:r>
      <w:r>
        <w:rPr>
          <w:rFonts w:hint="eastAsia"/>
          <w:color w:val="000000" w:themeColor="text1"/>
          <w:sz w:val="28"/>
          <w:szCs w:val="28"/>
          <w:highlight w:val="none"/>
          <w14:textFill>
            <w14:solidFill>
              <w14:schemeClr w14:val="tx1"/>
            </w14:solidFill>
          </w14:textFill>
        </w:rPr>
        <w:t>等国家有关规定追究相应责任。</w:t>
      </w:r>
    </w:p>
    <w:p w14:paraId="260991BA">
      <w:pPr>
        <w:spacing w:line="300" w:lineRule="auto"/>
        <w:outlineLvl w:val="9"/>
        <w:rPr>
          <w:color w:val="000000" w:themeColor="text1"/>
          <w:sz w:val="28"/>
          <w:szCs w:val="28"/>
          <w:highlight w:val="none"/>
          <w14:textFill>
            <w14:solidFill>
              <w14:schemeClr w14:val="tx1"/>
            </w14:solidFill>
          </w14:textFill>
        </w:rPr>
      </w:pPr>
    </w:p>
    <w:p w14:paraId="7019996F">
      <w:pPr>
        <w:spacing w:line="560" w:lineRule="exact"/>
        <w:ind w:firstLine="360"/>
        <w:outlineLvl w:val="9"/>
        <w:rPr>
          <w:rFonts w:ascii="华文新魏" w:hAnsi="宋体" w:eastAsia="华文新魏"/>
          <w:color w:val="000000" w:themeColor="text1"/>
          <w:sz w:val="36"/>
          <w:szCs w:val="36"/>
          <w:highlight w:val="none"/>
          <w14:textFill>
            <w14:solidFill>
              <w14:schemeClr w14:val="tx1"/>
            </w14:solidFill>
          </w14:textFill>
        </w:rPr>
      </w:pPr>
    </w:p>
    <w:p w14:paraId="0E84E103">
      <w:pPr>
        <w:spacing w:line="300" w:lineRule="auto"/>
        <w:outlineLvl w:val="3"/>
        <w:rPr>
          <w:rFonts w:hint="eastAsia" w:eastAsia="方正黑体_GBK"/>
          <w:color w:val="000000" w:themeColor="text1"/>
          <w:sz w:val="32"/>
          <w:szCs w:val="32"/>
          <w:highlight w:val="none"/>
          <w:lang w:val="en-US" w:eastAsia="zh-CN"/>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br w:type="page" w:clear="all"/>
      </w:r>
      <w:r>
        <w:rPr>
          <w:rFonts w:hint="eastAsia" w:ascii="Times New Roman" w:hAnsi="Times New Roman" w:eastAsia="方正黑体_GBK"/>
          <w:color w:val="000000" w:themeColor="text1"/>
          <w:sz w:val="32"/>
          <w:szCs w:val="32"/>
          <w:highlight w:val="none"/>
          <w:lang w:val="zh-CN"/>
          <w14:textFill>
            <w14:solidFill>
              <w14:schemeClr w14:val="tx1"/>
            </w14:solidFill>
          </w14:textFill>
        </w:rPr>
        <w:t>附件1</w:t>
      </w:r>
      <w:r>
        <w:rPr>
          <w:rFonts w:hint="eastAsia" w:eastAsia="方正黑体_GBK"/>
          <w:color w:val="000000" w:themeColor="text1"/>
          <w:sz w:val="32"/>
          <w:szCs w:val="32"/>
          <w:highlight w:val="none"/>
          <w:lang w:val="en-US" w:eastAsia="zh-CN"/>
          <w14:textFill>
            <w14:solidFill>
              <w14:schemeClr w14:val="tx1"/>
            </w14:solidFill>
          </w14:textFill>
        </w:rPr>
        <w:t>2</w:t>
      </w:r>
    </w:p>
    <w:p w14:paraId="6BCF8204">
      <w:pPr>
        <w:widowControl/>
        <w:shd w:val="clear" w:color="auto" w:fill="FFFFFF"/>
        <w:spacing w:line="440" w:lineRule="exact"/>
        <w:jc w:val="center"/>
        <w:rPr>
          <w:rFonts w:hint="eastAsia" w:ascii="黑体" w:hAnsi="黑体" w:eastAsia="黑体" w:cs="方正魏碑_GBK"/>
          <w:color w:val="000000" w:themeColor="text1"/>
          <w:sz w:val="32"/>
          <w:szCs w:val="32"/>
          <w:highlight w:val="none"/>
          <w14:textFill>
            <w14:solidFill>
              <w14:schemeClr w14:val="tx1"/>
            </w14:solidFill>
          </w14:textFill>
        </w:rPr>
      </w:pPr>
      <w:r>
        <w:rPr>
          <w:rFonts w:hint="eastAsia" w:ascii="黑体" w:hAnsi="黑体" w:eastAsia="黑体" w:cs="方正魏碑_GBK"/>
          <w:color w:val="000000" w:themeColor="text1"/>
          <w:sz w:val="32"/>
          <w:szCs w:val="32"/>
          <w:highlight w:val="none"/>
          <w14:textFill>
            <w14:solidFill>
              <w14:schemeClr w14:val="tx1"/>
            </w14:solidFill>
          </w14:textFill>
        </w:rPr>
        <w:t>关于符合本国产品标准的声明函</w:t>
      </w:r>
    </w:p>
    <w:p w14:paraId="29596095">
      <w:pPr>
        <w:widowControl/>
        <w:spacing w:line="440" w:lineRule="exact"/>
        <w:ind w:firstLine="420"/>
        <w:jc w:val="left"/>
        <w:rPr>
          <w:rFonts w:ascii="宋体" w:hAnsi="宋体" w:eastAsia="宋体" w:cs="方正魏碑_GBK"/>
          <w:color w:val="000000" w:themeColor="text1"/>
          <w:sz w:val="28"/>
          <w:szCs w:val="28"/>
          <w:highlight w:val="none"/>
          <w14:textFill>
            <w14:solidFill>
              <w14:schemeClr w14:val="tx1"/>
            </w14:solidFill>
          </w14:textFill>
        </w:rPr>
      </w:pPr>
    </w:p>
    <w:p w14:paraId="77F107C5">
      <w:pPr>
        <w:widowControl/>
        <w:spacing w:line="440" w:lineRule="exact"/>
        <w:ind w:firstLine="420"/>
        <w:jc w:val="left"/>
        <w:rPr>
          <w:rFonts w:hint="eastAsia" w:ascii="宋体" w:hAnsi="宋体" w:eastAsia="宋体" w:cs="方正魏碑_GBK"/>
          <w:color w:val="000000" w:themeColor="text1"/>
          <w:sz w:val="28"/>
          <w:szCs w:val="28"/>
          <w:highlight w:val="none"/>
          <w14:textFill>
            <w14:solidFill>
              <w14:schemeClr w14:val="tx1"/>
            </w14:solidFill>
          </w14:textFill>
        </w:rPr>
      </w:pPr>
      <w:r>
        <w:rPr>
          <w:rFonts w:hint="eastAsia" w:ascii="宋体" w:hAnsi="宋体" w:eastAsia="宋体" w:cs="方正魏碑_GBK"/>
          <w:color w:val="000000" w:themeColor="text1"/>
          <w:sz w:val="28"/>
          <w:szCs w:val="28"/>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09168961">
      <w:pPr>
        <w:widowControl/>
        <w:spacing w:line="440" w:lineRule="exact"/>
        <w:ind w:firstLine="420"/>
        <w:jc w:val="left"/>
        <w:rPr>
          <w:rFonts w:hint="eastAsia" w:ascii="宋体" w:hAnsi="宋体" w:eastAsia="宋体" w:cs="方正魏碑_GBK"/>
          <w:color w:val="000000" w:themeColor="text1"/>
          <w:sz w:val="28"/>
          <w:szCs w:val="28"/>
          <w:highlight w:val="none"/>
          <w14:textFill>
            <w14:solidFill>
              <w14:schemeClr w14:val="tx1"/>
            </w14:solidFill>
          </w14:textFill>
        </w:rPr>
      </w:pP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1.</w:t>
      </w:r>
      <w:r>
        <w:rPr>
          <w:rFonts w:hint="eastAsia" w:ascii="宋体" w:hAnsi="宋体" w:eastAsia="宋体" w:cs="方正魏碑_GBK"/>
          <w:color w:val="000000" w:themeColor="text1"/>
          <w:sz w:val="28"/>
          <w:szCs w:val="28"/>
          <w:highlight w:val="none"/>
          <w:u w:val="single"/>
          <w14:textFill>
            <w14:solidFill>
              <w14:schemeClr w14:val="tx1"/>
            </w14:solidFill>
          </w14:textFill>
        </w:rPr>
        <w:t>（产品名称1）</w:t>
      </w:r>
      <w:r>
        <w:rPr>
          <w:rFonts w:hint="eastAsia" w:ascii="宋体" w:hAnsi="宋体" w:eastAsia="宋体" w:cs="方正魏碑_GBK"/>
          <w:color w:val="000000" w:themeColor="text1"/>
          <w:sz w:val="28"/>
          <w:szCs w:val="28"/>
          <w:highlight w:val="none"/>
          <w:vertAlign w:val="superscript"/>
          <w14:textFill>
            <w14:solidFill>
              <w14:schemeClr w14:val="tx1"/>
            </w14:solidFill>
          </w14:textFill>
        </w:rPr>
        <w:t>1</w:t>
      </w: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，生产厂为</w:t>
      </w:r>
      <w:r>
        <w:rPr>
          <w:rFonts w:hint="eastAsia" w:ascii="宋体" w:hAnsi="宋体" w:eastAsia="宋体" w:cs="方正魏碑_GBK"/>
          <w:color w:val="000000" w:themeColor="text1"/>
          <w:sz w:val="28"/>
          <w:szCs w:val="28"/>
          <w:highlight w:val="none"/>
          <w:u w:val="single"/>
          <w14:textFill>
            <w14:solidFill>
              <w14:schemeClr w14:val="tx1"/>
            </w14:solidFill>
          </w14:textFill>
        </w:rPr>
        <w:t>（厂名）</w:t>
      </w:r>
      <w:r>
        <w:rPr>
          <w:rFonts w:hint="eastAsia" w:ascii="宋体" w:hAnsi="宋体" w:eastAsia="宋体" w:cs="方正魏碑_GBK"/>
          <w:color w:val="000000" w:themeColor="text1"/>
          <w:sz w:val="28"/>
          <w:szCs w:val="28"/>
          <w:highlight w:val="none"/>
          <w:vertAlign w:val="superscript"/>
          <w14:textFill>
            <w14:solidFill>
              <w14:schemeClr w14:val="tx1"/>
            </w14:solidFill>
          </w14:textFill>
        </w:rPr>
        <w:t>2</w:t>
      </w: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，厂址为</w:t>
      </w:r>
      <w:r>
        <w:rPr>
          <w:rFonts w:hint="eastAsia" w:ascii="宋体" w:hAnsi="宋体" w:eastAsia="宋体" w:cs="方正魏碑_GBK"/>
          <w:color w:val="000000" w:themeColor="text1"/>
          <w:sz w:val="28"/>
          <w:szCs w:val="28"/>
          <w:highlight w:val="none"/>
          <w:u w:val="single"/>
          <w14:textFill>
            <w14:solidFill>
              <w14:schemeClr w14:val="tx1"/>
            </w14:solidFill>
          </w14:textFill>
        </w:rPr>
        <w:t>（生产厂址）</w:t>
      </w: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w:t>
      </w:r>
      <w:r>
        <w:rPr>
          <w:rFonts w:hint="eastAsia" w:ascii="宋体" w:hAnsi="宋体" w:eastAsia="宋体" w:cs="方正魏碑_GBK"/>
          <w:color w:val="000000" w:themeColor="text1"/>
          <w:sz w:val="28"/>
          <w:szCs w:val="28"/>
          <w:highlight w:val="none"/>
          <w:u w:val="single"/>
          <w:shd w:val="clear" w:color="auto" w:fill="FFFFFF"/>
          <w14:textFill>
            <w14:solidFill>
              <w14:schemeClr w14:val="tx1"/>
            </w14:solidFill>
          </w14:textFill>
        </w:rPr>
        <w:t xml:space="preserve"> </w:t>
      </w:r>
      <w:r>
        <w:rPr>
          <w:rFonts w:hint="eastAsia" w:ascii="宋体" w:hAnsi="宋体" w:eastAsia="宋体" w:cs="方正魏碑_GBK"/>
          <w:strike/>
          <w:color w:val="000000" w:themeColor="text1"/>
          <w:sz w:val="28"/>
          <w:szCs w:val="28"/>
          <w:highlight w:val="none"/>
          <w:u w:val="single"/>
          <w14:textFill>
            <w14:solidFill>
              <w14:schemeClr w14:val="tx1"/>
            </w14:solidFill>
          </w14:textFill>
        </w:rPr>
        <w:t>（产品名称1）</w:t>
      </w:r>
      <w:r>
        <w:rPr>
          <w:rFonts w:hint="eastAsia" w:ascii="宋体" w:hAnsi="宋体" w:eastAsia="宋体" w:cs="方正魏碑_GBK"/>
          <w:color w:val="000000" w:themeColor="text1"/>
          <w:sz w:val="28"/>
          <w:szCs w:val="28"/>
          <w:highlight w:val="none"/>
          <w:u w:val="single"/>
          <w14:textFill>
            <w14:solidFill>
              <w14:schemeClr w14:val="tx1"/>
            </w14:solidFill>
          </w14:textFill>
        </w:rPr>
        <w:t xml:space="preserve"> </w:t>
      </w: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的中国境内生产的组件成本占比≥</w:t>
      </w:r>
      <w:r>
        <w:rPr>
          <w:rFonts w:hint="eastAsia" w:ascii="宋体" w:hAnsi="宋体" w:eastAsia="宋体" w:cs="方正魏碑_GBK"/>
          <w:strike/>
          <w:color w:val="000000" w:themeColor="text1"/>
          <w:sz w:val="28"/>
          <w:szCs w:val="28"/>
          <w:highlight w:val="none"/>
          <w:u w:val="single"/>
          <w14:textFill>
            <w14:solidFill>
              <w14:schemeClr w14:val="tx1"/>
            </w14:solidFill>
          </w14:textFill>
        </w:rPr>
        <w:t>（规定</w:t>
      </w:r>
      <w:r>
        <w:rPr>
          <w:rFonts w:ascii="宋体" w:hAnsi="宋体" w:eastAsia="宋体" w:cs="方正魏碑_GBK"/>
          <w:strike/>
          <w:color w:val="000000" w:themeColor="text1"/>
          <w:sz w:val="28"/>
          <w:szCs w:val="28"/>
          <w:highlight w:val="none"/>
          <w:u w:val="single"/>
          <w14:textFill>
            <w14:solidFill>
              <w14:schemeClr w14:val="tx1"/>
            </w14:solidFill>
          </w14:textFill>
        </w:rPr>
        <w:t>比例</w:t>
      </w:r>
      <w:r>
        <w:rPr>
          <w:rFonts w:hint="eastAsia" w:ascii="宋体" w:hAnsi="宋体" w:eastAsia="宋体" w:cs="方正魏碑_GBK"/>
          <w:strike/>
          <w:color w:val="000000" w:themeColor="text1"/>
          <w:sz w:val="28"/>
          <w:szCs w:val="28"/>
          <w:highlight w:val="none"/>
          <w:u w:val="single"/>
          <w14:textFill>
            <w14:solidFill>
              <w14:schemeClr w14:val="tx1"/>
            </w14:solidFill>
          </w14:textFill>
        </w:rPr>
        <w:t>）</w:t>
      </w:r>
      <w:r>
        <w:rPr>
          <w:rFonts w:hint="eastAsia" w:ascii="宋体" w:hAnsi="宋体" w:eastAsia="宋体" w:cs="方正魏碑_GBK"/>
          <w:color w:val="000000" w:themeColor="text1"/>
          <w:sz w:val="28"/>
          <w:szCs w:val="28"/>
          <w:highlight w:val="none"/>
          <w:vertAlign w:val="superscript"/>
          <w14:textFill>
            <w14:solidFill>
              <w14:schemeClr w14:val="tx1"/>
            </w14:solidFill>
          </w14:textFill>
        </w:rPr>
        <w:t>3</w:t>
      </w: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w:t>
      </w:r>
      <w:r>
        <w:rPr>
          <w:rFonts w:hint="eastAsia" w:ascii="宋体" w:hAnsi="宋体" w:eastAsia="宋体" w:cs="方正魏碑_GBK"/>
          <w:strike/>
          <w:color w:val="000000" w:themeColor="text1"/>
          <w:sz w:val="28"/>
          <w:szCs w:val="28"/>
          <w:highlight w:val="none"/>
          <w:u w:val="single"/>
          <w14:textFill>
            <w14:solidFill>
              <w14:schemeClr w14:val="tx1"/>
            </w14:solidFill>
          </w14:textFill>
        </w:rPr>
        <w:t>（产品名称1）</w:t>
      </w: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的</w:t>
      </w:r>
      <w:r>
        <w:rPr>
          <w:rFonts w:hint="eastAsia" w:ascii="宋体" w:hAnsi="宋体" w:eastAsia="宋体" w:cs="方正魏碑_GBK"/>
          <w:strike/>
          <w:color w:val="000000" w:themeColor="text1"/>
          <w:sz w:val="28"/>
          <w:szCs w:val="28"/>
          <w:highlight w:val="none"/>
          <w:u w:val="single"/>
          <w14:textFill>
            <w14:solidFill>
              <w14:schemeClr w14:val="tx1"/>
            </w14:solidFill>
          </w14:textFill>
        </w:rPr>
        <w:t>（关键</w:t>
      </w:r>
      <w:r>
        <w:rPr>
          <w:rFonts w:ascii="宋体" w:hAnsi="宋体" w:eastAsia="宋体" w:cs="方正魏碑_GBK"/>
          <w:strike/>
          <w:color w:val="000000" w:themeColor="text1"/>
          <w:sz w:val="28"/>
          <w:szCs w:val="28"/>
          <w:highlight w:val="none"/>
          <w:u w:val="single"/>
          <w14:textFill>
            <w14:solidFill>
              <w14:schemeClr w14:val="tx1"/>
            </w14:solidFill>
          </w14:textFill>
        </w:rPr>
        <w:t>组件</w:t>
      </w:r>
      <w:r>
        <w:rPr>
          <w:rFonts w:hint="eastAsia" w:ascii="宋体" w:hAnsi="宋体" w:eastAsia="宋体" w:cs="方正魏碑_GBK"/>
          <w:strike/>
          <w:color w:val="000000" w:themeColor="text1"/>
          <w:sz w:val="28"/>
          <w:szCs w:val="28"/>
          <w:highlight w:val="none"/>
          <w:u w:val="single"/>
          <w14:textFill>
            <w14:solidFill>
              <w14:schemeClr w14:val="tx1"/>
            </w14:solidFill>
          </w14:textFill>
        </w:rPr>
        <w:t>）</w:t>
      </w:r>
      <w:r>
        <w:rPr>
          <w:rFonts w:hint="eastAsia" w:ascii="宋体" w:hAnsi="宋体" w:eastAsia="宋体" w:cs="方正魏碑_GBK"/>
          <w:color w:val="000000" w:themeColor="text1"/>
          <w:sz w:val="28"/>
          <w:szCs w:val="28"/>
          <w:highlight w:val="none"/>
          <w:vertAlign w:val="superscript"/>
          <w14:textFill>
            <w14:solidFill>
              <w14:schemeClr w14:val="tx1"/>
            </w14:solidFill>
          </w14:textFill>
        </w:rPr>
        <w:t>4</w:t>
      </w: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在中国境内生产。</w:t>
      </w:r>
      <w:r>
        <w:rPr>
          <w:rFonts w:hint="eastAsia" w:ascii="宋体" w:hAnsi="宋体" w:eastAsia="宋体" w:cs="方正魏碑_GBK"/>
          <w:strike/>
          <w:color w:val="000000" w:themeColor="text1"/>
          <w:sz w:val="28"/>
          <w:szCs w:val="28"/>
          <w:highlight w:val="none"/>
          <w:u w:val="single"/>
          <w14:textFill>
            <w14:solidFill>
              <w14:schemeClr w14:val="tx1"/>
            </w14:solidFill>
          </w14:textFill>
        </w:rPr>
        <w:t>（产品名称1）</w:t>
      </w: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的</w:t>
      </w:r>
      <w:r>
        <w:rPr>
          <w:rFonts w:hint="eastAsia" w:ascii="宋体" w:hAnsi="宋体" w:eastAsia="宋体" w:cs="方正魏碑_GBK"/>
          <w:strike/>
          <w:color w:val="000000" w:themeColor="text1"/>
          <w:sz w:val="28"/>
          <w:szCs w:val="28"/>
          <w:highlight w:val="none"/>
          <w:u w:val="single"/>
          <w14:textFill>
            <w14:solidFill>
              <w14:schemeClr w14:val="tx1"/>
            </w14:solidFill>
          </w14:textFill>
        </w:rPr>
        <w:t>（关键工序）</w:t>
      </w:r>
      <w:r>
        <w:rPr>
          <w:rFonts w:hint="eastAsia" w:ascii="宋体" w:hAnsi="宋体" w:eastAsia="宋体" w:cs="方正魏碑_GBK"/>
          <w:color w:val="000000" w:themeColor="text1"/>
          <w:sz w:val="28"/>
          <w:szCs w:val="28"/>
          <w:highlight w:val="none"/>
          <w:vertAlign w:val="superscript"/>
          <w14:textFill>
            <w14:solidFill>
              <w14:schemeClr w14:val="tx1"/>
            </w14:solidFill>
          </w14:textFill>
        </w:rPr>
        <w:t>5</w:t>
      </w: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在中国境内完成。</w:t>
      </w:r>
    </w:p>
    <w:p w14:paraId="365F5390">
      <w:pPr>
        <w:widowControl/>
        <w:spacing w:line="440" w:lineRule="exact"/>
        <w:ind w:firstLine="420"/>
        <w:jc w:val="left"/>
        <w:rPr>
          <w:rFonts w:hint="eastAsia" w:ascii="宋体" w:hAnsi="宋体" w:eastAsia="宋体" w:cs="方正魏碑_GBK"/>
          <w:color w:val="000000" w:themeColor="text1"/>
          <w:sz w:val="28"/>
          <w:szCs w:val="28"/>
          <w:highlight w:val="none"/>
          <w14:textFill>
            <w14:solidFill>
              <w14:schemeClr w14:val="tx1"/>
            </w14:solidFill>
          </w14:textFill>
        </w:rPr>
      </w:pP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2.</w:t>
      </w:r>
      <w:r>
        <w:rPr>
          <w:rFonts w:hint="eastAsia" w:ascii="宋体" w:hAnsi="宋体" w:eastAsia="宋体" w:cs="方正魏碑_GBK"/>
          <w:color w:val="000000" w:themeColor="text1"/>
          <w:sz w:val="28"/>
          <w:szCs w:val="28"/>
          <w:highlight w:val="none"/>
          <w:u w:val="single"/>
          <w14:textFill>
            <w14:solidFill>
              <w14:schemeClr w14:val="tx1"/>
            </w14:solidFill>
          </w14:textFill>
        </w:rPr>
        <w:t>（产品名称2）</w:t>
      </w: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，生产厂为</w:t>
      </w:r>
      <w:r>
        <w:rPr>
          <w:rFonts w:hint="eastAsia" w:ascii="宋体" w:hAnsi="宋体" w:eastAsia="宋体" w:cs="方正魏碑_GBK"/>
          <w:color w:val="000000" w:themeColor="text1"/>
          <w:sz w:val="28"/>
          <w:szCs w:val="28"/>
          <w:highlight w:val="none"/>
          <w:u w:val="single"/>
          <w14:textFill>
            <w14:solidFill>
              <w14:schemeClr w14:val="tx1"/>
            </w14:solidFill>
          </w14:textFill>
        </w:rPr>
        <w:t>（厂名）</w:t>
      </w: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，厂址为</w:t>
      </w:r>
      <w:r>
        <w:rPr>
          <w:rFonts w:hint="eastAsia" w:ascii="宋体" w:hAnsi="宋体" w:eastAsia="宋体" w:cs="方正魏碑_GBK"/>
          <w:color w:val="000000" w:themeColor="text1"/>
          <w:sz w:val="28"/>
          <w:szCs w:val="28"/>
          <w:highlight w:val="none"/>
          <w:u w:val="single"/>
          <w14:textFill>
            <w14:solidFill>
              <w14:schemeClr w14:val="tx1"/>
            </w14:solidFill>
          </w14:textFill>
        </w:rPr>
        <w:t>（生产厂址）</w:t>
      </w: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w:t>
      </w:r>
      <w:r>
        <w:rPr>
          <w:rFonts w:hint="eastAsia" w:ascii="宋体" w:hAnsi="宋体" w:eastAsia="宋体" w:cs="方正魏碑_GBK"/>
          <w:strike/>
          <w:color w:val="000000" w:themeColor="text1"/>
          <w:sz w:val="28"/>
          <w:szCs w:val="28"/>
          <w:highlight w:val="none"/>
          <w:u w:val="single"/>
          <w14:textFill>
            <w14:solidFill>
              <w14:schemeClr w14:val="tx1"/>
            </w14:solidFill>
          </w14:textFill>
        </w:rPr>
        <w:t>（产品名称2）</w:t>
      </w: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的中国境内生产的组件成本占比≥</w:t>
      </w:r>
      <w:r>
        <w:rPr>
          <w:rFonts w:hint="eastAsia" w:ascii="宋体" w:hAnsi="宋体" w:eastAsia="宋体" w:cs="方正魏碑_GBK"/>
          <w:strike/>
          <w:color w:val="000000" w:themeColor="text1"/>
          <w:sz w:val="28"/>
          <w:szCs w:val="28"/>
          <w:highlight w:val="none"/>
          <w:u w:val="single"/>
          <w14:textFill>
            <w14:solidFill>
              <w14:schemeClr w14:val="tx1"/>
            </w14:solidFill>
          </w14:textFill>
        </w:rPr>
        <w:t>（规定</w:t>
      </w:r>
      <w:r>
        <w:rPr>
          <w:rFonts w:ascii="宋体" w:hAnsi="宋体" w:eastAsia="宋体" w:cs="方正魏碑_GBK"/>
          <w:strike/>
          <w:color w:val="000000" w:themeColor="text1"/>
          <w:sz w:val="28"/>
          <w:szCs w:val="28"/>
          <w:highlight w:val="none"/>
          <w:u w:val="single"/>
          <w14:textFill>
            <w14:solidFill>
              <w14:schemeClr w14:val="tx1"/>
            </w14:solidFill>
          </w14:textFill>
        </w:rPr>
        <w:t>比例</w:t>
      </w:r>
      <w:r>
        <w:rPr>
          <w:rFonts w:hint="eastAsia" w:ascii="宋体" w:hAnsi="宋体" w:eastAsia="宋体" w:cs="方正魏碑_GBK"/>
          <w:strike/>
          <w:color w:val="000000" w:themeColor="text1"/>
          <w:sz w:val="28"/>
          <w:szCs w:val="28"/>
          <w:highlight w:val="none"/>
          <w:u w:val="single"/>
          <w14:textFill>
            <w14:solidFill>
              <w14:schemeClr w14:val="tx1"/>
            </w14:solidFill>
          </w14:textFill>
        </w:rPr>
        <w:t>）</w:t>
      </w: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w:t>
      </w:r>
      <w:r>
        <w:rPr>
          <w:rFonts w:hint="eastAsia" w:ascii="宋体" w:hAnsi="宋体" w:eastAsia="宋体" w:cs="方正魏碑_GBK"/>
          <w:strike/>
          <w:color w:val="000000" w:themeColor="text1"/>
          <w:sz w:val="28"/>
          <w:szCs w:val="28"/>
          <w:highlight w:val="none"/>
          <w:u w:val="single"/>
          <w14:textFill>
            <w14:solidFill>
              <w14:schemeClr w14:val="tx1"/>
            </w14:solidFill>
          </w14:textFill>
        </w:rPr>
        <w:t>（产品名称2）</w:t>
      </w: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的</w:t>
      </w:r>
      <w:r>
        <w:rPr>
          <w:rFonts w:hint="eastAsia" w:ascii="宋体" w:hAnsi="宋体" w:eastAsia="宋体" w:cs="方正魏碑_GBK"/>
          <w:strike/>
          <w:color w:val="000000" w:themeColor="text1"/>
          <w:sz w:val="28"/>
          <w:szCs w:val="28"/>
          <w:highlight w:val="none"/>
          <w:u w:val="single"/>
          <w14:textFill>
            <w14:solidFill>
              <w14:schemeClr w14:val="tx1"/>
            </w14:solidFill>
          </w14:textFill>
        </w:rPr>
        <w:t>（关键</w:t>
      </w:r>
      <w:r>
        <w:rPr>
          <w:rFonts w:ascii="宋体" w:hAnsi="宋体" w:eastAsia="宋体" w:cs="方正魏碑_GBK"/>
          <w:strike/>
          <w:color w:val="000000" w:themeColor="text1"/>
          <w:sz w:val="28"/>
          <w:szCs w:val="28"/>
          <w:highlight w:val="none"/>
          <w:u w:val="single"/>
          <w14:textFill>
            <w14:solidFill>
              <w14:schemeClr w14:val="tx1"/>
            </w14:solidFill>
          </w14:textFill>
        </w:rPr>
        <w:t>组件</w:t>
      </w:r>
      <w:r>
        <w:rPr>
          <w:rFonts w:hint="eastAsia" w:ascii="宋体" w:hAnsi="宋体" w:eastAsia="宋体" w:cs="方正魏碑_GBK"/>
          <w:strike/>
          <w:color w:val="000000" w:themeColor="text1"/>
          <w:sz w:val="28"/>
          <w:szCs w:val="28"/>
          <w:highlight w:val="none"/>
          <w:u w:val="single"/>
          <w14:textFill>
            <w14:solidFill>
              <w14:schemeClr w14:val="tx1"/>
            </w14:solidFill>
          </w14:textFill>
        </w:rPr>
        <w:t>）</w:t>
      </w: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在中国境内生产。</w:t>
      </w:r>
      <w:r>
        <w:rPr>
          <w:rFonts w:hint="eastAsia" w:ascii="宋体" w:hAnsi="宋体" w:eastAsia="宋体" w:cs="方正魏碑_GBK"/>
          <w:strike/>
          <w:color w:val="000000" w:themeColor="text1"/>
          <w:sz w:val="28"/>
          <w:szCs w:val="28"/>
          <w:highlight w:val="none"/>
          <w:u w:val="single"/>
          <w14:textFill>
            <w14:solidFill>
              <w14:schemeClr w14:val="tx1"/>
            </w14:solidFill>
          </w14:textFill>
        </w:rPr>
        <w:t>（产品名称1）</w:t>
      </w: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的</w:t>
      </w:r>
      <w:r>
        <w:rPr>
          <w:rFonts w:hint="eastAsia" w:ascii="宋体" w:hAnsi="宋体" w:eastAsia="宋体" w:cs="方正魏碑_GBK"/>
          <w:strike/>
          <w:color w:val="000000" w:themeColor="text1"/>
          <w:sz w:val="28"/>
          <w:szCs w:val="28"/>
          <w:highlight w:val="none"/>
          <w:u w:val="single"/>
          <w14:textFill>
            <w14:solidFill>
              <w14:schemeClr w14:val="tx1"/>
            </w14:solidFill>
          </w14:textFill>
        </w:rPr>
        <w:t>（关键工序）</w:t>
      </w: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在中国境内完成。</w:t>
      </w:r>
    </w:p>
    <w:p w14:paraId="44802E69">
      <w:pPr>
        <w:widowControl/>
        <w:spacing w:line="440" w:lineRule="exact"/>
        <w:ind w:firstLine="420"/>
        <w:jc w:val="left"/>
        <w:rPr>
          <w:rFonts w:hint="eastAsia" w:ascii="宋体" w:hAnsi="宋体" w:eastAsia="宋体" w:cs="方正魏碑_GBK"/>
          <w:color w:val="000000" w:themeColor="text1"/>
          <w:sz w:val="28"/>
          <w:szCs w:val="28"/>
          <w:highlight w:val="none"/>
          <w14:textFill>
            <w14:solidFill>
              <w14:schemeClr w14:val="tx1"/>
            </w14:solidFill>
          </w14:textFill>
        </w:rPr>
      </w:pP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w:t>
      </w:r>
    </w:p>
    <w:p w14:paraId="659251AD">
      <w:pPr>
        <w:widowControl/>
        <w:spacing w:line="440" w:lineRule="exact"/>
        <w:ind w:firstLine="420"/>
        <w:jc w:val="left"/>
        <w:rPr>
          <w:rFonts w:hint="eastAsia" w:ascii="宋体" w:hAnsi="宋体" w:eastAsia="宋体" w:cs="方正魏碑_GBK"/>
          <w:color w:val="000000" w:themeColor="text1"/>
          <w:sz w:val="28"/>
          <w:szCs w:val="28"/>
          <w:highlight w:val="none"/>
          <w14:textFill>
            <w14:solidFill>
              <w14:schemeClr w14:val="tx1"/>
            </w14:solidFill>
          </w14:textFill>
        </w:rPr>
      </w:pP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本公司（单位）对上述声明内容的真实性负责。如有虚假，愿承担相应法律责任。</w:t>
      </w:r>
    </w:p>
    <w:p w14:paraId="19340313">
      <w:pPr>
        <w:widowControl/>
        <w:spacing w:line="440" w:lineRule="exact"/>
        <w:jc w:val="left"/>
        <w:rPr>
          <w:rFonts w:hint="eastAsia" w:ascii="宋体" w:hAnsi="宋体" w:eastAsia="宋体" w:cs="方正魏碑_GBK"/>
          <w:color w:val="000000" w:themeColor="text1"/>
          <w:sz w:val="28"/>
          <w:szCs w:val="28"/>
          <w:highlight w:val="none"/>
          <w14:textFill>
            <w14:solidFill>
              <w14:schemeClr w14:val="tx1"/>
            </w14:solidFill>
          </w14:textFill>
        </w:rPr>
      </w:pPr>
    </w:p>
    <w:p w14:paraId="2E018B27">
      <w:pPr>
        <w:widowControl/>
        <w:spacing w:line="440" w:lineRule="exact"/>
        <w:ind w:right="480" w:firstLine="4340"/>
        <w:jc w:val="left"/>
        <w:rPr>
          <w:rFonts w:hint="eastAsia" w:ascii="宋体" w:hAnsi="宋体" w:eastAsia="宋体" w:cs="方正魏碑_GBK"/>
          <w:color w:val="000000" w:themeColor="text1"/>
          <w:sz w:val="28"/>
          <w:szCs w:val="28"/>
          <w:highlight w:val="none"/>
          <w14:textFill>
            <w14:solidFill>
              <w14:schemeClr w14:val="tx1"/>
            </w14:solidFill>
          </w14:textFill>
        </w:rPr>
      </w:pP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公司（单位）名称（盖章）：　</w:t>
      </w:r>
      <w:r>
        <w:rPr>
          <w:rFonts w:hint="eastAsia" w:ascii="宋体" w:hAnsi="宋体" w:eastAsia="MS Gothic" w:cs="MS Gothic"/>
          <w:color w:val="000000" w:themeColor="text1"/>
          <w:sz w:val="28"/>
          <w:szCs w:val="28"/>
          <w:highlight w:val="none"/>
          <w:shd w:val="clear" w:color="auto" w:fill="FFFFFF"/>
          <w14:textFill>
            <w14:solidFill>
              <w14:schemeClr w14:val="tx1"/>
            </w14:solidFill>
          </w14:textFill>
        </w:rPr>
        <w:t>        </w:t>
      </w:r>
    </w:p>
    <w:p w14:paraId="1E03D17B">
      <w:pPr>
        <w:widowControl/>
        <w:spacing w:line="440" w:lineRule="exact"/>
        <w:jc w:val="center"/>
        <w:rPr>
          <w:rFonts w:hint="eastAsia" w:ascii="宋体" w:hAnsi="宋体" w:eastAsia="宋体" w:cs="方正魏碑_GBK"/>
          <w:color w:val="000000" w:themeColor="text1"/>
          <w:sz w:val="28"/>
          <w:szCs w:val="28"/>
          <w:highlight w:val="none"/>
          <w14:textFill>
            <w14:solidFill>
              <w14:schemeClr w14:val="tx1"/>
            </w14:solidFill>
          </w14:textFill>
        </w:rPr>
      </w:pP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 xml:space="preserve">                    </w:t>
      </w:r>
      <w:r>
        <w:rPr>
          <w:rFonts w:ascii="宋体" w:hAnsi="宋体" w:eastAsia="宋体" w:cs="方正魏碑_GBK"/>
          <w:color w:val="000000" w:themeColor="text1"/>
          <w:sz w:val="28"/>
          <w:szCs w:val="28"/>
          <w:highlight w:val="none"/>
          <w:shd w:val="clear" w:color="auto" w:fill="FFFFFF"/>
          <w14:textFill>
            <w14:solidFill>
              <w14:schemeClr w14:val="tx1"/>
            </w14:solidFill>
          </w14:textFill>
        </w:rPr>
        <w:t xml:space="preserve">            </w:t>
      </w:r>
      <w:r>
        <w:rPr>
          <w:rFonts w:hint="eastAsia" w:ascii="宋体" w:hAnsi="宋体" w:eastAsia="宋体" w:cs="方正魏碑_GBK"/>
          <w:color w:val="000000" w:themeColor="text1"/>
          <w:sz w:val="28"/>
          <w:szCs w:val="28"/>
          <w:highlight w:val="none"/>
          <w:shd w:val="clear" w:color="auto" w:fill="FFFFFF"/>
          <w14:textFill>
            <w14:solidFill>
              <w14:schemeClr w14:val="tx1"/>
            </w14:solidFill>
          </w14:textFill>
        </w:rPr>
        <w:t>日期：　</w:t>
      </w:r>
      <w:r>
        <w:rPr>
          <w:rFonts w:hint="eastAsia" w:ascii="宋体" w:hAnsi="宋体" w:eastAsia="MS Gothic" w:cs="MS Gothic"/>
          <w:color w:val="000000" w:themeColor="text1"/>
          <w:sz w:val="28"/>
          <w:szCs w:val="28"/>
          <w:highlight w:val="none"/>
          <w:shd w:val="clear" w:color="auto" w:fill="FFFFFF"/>
          <w14:textFill>
            <w14:solidFill>
              <w14:schemeClr w14:val="tx1"/>
            </w14:solidFill>
          </w14:textFill>
        </w:rPr>
        <w:t>   </w:t>
      </w:r>
      <w:r>
        <w:rPr>
          <w:rFonts w:hint="eastAsia" w:ascii="宋体" w:hAnsi="宋体" w:eastAsia="宋体" w:cs="微软雅黑"/>
          <w:color w:val="000000" w:themeColor="text1"/>
          <w:sz w:val="28"/>
          <w:szCs w:val="28"/>
          <w:highlight w:val="none"/>
          <w:shd w:val="clear" w:color="auto" w:fill="FFFFFF"/>
          <w14:textFill>
            <w14:solidFill>
              <w14:schemeClr w14:val="tx1"/>
            </w14:solidFill>
          </w14:textFill>
        </w:rPr>
        <w:t>年　</w:t>
      </w:r>
      <w:r>
        <w:rPr>
          <w:rFonts w:hint="eastAsia" w:ascii="宋体" w:hAnsi="宋体" w:eastAsia="MS Gothic" w:cs="MS Gothic"/>
          <w:color w:val="000000" w:themeColor="text1"/>
          <w:sz w:val="28"/>
          <w:szCs w:val="28"/>
          <w:highlight w:val="none"/>
          <w:shd w:val="clear" w:color="auto" w:fill="FFFFFF"/>
          <w14:textFill>
            <w14:solidFill>
              <w14:schemeClr w14:val="tx1"/>
            </w14:solidFill>
          </w14:textFill>
        </w:rPr>
        <w:t>  </w:t>
      </w:r>
      <w:r>
        <w:rPr>
          <w:rFonts w:hint="eastAsia" w:ascii="宋体" w:hAnsi="宋体" w:eastAsia="宋体" w:cs="微软雅黑"/>
          <w:color w:val="000000" w:themeColor="text1"/>
          <w:sz w:val="28"/>
          <w:szCs w:val="28"/>
          <w:highlight w:val="none"/>
          <w:shd w:val="clear" w:color="auto" w:fill="FFFFFF"/>
          <w14:textFill>
            <w14:solidFill>
              <w14:schemeClr w14:val="tx1"/>
            </w14:solidFill>
          </w14:textFill>
        </w:rPr>
        <w:t>月　</w:t>
      </w:r>
      <w:r>
        <w:rPr>
          <w:rFonts w:hint="eastAsia" w:ascii="宋体" w:hAnsi="宋体" w:eastAsia="MS Gothic" w:cs="MS Gothic"/>
          <w:color w:val="000000" w:themeColor="text1"/>
          <w:sz w:val="28"/>
          <w:szCs w:val="28"/>
          <w:highlight w:val="none"/>
          <w:shd w:val="clear" w:color="auto" w:fill="FFFFFF"/>
          <w14:textFill>
            <w14:solidFill>
              <w14:schemeClr w14:val="tx1"/>
            </w14:solidFill>
          </w14:textFill>
        </w:rPr>
        <w:t>  </w:t>
      </w:r>
      <w:r>
        <w:rPr>
          <w:rFonts w:hint="eastAsia" w:ascii="宋体" w:hAnsi="宋体" w:eastAsia="宋体" w:cs="微软雅黑"/>
          <w:color w:val="000000" w:themeColor="text1"/>
          <w:sz w:val="28"/>
          <w:szCs w:val="28"/>
          <w:highlight w:val="none"/>
          <w:shd w:val="clear" w:color="auto" w:fill="FFFFFF"/>
          <w14:textFill>
            <w14:solidFill>
              <w14:schemeClr w14:val="tx1"/>
            </w14:solidFill>
          </w14:textFill>
        </w:rPr>
        <w:t>日</w:t>
      </w:r>
      <w:r>
        <w:rPr>
          <w:rFonts w:hint="eastAsia" w:ascii="宋体" w:hAnsi="宋体" w:eastAsia="MS Gothic" w:cs="MS Gothic"/>
          <w:color w:val="000000" w:themeColor="text1"/>
          <w:sz w:val="28"/>
          <w:szCs w:val="28"/>
          <w:highlight w:val="none"/>
          <w:shd w:val="clear" w:color="auto" w:fill="FFFFFF"/>
          <w14:textFill>
            <w14:solidFill>
              <w14:schemeClr w14:val="tx1"/>
            </w14:solidFill>
          </w14:textFill>
        </w:rPr>
        <w:t>         </w:t>
      </w:r>
    </w:p>
    <w:p w14:paraId="4D9BF54C">
      <w:pPr>
        <w:widowControl/>
        <w:spacing w:line="400" w:lineRule="exact"/>
        <w:jc w:val="left"/>
        <w:rPr>
          <w:rFonts w:hint="eastAsia" w:ascii="宋体" w:hAnsi="宋体" w:eastAsia="宋体" w:cs="方正魏碑_GBK"/>
          <w:color w:val="000000" w:themeColor="text1"/>
          <w:szCs w:val="21"/>
          <w:highlight w:val="none"/>
          <w:shd w:val="clear" w:color="auto" w:fill="FFFFFF"/>
          <w:lang w:val="en-US" w:eastAsia="zh-CN"/>
          <w14:textFill>
            <w14:solidFill>
              <w14:schemeClr w14:val="tx1"/>
            </w14:solidFill>
          </w14:textFill>
        </w:rPr>
      </w:pPr>
      <w:r>
        <w:rPr>
          <w:rFonts w:hint="eastAsia" w:ascii="宋体" w:hAnsi="宋体" w:eastAsia="宋体" w:cs="方正魏碑_GBK"/>
          <w:color w:val="000000" w:themeColor="text1"/>
          <w:szCs w:val="21"/>
          <w:highlight w:val="none"/>
          <w:shd w:val="clear" w:color="auto" w:fill="FFFFFF"/>
          <w:lang w:val="en-US" w:eastAsia="zh-CN"/>
          <w14:textFill>
            <w14:solidFill>
              <w14:schemeClr w14:val="tx1"/>
            </w14:solidFill>
          </w14:textFill>
        </w:rPr>
        <w:t>说明：</w:t>
      </w:r>
    </w:p>
    <w:p w14:paraId="1AE9B46E">
      <w:pPr>
        <w:widowControl/>
        <w:spacing w:line="400" w:lineRule="exact"/>
        <w:jc w:val="left"/>
        <w:rPr>
          <w:rFonts w:hint="eastAsia" w:ascii="宋体" w:hAnsi="宋体" w:eastAsia="宋体" w:cs="方正魏碑_GBK"/>
          <w:color w:val="000000" w:themeColor="text1"/>
          <w:szCs w:val="21"/>
          <w:highlight w:val="none"/>
          <w14:textFill>
            <w14:solidFill>
              <w14:schemeClr w14:val="tx1"/>
            </w14:solidFill>
          </w14:textFill>
        </w:rPr>
      </w:pPr>
      <w:r>
        <w:rPr>
          <w:rFonts w:hint="eastAsia" w:ascii="宋体" w:hAnsi="宋体" w:eastAsia="宋体" w:cs="方正魏碑_GBK"/>
          <w:color w:val="000000" w:themeColor="text1"/>
          <w:szCs w:val="21"/>
          <w:highlight w:val="none"/>
          <w:shd w:val="clear" w:color="auto" w:fill="FFFFFF"/>
          <w14:textFill>
            <w14:solidFill>
              <w14:schemeClr w14:val="tx1"/>
            </w14:solidFill>
          </w14:textFill>
        </w:rPr>
        <w:t>1.产品如有型号，请在“产品名称”栏一并填写。</w:t>
      </w:r>
    </w:p>
    <w:p w14:paraId="1B5A6073">
      <w:pPr>
        <w:widowControl/>
        <w:spacing w:line="400" w:lineRule="exact"/>
        <w:jc w:val="left"/>
        <w:rPr>
          <w:rFonts w:hint="eastAsia" w:ascii="宋体" w:hAnsi="宋体" w:eastAsia="宋体" w:cs="方正魏碑_GBK"/>
          <w:color w:val="000000" w:themeColor="text1"/>
          <w:szCs w:val="21"/>
          <w:highlight w:val="none"/>
          <w14:textFill>
            <w14:solidFill>
              <w14:schemeClr w14:val="tx1"/>
            </w14:solidFill>
          </w14:textFill>
        </w:rPr>
      </w:pPr>
      <w:r>
        <w:rPr>
          <w:rFonts w:hint="eastAsia" w:ascii="宋体" w:hAnsi="宋体" w:eastAsia="宋体" w:cs="方正魏碑_GBK"/>
          <w:color w:val="000000" w:themeColor="text1"/>
          <w:szCs w:val="21"/>
          <w:highlight w:val="none"/>
          <w:shd w:val="clear" w:color="auto" w:fill="FFFFFF"/>
          <w14:textFill>
            <w14:solidFill>
              <w14:schemeClr w14:val="tx1"/>
            </w14:solidFill>
          </w14:textFill>
        </w:rPr>
        <w:t>2.生产厂名与厂址应与生产厂营业执照载明的相关信息保持一致。</w:t>
      </w:r>
    </w:p>
    <w:p w14:paraId="53416741">
      <w:pPr>
        <w:widowControl/>
        <w:spacing w:line="400" w:lineRule="exact"/>
        <w:jc w:val="left"/>
        <w:rPr>
          <w:rFonts w:hint="eastAsia" w:ascii="宋体" w:hAnsi="宋体" w:eastAsia="宋体" w:cs="方正魏碑_GBK"/>
          <w:color w:val="000000" w:themeColor="text1"/>
          <w:szCs w:val="21"/>
          <w:highlight w:val="none"/>
          <w14:textFill>
            <w14:solidFill>
              <w14:schemeClr w14:val="tx1"/>
            </w14:solidFill>
          </w14:textFill>
        </w:rPr>
      </w:pPr>
      <w:r>
        <w:rPr>
          <w:rFonts w:hint="eastAsia" w:ascii="宋体" w:hAnsi="宋体" w:eastAsia="宋体" w:cs="方正魏碑_GBK"/>
          <w:color w:val="000000" w:themeColor="text1"/>
          <w:szCs w:val="21"/>
          <w:highlight w:val="none"/>
          <w:shd w:val="clear" w:color="auto" w:fill="FFFFFF"/>
          <w14:textFill>
            <w14:solidFill>
              <w14:schemeClr w14:val="tx1"/>
            </w14:solidFill>
          </w14:textFill>
        </w:rPr>
        <w:t>3.该产品的中国境内生产的组件成本占比相关要求实施前，“规定比例”栏可不填，下同。</w:t>
      </w:r>
    </w:p>
    <w:p w14:paraId="490B6B99">
      <w:pPr>
        <w:widowControl/>
        <w:spacing w:line="400" w:lineRule="exact"/>
        <w:jc w:val="left"/>
        <w:rPr>
          <w:rFonts w:hint="eastAsia" w:ascii="宋体" w:hAnsi="宋体" w:eastAsia="宋体" w:cs="方正魏碑_GBK"/>
          <w:color w:val="000000" w:themeColor="text1"/>
          <w:szCs w:val="21"/>
          <w:highlight w:val="none"/>
          <w14:textFill>
            <w14:solidFill>
              <w14:schemeClr w14:val="tx1"/>
            </w14:solidFill>
          </w14:textFill>
        </w:rPr>
      </w:pPr>
      <w:r>
        <w:rPr>
          <w:rFonts w:hint="eastAsia" w:ascii="宋体" w:hAnsi="宋体" w:eastAsia="宋体" w:cs="方正魏碑_GBK"/>
          <w:color w:val="000000" w:themeColor="text1"/>
          <w:szCs w:val="21"/>
          <w:highlight w:val="none"/>
          <w:shd w:val="clear" w:color="auto" w:fill="FFFFFF"/>
          <w14:textFill>
            <w14:solidFill>
              <w14:schemeClr w14:val="tx1"/>
            </w14:solidFill>
          </w14:textFill>
        </w:rPr>
        <w:t>4.该产品的关键组件要求实施前，“关键组件”栏可不填，下同。</w:t>
      </w:r>
    </w:p>
    <w:p w14:paraId="5C2571C7">
      <w:pPr>
        <w:widowControl/>
        <w:spacing w:line="400" w:lineRule="exact"/>
        <w:jc w:val="left"/>
        <w:rPr>
          <w:rFonts w:ascii="宋体" w:hAnsi="宋体" w:eastAsia="宋体" w:cs="方正魏碑_GBK"/>
          <w:color w:val="000000" w:themeColor="text1"/>
          <w:szCs w:val="21"/>
          <w:highlight w:val="none"/>
          <w:shd w:val="clear" w:color="auto" w:fill="FFFFFF"/>
          <w14:textFill>
            <w14:solidFill>
              <w14:schemeClr w14:val="tx1"/>
            </w14:solidFill>
          </w14:textFill>
        </w:rPr>
      </w:pPr>
      <w:r>
        <w:rPr>
          <w:rFonts w:hint="eastAsia" w:ascii="宋体" w:hAnsi="宋体" w:eastAsia="宋体" w:cs="方正魏碑_GBK"/>
          <w:color w:val="000000" w:themeColor="text1"/>
          <w:szCs w:val="21"/>
          <w:highlight w:val="none"/>
          <w:shd w:val="clear" w:color="auto" w:fill="FFFFFF"/>
          <w14:textFill>
            <w14:solidFill>
              <w14:schemeClr w14:val="tx1"/>
            </w14:solidFill>
          </w14:textFill>
        </w:rPr>
        <w:t>5.该产品的关键工序要求实施前，“关键工序”栏可不填，下同。</w:t>
      </w:r>
    </w:p>
    <w:p w14:paraId="71E8372B">
      <w:pPr>
        <w:widowControl/>
        <w:spacing w:line="400" w:lineRule="exact"/>
        <w:jc w:val="left"/>
        <w:rPr>
          <w:rFonts w:ascii="宋体" w:hAnsi="宋体" w:eastAsia="宋体" w:cs="方正魏碑_GBK"/>
          <w:color w:val="000000" w:themeColor="text1"/>
          <w:szCs w:val="21"/>
          <w:highlight w:val="none"/>
          <w:shd w:val="clear" w:color="auto" w:fill="FFFFFF"/>
          <w14:textFill>
            <w14:solidFill>
              <w14:schemeClr w14:val="tx1"/>
            </w14:solidFill>
          </w14:textFill>
        </w:rPr>
      </w:pPr>
      <w:r>
        <w:rPr>
          <w:rFonts w:hint="eastAsia" w:ascii="宋体" w:hAnsi="宋体" w:eastAsia="宋体" w:cs="方正魏碑_GBK"/>
          <w:color w:val="000000" w:themeColor="text1"/>
          <w:szCs w:val="21"/>
          <w:highlight w:val="none"/>
          <w:shd w:val="clear" w:color="auto" w:fill="FFFFFF"/>
          <w14:textFill>
            <w14:solidFill>
              <w14:schemeClr w14:val="tx1"/>
            </w14:solidFill>
          </w14:textFill>
        </w:rPr>
        <w:t>6.用删除线划除的地方无需填写。（如：</w:t>
      </w:r>
      <w:r>
        <w:rPr>
          <w:rFonts w:hint="eastAsia" w:ascii="宋体" w:hAnsi="宋体" w:eastAsia="宋体" w:cs="方正魏碑_GBK"/>
          <w:strike/>
          <w:color w:val="000000" w:themeColor="text1"/>
          <w:szCs w:val="21"/>
          <w:highlight w:val="none"/>
          <w:u w:val="single"/>
          <w14:textFill>
            <w14:solidFill>
              <w14:schemeClr w14:val="tx1"/>
            </w14:solidFill>
          </w14:textFill>
        </w:rPr>
        <w:t>（产品名称1）</w:t>
      </w:r>
      <w:r>
        <w:rPr>
          <w:rFonts w:hint="eastAsia" w:ascii="宋体" w:hAnsi="宋体" w:eastAsia="宋体" w:cs="方正魏碑_GBK"/>
          <w:color w:val="000000" w:themeColor="text1"/>
          <w:szCs w:val="21"/>
          <w:highlight w:val="none"/>
          <w:shd w:val="clear" w:color="auto" w:fill="FFFFFF"/>
          <w14:textFill>
            <w14:solidFill>
              <w14:schemeClr w14:val="tx1"/>
            </w14:solidFill>
          </w14:textFill>
        </w:rPr>
        <w:t>）</w:t>
      </w:r>
    </w:p>
    <w:p w14:paraId="2A73B933">
      <w:pPr>
        <w:spacing w:line="300" w:lineRule="auto"/>
        <w:outlineLvl w:val="3"/>
        <w:rPr>
          <w:rFonts w:hint="eastAsia" w:eastAsia="方正黑体_GBK"/>
          <w:color w:val="000000" w:themeColor="text1"/>
          <w:sz w:val="32"/>
          <w:szCs w:val="32"/>
          <w:highlight w:val="none"/>
          <w:lang w:val="en-US" w:eastAsia="zh-CN"/>
          <w14:textFill>
            <w14:solidFill>
              <w14:schemeClr w14:val="tx1"/>
            </w14:solidFill>
          </w14:textFill>
        </w:rPr>
      </w:pPr>
    </w:p>
    <w:p w14:paraId="52BC8A37">
      <w:pPr>
        <w:spacing w:line="300" w:lineRule="auto"/>
        <w:outlineLvl w:val="3"/>
        <w:rPr>
          <w:rFonts w:hint="eastAsia" w:eastAsia="方正黑体_GBK"/>
          <w:color w:val="000000" w:themeColor="text1"/>
          <w:sz w:val="32"/>
          <w:szCs w:val="32"/>
          <w:highlight w:val="none"/>
          <w:lang w:val="en-US" w:eastAsia="zh-CN"/>
          <w14:textFill>
            <w14:solidFill>
              <w14:schemeClr w14:val="tx1"/>
            </w14:solidFill>
          </w14:textFill>
        </w:rPr>
      </w:pPr>
    </w:p>
    <w:p w14:paraId="0AEEA0CC">
      <w:pPr>
        <w:spacing w:line="300" w:lineRule="auto"/>
        <w:outlineLvl w:val="3"/>
        <w:rPr>
          <w:rFonts w:hint="eastAsia" w:eastAsia="方正黑体_GBK"/>
          <w:color w:val="000000" w:themeColor="text1"/>
          <w:sz w:val="32"/>
          <w:szCs w:val="32"/>
          <w:highlight w:val="none"/>
          <w:lang w:val="en-US" w:eastAsia="zh-CN"/>
          <w14:textFill>
            <w14:solidFill>
              <w14:schemeClr w14:val="tx1"/>
            </w14:solidFill>
          </w14:textFill>
        </w:rPr>
      </w:pPr>
    </w:p>
    <w:p w14:paraId="0D291735">
      <w:pPr>
        <w:spacing w:line="300" w:lineRule="auto"/>
        <w:outlineLvl w:val="3"/>
        <w:rPr>
          <w:rFonts w:hint="eastAsia" w:eastAsia="方正黑体_GBK"/>
          <w:color w:val="000000" w:themeColor="text1"/>
          <w:sz w:val="32"/>
          <w:szCs w:val="32"/>
          <w:highlight w:val="none"/>
          <w:lang w:val="en-US" w:eastAsia="zh-CN"/>
          <w14:textFill>
            <w14:solidFill>
              <w14:schemeClr w14:val="tx1"/>
            </w14:solidFill>
          </w14:textFill>
        </w:rPr>
      </w:pPr>
    </w:p>
    <w:p w14:paraId="07A3B3B5">
      <w:pPr>
        <w:spacing w:line="300" w:lineRule="auto"/>
        <w:outlineLvl w:val="3"/>
        <w:rPr>
          <w:rFonts w:hint="eastAsia" w:eastAsia="方正黑体_GBK"/>
          <w:color w:val="000000" w:themeColor="text1"/>
          <w:sz w:val="32"/>
          <w:szCs w:val="32"/>
          <w:highlight w:val="none"/>
          <w:lang w:val="en-US" w:eastAsia="zh-CN"/>
          <w14:textFill>
            <w14:solidFill>
              <w14:schemeClr w14:val="tx1"/>
            </w14:solidFill>
          </w14:textFill>
        </w:rPr>
      </w:pPr>
    </w:p>
    <w:p w14:paraId="57BE81EB">
      <w:pPr>
        <w:spacing w:line="300" w:lineRule="auto"/>
        <w:outlineLvl w:val="3"/>
        <w:rPr>
          <w:rFonts w:hint="eastAsia" w:eastAsia="方正黑体_GBK"/>
          <w:color w:val="000000" w:themeColor="text1"/>
          <w:sz w:val="32"/>
          <w:szCs w:val="32"/>
          <w:highlight w:val="none"/>
          <w:lang w:val="en-US" w:eastAsia="zh-CN"/>
          <w14:textFill>
            <w14:solidFill>
              <w14:schemeClr w14:val="tx1"/>
            </w14:solidFill>
          </w14:textFill>
        </w:rPr>
      </w:pPr>
      <w:r>
        <w:rPr>
          <w:rFonts w:hint="eastAsia" w:ascii="Times New Roman" w:hAnsi="Times New Roman" w:eastAsia="方正黑体_GBK"/>
          <w:color w:val="000000" w:themeColor="text1"/>
          <w:sz w:val="32"/>
          <w:szCs w:val="32"/>
          <w:highlight w:val="none"/>
          <w:lang w:val="zh-CN"/>
          <w14:textFill>
            <w14:solidFill>
              <w14:schemeClr w14:val="tx1"/>
            </w14:solidFill>
          </w14:textFill>
        </w:rPr>
        <w:t>附件1</w:t>
      </w:r>
      <w:r>
        <w:rPr>
          <w:rFonts w:hint="eastAsia" w:ascii="Times New Roman" w:hAnsi="Times New Roman" w:eastAsia="方正黑体_GBK"/>
          <w:color w:val="000000" w:themeColor="text1"/>
          <w:sz w:val="32"/>
          <w:szCs w:val="32"/>
          <w:highlight w:val="none"/>
          <w:lang w:val="en-US" w:eastAsia="zh-CN"/>
          <w14:textFill>
            <w14:solidFill>
              <w14:schemeClr w14:val="tx1"/>
            </w14:solidFill>
          </w14:textFill>
        </w:rPr>
        <w:t>3</w:t>
      </w:r>
    </w:p>
    <w:p w14:paraId="23C967D9">
      <w:pPr>
        <w:spacing w:line="560" w:lineRule="exact"/>
        <w:jc w:val="center"/>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联合体协议（参考格式）（分包号：**）</w:t>
      </w:r>
    </w:p>
    <w:p w14:paraId="3F27C446">
      <w:pPr>
        <w:spacing w:line="56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（联合体中各供应商全称）在此达成以下协议：</w:t>
      </w:r>
    </w:p>
    <w:p w14:paraId="1864AD29">
      <w:pPr>
        <w:spacing w:line="560" w:lineRule="exact"/>
        <w:ind w:firstLine="645"/>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1</w:t>
      </w:r>
      <w:r>
        <w:rPr>
          <w:rFonts w:hint="eastAsia" w:ascii="宋体" w:hAnsi="宋体"/>
          <w:color w:val="000000" w:themeColor="text1"/>
          <w:sz w:val="24"/>
          <w:szCs w:val="21"/>
          <w:highlight w:val="none"/>
          <w14:textFill>
            <w14:solidFill>
              <w14:schemeClr w14:val="tx1"/>
            </w14:solidFill>
          </w14:textFill>
        </w:rPr>
        <w:t>、我们</w:t>
      </w:r>
      <w:r>
        <w:rPr>
          <w:rFonts w:hint="eastAsia" w:ascii="宋体" w:hAnsi="宋体"/>
          <w:color w:val="000000" w:themeColor="text1"/>
          <w:sz w:val="24"/>
          <w:szCs w:val="21"/>
          <w:highlight w:val="none"/>
          <w:u w:val="single"/>
          <w14:textFill>
            <w14:solidFill>
              <w14:schemeClr w14:val="tx1"/>
            </w14:solidFill>
          </w14:textFill>
        </w:rPr>
        <w:t xml:space="preserve"> （供应商1），（供应商2） ，</w:t>
      </w:r>
      <w:r>
        <w:rPr>
          <w:rFonts w:ascii="宋体" w:hAnsi="宋体"/>
          <w:color w:val="000000" w:themeColor="text1"/>
          <w:sz w:val="24"/>
          <w:szCs w:val="21"/>
          <w:highlight w:val="none"/>
          <w:u w:val="single"/>
          <w14:textFill>
            <w14:solidFill>
              <w14:schemeClr w14:val="tx1"/>
            </w14:solidFill>
          </w14:textFill>
        </w:rPr>
        <w:t>……</w:t>
      </w:r>
      <w:r>
        <w:rPr>
          <w:rFonts w:hint="eastAsia" w:ascii="宋体" w:hAnsi="宋体"/>
          <w:color w:val="000000" w:themeColor="text1"/>
          <w:sz w:val="24"/>
          <w:szCs w:val="21"/>
          <w:highlight w:val="none"/>
          <w14:textFill>
            <w14:solidFill>
              <w14:schemeClr w14:val="tx1"/>
            </w14:solidFill>
          </w14:textFill>
        </w:rPr>
        <w:t>自愿组成联合体，参加采购人组织的采购编号为</w:t>
      </w:r>
      <w:r>
        <w:rPr>
          <w:rFonts w:hint="eastAsia" w:ascii="宋体" w:hAnsi="宋体"/>
          <w:color w:val="000000" w:themeColor="text1"/>
          <w:sz w:val="24"/>
          <w:szCs w:val="21"/>
          <w:highlight w:val="none"/>
          <w:u w:val="single"/>
          <w14:textFill>
            <w14:solidFill>
              <w14:schemeClr w14:val="tx1"/>
            </w14:solidFill>
          </w14:textFill>
        </w:rPr>
        <w:t>（编号全称），（项目全称）</w:t>
      </w:r>
      <w:r>
        <w:rPr>
          <w:rFonts w:hint="eastAsia" w:ascii="宋体" w:hAnsi="宋体"/>
          <w:color w:val="000000" w:themeColor="text1"/>
          <w:sz w:val="24"/>
          <w:szCs w:val="21"/>
          <w:highlight w:val="none"/>
          <w14:textFill>
            <w14:solidFill>
              <w14:schemeClr w14:val="tx1"/>
            </w14:solidFill>
          </w14:textFill>
        </w:rPr>
        <w:t>项目（分包号：**）的政府采购活动，我联合体指定</w:t>
      </w:r>
      <w:r>
        <w:rPr>
          <w:rFonts w:hint="eastAsia" w:ascii="宋体" w:hAnsi="宋体"/>
          <w:color w:val="000000" w:themeColor="text1"/>
          <w:sz w:val="24"/>
          <w:szCs w:val="21"/>
          <w:highlight w:val="none"/>
          <w:u w:val="single"/>
          <w14:textFill>
            <w14:solidFill>
              <w14:schemeClr w14:val="tx1"/>
            </w14:solidFill>
          </w14:textFill>
        </w:rPr>
        <w:t>（供应商*）</w:t>
      </w:r>
      <w:r>
        <w:rPr>
          <w:rFonts w:hint="eastAsia" w:ascii="宋体" w:hAnsi="宋体"/>
          <w:color w:val="000000" w:themeColor="text1"/>
          <w:sz w:val="24"/>
          <w:szCs w:val="21"/>
          <w:highlight w:val="none"/>
          <w14:textFill>
            <w14:solidFill>
              <w14:schemeClr w14:val="tx1"/>
            </w14:solidFill>
          </w14:textFill>
        </w:rPr>
        <w:t>为牵头单位（牵头单位必须为联合体成员）。</w:t>
      </w:r>
    </w:p>
    <w:p w14:paraId="72EA549B">
      <w:pPr>
        <w:spacing w:line="560" w:lineRule="exact"/>
        <w:ind w:firstLine="645"/>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2</w:t>
      </w:r>
      <w:r>
        <w:rPr>
          <w:rFonts w:hint="eastAsia" w:ascii="宋体" w:hAnsi="宋体"/>
          <w:color w:val="000000" w:themeColor="text1"/>
          <w:sz w:val="24"/>
          <w:szCs w:val="21"/>
          <w:highlight w:val="none"/>
          <w14:textFill>
            <w14:solidFill>
              <w14:schemeClr w14:val="tx1"/>
            </w14:solidFill>
          </w14:textFill>
        </w:rPr>
        <w:t>、若我们联合成交，（供应商单位</w:t>
      </w:r>
      <w:r>
        <w:rPr>
          <w:rFonts w:ascii="宋体" w:hAnsi="宋体"/>
          <w:color w:val="000000" w:themeColor="text1"/>
          <w:sz w:val="24"/>
          <w:szCs w:val="21"/>
          <w:highlight w:val="none"/>
          <w14:textFill>
            <w14:solidFill>
              <w14:schemeClr w14:val="tx1"/>
            </w14:solidFill>
          </w14:textFill>
        </w:rPr>
        <w:t>1</w:t>
      </w:r>
      <w:r>
        <w:rPr>
          <w:rFonts w:hint="eastAsia" w:ascii="宋体" w:hAnsi="宋体"/>
          <w:color w:val="000000" w:themeColor="text1"/>
          <w:sz w:val="24"/>
          <w:szCs w:val="21"/>
          <w:highlight w:val="none"/>
          <w14:textFill>
            <w14:solidFill>
              <w14:schemeClr w14:val="tx1"/>
            </w14:solidFill>
          </w14:textFill>
        </w:rPr>
        <w:t>全称）实施项目中（工作内容）部分工作，并承担相应的责任。（供应商单位</w:t>
      </w:r>
      <w:r>
        <w:rPr>
          <w:rFonts w:ascii="宋体" w:hAnsi="宋体"/>
          <w:color w:val="000000" w:themeColor="text1"/>
          <w:sz w:val="24"/>
          <w:szCs w:val="21"/>
          <w:highlight w:val="none"/>
          <w14:textFill>
            <w14:solidFill>
              <w14:schemeClr w14:val="tx1"/>
            </w14:solidFill>
          </w14:textFill>
        </w:rPr>
        <w:t>2</w:t>
      </w:r>
      <w:r>
        <w:rPr>
          <w:rFonts w:hint="eastAsia" w:ascii="宋体" w:hAnsi="宋体"/>
          <w:color w:val="000000" w:themeColor="text1"/>
          <w:sz w:val="24"/>
          <w:szCs w:val="21"/>
          <w:highlight w:val="none"/>
          <w14:textFill>
            <w14:solidFill>
              <w14:schemeClr w14:val="tx1"/>
            </w14:solidFill>
          </w14:textFill>
        </w:rPr>
        <w:t>全称）实施项目中（工作内容）部分工作，并承担相应的责任……。（注：联合体中各供应商都应明示所承担的工作和相应的责任）。</w:t>
      </w:r>
    </w:p>
    <w:p w14:paraId="6883C082">
      <w:pPr>
        <w:spacing w:line="560" w:lineRule="exact"/>
        <w:ind w:firstLine="645"/>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3</w:t>
      </w:r>
      <w:r>
        <w:rPr>
          <w:rFonts w:hint="eastAsia" w:ascii="宋体" w:hAnsi="宋体"/>
          <w:color w:val="000000" w:themeColor="text1"/>
          <w:sz w:val="24"/>
          <w:szCs w:val="21"/>
          <w:highlight w:val="none"/>
          <w14:textFill>
            <w14:solidFill>
              <w14:schemeClr w14:val="tx1"/>
            </w14:solidFill>
          </w14:textFill>
        </w:rPr>
        <w:t>、其中</w:t>
      </w:r>
      <w:r>
        <w:rPr>
          <w:rFonts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（小型、微型企业/残疾人福利性单位/监狱企业全称）为</w:t>
      </w:r>
      <w:r>
        <w:rPr>
          <w:rFonts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（小型、微型企业/残疾人福利性单位/监狱企业）企业，且我们约定该公司/单位所承担的合同金额将占本项目合同总金额的</w:t>
      </w:r>
      <w:r>
        <w:rPr>
          <w:rFonts w:ascii="宋体" w:hAnsi="宋体"/>
          <w:color w:val="000000" w:themeColor="text1"/>
          <w:sz w:val="24"/>
          <w:szCs w:val="21"/>
          <w:highlight w:val="none"/>
          <w:u w:val="single"/>
          <w14:textFill>
            <w14:solidFill>
              <w14:schemeClr w14:val="tx1"/>
            </w14:solidFill>
          </w14:textFill>
        </w:rPr>
        <w:t xml:space="preserve">  </w:t>
      </w: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w:t>
      </w:r>
    </w:p>
    <w:p w14:paraId="1C2196F0">
      <w:pPr>
        <w:spacing w:line="560" w:lineRule="exact"/>
        <w:ind w:firstLine="645"/>
        <w:rPr>
          <w:rFonts w:ascii="宋体" w:hAnsi="宋体"/>
          <w:color w:val="000000" w:themeColor="text1"/>
          <w:sz w:val="24"/>
          <w:szCs w:val="21"/>
          <w:highlight w:val="none"/>
          <w14:textFill>
            <w14:solidFill>
              <w14:schemeClr w14:val="tx1"/>
            </w14:solidFill>
          </w14:textFill>
        </w:rPr>
      </w:pPr>
    </w:p>
    <w:p w14:paraId="13BDE7AE">
      <w:pPr>
        <w:spacing w:line="560" w:lineRule="exact"/>
        <w:ind w:firstLine="645"/>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备注：本</w:t>
      </w:r>
      <w:r>
        <w:rPr>
          <w:rFonts w:hint="eastAsia" w:ascii="宋体" w:hAnsi="宋体"/>
          <w:color w:val="000000" w:themeColor="text1"/>
          <w:sz w:val="24"/>
          <w:szCs w:val="21"/>
          <w:highlight w:val="none"/>
          <w:lang w:eastAsia="zh-CN"/>
          <w14:textFill>
            <w14:solidFill>
              <w14:schemeClr w14:val="tx1"/>
            </w14:solidFill>
          </w14:textFill>
        </w:rPr>
        <w:t>磋商</w:t>
      </w:r>
      <w:r>
        <w:rPr>
          <w:rFonts w:hint="eastAsia" w:ascii="宋体" w:hAnsi="宋体"/>
          <w:color w:val="000000" w:themeColor="text1"/>
          <w:sz w:val="24"/>
          <w:szCs w:val="21"/>
          <w:highlight w:val="none"/>
          <w14:textFill>
            <w14:solidFill>
              <w14:schemeClr w14:val="tx1"/>
            </w14:solidFill>
          </w14:textFill>
        </w:rPr>
        <w:t>文件中要求加盖CA电子签章的地方，仅需加盖牵头单位的CA电子签章。</w:t>
      </w:r>
    </w:p>
    <w:p w14:paraId="579E93AA">
      <w:pPr>
        <w:spacing w:line="560" w:lineRule="exact"/>
        <w:ind w:firstLine="645"/>
        <w:rPr>
          <w:rFonts w:ascii="宋体" w:hAnsi="宋体"/>
          <w:color w:val="000000" w:themeColor="text1"/>
          <w:sz w:val="24"/>
          <w:szCs w:val="21"/>
          <w:highlight w:val="none"/>
          <w14:textFill>
            <w14:solidFill>
              <w14:schemeClr w14:val="tx1"/>
            </w14:solidFill>
          </w14:textFill>
        </w:rPr>
      </w:pPr>
    </w:p>
    <w:p w14:paraId="21014CB5">
      <w:pPr>
        <w:spacing w:line="560" w:lineRule="exact"/>
        <w:ind w:firstLine="645"/>
        <w:jc w:val="center"/>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lang w:val="en-US" w:eastAsia="zh-CN"/>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联合体中各供应商全称（公章）：</w:t>
      </w:r>
    </w:p>
    <w:p w14:paraId="702DBE1F">
      <w:pPr>
        <w:spacing w:line="560" w:lineRule="exact"/>
        <w:ind w:firstLine="645"/>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lang w:val="en-US" w:eastAsia="zh-CN"/>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日期：</w:t>
      </w:r>
    </w:p>
    <w:p w14:paraId="7E52F2F4">
      <w:pPr>
        <w:rPr>
          <w:rFonts w:eastAsia="方正黑体_GBK"/>
          <w:color w:val="000000" w:themeColor="text1"/>
          <w:sz w:val="32"/>
          <w:szCs w:val="32"/>
          <w:highlight w:val="none"/>
          <w14:textFill>
            <w14:solidFill>
              <w14:schemeClr w14:val="tx1"/>
            </w14:solidFill>
          </w14:textFill>
        </w:rPr>
      </w:pPr>
      <w:r>
        <w:rPr>
          <w:rFonts w:eastAsia="方正黑体_GBK"/>
          <w:color w:val="000000" w:themeColor="text1"/>
          <w:sz w:val="32"/>
          <w:szCs w:val="32"/>
          <w:highlight w:val="none"/>
          <w14:textFill>
            <w14:solidFill>
              <w14:schemeClr w14:val="tx1"/>
            </w14:solidFill>
          </w14:textFill>
        </w:rPr>
        <w:br w:type="page" w:clear="all"/>
      </w:r>
    </w:p>
    <w:p w14:paraId="73F6D768">
      <w:pPr>
        <w:spacing w:line="300" w:lineRule="auto"/>
        <w:outlineLvl w:val="3"/>
        <w:rPr>
          <w:rFonts w:hint="eastAsia" w:ascii="Times New Roman" w:hAnsi="Times New Roman" w:eastAsia="方正黑体_GBK"/>
          <w:color w:val="000000" w:themeColor="text1"/>
          <w:sz w:val="32"/>
          <w:szCs w:val="32"/>
          <w:highlight w:val="none"/>
          <w:lang w:val="zh-CN" w:eastAsia="zh-CN"/>
          <w14:textFill>
            <w14:solidFill>
              <w14:schemeClr w14:val="tx1"/>
            </w14:solidFill>
          </w14:textFill>
        </w:rPr>
      </w:pPr>
      <w:r>
        <w:rPr>
          <w:rFonts w:hint="eastAsia" w:ascii="Times New Roman" w:hAnsi="Times New Roman" w:eastAsia="方正黑体_GBK"/>
          <w:color w:val="000000" w:themeColor="text1"/>
          <w:sz w:val="32"/>
          <w:szCs w:val="32"/>
          <w:highlight w:val="none"/>
          <w:lang w:val="zh-CN"/>
          <w14:textFill>
            <w14:solidFill>
              <w14:schemeClr w14:val="tx1"/>
            </w14:solidFill>
          </w14:textFill>
        </w:rPr>
        <w:t>附件1</w:t>
      </w:r>
      <w:r>
        <w:rPr>
          <w:rFonts w:hint="eastAsia" w:eastAsia="方正黑体_GBK"/>
          <w:color w:val="000000" w:themeColor="text1"/>
          <w:sz w:val="32"/>
          <w:szCs w:val="32"/>
          <w:highlight w:val="none"/>
          <w:lang w:val="en-US" w:eastAsia="zh-CN"/>
          <w14:textFill>
            <w14:solidFill>
              <w14:schemeClr w14:val="tx1"/>
            </w14:solidFill>
          </w14:textFill>
        </w:rPr>
        <w:t>4</w:t>
      </w:r>
    </w:p>
    <w:p w14:paraId="16E398A5">
      <w:pPr>
        <w:spacing w:line="520" w:lineRule="exact"/>
        <w:jc w:val="center"/>
        <w:rPr>
          <w:rFonts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t>质疑函范本</w:t>
      </w:r>
    </w:p>
    <w:p w14:paraId="68AD5027">
      <w:pPr>
        <w:spacing w:line="520" w:lineRule="exact"/>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一、质疑供应商基本信息</w:t>
      </w:r>
    </w:p>
    <w:p w14:paraId="1FCAEC68">
      <w:pPr>
        <w:spacing w:line="52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质疑供应商：</w:t>
      </w:r>
      <w:r>
        <w:rPr>
          <w:rFonts w:hint="eastAsia" w:ascii="宋体" w:hAnsi="宋体" w:cs="仿宋"/>
          <w:color w:val="000000" w:themeColor="text1"/>
          <w:sz w:val="24"/>
          <w:szCs w:val="24"/>
          <w:highlight w:val="none"/>
          <w:u w:val="single"/>
          <w14:textFill>
            <w14:solidFill>
              <w14:schemeClr w14:val="tx1"/>
            </w14:solidFill>
          </w14:textFill>
        </w:rPr>
        <w:t xml:space="preserve">                                                              </w:t>
      </w:r>
    </w:p>
    <w:p w14:paraId="37F53063">
      <w:pPr>
        <w:spacing w:line="52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邮编：</w:t>
      </w:r>
      <w:r>
        <w:rPr>
          <w:rFonts w:hint="eastAsia" w:ascii="宋体" w:hAnsi="宋体" w:cs="仿宋"/>
          <w:color w:val="000000" w:themeColor="text1"/>
          <w:sz w:val="24"/>
          <w:szCs w:val="24"/>
          <w:highlight w:val="none"/>
          <w:u w:val="single"/>
          <w14:textFill>
            <w14:solidFill>
              <w14:schemeClr w14:val="tx1"/>
            </w14:solidFill>
          </w14:textFill>
        </w:rPr>
        <w:t xml:space="preserve">                                    </w:t>
      </w:r>
    </w:p>
    <w:p w14:paraId="49AE0A2F">
      <w:pPr>
        <w:spacing w:line="52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p>
    <w:p w14:paraId="047EC5FC">
      <w:pPr>
        <w:spacing w:line="52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p>
    <w:p w14:paraId="220E968A">
      <w:pPr>
        <w:spacing w:line="52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p>
    <w:p w14:paraId="15ABC25A">
      <w:pPr>
        <w:spacing w:line="52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地址：</w:t>
      </w:r>
      <w:r>
        <w:rPr>
          <w:rFonts w:ascii="宋体" w:hAnsi="宋体" w:cs="仿宋"/>
          <w:color w:val="000000" w:themeColor="text1"/>
          <w:sz w:val="24"/>
          <w:szCs w:val="24"/>
          <w:highlight w:val="none"/>
          <w14:textFill>
            <w14:solidFill>
              <w14:schemeClr w14:val="tx1"/>
            </w14:solidFill>
          </w14:textFill>
        </w:rPr>
        <w:t xml:space="preserve"> </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邮编：</w:t>
      </w:r>
      <w:r>
        <w:rPr>
          <w:rFonts w:hint="eastAsia" w:ascii="宋体" w:hAnsi="宋体" w:cs="仿宋"/>
          <w:color w:val="000000" w:themeColor="text1"/>
          <w:sz w:val="24"/>
          <w:szCs w:val="24"/>
          <w:highlight w:val="none"/>
          <w:u w:val="single"/>
          <w14:textFill>
            <w14:solidFill>
              <w14:schemeClr w14:val="tx1"/>
            </w14:solidFill>
          </w14:textFill>
        </w:rPr>
        <w:t xml:space="preserve">                                     </w:t>
      </w:r>
    </w:p>
    <w:p w14:paraId="31FAD8B6">
      <w:pPr>
        <w:spacing w:line="520" w:lineRule="exact"/>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二、质疑项目基本情况</w:t>
      </w:r>
    </w:p>
    <w:p w14:paraId="26A1E412">
      <w:pPr>
        <w:spacing w:line="52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质疑项目的名称：</w:t>
      </w:r>
      <w:r>
        <w:rPr>
          <w:rFonts w:hint="eastAsia" w:ascii="宋体" w:hAnsi="宋体" w:cs="仿宋"/>
          <w:color w:val="000000" w:themeColor="text1"/>
          <w:sz w:val="24"/>
          <w:szCs w:val="24"/>
          <w:highlight w:val="none"/>
          <w:u w:val="single"/>
          <w14:textFill>
            <w14:solidFill>
              <w14:schemeClr w14:val="tx1"/>
            </w14:solidFill>
          </w14:textFill>
        </w:rPr>
        <w:t xml:space="preserve">                                                          </w:t>
      </w:r>
    </w:p>
    <w:p w14:paraId="47077BCB">
      <w:pPr>
        <w:spacing w:line="52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质疑项目的编号：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包号：</w:t>
      </w:r>
      <w:r>
        <w:rPr>
          <w:rFonts w:hint="eastAsia" w:ascii="宋体" w:hAnsi="宋体" w:cs="仿宋"/>
          <w:color w:val="000000" w:themeColor="text1"/>
          <w:sz w:val="24"/>
          <w:szCs w:val="24"/>
          <w:highlight w:val="none"/>
          <w:u w:val="single"/>
          <w14:textFill>
            <w14:solidFill>
              <w14:schemeClr w14:val="tx1"/>
            </w14:solidFill>
          </w14:textFill>
        </w:rPr>
        <w:t xml:space="preserve">                           </w:t>
      </w:r>
    </w:p>
    <w:p w14:paraId="63B86666">
      <w:pPr>
        <w:spacing w:line="52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p>
    <w:p w14:paraId="5774ED0E">
      <w:pPr>
        <w:spacing w:line="52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采购文件获取日期：</w:t>
      </w:r>
      <w:r>
        <w:rPr>
          <w:rFonts w:hint="eastAsia" w:ascii="宋体" w:hAnsi="宋体" w:cs="仿宋"/>
          <w:color w:val="000000" w:themeColor="text1"/>
          <w:sz w:val="24"/>
          <w:szCs w:val="24"/>
          <w:highlight w:val="none"/>
          <w:u w:val="single"/>
          <w14:textFill>
            <w14:solidFill>
              <w14:schemeClr w14:val="tx1"/>
            </w14:solidFill>
          </w14:textFill>
        </w:rPr>
        <w:t xml:space="preserve">                                                        </w:t>
      </w:r>
    </w:p>
    <w:p w14:paraId="21F422AE">
      <w:pPr>
        <w:spacing w:line="520" w:lineRule="exact"/>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三、质疑事项具体内容</w:t>
      </w:r>
    </w:p>
    <w:p w14:paraId="502551D6">
      <w:pPr>
        <w:spacing w:line="52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p>
    <w:p w14:paraId="6B5961DF">
      <w:pPr>
        <w:spacing w:line="52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p>
    <w:p w14:paraId="4554336C">
      <w:pPr>
        <w:spacing w:line="52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p>
    <w:p w14:paraId="3D2A8776">
      <w:pPr>
        <w:spacing w:line="52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p>
    <w:p w14:paraId="683C5BE8">
      <w:pPr>
        <w:spacing w:line="52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p>
    <w:p w14:paraId="2F558FF7">
      <w:pPr>
        <w:spacing w:line="52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质疑事项2</w:t>
      </w:r>
    </w:p>
    <w:p w14:paraId="74996089">
      <w:pPr>
        <w:spacing w:line="52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w:t>
      </w:r>
    </w:p>
    <w:p w14:paraId="35FB6D54">
      <w:pPr>
        <w:spacing w:line="520" w:lineRule="exact"/>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四、与质疑事项相关的质疑请求</w:t>
      </w:r>
    </w:p>
    <w:p w14:paraId="5E9AB4A5">
      <w:pPr>
        <w:spacing w:line="52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请求：</w:t>
      </w:r>
      <w:r>
        <w:rPr>
          <w:rFonts w:hint="eastAsia" w:ascii="宋体" w:hAnsi="宋体" w:cs="仿宋"/>
          <w:color w:val="000000" w:themeColor="text1"/>
          <w:sz w:val="24"/>
          <w:szCs w:val="24"/>
          <w:highlight w:val="none"/>
          <w:u w:val="single"/>
          <w14:textFill>
            <w14:solidFill>
              <w14:schemeClr w14:val="tx1"/>
            </w14:solidFill>
          </w14:textFill>
        </w:rPr>
        <w:t xml:space="preserve">                                                                     </w:t>
      </w:r>
    </w:p>
    <w:p w14:paraId="2EF69447">
      <w:pPr>
        <w:spacing w:line="5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签字(签章)：                   公章：                      </w:t>
      </w:r>
    </w:p>
    <w:p w14:paraId="1CD3F1D4">
      <w:pPr>
        <w:spacing w:line="5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p>
    <w:p w14:paraId="61812A01">
      <w:pPr>
        <w:spacing w:line="52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质疑函制作说明：</w:t>
      </w:r>
    </w:p>
    <w:p w14:paraId="183B0108">
      <w:pPr>
        <w:widowControl/>
        <w:spacing w:line="520" w:lineRule="exact"/>
        <w:ind w:firstLine="48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1.供应商提出质疑时，应提交质疑函和必要的证明材料。</w:t>
      </w:r>
    </w:p>
    <w:p w14:paraId="792088E2">
      <w:pPr>
        <w:widowControl/>
        <w:spacing w:line="520" w:lineRule="exact"/>
        <w:ind w:firstLine="48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14:textFill>
            <w14:solidFill>
              <w14:schemeClr w14:val="tx1"/>
            </w14:solidFill>
          </w14:textFill>
        </w:rPr>
        <w:t>供应商签署的授权委托书。授权委托书应载明代理人的姓名或者名称、代理事项、具体权限、期限和相关事项。</w:t>
      </w:r>
    </w:p>
    <w:p w14:paraId="082938D0">
      <w:pPr>
        <w:widowControl/>
        <w:spacing w:line="520" w:lineRule="exact"/>
        <w:ind w:firstLine="48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3.质疑供应商若对项目的某一分包进行质疑，质疑函中应列明具体分包号。</w:t>
      </w:r>
    </w:p>
    <w:p w14:paraId="41717E28">
      <w:pPr>
        <w:widowControl/>
        <w:spacing w:line="520" w:lineRule="exact"/>
        <w:ind w:firstLine="48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4.质疑函的质疑事项应具体、明确，并有必要的事实依据和法律依据。</w:t>
      </w:r>
    </w:p>
    <w:p w14:paraId="7F54DECD">
      <w:pPr>
        <w:widowControl/>
        <w:spacing w:line="520" w:lineRule="exact"/>
        <w:ind w:firstLine="48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5.质疑函的质疑请求应与质疑事项相关。</w:t>
      </w:r>
    </w:p>
    <w:p w14:paraId="48BAAD59">
      <w:pPr>
        <w:widowControl/>
        <w:spacing w:line="520" w:lineRule="exact"/>
        <w:ind w:firstLine="48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73F196D9">
      <w:pPr>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br w:type="page" w:clear="all"/>
      </w:r>
    </w:p>
    <w:p w14:paraId="589D5C84">
      <w:pPr>
        <w:spacing w:line="300" w:lineRule="auto"/>
        <w:outlineLvl w:val="3"/>
        <w:rPr>
          <w:rFonts w:hint="eastAsia" w:ascii="仿宋_GB2312" w:eastAsia="方正黑体_GBK"/>
          <w:b/>
          <w:color w:val="000000" w:themeColor="text1"/>
          <w:sz w:val="32"/>
          <w:szCs w:val="32"/>
          <w:highlight w:val="none"/>
          <w:lang w:eastAsia="zh-CN"/>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t>附件</w:t>
      </w:r>
      <w:r>
        <w:rPr>
          <w:rFonts w:hint="eastAsia" w:ascii="Times New Roman" w:hAnsi="Times New Roman" w:eastAsia="方正黑体_GBK"/>
          <w:color w:val="000000" w:themeColor="text1"/>
          <w:sz w:val="32"/>
          <w:szCs w:val="32"/>
          <w:highlight w:val="none"/>
          <w14:textFill>
            <w14:solidFill>
              <w14:schemeClr w14:val="tx1"/>
            </w14:solidFill>
          </w14:textFill>
        </w:rPr>
        <w:t>1</w:t>
      </w:r>
      <w:r>
        <w:rPr>
          <w:rFonts w:hint="eastAsia" w:eastAsia="方正黑体_GBK"/>
          <w:color w:val="000000" w:themeColor="text1"/>
          <w:sz w:val="32"/>
          <w:szCs w:val="32"/>
          <w:highlight w:val="none"/>
          <w:lang w:val="en-US" w:eastAsia="zh-CN"/>
          <w14:textFill>
            <w14:solidFill>
              <w14:schemeClr w14:val="tx1"/>
            </w14:solidFill>
          </w14:textFill>
        </w:rPr>
        <w:t>5</w:t>
      </w:r>
    </w:p>
    <w:p w14:paraId="68563EBE">
      <w:pPr>
        <w:spacing w:line="580" w:lineRule="exact"/>
        <w:jc w:val="center"/>
        <w:rPr>
          <w:rFonts w:ascii="Times New Roman" w:hAnsi="Times New Roman" w:eastAsia="方正大标宋_GBK"/>
          <w:bCs/>
          <w:color w:val="000000" w:themeColor="text1"/>
          <w:sz w:val="44"/>
          <w:szCs w:val="44"/>
          <w:highlight w:val="none"/>
          <w14:textFill>
            <w14:solidFill>
              <w14:schemeClr w14:val="tx1"/>
            </w14:solidFill>
          </w14:textFill>
        </w:rPr>
      </w:pPr>
      <w:r>
        <w:rPr>
          <w:rFonts w:hint="eastAsia" w:ascii="Times New Roman" w:hAnsi="Times New Roman" w:eastAsia="方正大标宋_GBK"/>
          <w:bCs/>
          <w:color w:val="000000" w:themeColor="text1"/>
          <w:sz w:val="44"/>
          <w:szCs w:val="44"/>
          <w:highlight w:val="none"/>
          <w14:textFill>
            <w14:solidFill>
              <w14:schemeClr w14:val="tx1"/>
            </w14:solidFill>
          </w14:textFill>
        </w:rPr>
        <w:t>办理政采贷和</w:t>
      </w:r>
      <w:r>
        <w:rPr>
          <w:rFonts w:ascii="Times New Roman" w:hAnsi="Times New Roman" w:eastAsia="方正大标宋_GBK"/>
          <w:bCs/>
          <w:color w:val="000000" w:themeColor="text1"/>
          <w:sz w:val="44"/>
          <w:szCs w:val="44"/>
          <w:highlight w:val="none"/>
          <w14:textFill>
            <w14:solidFill>
              <w14:schemeClr w14:val="tx1"/>
            </w14:solidFill>
          </w14:textFill>
        </w:rPr>
        <w:t>履</w:t>
      </w:r>
      <w:r>
        <w:rPr>
          <w:rFonts w:hint="eastAsia" w:ascii="Times New Roman" w:hAnsi="Times New Roman" w:eastAsia="方正大标宋_GBK"/>
          <w:bCs/>
          <w:color w:val="000000" w:themeColor="text1"/>
          <w:sz w:val="44"/>
          <w:szCs w:val="44"/>
          <w:highlight w:val="none"/>
          <w14:textFill>
            <w14:solidFill>
              <w14:schemeClr w14:val="tx1"/>
            </w14:solidFill>
          </w14:textFill>
        </w:rPr>
        <w:t>约保函（</w:t>
      </w:r>
      <w:r>
        <w:rPr>
          <w:rFonts w:ascii="Times New Roman" w:hAnsi="Times New Roman" w:eastAsia="方正大标宋_GBK"/>
          <w:bCs/>
          <w:color w:val="000000" w:themeColor="text1"/>
          <w:sz w:val="44"/>
          <w:szCs w:val="44"/>
          <w:highlight w:val="none"/>
          <w14:textFill>
            <w14:solidFill>
              <w14:schemeClr w14:val="tx1"/>
            </w14:solidFill>
          </w14:textFill>
        </w:rPr>
        <w:t>保险</w:t>
      </w:r>
      <w:r>
        <w:rPr>
          <w:rFonts w:hint="eastAsia" w:ascii="Times New Roman" w:hAnsi="Times New Roman" w:eastAsia="方正大标宋_GBK"/>
          <w:bCs/>
          <w:color w:val="000000" w:themeColor="text1"/>
          <w:sz w:val="44"/>
          <w:szCs w:val="44"/>
          <w:highlight w:val="none"/>
          <w14:textFill>
            <w14:solidFill>
              <w14:schemeClr w14:val="tx1"/>
            </w14:solidFill>
          </w14:textFill>
        </w:rPr>
        <w:t>）告知函</w:t>
      </w:r>
    </w:p>
    <w:p w14:paraId="16FA79E8">
      <w:pPr>
        <w:rPr>
          <w:rFonts w:ascii="Times New Roman" w:hAnsi="Times New Roman" w:eastAsia="仿宋_GB2312"/>
          <w:color w:val="000000" w:themeColor="text1"/>
          <w:sz w:val="32"/>
          <w:highlight w:val="none"/>
          <w14:textFill>
            <w14:solidFill>
              <w14:schemeClr w14:val="tx1"/>
            </w14:solidFill>
          </w14:textFill>
        </w:rPr>
      </w:pPr>
    </w:p>
    <w:p w14:paraId="4DDA6B2F">
      <w:pPr>
        <w:keepNext w:val="0"/>
        <w:keepLines w:val="0"/>
        <w:pageBreakBefore w:val="0"/>
        <w:widowControl w:val="0"/>
        <w:spacing w:line="500" w:lineRule="exact"/>
        <w:rPr>
          <w:rFonts w:ascii="Times New Roman" w:hAnsi="Times New Roman" w:eastAsia="仿宋_GB2312"/>
          <w:color w:val="000000" w:themeColor="text1"/>
          <w:sz w:val="32"/>
          <w:highlight w:val="none"/>
          <w14:textFill>
            <w14:solidFill>
              <w14:schemeClr w14:val="tx1"/>
            </w14:solidFill>
          </w14:textFill>
        </w:rPr>
      </w:pPr>
      <w:r>
        <w:rPr>
          <w:rFonts w:hint="eastAsia" w:ascii="Times New Roman" w:hAnsi="Times New Roman" w:eastAsia="仿宋_GB2312"/>
          <w:color w:val="000000" w:themeColor="text1"/>
          <w:sz w:val="32"/>
          <w:highlight w:val="none"/>
          <w14:textFill>
            <w14:solidFill>
              <w14:schemeClr w14:val="tx1"/>
            </w14:solidFill>
          </w14:textFill>
        </w:rPr>
        <w:t>各政府采购供应商：</w:t>
      </w:r>
    </w:p>
    <w:p w14:paraId="3454CE95">
      <w:pPr>
        <w:keepNext w:val="0"/>
        <w:keepLines w:val="0"/>
        <w:pageBreakBefore w:val="0"/>
        <w:widowControl w:val="0"/>
        <w:spacing w:line="500" w:lineRule="exact"/>
        <w:ind w:firstLine="640"/>
        <w:rPr>
          <w:rFonts w:ascii="Times New Roman" w:hAnsi="Times New Roman" w:eastAsia="仿宋_GB2312"/>
          <w:color w:val="000000" w:themeColor="text1"/>
          <w:sz w:val="32"/>
          <w:highlight w:val="none"/>
          <w14:textFill>
            <w14:solidFill>
              <w14:schemeClr w14:val="tx1"/>
            </w14:solidFill>
          </w14:textFill>
        </w:rPr>
      </w:pPr>
      <w:r>
        <w:rPr>
          <w:rFonts w:hint="eastAsia" w:ascii="Times New Roman" w:hAnsi="Times New Roman" w:eastAsia="仿宋_GB2312"/>
          <w:color w:val="000000" w:themeColor="text1"/>
          <w:sz w:val="32"/>
          <w:highlight w:val="none"/>
          <w14:textFill>
            <w14:solidFill>
              <w14:schemeClr w14:val="tx1"/>
            </w14:solidFill>
          </w14:textFill>
        </w:rPr>
        <w:t>欢迎贵公司参与南通市政府采购活动！</w:t>
      </w:r>
    </w:p>
    <w:p w14:paraId="05015D58">
      <w:pPr>
        <w:keepNext w:val="0"/>
        <w:keepLines w:val="0"/>
        <w:pageBreakBefore w:val="0"/>
        <w:widowControl w:val="0"/>
        <w:spacing w:line="500" w:lineRule="exact"/>
        <w:ind w:firstLine="640"/>
        <w:rPr>
          <w:rFonts w:ascii="Times New Roman" w:hAnsi="Times New Roman" w:eastAsia="仿宋_GB2312"/>
          <w:color w:val="000000" w:themeColor="text1"/>
          <w:sz w:val="32"/>
          <w:highlight w:val="none"/>
          <w14:textFill>
            <w14:solidFill>
              <w14:schemeClr w14:val="tx1"/>
            </w14:solidFill>
          </w14:textFill>
        </w:rPr>
      </w:pPr>
      <w:r>
        <w:rPr>
          <w:rFonts w:hint="eastAsia" w:ascii="Times New Roman" w:hAnsi="Times New Roman" w:eastAsia="仿宋_GB2312"/>
          <w:color w:val="000000" w:themeColor="text1"/>
          <w:sz w:val="32"/>
          <w:highlight w:val="none"/>
          <w14:textFill>
            <w14:solidFill>
              <w14:schemeClr w14:val="tx1"/>
            </w14:solidFill>
          </w14:textFill>
        </w:rPr>
        <w:t>政府采购线上合同信用融资和</w:t>
      </w:r>
      <w:r>
        <w:rPr>
          <w:rFonts w:ascii="Times New Roman" w:hAnsi="Times New Roman" w:eastAsia="仿宋_GB2312"/>
          <w:color w:val="000000" w:themeColor="text1"/>
          <w:sz w:val="32"/>
          <w:highlight w:val="none"/>
          <w14:textFill>
            <w14:solidFill>
              <w14:schemeClr w14:val="tx1"/>
            </w14:solidFill>
          </w14:textFill>
        </w:rPr>
        <w:t>履</w:t>
      </w:r>
      <w:r>
        <w:rPr>
          <w:rFonts w:hint="eastAsia" w:ascii="Times New Roman" w:hAnsi="Times New Roman" w:eastAsia="仿宋_GB2312"/>
          <w:color w:val="000000" w:themeColor="text1"/>
          <w:sz w:val="32"/>
          <w:highlight w:val="none"/>
          <w14:textFill>
            <w14:solidFill>
              <w14:schemeClr w14:val="tx1"/>
            </w14:solidFill>
          </w14:textFill>
        </w:rPr>
        <w:t>约保函（</w:t>
      </w:r>
      <w:r>
        <w:rPr>
          <w:rFonts w:ascii="Times New Roman" w:hAnsi="Times New Roman" w:eastAsia="仿宋_GB2312"/>
          <w:color w:val="000000" w:themeColor="text1"/>
          <w:sz w:val="32"/>
          <w:highlight w:val="none"/>
          <w14:textFill>
            <w14:solidFill>
              <w14:schemeClr w14:val="tx1"/>
            </w14:solidFill>
          </w14:textFill>
        </w:rPr>
        <w:t>保险</w:t>
      </w:r>
      <w:r>
        <w:rPr>
          <w:rFonts w:hint="eastAsia" w:ascii="Times New Roman" w:hAnsi="Times New Roman" w:eastAsia="仿宋_GB2312"/>
          <w:color w:val="000000" w:themeColor="text1"/>
          <w:sz w:val="32"/>
          <w:highlight w:val="none"/>
          <w14:textFill>
            <w14:solidFill>
              <w14:schemeClr w14:val="tx1"/>
            </w14:solidFill>
          </w14:textFill>
        </w:rPr>
        <w:t>）是支持企业发展，针对参与政府采购活动的企业融资难、现金流不足等问题推出的一项服务举措。</w:t>
      </w:r>
    </w:p>
    <w:p w14:paraId="0B08E58A">
      <w:pPr>
        <w:keepNext w:val="0"/>
        <w:keepLines w:val="0"/>
        <w:pageBreakBefore w:val="0"/>
        <w:widowControl w:val="0"/>
        <w:spacing w:line="500" w:lineRule="exact"/>
        <w:ind w:firstLine="640"/>
        <w:rPr>
          <w:rFonts w:ascii="Times New Roman" w:hAnsi="Times New Roman" w:eastAsia="仿宋_GB2312"/>
          <w:color w:val="000000" w:themeColor="text1"/>
          <w:sz w:val="32"/>
          <w:szCs w:val="32"/>
          <w:highlight w:val="none"/>
          <w14:textFill>
            <w14:solidFill>
              <w14:schemeClr w14:val="tx1"/>
            </w14:solidFill>
          </w14:textFill>
        </w:rPr>
      </w:pPr>
      <w:r>
        <w:rPr>
          <w:rFonts w:hint="eastAsia" w:ascii="Times New Roman" w:hAnsi="Times New Roman" w:eastAsia="仿宋_GB2312"/>
          <w:color w:val="000000" w:themeColor="text1"/>
          <w:sz w:val="32"/>
          <w:highlight w:val="none"/>
          <w14:textFill>
            <w14:solidFill>
              <w14:schemeClr w14:val="tx1"/>
            </w14:solidFill>
          </w14:textFill>
        </w:rPr>
        <w:t>贵公司若成为本次政府采购项目的中标（成交）供应商，</w:t>
      </w:r>
      <w:r>
        <w:rPr>
          <w:rFonts w:hint="eastAsia" w:ascii="仿宋_GB2312" w:hAnsi="Times New Roman" w:eastAsia="仿宋_GB2312"/>
          <w:color w:val="000000" w:themeColor="text1"/>
          <w:sz w:val="32"/>
          <w:szCs w:val="32"/>
          <w:highlight w:val="none"/>
          <w14:textFill>
            <w14:solidFill>
              <w14:schemeClr w14:val="tx1"/>
            </w14:solidFill>
          </w14:textFill>
        </w:rPr>
        <w:t>可自愿选择</w:t>
      </w:r>
      <w:r>
        <w:rPr>
          <w:rFonts w:ascii="Times New Roman" w:hAnsi="Times New Roman" w:eastAsia="仿宋_GB2312"/>
          <w:color w:val="000000" w:themeColor="text1"/>
          <w:sz w:val="32"/>
          <w:highlight w:val="none"/>
          <w14:textFill>
            <w14:solidFill>
              <w14:schemeClr w14:val="tx1"/>
            </w14:solidFill>
          </w14:textFill>
        </w:rPr>
        <w:t>履</w:t>
      </w:r>
      <w:r>
        <w:rPr>
          <w:rFonts w:hint="eastAsia" w:ascii="Times New Roman" w:hAnsi="Times New Roman" w:eastAsia="仿宋_GB2312"/>
          <w:color w:val="000000" w:themeColor="text1"/>
          <w:sz w:val="32"/>
          <w:highlight w:val="none"/>
          <w14:textFill>
            <w14:solidFill>
              <w14:schemeClr w14:val="tx1"/>
            </w14:solidFill>
          </w14:textFill>
        </w:rPr>
        <w:t>约保函（</w:t>
      </w:r>
      <w:r>
        <w:rPr>
          <w:rFonts w:ascii="Times New Roman" w:hAnsi="Times New Roman" w:eastAsia="仿宋_GB2312"/>
          <w:color w:val="000000" w:themeColor="text1"/>
          <w:sz w:val="32"/>
          <w:highlight w:val="none"/>
          <w14:textFill>
            <w14:solidFill>
              <w14:schemeClr w14:val="tx1"/>
            </w14:solidFill>
          </w14:textFill>
        </w:rPr>
        <w:t>保险</w:t>
      </w:r>
      <w:r>
        <w:rPr>
          <w:rFonts w:hint="eastAsia" w:ascii="Times New Roman" w:hAnsi="Times New Roman" w:eastAsia="仿宋_GB2312"/>
          <w:color w:val="000000" w:themeColor="text1"/>
          <w:sz w:val="32"/>
          <w:highlight w:val="none"/>
          <w14:textFill>
            <w14:solidFill>
              <w14:schemeClr w14:val="tx1"/>
            </w14:solidFill>
          </w14:textFill>
        </w:rPr>
        <w:t>）</w:t>
      </w:r>
      <w:r>
        <w:rPr>
          <w:rFonts w:hint="eastAsia" w:ascii="仿宋_GB2312" w:hAnsi="Times New Roman" w:eastAsia="仿宋_GB2312"/>
          <w:color w:val="000000" w:themeColor="text1"/>
          <w:sz w:val="32"/>
          <w:szCs w:val="32"/>
          <w:highlight w:val="none"/>
          <w14:textFill>
            <w14:solidFill>
              <w14:schemeClr w14:val="tx1"/>
            </w14:solidFill>
          </w14:textFill>
        </w:rPr>
        <w:t>形式替代履约保证金，也</w:t>
      </w:r>
      <w:r>
        <w:rPr>
          <w:rFonts w:hint="eastAsia" w:ascii="Times New Roman" w:hAnsi="Times New Roman" w:eastAsia="仿宋_GB2312"/>
          <w:color w:val="000000" w:themeColor="text1"/>
          <w:sz w:val="32"/>
          <w:highlight w:val="none"/>
          <w14:textFill>
            <w14:solidFill>
              <w14:schemeClr w14:val="tx1"/>
            </w14:solidFill>
          </w14:textFill>
        </w:rPr>
        <w:t>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bookmarkEnd w:id="163"/>
      <w:bookmarkEnd w:id="164"/>
      <w:bookmarkEnd w:id="165"/>
      <w:bookmarkEnd w:id="166"/>
    </w:p>
    <w:p w14:paraId="3A5A855B">
      <w:pPr>
        <w:rPr>
          <w:color w:val="000000" w:themeColor="text1"/>
          <w:highlight w:val="none"/>
          <w14:textFill>
            <w14:solidFill>
              <w14:schemeClr w14:val="tx1"/>
            </w14:solidFill>
          </w14:textFill>
        </w:rPr>
      </w:pPr>
    </w:p>
    <w:bookmarkEnd w:id="168"/>
    <w:sectPr>
      <w:footerReference r:id="rId7" w:type="first"/>
      <w:footerReference r:id="rId6" w:type="default"/>
      <w:pgSz w:w="11906" w:h="16838"/>
      <w:pgMar w:top="1440" w:right="1080" w:bottom="1440" w:left="1080" w:header="851" w:footer="907"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onospace">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幼圆">
    <w:altName w:val="Yu Gothic UI"/>
    <w:panose1 w:val="020105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Adobe 仿宋 Std R">
    <w:altName w:val="仿宋"/>
    <w:panose1 w:val="020B0503020202020204"/>
    <w:charset w:val="00"/>
    <w:family w:val="auto"/>
    <w:pitch w:val="default"/>
    <w:sig w:usb0="00000000" w:usb1="00000000" w:usb2="00000000" w:usb3="00000000" w:csb0="00000000" w:csb1="00000000"/>
  </w:font>
  <w:font w:name="Showcard Gothic">
    <w:altName w:val="Gabriola"/>
    <w:panose1 w:val="04020904020102020604"/>
    <w:charset w:val="00"/>
    <w:family w:val="auto"/>
    <w:pitch w:val="default"/>
    <w:sig w:usb0="00000000" w:usb1="00000000" w:usb2="00000000" w:usb3="00000000" w:csb0="00000000" w:csb1="00000000"/>
  </w:font>
  <w:font w:name="Gabriola">
    <w:panose1 w:val="04040605051002020D02"/>
    <w:charset w:val="00"/>
    <w:family w:val="auto"/>
    <w:pitch w:val="default"/>
    <w:sig w:usb0="E00002EF" w:usb1="5000204B" w:usb2="00000000" w:usb3="00000000" w:csb0="2000009F" w:csb1="00000000"/>
  </w:font>
  <w:font w:name="Segoe UI">
    <w:panose1 w:val="020B0502040204020203"/>
    <w:charset w:val="00"/>
    <w:family w:val="auto"/>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font>
  <w:font w:name="华文新魏">
    <w:altName w:val="Impact"/>
    <w:panose1 w:val="02010800040101010101"/>
    <w:charset w:val="00"/>
    <w:family w:val="auto"/>
    <w:pitch w:val="default"/>
    <w:sig w:usb0="00000000" w:usb1="00000000" w:usb2="00000000" w:usb3="00000000" w:csb0="00000000" w:csb1="00000000"/>
  </w:font>
  <w:font w:name="Impact">
    <w:panose1 w:val="020B0806030902050204"/>
    <w:charset w:val="00"/>
    <w:family w:val="auto"/>
    <w:pitch w:val="default"/>
    <w:sig w:usb0="00000287" w:usb1="00000000" w:usb2="00000000" w:usb3="00000000" w:csb0="2000009F" w:csb1="DFD70000"/>
  </w:font>
  <w:font w:name="方正魏碑_GBK">
    <w:altName w:val="Yu Gothic UI"/>
    <w:panose1 w:val="020B0503020202020204"/>
    <w:charset w:val="00"/>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方正大标宋_GBK">
    <w:altName w:val="宋体"/>
    <w:panose1 w:val="020B0503020202020204"/>
    <w:charset w:val="00"/>
    <w:family w:val="auto"/>
    <w:pitch w:val="default"/>
    <w:sig w:usb0="00000000" w:usb1="00000000" w:usb2="00000000" w:usb3="00000000" w:csb0="00000000" w:csb1="00000000"/>
  </w:font>
  <w:font w:name="KSOFE4500885">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19029">
    <w:pPr>
      <w:pStyle w:val="220"/>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65B20">
    <w:pPr>
      <w:pStyle w:val="220"/>
      <w:framePr w:wrap="around" w:vAnchor="text" w:hAnchor="margin" w:xAlign="center" w:y="1"/>
      <w:rPr>
        <w:rStyle w:val="44"/>
      </w:rPr>
    </w:pPr>
    <w:r>
      <w:fldChar w:fldCharType="begin"/>
    </w:r>
    <w:r>
      <w:rPr>
        <w:rStyle w:val="44"/>
      </w:rPr>
      <w:instrText xml:space="preserve">PAGE  </w:instrText>
    </w:r>
    <w:r>
      <w:fldChar w:fldCharType="separate"/>
    </w:r>
    <w:r>
      <w:rPr>
        <w:rStyle w:val="44"/>
      </w:rPr>
      <w:t>1</w:t>
    </w:r>
    <w:r>
      <w:fldChar w:fldCharType="end"/>
    </w:r>
  </w:p>
  <w:p w14:paraId="7BBE655B">
    <w:pPr>
      <w:pStyle w:val="2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B3591">
    <w:pPr>
      <w:pStyle w:val="220"/>
      <w:jc w:val="center"/>
      <w:rPr>
        <w:b/>
        <w:i/>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F0C491">
                          <w:pPr>
                            <w:pStyle w:val="220"/>
                            <w:rPr>
                              <w:rStyle w:val="44"/>
                              <w:rFonts w:ascii="宋体" w:hAnsi="宋体"/>
                            </w:rPr>
                          </w:pPr>
                          <w:r>
                            <w:rPr>
                              <w:rFonts w:ascii="宋体" w:hAnsi="宋体"/>
                            </w:rPr>
                            <w:fldChar w:fldCharType="begin"/>
                          </w:r>
                          <w:r>
                            <w:rPr>
                              <w:rStyle w:val="44"/>
                              <w:rFonts w:ascii="宋体" w:hAnsi="宋体"/>
                            </w:rPr>
                            <w:instrText xml:space="preserve">PAGE  </w:instrText>
                          </w:r>
                          <w:r>
                            <w:rPr>
                              <w:rFonts w:ascii="宋体" w:hAnsi="宋体"/>
                            </w:rPr>
                            <w:fldChar w:fldCharType="separate"/>
                          </w:r>
                          <w:r>
                            <w:rPr>
                              <w:rStyle w:val="44"/>
                              <w:rFonts w:ascii="宋体" w:hAnsi="宋体"/>
                            </w:rPr>
                            <w:t>5</w:t>
                          </w:r>
                          <w:r>
                            <w:rPr>
                              <w:rFonts w:ascii="宋体" w:hAnsi="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6FF0C491">
                    <w:pPr>
                      <w:pStyle w:val="220"/>
                      <w:rPr>
                        <w:rStyle w:val="44"/>
                        <w:rFonts w:ascii="宋体" w:hAnsi="宋体"/>
                      </w:rPr>
                    </w:pPr>
                    <w:r>
                      <w:rPr>
                        <w:rFonts w:ascii="宋体" w:hAnsi="宋体"/>
                      </w:rPr>
                      <w:fldChar w:fldCharType="begin"/>
                    </w:r>
                    <w:r>
                      <w:rPr>
                        <w:rStyle w:val="44"/>
                        <w:rFonts w:ascii="宋体" w:hAnsi="宋体"/>
                      </w:rPr>
                      <w:instrText xml:space="preserve">PAGE  </w:instrText>
                    </w:r>
                    <w:r>
                      <w:rPr>
                        <w:rFonts w:ascii="宋体" w:hAnsi="宋体"/>
                      </w:rPr>
                      <w:fldChar w:fldCharType="separate"/>
                    </w:r>
                    <w:r>
                      <w:rPr>
                        <w:rStyle w:val="44"/>
                        <w:rFonts w:ascii="宋体" w:hAnsi="宋体"/>
                      </w:rPr>
                      <w:t>5</w:t>
                    </w:r>
                    <w:r>
                      <w:rPr>
                        <w:rFonts w:ascii="宋体" w:hAnsi="宋体"/>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5450D">
    <w:pPr>
      <w:pStyle w:val="1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400B71">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BX9E8AgAAbwQAAA4AAABkcnMvZTJvRG9jLnhtbK1UwY7TMBC9I/EP&#10;lu80aYFVFT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DBX9E8AgAAbwQAAA4AAAAAAAAAAQAgAAAAHwEAAGRycy9lMm9E&#10;b2MueG1sUEsFBgAAAAAGAAYAWQEAAM0FAAAAAA==&#10;">
              <v:fill on="f" focussize="0,0"/>
              <v:stroke on="f" weight="0.5pt"/>
              <v:imagedata o:title=""/>
              <o:lock v:ext="edit" aspectratio="f"/>
              <v:textbox inset="0mm,0mm,0mm,0mm" style="mso-fit-shape-to-text:t;">
                <w:txbxContent>
                  <w:p w14:paraId="6E400B71">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A4962">
    <w:pPr>
      <w:pStyle w:val="22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space"/>
      <w:lvlText w:val="%1)"/>
      <w:lvlJc w:val="left"/>
      <w:pPr>
        <w:ind w:left="900" w:hanging="440"/>
      </w:pPr>
    </w:lvl>
    <w:lvl w:ilvl="1" w:tentative="0">
      <w:start w:val="1"/>
      <w:numFmt w:val="lowerLetter"/>
      <w:lvlText w:val="%2)"/>
      <w:lvlJc w:val="left"/>
      <w:pPr>
        <w:ind w:left="1340" w:hanging="440"/>
      </w:pPr>
    </w:lvl>
    <w:lvl w:ilvl="2" w:tentative="0">
      <w:start w:val="1"/>
      <w:numFmt w:val="lowerRoman"/>
      <w:lvlText w:val="%3."/>
      <w:lvlJc w:val="right"/>
      <w:pPr>
        <w:ind w:left="1780" w:hanging="440"/>
      </w:pPr>
    </w:lvl>
    <w:lvl w:ilvl="3" w:tentative="0">
      <w:start w:val="1"/>
      <w:numFmt w:val="decimal"/>
      <w:lvlText w:val="%4."/>
      <w:lvlJc w:val="left"/>
      <w:pPr>
        <w:ind w:left="2220" w:hanging="440"/>
      </w:pPr>
    </w:lvl>
    <w:lvl w:ilvl="4" w:tentative="0">
      <w:start w:val="1"/>
      <w:numFmt w:val="lowerLetter"/>
      <w:lvlText w:val="%5)"/>
      <w:lvlJc w:val="left"/>
      <w:pPr>
        <w:ind w:left="2660" w:hanging="440"/>
      </w:pPr>
    </w:lvl>
    <w:lvl w:ilvl="5" w:tentative="0">
      <w:start w:val="1"/>
      <w:numFmt w:val="lowerRoman"/>
      <w:lvlText w:val="%6."/>
      <w:lvlJc w:val="right"/>
      <w:pPr>
        <w:ind w:left="3100" w:hanging="440"/>
      </w:pPr>
    </w:lvl>
    <w:lvl w:ilvl="6" w:tentative="0">
      <w:start w:val="1"/>
      <w:numFmt w:val="decimal"/>
      <w:lvlText w:val="%7."/>
      <w:lvlJc w:val="left"/>
      <w:pPr>
        <w:ind w:left="3540" w:hanging="440"/>
      </w:pPr>
    </w:lvl>
    <w:lvl w:ilvl="7" w:tentative="0">
      <w:start w:val="1"/>
      <w:numFmt w:val="lowerLetter"/>
      <w:lvlText w:val="%8)"/>
      <w:lvlJc w:val="left"/>
      <w:pPr>
        <w:ind w:left="3980" w:hanging="440"/>
      </w:pPr>
    </w:lvl>
    <w:lvl w:ilvl="8" w:tentative="0">
      <w:start w:val="1"/>
      <w:numFmt w:val="lowerRoman"/>
      <w:lvlText w:val="%9."/>
      <w:lvlJc w:val="right"/>
      <w:pPr>
        <w:ind w:left="4420" w:hanging="440"/>
      </w:pPr>
    </w:lvl>
  </w:abstractNum>
  <w:abstractNum w:abstractNumId="1">
    <w:nsid w:val="B5E306ED"/>
    <w:multiLevelType w:val="multilevel"/>
    <w:tmpl w:val="B5E306ED"/>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upperLetter"/>
      <w:pStyle w:val="25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F4B5D9F5"/>
    <w:multiLevelType w:val="multilevel"/>
    <w:tmpl w:val="F4B5D9F5"/>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FA2E7389"/>
    <w:multiLevelType w:val="singleLevel"/>
    <w:tmpl w:val="FA2E7389"/>
    <w:lvl w:ilvl="0" w:tentative="0">
      <w:start w:val="1"/>
      <w:numFmt w:val="decimal"/>
      <w:suff w:val="nothing"/>
      <w:lvlText w:val="%1、"/>
      <w:lvlJc w:val="left"/>
    </w:lvl>
  </w:abstractNum>
  <w:abstractNum w:abstractNumId="7">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1"/>
      <w:numFmt w:val="none"/>
      <w:pStyle w:val="216"/>
      <w:suff w:val="nothing"/>
      <w:lvlText w:val=""/>
      <w:lvlJc w:val="left"/>
      <w:pPr>
        <w:ind w:left="0" w:firstLine="0"/>
      </w:pPr>
      <w:rPr>
        <w:rFonts w:hint="eastAsia"/>
      </w:rPr>
    </w:lvl>
    <w:lvl w:ilvl="6" w:tentative="0">
      <w:start w:val="1"/>
      <w:numFmt w:val="none"/>
      <w:pStyle w:val="217"/>
      <w:suff w:val="nothing"/>
      <w:lvlText w:val=""/>
      <w:lvlJc w:val="left"/>
      <w:pPr>
        <w:ind w:left="0" w:firstLine="0"/>
      </w:pPr>
      <w:rPr>
        <w:rFonts w:hint="eastAsia"/>
      </w:rPr>
    </w:lvl>
    <w:lvl w:ilvl="7" w:tentative="0">
      <w:start w:val="1"/>
      <w:numFmt w:val="none"/>
      <w:pStyle w:val="218"/>
      <w:suff w:val="nothing"/>
      <w:lvlText w:val=""/>
      <w:lvlJc w:val="left"/>
      <w:pPr>
        <w:ind w:left="0" w:firstLine="0"/>
      </w:pPr>
      <w:rPr>
        <w:rFonts w:hint="eastAsia"/>
      </w:rPr>
    </w:lvl>
    <w:lvl w:ilvl="8" w:tentative="0">
      <w:start w:val="1"/>
      <w:numFmt w:val="none"/>
      <w:pStyle w:val="219"/>
      <w:suff w:val="nothing"/>
      <w:lvlText w:val=""/>
      <w:lvlJc w:val="left"/>
      <w:pPr>
        <w:ind w:left="0" w:firstLine="0"/>
      </w:pPr>
      <w:rPr>
        <w:rFonts w:hint="eastAsia"/>
      </w:rPr>
    </w:lvl>
  </w:abstractNum>
  <w:abstractNum w:abstractNumId="8">
    <w:nsid w:val="0248C179"/>
    <w:multiLevelType w:val="multilevel"/>
    <w:tmpl w:val="0248C179"/>
    <w:lvl w:ilvl="0" w:tentative="0">
      <w:start w:val="1"/>
      <w:numFmt w:val="decimal"/>
      <w:suff w:val="space"/>
      <w:lvlText w:val="%1)"/>
      <w:lvlJc w:val="left"/>
      <w:pPr>
        <w:ind w:left="900" w:hanging="440"/>
      </w:pPr>
    </w:lvl>
    <w:lvl w:ilvl="1" w:tentative="0">
      <w:start w:val="1"/>
      <w:numFmt w:val="lowerLetter"/>
      <w:lvlText w:val="%2)"/>
      <w:lvlJc w:val="left"/>
      <w:pPr>
        <w:ind w:left="1340" w:hanging="440"/>
      </w:pPr>
    </w:lvl>
    <w:lvl w:ilvl="2" w:tentative="0">
      <w:start w:val="1"/>
      <w:numFmt w:val="lowerRoman"/>
      <w:lvlText w:val="%3."/>
      <w:lvlJc w:val="right"/>
      <w:pPr>
        <w:ind w:left="1780" w:hanging="440"/>
      </w:pPr>
    </w:lvl>
    <w:lvl w:ilvl="3" w:tentative="0">
      <w:start w:val="1"/>
      <w:numFmt w:val="decimal"/>
      <w:lvlText w:val="%4."/>
      <w:lvlJc w:val="left"/>
      <w:pPr>
        <w:ind w:left="2220" w:hanging="440"/>
      </w:pPr>
    </w:lvl>
    <w:lvl w:ilvl="4" w:tentative="0">
      <w:start w:val="1"/>
      <w:numFmt w:val="lowerLetter"/>
      <w:lvlText w:val="%5)"/>
      <w:lvlJc w:val="left"/>
      <w:pPr>
        <w:ind w:left="2660" w:hanging="440"/>
      </w:pPr>
    </w:lvl>
    <w:lvl w:ilvl="5" w:tentative="0">
      <w:start w:val="1"/>
      <w:numFmt w:val="lowerRoman"/>
      <w:lvlText w:val="%6."/>
      <w:lvlJc w:val="right"/>
      <w:pPr>
        <w:ind w:left="3100" w:hanging="440"/>
      </w:pPr>
    </w:lvl>
    <w:lvl w:ilvl="6" w:tentative="0">
      <w:start w:val="1"/>
      <w:numFmt w:val="decimal"/>
      <w:lvlText w:val="%7."/>
      <w:lvlJc w:val="left"/>
      <w:pPr>
        <w:ind w:left="3540" w:hanging="440"/>
      </w:pPr>
    </w:lvl>
    <w:lvl w:ilvl="7" w:tentative="0">
      <w:start w:val="1"/>
      <w:numFmt w:val="lowerLetter"/>
      <w:lvlText w:val="%8)"/>
      <w:lvlJc w:val="left"/>
      <w:pPr>
        <w:ind w:left="3980" w:hanging="440"/>
      </w:pPr>
    </w:lvl>
    <w:lvl w:ilvl="8" w:tentative="0">
      <w:start w:val="1"/>
      <w:numFmt w:val="lowerRoman"/>
      <w:lvlText w:val="%9."/>
      <w:lvlJc w:val="right"/>
      <w:pPr>
        <w:ind w:left="4420" w:hanging="440"/>
      </w:pPr>
    </w:lvl>
  </w:abstractNum>
  <w:abstractNum w:abstractNumId="9">
    <w:nsid w:val="03D62ECE"/>
    <w:multiLevelType w:val="multilevel"/>
    <w:tmpl w:val="03D62ECE"/>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5B654F3"/>
    <w:multiLevelType w:val="multilevel"/>
    <w:tmpl w:val="25B654F3"/>
    <w:lvl w:ilvl="0" w:tentative="0">
      <w:start w:val="1"/>
      <w:numFmt w:val="decimal"/>
      <w:suff w:val="space"/>
      <w:lvlText w:val="%1)"/>
      <w:lvlJc w:val="left"/>
      <w:pPr>
        <w:ind w:left="900" w:hanging="440"/>
      </w:pPr>
    </w:lvl>
    <w:lvl w:ilvl="1" w:tentative="0">
      <w:start w:val="1"/>
      <w:numFmt w:val="lowerLetter"/>
      <w:lvlText w:val="%2)"/>
      <w:lvlJc w:val="left"/>
      <w:pPr>
        <w:ind w:left="1340" w:hanging="440"/>
      </w:pPr>
    </w:lvl>
    <w:lvl w:ilvl="2" w:tentative="0">
      <w:start w:val="1"/>
      <w:numFmt w:val="lowerRoman"/>
      <w:lvlText w:val="%3."/>
      <w:lvlJc w:val="right"/>
      <w:pPr>
        <w:ind w:left="1780" w:hanging="440"/>
      </w:pPr>
    </w:lvl>
    <w:lvl w:ilvl="3" w:tentative="0">
      <w:start w:val="1"/>
      <w:numFmt w:val="decimal"/>
      <w:lvlText w:val="%4."/>
      <w:lvlJc w:val="left"/>
      <w:pPr>
        <w:ind w:left="2220" w:hanging="440"/>
      </w:pPr>
    </w:lvl>
    <w:lvl w:ilvl="4" w:tentative="0">
      <w:start w:val="1"/>
      <w:numFmt w:val="lowerLetter"/>
      <w:lvlText w:val="%5)"/>
      <w:lvlJc w:val="left"/>
      <w:pPr>
        <w:ind w:left="2660" w:hanging="440"/>
      </w:pPr>
    </w:lvl>
    <w:lvl w:ilvl="5" w:tentative="0">
      <w:start w:val="1"/>
      <w:numFmt w:val="lowerRoman"/>
      <w:lvlText w:val="%6."/>
      <w:lvlJc w:val="right"/>
      <w:pPr>
        <w:ind w:left="3100" w:hanging="440"/>
      </w:pPr>
    </w:lvl>
    <w:lvl w:ilvl="6" w:tentative="0">
      <w:start w:val="1"/>
      <w:numFmt w:val="decimal"/>
      <w:lvlText w:val="%7."/>
      <w:lvlJc w:val="left"/>
      <w:pPr>
        <w:ind w:left="3540" w:hanging="440"/>
      </w:pPr>
    </w:lvl>
    <w:lvl w:ilvl="7" w:tentative="0">
      <w:start w:val="1"/>
      <w:numFmt w:val="lowerLetter"/>
      <w:lvlText w:val="%8)"/>
      <w:lvlJc w:val="left"/>
      <w:pPr>
        <w:ind w:left="3980" w:hanging="440"/>
      </w:pPr>
    </w:lvl>
    <w:lvl w:ilvl="8" w:tentative="0">
      <w:start w:val="1"/>
      <w:numFmt w:val="lowerRoman"/>
      <w:lvlText w:val="%9."/>
      <w:lvlJc w:val="right"/>
      <w:pPr>
        <w:ind w:left="4420" w:hanging="440"/>
      </w:pPr>
    </w:lvl>
  </w:abstractNum>
  <w:abstractNum w:abstractNumId="11">
    <w:nsid w:val="2A8F537B"/>
    <w:multiLevelType w:val="multilevel"/>
    <w:tmpl w:val="2A8F537B"/>
    <w:lvl w:ilvl="0" w:tentative="0">
      <w:start w:val="1"/>
      <w:numFmt w:val="decimal"/>
      <w:suff w:val="space"/>
      <w:lvlText w:val="%1)"/>
      <w:lvlJc w:val="left"/>
      <w:pPr>
        <w:ind w:left="900" w:hanging="440"/>
      </w:pPr>
    </w:lvl>
    <w:lvl w:ilvl="1" w:tentative="0">
      <w:start w:val="1"/>
      <w:numFmt w:val="lowerLetter"/>
      <w:lvlText w:val="%2)"/>
      <w:lvlJc w:val="left"/>
      <w:pPr>
        <w:ind w:left="1340" w:hanging="440"/>
      </w:pPr>
    </w:lvl>
    <w:lvl w:ilvl="2" w:tentative="0">
      <w:start w:val="1"/>
      <w:numFmt w:val="lowerRoman"/>
      <w:lvlText w:val="%3."/>
      <w:lvlJc w:val="right"/>
      <w:pPr>
        <w:ind w:left="1780" w:hanging="440"/>
      </w:pPr>
    </w:lvl>
    <w:lvl w:ilvl="3" w:tentative="0">
      <w:start w:val="1"/>
      <w:numFmt w:val="decimal"/>
      <w:lvlText w:val="%4."/>
      <w:lvlJc w:val="left"/>
      <w:pPr>
        <w:ind w:left="2220" w:hanging="440"/>
      </w:pPr>
    </w:lvl>
    <w:lvl w:ilvl="4" w:tentative="0">
      <w:start w:val="1"/>
      <w:numFmt w:val="lowerLetter"/>
      <w:lvlText w:val="%5)"/>
      <w:lvlJc w:val="left"/>
      <w:pPr>
        <w:ind w:left="2660" w:hanging="440"/>
      </w:pPr>
    </w:lvl>
    <w:lvl w:ilvl="5" w:tentative="0">
      <w:start w:val="1"/>
      <w:numFmt w:val="lowerRoman"/>
      <w:lvlText w:val="%6."/>
      <w:lvlJc w:val="right"/>
      <w:pPr>
        <w:ind w:left="3100" w:hanging="440"/>
      </w:pPr>
    </w:lvl>
    <w:lvl w:ilvl="6" w:tentative="0">
      <w:start w:val="1"/>
      <w:numFmt w:val="decimal"/>
      <w:lvlText w:val="%7."/>
      <w:lvlJc w:val="left"/>
      <w:pPr>
        <w:ind w:left="3540" w:hanging="440"/>
      </w:pPr>
    </w:lvl>
    <w:lvl w:ilvl="7" w:tentative="0">
      <w:start w:val="1"/>
      <w:numFmt w:val="lowerLetter"/>
      <w:lvlText w:val="%8)"/>
      <w:lvlJc w:val="left"/>
      <w:pPr>
        <w:ind w:left="3980" w:hanging="440"/>
      </w:pPr>
    </w:lvl>
    <w:lvl w:ilvl="8" w:tentative="0">
      <w:start w:val="1"/>
      <w:numFmt w:val="lowerRoman"/>
      <w:lvlText w:val="%9."/>
      <w:lvlJc w:val="right"/>
      <w:pPr>
        <w:ind w:left="4420" w:hanging="440"/>
      </w:pPr>
    </w:lvl>
  </w:abstractNum>
  <w:abstractNum w:abstractNumId="12">
    <w:nsid w:val="4D4DC07F"/>
    <w:multiLevelType w:val="multilevel"/>
    <w:tmpl w:val="4D4DC07F"/>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59ADCABA"/>
    <w:multiLevelType w:val="multilevel"/>
    <w:tmpl w:val="59ADCABA"/>
    <w:lvl w:ilvl="0" w:tentative="0">
      <w:start w:val="1"/>
      <w:numFmt w:val="decimal"/>
      <w:pStyle w:val="266"/>
      <w:lvlText w:val="%1."/>
      <w:lvlJc w:val="left"/>
      <w:pPr>
        <w:tabs>
          <w:tab w:val="left" w:pos="709"/>
        </w:tabs>
        <w:ind w:left="709" w:hanging="709"/>
      </w:pPr>
      <w:rPr>
        <w:rFonts w:hint="eastAsia"/>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14">
    <w:nsid w:val="5A241D34"/>
    <w:multiLevelType w:val="multilevel"/>
    <w:tmpl w:val="5A241D34"/>
    <w:lvl w:ilvl="0" w:tentative="0">
      <w:start w:val="1"/>
      <w:numFmt w:val="decimal"/>
      <w:suff w:val="space"/>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5">
    <w:nsid w:val="72183CF9"/>
    <w:multiLevelType w:val="multilevel"/>
    <w:tmpl w:val="72183CF9"/>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3"/>
  </w:num>
  <w:num w:numId="4">
    <w:abstractNumId w:val="2"/>
  </w:num>
  <w:num w:numId="5">
    <w:abstractNumId w:val="1"/>
  </w:num>
  <w:num w:numId="6">
    <w:abstractNumId w:val="9"/>
  </w:num>
  <w:num w:numId="7">
    <w:abstractNumId w:val="10"/>
  </w:num>
  <w:num w:numId="8">
    <w:abstractNumId w:val="15"/>
  </w:num>
  <w:num w:numId="9">
    <w:abstractNumId w:val="8"/>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922898"/>
    <w:rsid w:val="02A86FE6"/>
    <w:rsid w:val="0D3E5ACB"/>
    <w:rsid w:val="0D7C07BE"/>
    <w:rsid w:val="0DB31D06"/>
    <w:rsid w:val="0E770F85"/>
    <w:rsid w:val="1CFA59ED"/>
    <w:rsid w:val="1E0B5246"/>
    <w:rsid w:val="1E414EAF"/>
    <w:rsid w:val="1ED212BF"/>
    <w:rsid w:val="1F817EB6"/>
    <w:rsid w:val="21725D08"/>
    <w:rsid w:val="289C0181"/>
    <w:rsid w:val="2C4626BB"/>
    <w:rsid w:val="2C781E3B"/>
    <w:rsid w:val="2DBB2FDD"/>
    <w:rsid w:val="2E9A1131"/>
    <w:rsid w:val="30E07EBD"/>
    <w:rsid w:val="36A04492"/>
    <w:rsid w:val="38A56A79"/>
    <w:rsid w:val="407C5A57"/>
    <w:rsid w:val="44E93C84"/>
    <w:rsid w:val="48FC3CA2"/>
    <w:rsid w:val="4BF41267"/>
    <w:rsid w:val="4E5A5D55"/>
    <w:rsid w:val="4ED82D9F"/>
    <w:rsid w:val="53277E51"/>
    <w:rsid w:val="61E95EC2"/>
    <w:rsid w:val="64D43AFB"/>
    <w:rsid w:val="65266D7F"/>
    <w:rsid w:val="65C85520"/>
    <w:rsid w:val="67F36700"/>
    <w:rsid w:val="6D42224B"/>
    <w:rsid w:val="6EDA6267"/>
    <w:rsid w:val="735F57E8"/>
    <w:rsid w:val="74980757"/>
    <w:rsid w:val="75483F2B"/>
    <w:rsid w:val="76992564"/>
    <w:rsid w:val="770734F5"/>
    <w:rsid w:val="77B711C8"/>
    <w:rsid w:val="7C911F80"/>
    <w:rsid w:val="7E3913A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iPriority="0" w:semiHidden="0" w:name="annotation text"/>
    <w:lsdException w:qFormat="1" w:uiPriority="99" w:name="header"/>
    <w:lsdException w:qFormat="1" w:uiPriority="99"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2">
    <w:name w:val="List 3"/>
    <w:basedOn w:val="1"/>
    <w:qFormat/>
    <w:uiPriority w:val="0"/>
    <w:pPr>
      <w:ind w:left="100" w:hanging="200"/>
    </w:pPr>
    <w:rPr>
      <w:szCs w:val="21"/>
    </w:rPr>
  </w:style>
  <w:style w:type="paragraph" w:styleId="3">
    <w:name w:val="toc 7"/>
    <w:basedOn w:val="1"/>
    <w:next w:val="1"/>
    <w:semiHidden/>
    <w:qFormat/>
    <w:uiPriority w:val="0"/>
    <w:pPr>
      <w:ind w:left="1260"/>
      <w:jc w:val="left"/>
    </w:pPr>
    <w:rPr>
      <w:szCs w:val="21"/>
    </w:rPr>
  </w:style>
  <w:style w:type="paragraph" w:styleId="4">
    <w:name w:val="Normal Indent"/>
    <w:basedOn w:val="1"/>
    <w:link w:val="225"/>
    <w:qFormat/>
    <w:uiPriority w:val="0"/>
    <w:pPr>
      <w:ind w:firstLine="420"/>
    </w:pPr>
    <w:rPr>
      <w:sz w:val="20"/>
      <w:szCs w:val="21"/>
    </w:rPr>
  </w:style>
  <w:style w:type="paragraph" w:styleId="5">
    <w:name w:val="Document Map"/>
    <w:basedOn w:val="1"/>
    <w:link w:val="233"/>
    <w:semiHidden/>
    <w:qFormat/>
    <w:uiPriority w:val="0"/>
    <w:pPr>
      <w:shd w:val="clear" w:color="auto" w:fill="000080"/>
    </w:pPr>
    <w:rPr>
      <w:sz w:val="20"/>
      <w:szCs w:val="21"/>
    </w:rPr>
  </w:style>
  <w:style w:type="paragraph" w:styleId="6">
    <w:name w:val="annotation text"/>
    <w:basedOn w:val="1"/>
    <w:link w:val="234"/>
    <w:unhideWhenUsed/>
    <w:qFormat/>
    <w:uiPriority w:val="0"/>
    <w:pPr>
      <w:jc w:val="left"/>
    </w:pPr>
  </w:style>
  <w:style w:type="paragraph" w:styleId="7">
    <w:name w:val="Body Text 3"/>
    <w:basedOn w:val="1"/>
    <w:link w:val="235"/>
    <w:qFormat/>
    <w:uiPriority w:val="0"/>
    <w:rPr>
      <w:rFonts w:ascii="仿宋_GB2312" w:hAnsi="Arial" w:eastAsia="仿宋_GB2312"/>
      <w:sz w:val="32"/>
      <w:szCs w:val="32"/>
    </w:rPr>
  </w:style>
  <w:style w:type="paragraph" w:styleId="8">
    <w:name w:val="Body Text"/>
    <w:basedOn w:val="1"/>
    <w:link w:val="222"/>
    <w:qFormat/>
    <w:uiPriority w:val="0"/>
    <w:rPr>
      <w:rFonts w:ascii="楷体_GB2312" w:hAnsi="Arial" w:eastAsia="楷体_GB2312"/>
      <w:sz w:val="28"/>
      <w:szCs w:val="28"/>
    </w:rPr>
  </w:style>
  <w:style w:type="paragraph" w:styleId="9">
    <w:name w:val="Body Text Indent"/>
    <w:basedOn w:val="1"/>
    <w:link w:val="236"/>
    <w:unhideWhenUsed/>
    <w:qFormat/>
    <w:uiPriority w:val="0"/>
    <w:pPr>
      <w:spacing w:after="120"/>
      <w:ind w:left="420"/>
    </w:pPr>
  </w:style>
  <w:style w:type="paragraph" w:styleId="10">
    <w:name w:val="List 2"/>
    <w:basedOn w:val="1"/>
    <w:qFormat/>
    <w:uiPriority w:val="0"/>
    <w:pPr>
      <w:ind w:left="100" w:hanging="200"/>
    </w:pPr>
    <w:rPr>
      <w:szCs w:val="21"/>
    </w:rPr>
  </w:style>
  <w:style w:type="paragraph" w:styleId="11">
    <w:name w:val="toc 5"/>
    <w:basedOn w:val="1"/>
    <w:next w:val="1"/>
    <w:semiHidden/>
    <w:qFormat/>
    <w:uiPriority w:val="0"/>
    <w:pPr>
      <w:ind w:left="840"/>
      <w:jc w:val="left"/>
    </w:pPr>
    <w:rPr>
      <w:szCs w:val="21"/>
    </w:rPr>
  </w:style>
  <w:style w:type="paragraph" w:styleId="12">
    <w:name w:val="toc 3"/>
    <w:basedOn w:val="1"/>
    <w:next w:val="1"/>
    <w:semiHidden/>
    <w:qFormat/>
    <w:uiPriority w:val="0"/>
    <w:pPr>
      <w:ind w:left="420"/>
      <w:jc w:val="left"/>
    </w:pPr>
    <w:rPr>
      <w:i/>
      <w:iCs/>
      <w:szCs w:val="24"/>
    </w:rPr>
  </w:style>
  <w:style w:type="paragraph" w:styleId="13">
    <w:name w:val="Plain Text"/>
    <w:basedOn w:val="1"/>
    <w:link w:val="237"/>
    <w:qFormat/>
    <w:uiPriority w:val="0"/>
    <w:rPr>
      <w:rFonts w:ascii="宋体" w:hAnsi="Courier New"/>
      <w:sz w:val="20"/>
      <w:szCs w:val="21"/>
    </w:rPr>
  </w:style>
  <w:style w:type="paragraph" w:styleId="14">
    <w:name w:val="toc 8"/>
    <w:basedOn w:val="1"/>
    <w:next w:val="1"/>
    <w:semiHidden/>
    <w:qFormat/>
    <w:uiPriority w:val="0"/>
    <w:pPr>
      <w:ind w:left="1470"/>
      <w:jc w:val="left"/>
    </w:pPr>
    <w:rPr>
      <w:szCs w:val="21"/>
    </w:rPr>
  </w:style>
  <w:style w:type="paragraph" w:styleId="15">
    <w:name w:val="Date"/>
    <w:basedOn w:val="1"/>
    <w:next w:val="1"/>
    <w:link w:val="238"/>
    <w:qFormat/>
    <w:uiPriority w:val="0"/>
    <w:rPr>
      <w:sz w:val="24"/>
      <w:szCs w:val="24"/>
    </w:rPr>
  </w:style>
  <w:style w:type="paragraph" w:styleId="16">
    <w:name w:val="Body Text Indent 2"/>
    <w:basedOn w:val="1"/>
    <w:link w:val="239"/>
    <w:qFormat/>
    <w:uiPriority w:val="0"/>
    <w:pPr>
      <w:ind w:left="630" w:firstLine="645"/>
    </w:pPr>
    <w:rPr>
      <w:rFonts w:ascii="Arial" w:hAnsi="Arial" w:eastAsia="仿宋_GB2312"/>
      <w:sz w:val="32"/>
      <w:szCs w:val="32"/>
    </w:rPr>
  </w:style>
  <w:style w:type="paragraph" w:styleId="17">
    <w:name w:val="endnote text"/>
    <w:basedOn w:val="1"/>
    <w:link w:val="209"/>
    <w:semiHidden/>
    <w:unhideWhenUsed/>
    <w:qFormat/>
    <w:uiPriority w:val="99"/>
    <w:rPr>
      <w:sz w:val="20"/>
    </w:rPr>
  </w:style>
  <w:style w:type="paragraph" w:styleId="18">
    <w:name w:val="Balloon Text"/>
    <w:basedOn w:val="1"/>
    <w:link w:val="240"/>
    <w:semiHidden/>
    <w:qFormat/>
    <w:uiPriority w:val="0"/>
    <w:rPr>
      <w:sz w:val="18"/>
      <w:szCs w:val="18"/>
    </w:rPr>
  </w:style>
  <w:style w:type="paragraph" w:styleId="19">
    <w:name w:val="footer"/>
    <w:basedOn w:val="1"/>
    <w:link w:val="287"/>
    <w:semiHidden/>
    <w:unhideWhenUsed/>
    <w:qFormat/>
    <w:uiPriority w:val="99"/>
    <w:pPr>
      <w:tabs>
        <w:tab w:val="center" w:pos="4153"/>
        <w:tab w:val="right" w:pos="8306"/>
      </w:tabs>
      <w:jc w:val="left"/>
    </w:pPr>
    <w:rPr>
      <w:sz w:val="18"/>
      <w:szCs w:val="18"/>
    </w:rPr>
  </w:style>
  <w:style w:type="paragraph" w:styleId="20">
    <w:name w:val="header"/>
    <w:basedOn w:val="1"/>
    <w:link w:val="286"/>
    <w:semiHidden/>
    <w:unhideWhenUsed/>
    <w:qFormat/>
    <w:uiPriority w:val="99"/>
    <w:pPr>
      <w:pBdr>
        <w:bottom w:val="single" w:color="auto" w:sz="6" w:space="1"/>
      </w:pBdr>
      <w:tabs>
        <w:tab w:val="center" w:pos="4153"/>
        <w:tab w:val="right" w:pos="8306"/>
      </w:tabs>
      <w:jc w:val="center"/>
    </w:pPr>
    <w:rPr>
      <w:sz w:val="18"/>
      <w:szCs w:val="18"/>
    </w:rPr>
  </w:style>
  <w:style w:type="paragraph" w:styleId="21">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22">
    <w:name w:val="toc 4"/>
    <w:basedOn w:val="1"/>
    <w:next w:val="1"/>
    <w:semiHidden/>
    <w:qFormat/>
    <w:uiPriority w:val="0"/>
    <w:pPr>
      <w:ind w:left="630"/>
      <w:jc w:val="left"/>
    </w:pPr>
    <w:rPr>
      <w:szCs w:val="21"/>
    </w:rPr>
  </w:style>
  <w:style w:type="paragraph" w:styleId="23">
    <w:name w:val="Subtitle"/>
    <w:basedOn w:val="1"/>
    <w:next w:val="1"/>
    <w:link w:val="74"/>
    <w:qFormat/>
    <w:uiPriority w:val="11"/>
    <w:pPr>
      <w:spacing w:before="200" w:after="200"/>
    </w:pPr>
    <w:rPr>
      <w:sz w:val="24"/>
      <w:szCs w:val="24"/>
    </w:rPr>
  </w:style>
  <w:style w:type="paragraph" w:styleId="24">
    <w:name w:val="List"/>
    <w:basedOn w:val="1"/>
    <w:qFormat/>
    <w:uiPriority w:val="0"/>
    <w:pPr>
      <w:ind w:left="200" w:hanging="200"/>
    </w:pPr>
    <w:rPr>
      <w:szCs w:val="21"/>
    </w:rPr>
  </w:style>
  <w:style w:type="paragraph" w:styleId="25">
    <w:name w:val="footnote text"/>
    <w:basedOn w:val="1"/>
    <w:link w:val="208"/>
    <w:semiHidden/>
    <w:unhideWhenUsed/>
    <w:qFormat/>
    <w:uiPriority w:val="99"/>
    <w:pPr>
      <w:spacing w:after="40"/>
    </w:pPr>
    <w:rPr>
      <w:sz w:val="18"/>
    </w:rPr>
  </w:style>
  <w:style w:type="paragraph" w:styleId="26">
    <w:name w:val="toc 6"/>
    <w:basedOn w:val="1"/>
    <w:next w:val="1"/>
    <w:semiHidden/>
    <w:qFormat/>
    <w:uiPriority w:val="0"/>
    <w:pPr>
      <w:ind w:left="1050"/>
      <w:jc w:val="left"/>
    </w:pPr>
    <w:rPr>
      <w:szCs w:val="21"/>
    </w:rPr>
  </w:style>
  <w:style w:type="paragraph" w:styleId="27">
    <w:name w:val="Body Text Indent 3"/>
    <w:basedOn w:val="1"/>
    <w:link w:val="243"/>
    <w:qFormat/>
    <w:uiPriority w:val="0"/>
    <w:pPr>
      <w:ind w:left="645" w:firstLine="645"/>
    </w:pPr>
    <w:rPr>
      <w:rFonts w:ascii="Arial" w:hAnsi="Arial" w:eastAsia="仿宋_GB2312"/>
      <w:color w:val="FFFF00"/>
      <w:sz w:val="32"/>
      <w:szCs w:val="32"/>
    </w:rPr>
  </w:style>
  <w:style w:type="paragraph" w:styleId="28">
    <w:name w:val="table of figures"/>
    <w:basedOn w:val="1"/>
    <w:next w:val="1"/>
    <w:semiHidden/>
    <w:qFormat/>
    <w:uiPriority w:val="0"/>
    <w:pPr>
      <w:ind w:left="840" w:hanging="420"/>
    </w:pPr>
    <w:rPr>
      <w:szCs w:val="21"/>
    </w:rPr>
  </w:style>
  <w:style w:type="paragraph" w:styleId="29">
    <w:name w:val="toc 2"/>
    <w:basedOn w:val="1"/>
    <w:next w:val="1"/>
    <w:semiHidden/>
    <w:qFormat/>
    <w:uiPriority w:val="0"/>
    <w:pPr>
      <w:ind w:left="210"/>
      <w:jc w:val="left"/>
    </w:pPr>
    <w:rPr>
      <w:smallCaps/>
      <w:szCs w:val="24"/>
    </w:rPr>
  </w:style>
  <w:style w:type="paragraph" w:styleId="30">
    <w:name w:val="toc 9"/>
    <w:basedOn w:val="1"/>
    <w:next w:val="1"/>
    <w:semiHidden/>
    <w:qFormat/>
    <w:uiPriority w:val="0"/>
    <w:pPr>
      <w:ind w:left="1680"/>
      <w:jc w:val="left"/>
    </w:pPr>
    <w:rPr>
      <w:szCs w:val="21"/>
    </w:rPr>
  </w:style>
  <w:style w:type="paragraph" w:styleId="31">
    <w:name w:val="Body Text 2"/>
    <w:basedOn w:val="1"/>
    <w:link w:val="244"/>
    <w:qFormat/>
    <w:uiPriority w:val="0"/>
    <w:pPr>
      <w:widowControl/>
      <w:jc w:val="center"/>
    </w:pPr>
    <w:rPr>
      <w:rFonts w:ascii="楷体_GB2312" w:eastAsia="楷体_GB2312"/>
      <w:sz w:val="28"/>
      <w:szCs w:val="28"/>
    </w:rPr>
  </w:style>
  <w:style w:type="paragraph" w:styleId="3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sz w:val="24"/>
      <w:szCs w:val="24"/>
    </w:rPr>
  </w:style>
  <w:style w:type="paragraph" w:styleId="33">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4">
    <w:name w:val="index 1"/>
    <w:basedOn w:val="1"/>
    <w:next w:val="1"/>
    <w:semiHidden/>
    <w:qFormat/>
    <w:uiPriority w:val="0"/>
    <w:pPr>
      <w:spacing w:line="240" w:lineRule="atLeast"/>
    </w:pPr>
    <w:rPr>
      <w:b/>
      <w:bCs/>
      <w:szCs w:val="21"/>
    </w:rPr>
  </w:style>
  <w:style w:type="paragraph" w:styleId="35">
    <w:name w:val="Title"/>
    <w:basedOn w:val="1"/>
    <w:next w:val="1"/>
    <w:link w:val="73"/>
    <w:qFormat/>
    <w:uiPriority w:val="10"/>
    <w:pPr>
      <w:spacing w:before="300" w:after="200"/>
      <w:contextualSpacing/>
    </w:pPr>
    <w:rPr>
      <w:sz w:val="48"/>
      <w:szCs w:val="48"/>
    </w:rPr>
  </w:style>
  <w:style w:type="paragraph" w:styleId="36">
    <w:name w:val="annotation subject"/>
    <w:basedOn w:val="6"/>
    <w:next w:val="6"/>
    <w:link w:val="245"/>
    <w:semiHidden/>
    <w:qFormat/>
    <w:uiPriority w:val="0"/>
    <w:rPr>
      <w:b/>
      <w:bCs/>
      <w:sz w:val="20"/>
      <w:szCs w:val="21"/>
    </w:rPr>
  </w:style>
  <w:style w:type="paragraph" w:styleId="37">
    <w:name w:val="Body Text First Indent"/>
    <w:basedOn w:val="1"/>
    <w:link w:val="246"/>
    <w:qFormat/>
    <w:uiPriority w:val="0"/>
    <w:pPr>
      <w:spacing w:line="360" w:lineRule="auto"/>
      <w:ind w:firstLine="200"/>
    </w:pPr>
    <w:rPr>
      <w:rFonts w:ascii="仿宋_GB2312" w:eastAsia="仿宋_GB2312"/>
      <w:sz w:val="30"/>
      <w:szCs w:val="30"/>
    </w:rPr>
  </w:style>
  <w:style w:type="paragraph" w:styleId="38">
    <w:name w:val="Body Text First Indent 2"/>
    <w:basedOn w:val="9"/>
    <w:link w:val="247"/>
    <w:qFormat/>
    <w:uiPriority w:val="0"/>
    <w:pPr>
      <w:spacing w:after="0" w:line="360" w:lineRule="auto"/>
      <w:ind w:left="0" w:firstLine="420"/>
    </w:pPr>
    <w:rPr>
      <w:rFonts w:ascii="宋体" w:hAnsi="宋体"/>
      <w:sz w:val="20"/>
      <w:szCs w:val="20"/>
    </w:rPr>
  </w:style>
  <w:style w:type="table" w:styleId="40">
    <w:name w:val="Table Grid"/>
    <w:basedOn w:val="3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qFormat/>
    <w:uiPriority w:val="0"/>
    <w:rPr>
      <w:b/>
      <w:bCs/>
    </w:rPr>
  </w:style>
  <w:style w:type="character" w:styleId="43">
    <w:name w:val="endnote reference"/>
    <w:basedOn w:val="41"/>
    <w:semiHidden/>
    <w:unhideWhenUsed/>
    <w:qFormat/>
    <w:uiPriority w:val="99"/>
    <w:rPr>
      <w:vertAlign w:val="superscript"/>
    </w:rPr>
  </w:style>
  <w:style w:type="character" w:styleId="44">
    <w:name w:val="page number"/>
    <w:qFormat/>
    <w:uiPriority w:val="0"/>
  </w:style>
  <w:style w:type="character" w:styleId="45">
    <w:name w:val="FollowedHyperlink"/>
    <w:qFormat/>
    <w:uiPriority w:val="0"/>
    <w:rPr>
      <w:color w:val="800080"/>
      <w:u w:val="single"/>
    </w:rPr>
  </w:style>
  <w:style w:type="character" w:styleId="46">
    <w:name w:val="HTML Definition"/>
    <w:basedOn w:val="41"/>
    <w:semiHidden/>
    <w:unhideWhenUsed/>
    <w:qFormat/>
    <w:uiPriority w:val="99"/>
  </w:style>
  <w:style w:type="character" w:styleId="47">
    <w:name w:val="HTML Typewriter"/>
    <w:basedOn w:val="41"/>
    <w:semiHidden/>
    <w:unhideWhenUsed/>
    <w:qFormat/>
    <w:uiPriority w:val="99"/>
    <w:rPr>
      <w:rFonts w:hint="default" w:ascii="monospace" w:hAnsi="monospace" w:eastAsia="monospace" w:cs="monospace"/>
      <w:sz w:val="20"/>
    </w:rPr>
  </w:style>
  <w:style w:type="character" w:styleId="48">
    <w:name w:val="HTML Acronym"/>
    <w:basedOn w:val="41"/>
    <w:semiHidden/>
    <w:unhideWhenUsed/>
    <w:qFormat/>
    <w:uiPriority w:val="99"/>
  </w:style>
  <w:style w:type="character" w:styleId="49">
    <w:name w:val="HTML Variable"/>
    <w:basedOn w:val="41"/>
    <w:semiHidden/>
    <w:unhideWhenUsed/>
    <w:qFormat/>
    <w:uiPriority w:val="99"/>
  </w:style>
  <w:style w:type="character" w:styleId="50">
    <w:name w:val="Hyperlink"/>
    <w:qFormat/>
    <w:uiPriority w:val="0"/>
    <w:rPr>
      <w:color w:val="0000FF"/>
      <w:u w:val="single"/>
    </w:rPr>
  </w:style>
  <w:style w:type="character" w:styleId="51">
    <w:name w:val="HTML Code"/>
    <w:basedOn w:val="41"/>
    <w:semiHidden/>
    <w:unhideWhenUsed/>
    <w:qFormat/>
    <w:uiPriority w:val="99"/>
    <w:rPr>
      <w:rFonts w:ascii="monospace" w:hAnsi="monospace" w:eastAsia="monospace" w:cs="monospace"/>
      <w:sz w:val="20"/>
    </w:rPr>
  </w:style>
  <w:style w:type="character" w:styleId="52">
    <w:name w:val="annotation reference"/>
    <w:semiHidden/>
    <w:qFormat/>
    <w:uiPriority w:val="0"/>
    <w:rPr>
      <w:sz w:val="21"/>
      <w:szCs w:val="21"/>
    </w:rPr>
  </w:style>
  <w:style w:type="character" w:styleId="53">
    <w:name w:val="HTML Cite"/>
    <w:basedOn w:val="41"/>
    <w:semiHidden/>
    <w:unhideWhenUsed/>
    <w:qFormat/>
    <w:uiPriority w:val="99"/>
  </w:style>
  <w:style w:type="character" w:styleId="54">
    <w:name w:val="footnote reference"/>
    <w:basedOn w:val="41"/>
    <w:unhideWhenUsed/>
    <w:qFormat/>
    <w:uiPriority w:val="99"/>
    <w:rPr>
      <w:vertAlign w:val="superscript"/>
    </w:rPr>
  </w:style>
  <w:style w:type="character" w:styleId="55">
    <w:name w:val="HTML Keyboard"/>
    <w:basedOn w:val="41"/>
    <w:semiHidden/>
    <w:unhideWhenUsed/>
    <w:qFormat/>
    <w:uiPriority w:val="99"/>
    <w:rPr>
      <w:rFonts w:hint="default" w:ascii="monospace" w:hAnsi="monospace" w:eastAsia="monospace" w:cs="monospace"/>
      <w:sz w:val="20"/>
    </w:rPr>
  </w:style>
  <w:style w:type="character" w:styleId="56">
    <w:name w:val="HTML Sample"/>
    <w:basedOn w:val="41"/>
    <w:semiHidden/>
    <w:unhideWhenUsed/>
    <w:qFormat/>
    <w:uiPriority w:val="99"/>
    <w:rPr>
      <w:rFonts w:hint="default" w:ascii="monospace" w:hAnsi="monospace" w:eastAsia="monospace" w:cs="monospace"/>
    </w:rPr>
  </w:style>
  <w:style w:type="character" w:customStyle="1" w:styleId="57">
    <w:name w:val="Title Char"/>
    <w:basedOn w:val="41"/>
    <w:qFormat/>
    <w:uiPriority w:val="10"/>
    <w:rPr>
      <w:sz w:val="48"/>
      <w:szCs w:val="48"/>
    </w:rPr>
  </w:style>
  <w:style w:type="character" w:customStyle="1" w:styleId="58">
    <w:name w:val="Subtitle Char"/>
    <w:basedOn w:val="41"/>
    <w:qFormat/>
    <w:uiPriority w:val="11"/>
    <w:rPr>
      <w:sz w:val="24"/>
      <w:szCs w:val="24"/>
    </w:rPr>
  </w:style>
  <w:style w:type="character" w:customStyle="1" w:styleId="59">
    <w:name w:val="Quote Char"/>
    <w:qFormat/>
    <w:uiPriority w:val="29"/>
    <w:rPr>
      <w:i/>
    </w:rPr>
  </w:style>
  <w:style w:type="character" w:customStyle="1" w:styleId="60">
    <w:name w:val="Intense Quote Char"/>
    <w:qFormat/>
    <w:uiPriority w:val="30"/>
    <w:rPr>
      <w:i/>
    </w:rPr>
  </w:style>
  <w:style w:type="character" w:customStyle="1" w:styleId="61">
    <w:name w:val="Footnote Text Char"/>
    <w:qFormat/>
    <w:uiPriority w:val="99"/>
    <w:rPr>
      <w:sz w:val="18"/>
    </w:rPr>
  </w:style>
  <w:style w:type="character" w:customStyle="1" w:styleId="62">
    <w:name w:val="Endnote Text Char"/>
    <w:qFormat/>
    <w:uiPriority w:val="99"/>
    <w:rPr>
      <w:sz w:val="20"/>
    </w:rPr>
  </w:style>
  <w:style w:type="paragraph" w:customStyle="1" w:styleId="63">
    <w:name w:val="列出段落1"/>
    <w:basedOn w:val="1"/>
    <w:link w:val="251"/>
    <w:qFormat/>
    <w:uiPriority w:val="0"/>
    <w:pPr>
      <w:widowControl/>
      <w:ind w:left="720"/>
      <w:contextualSpacing/>
      <w:jc w:val="left"/>
    </w:pPr>
    <w:rPr>
      <w:sz w:val="24"/>
      <w:szCs w:val="24"/>
      <w:lang w:eastAsia="en-US" w:bidi="en-US"/>
    </w:rPr>
  </w:style>
  <w:style w:type="character" w:customStyle="1" w:styleId="64">
    <w:name w:val="Heading 1 Char"/>
    <w:basedOn w:val="41"/>
    <w:qFormat/>
    <w:uiPriority w:val="9"/>
    <w:rPr>
      <w:rFonts w:ascii="Arial" w:hAnsi="Arial" w:eastAsia="Arial" w:cs="Arial"/>
      <w:sz w:val="40"/>
      <w:szCs w:val="40"/>
    </w:rPr>
  </w:style>
  <w:style w:type="character" w:customStyle="1" w:styleId="65">
    <w:name w:val="Heading 2 Char"/>
    <w:basedOn w:val="41"/>
    <w:qFormat/>
    <w:uiPriority w:val="9"/>
    <w:rPr>
      <w:rFonts w:ascii="Arial" w:hAnsi="Arial" w:eastAsia="Arial" w:cs="Arial"/>
      <w:sz w:val="34"/>
    </w:rPr>
  </w:style>
  <w:style w:type="character" w:customStyle="1" w:styleId="66">
    <w:name w:val="Heading 3 Char"/>
    <w:basedOn w:val="41"/>
    <w:qFormat/>
    <w:uiPriority w:val="9"/>
    <w:rPr>
      <w:rFonts w:ascii="Arial" w:hAnsi="Arial" w:eastAsia="Arial" w:cs="Arial"/>
      <w:sz w:val="30"/>
      <w:szCs w:val="30"/>
    </w:rPr>
  </w:style>
  <w:style w:type="character" w:customStyle="1" w:styleId="67">
    <w:name w:val="Heading 4 Char"/>
    <w:basedOn w:val="41"/>
    <w:qFormat/>
    <w:uiPriority w:val="9"/>
    <w:rPr>
      <w:rFonts w:ascii="Arial" w:hAnsi="Arial" w:eastAsia="Arial" w:cs="Arial"/>
      <w:b/>
      <w:bCs/>
      <w:sz w:val="26"/>
      <w:szCs w:val="26"/>
    </w:rPr>
  </w:style>
  <w:style w:type="character" w:customStyle="1" w:styleId="68">
    <w:name w:val="Heading 5 Char"/>
    <w:basedOn w:val="41"/>
    <w:qFormat/>
    <w:uiPriority w:val="9"/>
    <w:rPr>
      <w:rFonts w:ascii="Arial" w:hAnsi="Arial" w:eastAsia="Arial" w:cs="Arial"/>
      <w:b/>
      <w:bCs/>
      <w:sz w:val="24"/>
      <w:szCs w:val="24"/>
    </w:rPr>
  </w:style>
  <w:style w:type="character" w:customStyle="1" w:styleId="69">
    <w:name w:val="Heading 6 Char"/>
    <w:basedOn w:val="41"/>
    <w:qFormat/>
    <w:uiPriority w:val="9"/>
    <w:rPr>
      <w:rFonts w:ascii="Arial" w:hAnsi="Arial" w:eastAsia="Arial" w:cs="Arial"/>
      <w:b/>
      <w:bCs/>
      <w:sz w:val="22"/>
      <w:szCs w:val="22"/>
    </w:rPr>
  </w:style>
  <w:style w:type="character" w:customStyle="1" w:styleId="70">
    <w:name w:val="Heading 7 Char"/>
    <w:basedOn w:val="41"/>
    <w:qFormat/>
    <w:uiPriority w:val="9"/>
    <w:rPr>
      <w:rFonts w:ascii="Arial" w:hAnsi="Arial" w:eastAsia="Arial" w:cs="Arial"/>
      <w:b/>
      <w:bCs/>
      <w:i/>
      <w:iCs/>
      <w:sz w:val="22"/>
      <w:szCs w:val="22"/>
    </w:rPr>
  </w:style>
  <w:style w:type="character" w:customStyle="1" w:styleId="71">
    <w:name w:val="Heading 8 Char"/>
    <w:basedOn w:val="41"/>
    <w:qFormat/>
    <w:uiPriority w:val="9"/>
    <w:rPr>
      <w:rFonts w:ascii="Arial" w:hAnsi="Arial" w:eastAsia="Arial" w:cs="Arial"/>
      <w:i/>
      <w:iCs/>
      <w:sz w:val="22"/>
      <w:szCs w:val="22"/>
    </w:rPr>
  </w:style>
  <w:style w:type="character" w:customStyle="1" w:styleId="72">
    <w:name w:val="Heading 9 Char"/>
    <w:basedOn w:val="41"/>
    <w:qFormat/>
    <w:uiPriority w:val="9"/>
    <w:rPr>
      <w:rFonts w:ascii="Arial" w:hAnsi="Arial" w:eastAsia="Arial" w:cs="Arial"/>
      <w:i/>
      <w:iCs/>
      <w:sz w:val="21"/>
      <w:szCs w:val="21"/>
    </w:rPr>
  </w:style>
  <w:style w:type="character" w:customStyle="1" w:styleId="73">
    <w:name w:val="标题 Char"/>
    <w:basedOn w:val="41"/>
    <w:link w:val="35"/>
    <w:qFormat/>
    <w:uiPriority w:val="10"/>
    <w:rPr>
      <w:sz w:val="48"/>
      <w:szCs w:val="48"/>
    </w:rPr>
  </w:style>
  <w:style w:type="character" w:customStyle="1" w:styleId="74">
    <w:name w:val="副标题 Char"/>
    <w:basedOn w:val="41"/>
    <w:link w:val="23"/>
    <w:qFormat/>
    <w:uiPriority w:val="11"/>
    <w:rPr>
      <w:sz w:val="24"/>
      <w:szCs w:val="24"/>
    </w:rPr>
  </w:style>
  <w:style w:type="paragraph" w:styleId="75">
    <w:name w:val="Quote"/>
    <w:basedOn w:val="1"/>
    <w:next w:val="1"/>
    <w:link w:val="76"/>
    <w:qFormat/>
    <w:uiPriority w:val="29"/>
    <w:pPr>
      <w:ind w:left="720" w:right="720"/>
    </w:pPr>
    <w:rPr>
      <w:i/>
    </w:rPr>
  </w:style>
  <w:style w:type="character" w:customStyle="1" w:styleId="76">
    <w:name w:val="引用 Char"/>
    <w:link w:val="75"/>
    <w:qFormat/>
    <w:uiPriority w:val="29"/>
    <w:rPr>
      <w:i/>
    </w:rPr>
  </w:style>
  <w:style w:type="paragraph" w:styleId="77">
    <w:name w:val="Intense Quote"/>
    <w:basedOn w:val="1"/>
    <w:next w:val="1"/>
    <w:link w:val="7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8">
    <w:name w:val="明显引用 Char"/>
    <w:link w:val="77"/>
    <w:qFormat/>
    <w:uiPriority w:val="30"/>
    <w:rPr>
      <w:i/>
    </w:rPr>
  </w:style>
  <w:style w:type="character" w:customStyle="1" w:styleId="79">
    <w:name w:val="Header Char"/>
    <w:basedOn w:val="41"/>
    <w:qFormat/>
    <w:uiPriority w:val="99"/>
  </w:style>
  <w:style w:type="character" w:customStyle="1" w:styleId="80">
    <w:name w:val="Footer Char"/>
    <w:basedOn w:val="41"/>
    <w:qFormat/>
    <w:uiPriority w:val="99"/>
  </w:style>
  <w:style w:type="paragraph" w:customStyle="1" w:styleId="81">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character" w:customStyle="1" w:styleId="82">
    <w:name w:val="Caption Char"/>
    <w:qFormat/>
    <w:uiPriority w:val="99"/>
  </w:style>
  <w:style w:type="table" w:customStyle="1" w:styleId="83">
    <w:name w:val="Table Grid Light"/>
    <w:basedOn w:val="3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4">
    <w:name w:val="Plain Table 1"/>
    <w:basedOn w:val="3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5">
    <w:name w:val="Plain Table 2"/>
    <w:basedOn w:val="3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6">
    <w:name w:val="Plain Table 3"/>
    <w:basedOn w:val="39"/>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Plain Table 4"/>
    <w:basedOn w:val="39"/>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Plain Table 5"/>
    <w:basedOn w:val="39"/>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Grid Table 1 Light"/>
    <w:basedOn w:val="3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0">
    <w:name w:val="Grid Table 1 Light - Accent 1"/>
    <w:basedOn w:val="3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1">
    <w:name w:val="Grid Table 1 Light - Accent 2"/>
    <w:basedOn w:val="3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2">
    <w:name w:val="Grid Table 1 Light - Accent 3"/>
    <w:basedOn w:val="3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3">
    <w:name w:val="Grid Table 1 Light - Accent 4"/>
    <w:basedOn w:val="3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4">
    <w:name w:val="Grid Table 1 Light - Accent 5"/>
    <w:basedOn w:val="3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5">
    <w:name w:val="Grid Table 1 Light - Accent 6"/>
    <w:basedOn w:val="3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6">
    <w:name w:val="Grid Table 2"/>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2 - Accent 1"/>
    <w:basedOn w:val="3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2 - Accent 2"/>
    <w:basedOn w:val="3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2 - Accent 3"/>
    <w:basedOn w:val="3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2 - Accent 4"/>
    <w:basedOn w:val="3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2 - Accent 5"/>
    <w:basedOn w:val="39"/>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2 - Accent 6"/>
    <w:basedOn w:val="39"/>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3"/>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3 - Accent 1"/>
    <w:basedOn w:val="3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5">
    <w:name w:val="Grid Table 3 - Accent 2"/>
    <w:basedOn w:val="3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3 - Accent 3"/>
    <w:basedOn w:val="3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3 - Accent 4"/>
    <w:basedOn w:val="3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3 - Accent 5"/>
    <w:basedOn w:val="39"/>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3 - Accent 6"/>
    <w:basedOn w:val="39"/>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4"/>
    <w:basedOn w:val="3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4 - Accent 1"/>
    <w:basedOn w:val="39"/>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2">
    <w:name w:val="Grid Table 4 - Accent 2"/>
    <w:basedOn w:val="39"/>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4 - Accent 3"/>
    <w:basedOn w:val="39"/>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4 - Accent 4"/>
    <w:basedOn w:val="39"/>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4 - Accent 5"/>
    <w:basedOn w:val="39"/>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4 - Accent 6"/>
    <w:basedOn w:val="39"/>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Grid Table 5 Dark"/>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8">
    <w:name w:val="Grid Table 5 Dark- Accent 1"/>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9">
    <w:name w:val="Grid Table 5 Dark - Accent 2"/>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0">
    <w:name w:val="Grid Table 5 Dark - Accent 3"/>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1">
    <w:name w:val="Grid Table 5 Dark- Accent 4"/>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2">
    <w:name w:val="Grid Table 5 Dark - Accent 5"/>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3">
    <w:name w:val="Grid Table 5 Dark - Accent 6"/>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4">
    <w:name w:val="Grid Table 6 Colorful"/>
    <w:basedOn w:val="3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6 Colorful - Accent 1"/>
    <w:basedOn w:val="39"/>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6 Colorful - Accent 2"/>
    <w:basedOn w:val="3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6 Colorful - Accent 3"/>
    <w:basedOn w:val="39"/>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8">
    <w:name w:val="Grid Table 6 Colorful - Accent 4"/>
    <w:basedOn w:val="3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6 Colorful - Accent 5"/>
    <w:basedOn w:val="39"/>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6 Colorful - Accent 6"/>
    <w:basedOn w:val="39"/>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1">
    <w:name w:val="Grid Table 7 Colorful"/>
    <w:basedOn w:val="3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2">
    <w:name w:val="Grid Table 7 Colorful - Accent 1"/>
    <w:basedOn w:val="39"/>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3">
    <w:name w:val="Grid Table 7 Colorful - Accent 2"/>
    <w:basedOn w:val="39"/>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4">
    <w:name w:val="Grid Table 7 Colorful - Accent 3"/>
    <w:basedOn w:val="39"/>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5">
    <w:name w:val="Grid Table 7 Colorful - Accent 4"/>
    <w:basedOn w:val="39"/>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6">
    <w:name w:val="Grid Table 7 Colorful - Accent 5"/>
    <w:basedOn w:val="39"/>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7">
    <w:name w:val="Grid Table 7 Colorful - Accent 6"/>
    <w:basedOn w:val="39"/>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8">
    <w:name w:val="List Table 1 Light"/>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9">
    <w:name w:val="List Table 1 Light - Accent 1"/>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0">
    <w:name w:val="List Table 1 Light - Accent 2"/>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1">
    <w:name w:val="List Table 1 Light - Accent 3"/>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2">
    <w:name w:val="List Table 1 Light - Accent 4"/>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3">
    <w:name w:val="List Table 1 Light - Accent 5"/>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4">
    <w:name w:val="List Table 1 Light - Accent 6"/>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5">
    <w:name w:val="List Table 2"/>
    <w:basedOn w:val="3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2 - Accent 1"/>
    <w:basedOn w:val="39"/>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2 - Accent 2"/>
    <w:basedOn w:val="39"/>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2 - Accent 3"/>
    <w:basedOn w:val="39"/>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2 - Accent 4"/>
    <w:basedOn w:val="39"/>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2 - Accent 5"/>
    <w:basedOn w:val="39"/>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2 - Accent 6"/>
    <w:basedOn w:val="39"/>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3"/>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3">
    <w:name w:val="List Table 3 - Accent 1"/>
    <w:basedOn w:val="39"/>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4">
    <w:name w:val="List Table 3 - Accent 2"/>
    <w:basedOn w:val="3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5">
    <w:name w:val="List Table 3 - Accent 3"/>
    <w:basedOn w:val="39"/>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6">
    <w:name w:val="List Table 3 - Accent 4"/>
    <w:basedOn w:val="3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7">
    <w:name w:val="List Table 3 - Accent 5"/>
    <w:basedOn w:val="39"/>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8">
    <w:name w:val="List Table 3 - Accent 6"/>
    <w:basedOn w:val="39"/>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9">
    <w:name w:val="List Table 4"/>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0">
    <w:name w:val="List Table 4 - Accent 1"/>
    <w:basedOn w:val="39"/>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1">
    <w:name w:val="List Table 4 - Accent 2"/>
    <w:basedOn w:val="39"/>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2">
    <w:name w:val="List Table 4 - Accent 3"/>
    <w:basedOn w:val="39"/>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3">
    <w:name w:val="List Table 4 - Accent 4"/>
    <w:basedOn w:val="39"/>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4">
    <w:name w:val="List Table 4 - Accent 5"/>
    <w:basedOn w:val="39"/>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5">
    <w:name w:val="List Table 4 - Accent 6"/>
    <w:basedOn w:val="39"/>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6">
    <w:name w:val="List Table 5 Dark"/>
    <w:basedOn w:val="3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7">
    <w:name w:val="List Table 5 Dark - Accent 1"/>
    <w:basedOn w:val="39"/>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8">
    <w:name w:val="List Table 5 Dark - Accent 2"/>
    <w:basedOn w:val="39"/>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9">
    <w:name w:val="List Table 5 Dark - Accent 3"/>
    <w:basedOn w:val="39"/>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0">
    <w:name w:val="List Table 5 Dark - Accent 4"/>
    <w:basedOn w:val="39"/>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1">
    <w:name w:val="List Table 5 Dark - Accent 5"/>
    <w:basedOn w:val="39"/>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2">
    <w:name w:val="List Table 5 Dark - Accent 6"/>
    <w:basedOn w:val="39"/>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3">
    <w:name w:val="List Table 6 Colorful"/>
    <w:basedOn w:val="39"/>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4">
    <w:name w:val="List Table 6 Colorful - Accent 1"/>
    <w:basedOn w:val="39"/>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6 Colorful - Accent 2"/>
    <w:basedOn w:val="39"/>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6 Colorful - Accent 3"/>
    <w:basedOn w:val="39"/>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6 Colorful - Accent 4"/>
    <w:basedOn w:val="39"/>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6 Colorful - Accent 5"/>
    <w:basedOn w:val="39"/>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6 Colorful - Accent 6"/>
    <w:basedOn w:val="39"/>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st Table 7 Colorful"/>
    <w:basedOn w:val="39"/>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1">
    <w:name w:val="List Table 7 Colorful - Accent 1"/>
    <w:basedOn w:val="39"/>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2">
    <w:name w:val="List Table 7 Colorful - Accent 2"/>
    <w:basedOn w:val="39"/>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3">
    <w:name w:val="List Table 7 Colorful - Accent 3"/>
    <w:basedOn w:val="39"/>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4">
    <w:name w:val="List Table 7 Colorful - Accent 4"/>
    <w:basedOn w:val="39"/>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5">
    <w:name w:val="List Table 7 Colorful - Accent 5"/>
    <w:basedOn w:val="39"/>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6">
    <w:name w:val="List Table 7 Colorful - Accent 6"/>
    <w:basedOn w:val="39"/>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7">
    <w:name w:val="Lined - Accent"/>
    <w:basedOn w:val="3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Lined - Accent 1"/>
    <w:basedOn w:val="3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Lined - Accent 2"/>
    <w:basedOn w:val="3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Lined - Accent 3"/>
    <w:basedOn w:val="3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Lined - Accent 4"/>
    <w:basedOn w:val="3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Lined - Accent 5"/>
    <w:basedOn w:val="3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Lined - Accent 6"/>
    <w:basedOn w:val="3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amp; Lined - Accent"/>
    <w:basedOn w:val="3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Bordered &amp; Lined - Accent 1"/>
    <w:basedOn w:val="39"/>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6">
    <w:name w:val="Bordered &amp; Lined - Accent 2"/>
    <w:basedOn w:val="39"/>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7">
    <w:name w:val="Bordered &amp; Lined - Accent 3"/>
    <w:basedOn w:val="39"/>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8">
    <w:name w:val="Bordered &amp; Lined - Accent 4"/>
    <w:basedOn w:val="39"/>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9">
    <w:name w:val="Bordered &amp; Lined - Accent 5"/>
    <w:basedOn w:val="39"/>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0">
    <w:name w:val="Bordered &amp; Lined - Accent 6"/>
    <w:basedOn w:val="39"/>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1">
    <w:name w:val="Bordered"/>
    <w:basedOn w:val="3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2">
    <w:name w:val="Bordered - Accent 1"/>
    <w:basedOn w:val="3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3">
    <w:name w:val="Bordered - Accent 2"/>
    <w:basedOn w:val="3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4">
    <w:name w:val="Bordered - Accent 3"/>
    <w:basedOn w:val="3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5">
    <w:name w:val="Bordered - Accent 4"/>
    <w:basedOn w:val="3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6">
    <w:name w:val="Bordered - Accent 5"/>
    <w:basedOn w:val="3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7">
    <w:name w:val="Bordered - Accent 6"/>
    <w:basedOn w:val="3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8">
    <w:name w:val="脚注文本 Char"/>
    <w:link w:val="25"/>
    <w:qFormat/>
    <w:uiPriority w:val="99"/>
    <w:rPr>
      <w:sz w:val="18"/>
    </w:rPr>
  </w:style>
  <w:style w:type="character" w:customStyle="1" w:styleId="209">
    <w:name w:val="尾注文本 Char"/>
    <w:link w:val="17"/>
    <w:qFormat/>
    <w:uiPriority w:val="99"/>
    <w:rPr>
      <w:sz w:val="20"/>
    </w:rPr>
  </w:style>
  <w:style w:type="paragraph" w:customStyle="1" w:styleId="210">
    <w:name w:val="TOC Heading"/>
    <w:unhideWhenUsed/>
    <w:qFormat/>
    <w:uiPriority w:val="39"/>
    <w:rPr>
      <w:rFonts w:hint="default" w:ascii="Times New Roman" w:hAnsi="Times New Roman" w:eastAsia="宋体" w:cs="Times New Roman"/>
      <w:lang w:val="en-US" w:eastAsia="zh-CN" w:bidi="ar-SA"/>
    </w:rPr>
  </w:style>
  <w:style w:type="paragraph" w:customStyle="1" w:styleId="211">
    <w:name w:val="Heading 1"/>
    <w:basedOn w:val="1"/>
    <w:next w:val="1"/>
    <w:link w:val="223"/>
    <w:qFormat/>
    <w:uiPriority w:val="0"/>
    <w:pPr>
      <w:keepNext/>
      <w:jc w:val="center"/>
      <w:outlineLvl w:val="0"/>
    </w:pPr>
    <w:rPr>
      <w:rFonts w:ascii="楷体_GB2312" w:eastAsia="楷体_GB2312"/>
      <w:sz w:val="28"/>
      <w:szCs w:val="28"/>
    </w:rPr>
  </w:style>
  <w:style w:type="paragraph" w:customStyle="1" w:styleId="212">
    <w:name w:val="Heading 2"/>
    <w:basedOn w:val="1"/>
    <w:next w:val="4"/>
    <w:link w:val="224"/>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213">
    <w:name w:val="Heading 3"/>
    <w:basedOn w:val="1"/>
    <w:next w:val="4"/>
    <w:link w:val="226"/>
    <w:qFormat/>
    <w:uiPriority w:val="0"/>
    <w:pPr>
      <w:keepNext/>
      <w:keepLines/>
      <w:spacing w:before="260" w:after="260" w:line="416" w:lineRule="auto"/>
      <w:outlineLvl w:val="2"/>
    </w:pPr>
    <w:rPr>
      <w:b/>
      <w:bCs/>
      <w:sz w:val="32"/>
      <w:szCs w:val="32"/>
    </w:rPr>
  </w:style>
  <w:style w:type="paragraph" w:customStyle="1" w:styleId="214">
    <w:name w:val="Heading 4"/>
    <w:basedOn w:val="1"/>
    <w:next w:val="4"/>
    <w:link w:val="227"/>
    <w:qFormat/>
    <w:uiPriority w:val="0"/>
    <w:pPr>
      <w:keepNext/>
      <w:keepLines/>
      <w:spacing w:before="280" w:after="290" w:line="376" w:lineRule="auto"/>
      <w:outlineLvl w:val="3"/>
    </w:pPr>
    <w:rPr>
      <w:rFonts w:ascii="Arial" w:hAnsi="Arial" w:eastAsia="黑体"/>
      <w:b/>
      <w:bCs/>
      <w:sz w:val="28"/>
      <w:szCs w:val="28"/>
    </w:rPr>
  </w:style>
  <w:style w:type="paragraph" w:customStyle="1" w:styleId="215">
    <w:name w:val="Heading 5"/>
    <w:basedOn w:val="1"/>
    <w:next w:val="4"/>
    <w:link w:val="228"/>
    <w:qFormat/>
    <w:uiPriority w:val="0"/>
    <w:pPr>
      <w:keepNext/>
      <w:outlineLvl w:val="4"/>
    </w:pPr>
    <w:rPr>
      <w:rFonts w:ascii="宋体"/>
      <w:color w:val="000000"/>
      <w:sz w:val="28"/>
      <w:szCs w:val="28"/>
    </w:rPr>
  </w:style>
  <w:style w:type="paragraph" w:customStyle="1" w:styleId="216">
    <w:name w:val="Heading 6"/>
    <w:basedOn w:val="1"/>
    <w:next w:val="1"/>
    <w:link w:val="229"/>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17">
    <w:name w:val="Heading 7"/>
    <w:basedOn w:val="1"/>
    <w:next w:val="1"/>
    <w:link w:val="230"/>
    <w:qFormat/>
    <w:uiPriority w:val="0"/>
    <w:pPr>
      <w:keepNext/>
      <w:keepLines/>
      <w:numPr>
        <w:ilvl w:val="6"/>
        <w:numId w:val="1"/>
      </w:numPr>
      <w:spacing w:before="240" w:after="64" w:line="320" w:lineRule="auto"/>
      <w:outlineLvl w:val="6"/>
    </w:pPr>
    <w:rPr>
      <w:b/>
      <w:bCs/>
      <w:sz w:val="24"/>
      <w:szCs w:val="24"/>
    </w:rPr>
  </w:style>
  <w:style w:type="paragraph" w:customStyle="1" w:styleId="218">
    <w:name w:val="Heading 8"/>
    <w:basedOn w:val="1"/>
    <w:next w:val="1"/>
    <w:link w:val="23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19">
    <w:name w:val="Heading 9"/>
    <w:basedOn w:val="1"/>
    <w:next w:val="1"/>
    <w:link w:val="232"/>
    <w:qFormat/>
    <w:uiPriority w:val="0"/>
    <w:pPr>
      <w:keepNext/>
      <w:keepLines/>
      <w:numPr>
        <w:ilvl w:val="8"/>
        <w:numId w:val="1"/>
      </w:numPr>
      <w:spacing w:before="240" w:after="64" w:line="320" w:lineRule="auto"/>
      <w:outlineLvl w:val="8"/>
    </w:pPr>
    <w:rPr>
      <w:rFonts w:ascii="Arial" w:hAnsi="Arial" w:eastAsia="黑体"/>
      <w:sz w:val="20"/>
      <w:szCs w:val="21"/>
    </w:rPr>
  </w:style>
  <w:style w:type="paragraph" w:customStyle="1" w:styleId="220">
    <w:name w:val="Footer"/>
    <w:basedOn w:val="1"/>
    <w:link w:val="241"/>
    <w:qFormat/>
    <w:uiPriority w:val="0"/>
    <w:pPr>
      <w:tabs>
        <w:tab w:val="center" w:pos="4153"/>
        <w:tab w:val="right" w:pos="8306"/>
      </w:tabs>
      <w:jc w:val="left"/>
    </w:pPr>
    <w:rPr>
      <w:sz w:val="18"/>
      <w:szCs w:val="18"/>
    </w:rPr>
  </w:style>
  <w:style w:type="paragraph" w:customStyle="1" w:styleId="221">
    <w:name w:val="Header"/>
    <w:basedOn w:val="1"/>
    <w:link w:val="242"/>
    <w:qFormat/>
    <w:uiPriority w:val="0"/>
    <w:pPr>
      <w:pBdr>
        <w:bottom w:val="single" w:color="auto" w:sz="6" w:space="1"/>
      </w:pBdr>
      <w:tabs>
        <w:tab w:val="center" w:pos="4153"/>
        <w:tab w:val="right" w:pos="8306"/>
      </w:tabs>
      <w:jc w:val="center"/>
    </w:pPr>
    <w:rPr>
      <w:sz w:val="18"/>
      <w:szCs w:val="18"/>
    </w:rPr>
  </w:style>
  <w:style w:type="character" w:customStyle="1" w:styleId="222">
    <w:name w:val="正文文本 Char"/>
    <w:link w:val="8"/>
    <w:qFormat/>
    <w:uiPriority w:val="0"/>
    <w:rPr>
      <w:rFonts w:ascii="楷体_GB2312" w:hAnsi="Arial" w:eastAsia="楷体_GB2312" w:cs="Times New Roman"/>
      <w:sz w:val="28"/>
      <w:szCs w:val="28"/>
    </w:rPr>
  </w:style>
  <w:style w:type="character" w:customStyle="1" w:styleId="223">
    <w:name w:val="标题 1 Char"/>
    <w:link w:val="211"/>
    <w:qFormat/>
    <w:uiPriority w:val="0"/>
    <w:rPr>
      <w:rFonts w:ascii="楷体_GB2312" w:hAnsi="Times New Roman" w:eastAsia="楷体_GB2312" w:cs="Times New Roman"/>
      <w:sz w:val="28"/>
      <w:szCs w:val="28"/>
    </w:rPr>
  </w:style>
  <w:style w:type="character" w:customStyle="1" w:styleId="224">
    <w:name w:val="标题 2 Char"/>
    <w:link w:val="212"/>
    <w:qFormat/>
    <w:uiPriority w:val="0"/>
    <w:rPr>
      <w:rFonts w:ascii="Arial" w:hAnsi="Arial" w:eastAsia="幼圆" w:cs="Arial"/>
      <w:b/>
      <w:bCs/>
      <w:sz w:val="44"/>
      <w:szCs w:val="44"/>
    </w:rPr>
  </w:style>
  <w:style w:type="character" w:customStyle="1" w:styleId="225">
    <w:name w:val="正文缩进 Char"/>
    <w:link w:val="4"/>
    <w:qFormat/>
    <w:uiPriority w:val="0"/>
    <w:rPr>
      <w:szCs w:val="21"/>
    </w:rPr>
  </w:style>
  <w:style w:type="character" w:customStyle="1" w:styleId="226">
    <w:name w:val="标题 3 Char"/>
    <w:link w:val="213"/>
    <w:qFormat/>
    <w:uiPriority w:val="0"/>
    <w:rPr>
      <w:rFonts w:ascii="Times New Roman" w:hAnsi="Times New Roman" w:eastAsia="宋体" w:cs="Times New Roman"/>
      <w:b/>
      <w:bCs/>
      <w:sz w:val="32"/>
      <w:szCs w:val="32"/>
    </w:rPr>
  </w:style>
  <w:style w:type="character" w:customStyle="1" w:styleId="227">
    <w:name w:val="标题 4 Char"/>
    <w:link w:val="214"/>
    <w:qFormat/>
    <w:uiPriority w:val="0"/>
    <w:rPr>
      <w:rFonts w:ascii="Arial" w:hAnsi="Arial" w:eastAsia="黑体" w:cs="Arial"/>
      <w:b/>
      <w:bCs/>
      <w:sz w:val="28"/>
      <w:szCs w:val="28"/>
    </w:rPr>
  </w:style>
  <w:style w:type="character" w:customStyle="1" w:styleId="228">
    <w:name w:val="标题 5 Char"/>
    <w:link w:val="215"/>
    <w:qFormat/>
    <w:uiPriority w:val="0"/>
    <w:rPr>
      <w:rFonts w:ascii="宋体" w:hAnsi="Times New Roman" w:eastAsia="宋体" w:cs="Times New Roman"/>
      <w:color w:val="000000"/>
      <w:sz w:val="28"/>
      <w:szCs w:val="28"/>
    </w:rPr>
  </w:style>
  <w:style w:type="character" w:customStyle="1" w:styleId="229">
    <w:name w:val="标题 6 Char"/>
    <w:link w:val="216"/>
    <w:qFormat/>
    <w:uiPriority w:val="0"/>
    <w:rPr>
      <w:rFonts w:ascii="Arial" w:hAnsi="Arial" w:eastAsia="黑体" w:cs="Times New Roman"/>
      <w:b/>
      <w:bCs/>
      <w:sz w:val="24"/>
      <w:szCs w:val="24"/>
    </w:rPr>
  </w:style>
  <w:style w:type="character" w:customStyle="1" w:styleId="230">
    <w:name w:val="标题 7 Char"/>
    <w:link w:val="217"/>
    <w:qFormat/>
    <w:uiPriority w:val="0"/>
    <w:rPr>
      <w:rFonts w:ascii="Times New Roman" w:hAnsi="Times New Roman" w:eastAsia="宋体" w:cs="Times New Roman"/>
      <w:b/>
      <w:bCs/>
      <w:sz w:val="24"/>
      <w:szCs w:val="24"/>
    </w:rPr>
  </w:style>
  <w:style w:type="character" w:customStyle="1" w:styleId="231">
    <w:name w:val="标题 8 Char"/>
    <w:link w:val="218"/>
    <w:qFormat/>
    <w:uiPriority w:val="0"/>
    <w:rPr>
      <w:rFonts w:ascii="Arial" w:hAnsi="Arial" w:eastAsia="黑体" w:cs="Times New Roman"/>
      <w:sz w:val="24"/>
      <w:szCs w:val="24"/>
    </w:rPr>
  </w:style>
  <w:style w:type="character" w:customStyle="1" w:styleId="232">
    <w:name w:val="标题 9 Char"/>
    <w:link w:val="219"/>
    <w:qFormat/>
    <w:uiPriority w:val="0"/>
    <w:rPr>
      <w:rFonts w:ascii="Arial" w:hAnsi="Arial" w:eastAsia="黑体" w:cs="Times New Roman"/>
      <w:szCs w:val="21"/>
    </w:rPr>
  </w:style>
  <w:style w:type="character" w:customStyle="1" w:styleId="233">
    <w:name w:val="文档结构图 Char"/>
    <w:link w:val="5"/>
    <w:semiHidden/>
    <w:qFormat/>
    <w:uiPriority w:val="0"/>
    <w:rPr>
      <w:rFonts w:ascii="Times New Roman" w:hAnsi="Times New Roman" w:eastAsia="宋体" w:cs="Times New Roman"/>
      <w:szCs w:val="21"/>
      <w:shd w:val="clear" w:color="auto" w:fill="000080"/>
    </w:rPr>
  </w:style>
  <w:style w:type="character" w:customStyle="1" w:styleId="234">
    <w:name w:val="批注文字 Char"/>
    <w:basedOn w:val="41"/>
    <w:link w:val="6"/>
    <w:semiHidden/>
    <w:qFormat/>
    <w:uiPriority w:val="99"/>
  </w:style>
  <w:style w:type="character" w:customStyle="1" w:styleId="235">
    <w:name w:val="正文文本 3 Char"/>
    <w:link w:val="7"/>
    <w:qFormat/>
    <w:uiPriority w:val="0"/>
    <w:rPr>
      <w:rFonts w:ascii="仿宋_GB2312" w:hAnsi="Arial" w:eastAsia="仿宋_GB2312" w:cs="Times New Roman"/>
      <w:sz w:val="32"/>
      <w:szCs w:val="32"/>
    </w:rPr>
  </w:style>
  <w:style w:type="character" w:customStyle="1" w:styleId="236">
    <w:name w:val="正文文本缩进 Char"/>
    <w:basedOn w:val="41"/>
    <w:link w:val="9"/>
    <w:semiHidden/>
    <w:qFormat/>
    <w:uiPriority w:val="99"/>
  </w:style>
  <w:style w:type="character" w:customStyle="1" w:styleId="237">
    <w:name w:val="纯文本 Char"/>
    <w:link w:val="13"/>
    <w:qFormat/>
    <w:uiPriority w:val="0"/>
    <w:rPr>
      <w:rFonts w:ascii="宋体" w:hAnsi="Courier New" w:eastAsia="宋体" w:cs="Courier New"/>
      <w:szCs w:val="21"/>
    </w:rPr>
  </w:style>
  <w:style w:type="character" w:customStyle="1" w:styleId="238">
    <w:name w:val="日期 Char"/>
    <w:link w:val="15"/>
    <w:qFormat/>
    <w:uiPriority w:val="0"/>
    <w:rPr>
      <w:rFonts w:ascii="Times New Roman" w:hAnsi="Times New Roman" w:eastAsia="宋体" w:cs="Times New Roman"/>
      <w:sz w:val="24"/>
      <w:szCs w:val="24"/>
    </w:rPr>
  </w:style>
  <w:style w:type="character" w:customStyle="1" w:styleId="239">
    <w:name w:val="正文文本缩进 2 Char"/>
    <w:link w:val="16"/>
    <w:qFormat/>
    <w:uiPriority w:val="0"/>
    <w:rPr>
      <w:rFonts w:ascii="Arial" w:hAnsi="Arial" w:eastAsia="仿宋_GB2312" w:cs="Arial"/>
      <w:sz w:val="32"/>
      <w:szCs w:val="32"/>
    </w:rPr>
  </w:style>
  <w:style w:type="character" w:customStyle="1" w:styleId="240">
    <w:name w:val="批注框文本 Char"/>
    <w:link w:val="18"/>
    <w:semiHidden/>
    <w:qFormat/>
    <w:uiPriority w:val="0"/>
    <w:rPr>
      <w:rFonts w:ascii="Times New Roman" w:hAnsi="Times New Roman" w:eastAsia="宋体" w:cs="Times New Roman"/>
      <w:sz w:val="18"/>
      <w:szCs w:val="18"/>
    </w:rPr>
  </w:style>
  <w:style w:type="character" w:customStyle="1" w:styleId="241">
    <w:name w:val="页脚 Char"/>
    <w:link w:val="220"/>
    <w:qFormat/>
    <w:uiPriority w:val="0"/>
    <w:rPr>
      <w:rFonts w:ascii="Times New Roman" w:hAnsi="Times New Roman" w:eastAsia="宋体" w:cs="Times New Roman"/>
      <w:sz w:val="18"/>
      <w:szCs w:val="18"/>
    </w:rPr>
  </w:style>
  <w:style w:type="character" w:customStyle="1" w:styleId="242">
    <w:name w:val="页眉 Char"/>
    <w:link w:val="221"/>
    <w:qFormat/>
    <w:uiPriority w:val="0"/>
    <w:rPr>
      <w:rFonts w:ascii="Times New Roman" w:hAnsi="Times New Roman" w:eastAsia="宋体" w:cs="Times New Roman"/>
      <w:sz w:val="18"/>
      <w:szCs w:val="18"/>
    </w:rPr>
  </w:style>
  <w:style w:type="character" w:customStyle="1" w:styleId="243">
    <w:name w:val="正文文本缩进 3 Char"/>
    <w:link w:val="27"/>
    <w:qFormat/>
    <w:uiPriority w:val="0"/>
    <w:rPr>
      <w:rFonts w:ascii="Arial" w:hAnsi="Arial" w:eastAsia="仿宋_GB2312" w:cs="Arial"/>
      <w:color w:val="FFFF00"/>
      <w:sz w:val="32"/>
      <w:szCs w:val="32"/>
    </w:rPr>
  </w:style>
  <w:style w:type="character" w:customStyle="1" w:styleId="244">
    <w:name w:val="正文文本 2 Char"/>
    <w:link w:val="31"/>
    <w:qFormat/>
    <w:uiPriority w:val="0"/>
    <w:rPr>
      <w:rFonts w:ascii="楷体_GB2312" w:hAnsi="Times New Roman" w:eastAsia="楷体_GB2312" w:cs="Times New Roman"/>
      <w:sz w:val="28"/>
      <w:szCs w:val="28"/>
    </w:rPr>
  </w:style>
  <w:style w:type="character" w:customStyle="1" w:styleId="245">
    <w:name w:val="批注主题 Char"/>
    <w:link w:val="36"/>
    <w:semiHidden/>
    <w:qFormat/>
    <w:uiPriority w:val="0"/>
    <w:rPr>
      <w:rFonts w:ascii="Times New Roman" w:hAnsi="Times New Roman" w:eastAsia="宋体" w:cs="Times New Roman"/>
      <w:b/>
      <w:bCs/>
      <w:szCs w:val="21"/>
    </w:rPr>
  </w:style>
  <w:style w:type="character" w:customStyle="1" w:styleId="246">
    <w:name w:val="正文首行缩进 Char"/>
    <w:link w:val="37"/>
    <w:qFormat/>
    <w:uiPriority w:val="0"/>
    <w:rPr>
      <w:rFonts w:ascii="仿宋_GB2312" w:hAnsi="Times New Roman" w:eastAsia="仿宋_GB2312" w:cs="Times New Roman"/>
      <w:sz w:val="30"/>
      <w:szCs w:val="30"/>
    </w:rPr>
  </w:style>
  <w:style w:type="character" w:customStyle="1" w:styleId="247">
    <w:name w:val="正文首行缩进 2 Char"/>
    <w:link w:val="38"/>
    <w:qFormat/>
    <w:uiPriority w:val="0"/>
    <w:rPr>
      <w:rFonts w:ascii="宋体" w:hAnsi="宋体" w:eastAsia="宋体" w:cs="Times New Roman"/>
      <w:szCs w:val="20"/>
    </w:rPr>
  </w:style>
  <w:style w:type="character" w:customStyle="1" w:styleId="248">
    <w:name w:val="font5 Char"/>
    <w:qFormat/>
    <w:uiPriority w:val="0"/>
    <w:rPr>
      <w:rFonts w:ascii="宋体" w:hAnsi="宋体" w:eastAsia="宋体"/>
      <w:sz w:val="28"/>
      <w:szCs w:val="28"/>
      <w:lang w:val="en-US" w:eastAsia="zh-CN" w:bidi="ar-SA"/>
    </w:rPr>
  </w:style>
  <w:style w:type="character" w:customStyle="1" w:styleId="249">
    <w:name w:val="二级目录 Char"/>
    <w:link w:val="250"/>
    <w:qFormat/>
    <w:uiPriority w:val="0"/>
    <w:rPr>
      <w:b/>
      <w:sz w:val="30"/>
      <w:szCs w:val="28"/>
    </w:rPr>
  </w:style>
  <w:style w:type="paragraph" w:customStyle="1" w:styleId="250">
    <w:name w:val="二级目录"/>
    <w:next w:val="1"/>
    <w:link w:val="249"/>
    <w:qFormat/>
    <w:uiPriority w:val="0"/>
    <w:pPr>
      <w:tabs>
        <w:tab w:val="left" w:pos="907"/>
        <w:tab w:val="left" w:pos="1145"/>
      </w:tabs>
      <w:ind w:left="907" w:hanging="907"/>
      <w:outlineLvl w:val="1"/>
    </w:pPr>
    <w:rPr>
      <w:rFonts w:hint="default" w:ascii="Times New Roman" w:hAnsi="Times New Roman" w:eastAsia="宋体" w:cs="Times New Roman"/>
      <w:b/>
      <w:sz w:val="30"/>
      <w:szCs w:val="28"/>
      <w:lang w:val="en-US" w:eastAsia="zh-CN" w:bidi="ar-SA"/>
    </w:rPr>
  </w:style>
  <w:style w:type="character" w:customStyle="1" w:styleId="251">
    <w:name w:val="列出段落 Char"/>
    <w:link w:val="63"/>
    <w:qFormat/>
    <w:uiPriority w:val="0"/>
    <w:rPr>
      <w:rFonts w:ascii="Calibri" w:hAnsi="Calibri"/>
      <w:sz w:val="24"/>
      <w:szCs w:val="24"/>
      <w:lang w:eastAsia="en-US" w:bidi="en-US"/>
    </w:rPr>
  </w:style>
  <w:style w:type="paragraph" w:customStyle="1" w:styleId="252">
    <w:name w:val="Body Text(ch)"/>
    <w:basedOn w:val="1"/>
    <w:next w:val="8"/>
    <w:qFormat/>
    <w:uiPriority w:val="0"/>
    <w:pPr>
      <w:spacing w:after="120"/>
    </w:pPr>
    <w:rPr>
      <w:rFonts w:ascii="宋体" w:hAnsi="Arial"/>
      <w:bCs/>
      <w:iCs/>
      <w:szCs w:val="24"/>
    </w:rPr>
  </w:style>
  <w:style w:type="paragraph" w:customStyle="1" w:styleId="253">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5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55">
    <w:name w:val="Char"/>
    <w:basedOn w:val="1"/>
    <w:qFormat/>
    <w:uiPriority w:val="0"/>
    <w:pPr>
      <w:tabs>
        <w:tab w:val="left" w:pos="360"/>
      </w:tabs>
      <w:ind w:firstLine="200"/>
    </w:pPr>
    <w:rPr>
      <w:sz w:val="28"/>
      <w:szCs w:val="30"/>
    </w:rPr>
  </w:style>
  <w:style w:type="paragraph" w:customStyle="1" w:styleId="256">
    <w:name w:val="Char1"/>
    <w:basedOn w:val="5"/>
    <w:qFormat/>
    <w:uiPriority w:val="0"/>
    <w:rPr>
      <w:rFonts w:ascii="Tahoma" w:hAnsi="Tahoma"/>
      <w:sz w:val="24"/>
      <w:szCs w:val="24"/>
    </w:rPr>
  </w:style>
  <w:style w:type="paragraph" w:customStyle="1" w:styleId="257">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8">
    <w:name w:val="table_lines"/>
    <w:basedOn w:val="1"/>
    <w:qFormat/>
    <w:uiPriority w:val="0"/>
    <w:pPr>
      <w:widowControl/>
      <w:jc w:val="left"/>
    </w:pPr>
    <w:rPr>
      <w:sz w:val="20"/>
      <w:szCs w:val="20"/>
      <w:lang w:val="de-DE" w:eastAsia="de-DE"/>
    </w:rPr>
  </w:style>
  <w:style w:type="paragraph" w:customStyle="1" w:styleId="259">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60">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61">
    <w:name w:val="Char Char Char Char"/>
    <w:basedOn w:val="5"/>
    <w:qFormat/>
    <w:uiPriority w:val="0"/>
    <w:pPr>
      <w:spacing w:line="360" w:lineRule="auto"/>
    </w:pPr>
    <w:rPr>
      <w:rFonts w:ascii="Tahoma" w:hAnsi="Tahoma"/>
      <w:sz w:val="24"/>
      <w:szCs w:val="24"/>
    </w:rPr>
  </w:style>
  <w:style w:type="paragraph" w:styleId="262">
    <w:name w:val="List Paragraph"/>
    <w:basedOn w:val="1"/>
    <w:qFormat/>
    <w:uiPriority w:val="0"/>
    <w:pPr>
      <w:widowControl/>
      <w:ind w:left="720"/>
      <w:contextualSpacing/>
      <w:jc w:val="left"/>
    </w:pPr>
    <w:rPr>
      <w:rFonts w:ascii="Calibri" w:hAnsi="Calibri"/>
      <w:sz w:val="24"/>
      <w:szCs w:val="24"/>
      <w:lang w:eastAsia="en-US" w:bidi="en-US"/>
    </w:rPr>
  </w:style>
  <w:style w:type="paragraph" w:customStyle="1" w:styleId="263">
    <w:name w:val="4"/>
    <w:basedOn w:val="1"/>
    <w:next w:val="27"/>
    <w:qFormat/>
    <w:uiPriority w:val="0"/>
    <w:pPr>
      <w:spacing w:line="360" w:lineRule="auto"/>
      <w:ind w:firstLine="420"/>
    </w:pPr>
    <w:rPr>
      <w:color w:val="FF0000"/>
      <w:sz w:val="24"/>
      <w:szCs w:val="24"/>
    </w:rPr>
  </w:style>
  <w:style w:type="paragraph" w:customStyle="1" w:styleId="26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5">
    <w:name w:val="Char Char Char Char Char Char Char Char Char Char"/>
    <w:basedOn w:val="1"/>
    <w:qFormat/>
    <w:uiPriority w:val="0"/>
    <w:pPr>
      <w:spacing w:line="360" w:lineRule="auto"/>
    </w:pPr>
    <w:rPr>
      <w:sz w:val="24"/>
      <w:szCs w:val="20"/>
    </w:rPr>
  </w:style>
  <w:style w:type="paragraph" w:customStyle="1" w:styleId="266">
    <w:name w:val="样式1"/>
    <w:basedOn w:val="1"/>
    <w:qFormat/>
    <w:uiPriority w:val="0"/>
    <w:pPr>
      <w:numPr>
        <w:ilvl w:val="0"/>
        <w:numId w:val="3"/>
      </w:numPr>
    </w:pPr>
    <w:rPr>
      <w:rFonts w:ascii="宋体" w:hAnsi="宋体"/>
      <w:szCs w:val="21"/>
    </w:rPr>
  </w:style>
  <w:style w:type="paragraph" w:customStyle="1" w:styleId="267">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9">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70">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1">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72">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7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4">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75">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76">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7">
    <w:name w:val="Char Char Char Char1"/>
    <w:basedOn w:val="5"/>
    <w:qFormat/>
    <w:uiPriority w:val="0"/>
    <w:pPr>
      <w:spacing w:line="360" w:lineRule="auto"/>
    </w:pPr>
    <w:rPr>
      <w:rFonts w:ascii="Tahoma" w:hAnsi="Tahoma"/>
      <w:sz w:val="24"/>
      <w:szCs w:val="24"/>
    </w:rPr>
  </w:style>
  <w:style w:type="paragraph" w:customStyle="1" w:styleId="278">
    <w:name w:val="table_1stline"/>
    <w:basedOn w:val="1"/>
    <w:qFormat/>
    <w:uiPriority w:val="0"/>
    <w:pPr>
      <w:widowControl/>
      <w:spacing w:before="120"/>
      <w:jc w:val="left"/>
    </w:pPr>
    <w:rPr>
      <w:bCs/>
      <w:sz w:val="20"/>
      <w:szCs w:val="20"/>
      <w:lang w:val="de-DE" w:eastAsia="de-DE"/>
    </w:rPr>
  </w:style>
  <w:style w:type="paragraph" w:customStyle="1" w:styleId="279">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0">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1">
    <w:name w:val="_Style 110"/>
    <w:semiHidden/>
    <w:qFormat/>
    <w:uiPriority w:val="99"/>
    <w:rPr>
      <w:rFonts w:hint="default" w:ascii="Times New Roman" w:hAnsi="Times New Roman" w:eastAsia="宋体" w:cs="Times New Roman"/>
      <w:sz w:val="21"/>
      <w:szCs w:val="21"/>
      <w:lang w:val="en-US" w:eastAsia="zh-CN" w:bidi="ar-SA"/>
    </w:rPr>
  </w:style>
  <w:style w:type="paragraph" w:styleId="282">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83">
    <w:name w:val="正文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paragraph" w:customStyle="1" w:styleId="284">
    <w:name w:val="BodyText1I2"/>
    <w:basedOn w:val="285"/>
    <w:qFormat/>
    <w:uiPriority w:val="0"/>
    <w:pPr>
      <w:ind w:firstLine="200"/>
    </w:pPr>
  </w:style>
  <w:style w:type="paragraph" w:customStyle="1" w:styleId="285">
    <w:name w:val="BodyTextIndent"/>
    <w:basedOn w:val="1"/>
    <w:qFormat/>
    <w:uiPriority w:val="0"/>
    <w:pPr>
      <w:spacing w:after="120"/>
      <w:ind w:left="420"/>
    </w:pPr>
  </w:style>
  <w:style w:type="character" w:customStyle="1" w:styleId="286">
    <w:name w:val="页眉 Char1"/>
    <w:basedOn w:val="41"/>
    <w:link w:val="20"/>
    <w:semiHidden/>
    <w:qFormat/>
    <w:uiPriority w:val="99"/>
    <w:rPr>
      <w:sz w:val="18"/>
      <w:szCs w:val="18"/>
    </w:rPr>
  </w:style>
  <w:style w:type="character" w:customStyle="1" w:styleId="287">
    <w:name w:val="页脚 Char1"/>
    <w:basedOn w:val="41"/>
    <w:link w:val="19"/>
    <w:semiHidden/>
    <w:qFormat/>
    <w:uiPriority w:val="99"/>
    <w:rPr>
      <w:sz w:val="18"/>
      <w:szCs w:val="18"/>
    </w:rPr>
  </w:style>
  <w:style w:type="paragraph" w:customStyle="1" w:styleId="288">
    <w:name w:val="Table Text"/>
    <w:basedOn w:val="1"/>
    <w:semiHidden/>
    <w:qFormat/>
    <w:uiPriority w:val="0"/>
    <w:rPr>
      <w:rFonts w:ascii="宋体" w:hAnsi="宋体" w:eastAsia="宋体" w:cs="宋体"/>
      <w:sz w:val="21"/>
      <w:szCs w:val="21"/>
      <w:lang w:val="en-US" w:eastAsia="en-US" w:bidi="ar-SA"/>
    </w:rPr>
  </w:style>
  <w:style w:type="character" w:customStyle="1" w:styleId="289">
    <w:name w:val="layui-layer-tabnow"/>
    <w:basedOn w:val="41"/>
    <w:qFormat/>
    <w:uiPriority w:val="0"/>
    <w:rPr>
      <w:shd w:val="clear" w:color="auto" w:fill="FFFFFF"/>
    </w:rPr>
  </w:style>
  <w:style w:type="character" w:customStyle="1" w:styleId="290">
    <w:name w:val="first-child"/>
    <w:basedOn w:val="41"/>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56</Pages>
  <Words>19443</Words>
  <Characters>21012</Characters>
  <TotalTime>18</TotalTime>
  <ScaleCrop>false</ScaleCrop>
  <LinksUpToDate>false</LinksUpToDate>
  <CharactersWithSpaces>21146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赵国文</dc:creator>
  <cp:lastModifiedBy>WPS_1467257333</cp:lastModifiedBy>
  <dcterms:modified xsi:type="dcterms:W3CDTF">2026-08-04T01:59:20Z</dcterms:modified>
  <cp:revision>171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A7E6313C8BD4484F8BC83A701D1A0310_13</vt:lpwstr>
  </property>
  <property fmtid="{D5CDD505-2E9C-101B-9397-08002B2CF9AE}" pid="4" name="KSOTemplateDocerSaveRecord">
    <vt:lpwstr>eyJoZGlkIjoiMzM1ZmJiNTdlMThlYTZmMDdiYzdkN2Q2YjRkMWQyOTEiLCJ1c2VySWQiOiIyMjY2NzUwNzQifQ==</vt:lpwstr>
  </property>
</Properties>
</file>