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苏州市政府采购</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采购文件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96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采购编号：JSZC-320500-PMJS-G2026-0020 </w:t>
      </w:r>
      <w:r/>
    </w:p>
    <w:p>
      <w:pPr>
        <w:ind w:left="2566" w:right="0" w:hanging="1606"/>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采购名称：全自动血液核酸筛查系统采购项目</w:t>
      </w:r>
      <w:r/>
    </w:p>
    <w:p>
      <w:pPr>
        <w:ind w:left="0" w:right="0" w:firstLine="96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采购人：苏州市中心血站</w:t>
      </w:r>
      <w:r/>
    </w:p>
    <w:p>
      <w:pPr>
        <w:ind w:left="0" w:right="0" w:firstLine="96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采购类别：货物类</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0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0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0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color w:val="000000"/>
          <w:sz w:val="24"/>
        </w:rPr>
        <w:t xml:space="preserve"> </w:t>
      </w:r>
      <w:r>
        <w:rPr>
          <w:sz w:val="24"/>
        </w:rPr>
      </w:r>
      <w:r/>
    </w:p>
    <w:p>
      <w:pPr>
        <w:ind w:left="0" w:right="0" w:firstLine="40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color w:val="000000"/>
          <w:sz w:val="24"/>
        </w:rPr>
        <w:t xml:space="preserve"> </w:t>
      </w:r>
      <w:r>
        <w:rPr>
          <w:sz w:val="24"/>
        </w:rPr>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江苏京苏项目管理咨询有限公司</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2026年07月</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highlight w:val="none"/>
        </w:rPr>
      </w:r>
      <w:r>
        <w:rPr>
          <w:rFonts w:ascii="SimSun" w:hAnsi="SimSun" w:eastAsia="SimSun" w:cs="SimSun"/>
          <w:b/>
          <w:color w:val="000000"/>
          <w:sz w:val="52"/>
          <w:highlight w:val="none"/>
        </w:rPr>
      </w:r>
      <w:r/>
    </w:p>
    <w:p>
      <w:pPr>
        <w:ind w:left="0" w:right="0" w:firstLine="0"/>
        <w:jc w:val="center"/>
        <w:spacing w:before="240" w:after="240" w:line="85" w:lineRule="atLeast"/>
        <w:rPr>
          <w:rFonts w:ascii="SimSun" w:hAnsi="SimSun" w:eastAsia="SimSun" w:cs="SimSun"/>
          <w:b/>
          <w:bCs/>
          <w:color w:val="000000"/>
          <w:sz w:val="52"/>
          <w:szCs w:val="5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highlight w:val="none"/>
        </w:rPr>
      </w:r>
      <w:r>
        <w:rPr>
          <w:rFonts w:ascii="SimSun" w:hAnsi="SimSun" w:eastAsia="SimSun" w:cs="SimSun"/>
          <w:b/>
          <w:color w:val="000000"/>
          <w:sz w:val="52"/>
          <w:highlight w:val="none"/>
        </w:rPr>
      </w:r>
      <w:r/>
    </w:p>
    <w:p>
      <w:pPr>
        <w:ind w:left="0" w:right="0" w:firstLine="0"/>
        <w:jc w:val="center"/>
        <w:spacing w:before="240" w:after="240" w:line="85" w:lineRule="atLeast"/>
        <w:rPr>
          <w:rFonts w:ascii="SimSun" w:hAnsi="SimSun" w:eastAsia="SimSun" w:cs="SimSun"/>
          <w:b/>
          <w:bCs/>
          <w:color w:val="000000"/>
          <w:sz w:val="52"/>
          <w:szCs w:val="5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highlight w:val="none"/>
        </w:rPr>
      </w:r>
      <w:r>
        <w:rPr>
          <w:rFonts w:ascii="SimSun" w:hAnsi="SimSun" w:eastAsia="SimSun" w:cs="SimSun"/>
          <w:b/>
          <w:color w:val="000000"/>
          <w:sz w:val="52"/>
          <w:highlight w:val="none"/>
        </w:rPr>
      </w:r>
      <w:r/>
    </w:p>
    <w:p>
      <w:pPr>
        <w:ind w:left="0" w:right="0" w:firstLine="0"/>
        <w:jc w:val="center"/>
        <w:spacing w:before="240" w:after="240" w:line="85" w:lineRule="atLeast"/>
        <w:rPr>
          <w:rFonts w:ascii="SimSun" w:hAnsi="SimSun" w:eastAsia="SimSun" w:cs="SimSun"/>
          <w:b/>
          <w:bCs/>
          <w:color w:val="000000"/>
          <w:sz w:val="52"/>
          <w:szCs w:val="5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highlight w:val="none"/>
        </w:rPr>
      </w:r>
      <w:r>
        <w:rPr>
          <w:rFonts w:ascii="SimSun" w:hAnsi="SimSun" w:eastAsia="SimSun" w:cs="SimSun"/>
          <w:b/>
          <w:color w:val="000000"/>
          <w:sz w:val="52"/>
          <w:highlight w:val="none"/>
        </w:rPr>
      </w:r>
      <w:r/>
    </w:p>
    <w:p>
      <w:pPr>
        <w:ind w:left="0" w:right="0" w:firstLine="0"/>
        <w:jc w:val="center"/>
        <w:spacing w:before="240" w:after="240" w:line="85" w:lineRule="atLeast"/>
        <w:rPr>
          <w:rFonts w:ascii="SimSun" w:hAnsi="SimSun" w:eastAsia="SimSun" w:cs="SimSun"/>
          <w:b/>
          <w:bCs/>
          <w:color w:val="000000"/>
          <w:sz w:val="52"/>
          <w:szCs w:val="5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highlight w:val="none"/>
        </w:rPr>
      </w:r>
      <w:r>
        <w:rPr>
          <w:rFonts w:ascii="SimSun" w:hAnsi="SimSun" w:eastAsia="SimSun" w:cs="SimSun"/>
          <w:b/>
          <w:color w:val="000000"/>
          <w:sz w:val="52"/>
          <w:highlight w:val="none"/>
        </w:rPr>
      </w:r>
      <w:r/>
    </w:p>
    <w:p>
      <w:pPr>
        <w:ind w:left="0" w:right="0" w:firstLine="0"/>
        <w:jc w:val="center"/>
        <w:spacing w:before="240" w:after="240" w:line="85" w:lineRule="atLeast"/>
        <w:rPr>
          <w:rFonts w:ascii="SimSun" w:hAnsi="SimSun" w:eastAsia="SimSun" w:cs="SimSun"/>
          <w:b/>
          <w:bCs/>
          <w:color w:val="000000"/>
          <w:sz w:val="52"/>
          <w:szCs w:val="5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目录</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spacing w:before="0" w:after="0" w:line="85" w:lineRule="atLeast"/>
        <w:tabs>
          <w:tab w:val="left" w:pos="9072" w:leader="none"/>
        </w:tabs>
        <w:pBdr>
          <w:top w:val="none" w:color="000000" w:sz="4" w:space="0"/>
          <w:left w:val="none" w:color="000000" w:sz="4" w:space="0"/>
          <w:bottom w:val="none" w:color="000000" w:sz="4" w:space="0"/>
          <w:right w:val="none" w:color="000000" w:sz="4" w:space="0"/>
        </w:pBdr>
      </w:pPr>
      <w:r>
        <w:rPr>
          <w:rFonts w:ascii="SimHei" w:hAnsi="SimHei" w:eastAsia="SimHei" w:cs="SimHei"/>
          <w:sz w:val="28"/>
        </w:rPr>
        <w:t xml:space="preserve">前附表</w:t>
      </w:r>
      <w:r>
        <w:rPr>
          <w:rFonts w:ascii="Times New Roman" w:hAnsi="Times New Roman" w:eastAsia="Times New Roman" w:cs="Times New Roman"/>
          <w:sz w:val="28"/>
        </w:rPr>
        <w:tab/>
      </w:r>
      <w:r/>
    </w:p>
    <w:p>
      <w:pPr>
        <w:ind w:left="0" w:right="0" w:firstLine="0"/>
        <w:spacing w:before="0" w:after="0" w:line="85" w:lineRule="atLeast"/>
        <w:tabs>
          <w:tab w:val="left" w:pos="9072" w:leader="none"/>
        </w:tabs>
        <w:rPr>
          <w:rFonts w:ascii="SimHei" w:hAnsi="SimHei" w:eastAsia="SimHei" w:cs="SimHei"/>
          <w:sz w:val="28"/>
          <w:szCs w:val="28"/>
          <w14:ligatures w14:val="none"/>
        </w:rPr>
        <w:pBdr>
          <w:top w:val="none" w:color="000000" w:sz="4" w:space="0"/>
          <w:left w:val="none" w:color="000000" w:sz="4" w:space="0"/>
          <w:bottom w:val="none" w:color="000000" w:sz="4" w:space="0"/>
          <w:right w:val="none" w:color="000000" w:sz="4" w:space="0"/>
        </w:pBdr>
      </w:pPr>
      <w:r>
        <w:rPr>
          <w:rFonts w:ascii="SimHei" w:hAnsi="SimHei" w:eastAsia="SimHei" w:cs="SimHei"/>
          <w:sz w:val="28"/>
          <w:szCs w:val="28"/>
        </w:rPr>
      </w:r>
      <w:hyperlink r:id="rId13" w:tooltip="https://jszfcg.jsczt.cn/jszc/onlyoffice/7.2.1-34/web-apps/apps/documenteditor/main/index_loader.html?_dc=7.2.1-34&amp;lang=zh&amp;customer=%20&amp;logo=%20&amp;headerlogo=%2Ffavicon.ico&amp;frameEditorId=iframePage&amp;compact=true&amp;parentOrigin=https://jszfcg.jsczt.cn#_Toc23103" w:history="1">
        <w:r>
          <w:rPr>
            <w:rFonts w:ascii="SimHei" w:hAnsi="SimHei" w:eastAsia="SimHei" w:cs="SimHei"/>
            <w:sz w:val="28"/>
            <w:szCs w:val="28"/>
          </w:rPr>
          <w:t xml:space="preserve">招标公告</w:t>
        </w:r>
        <w:r>
          <w:rPr>
            <w:rFonts w:ascii="SimHei" w:hAnsi="SimHei" w:eastAsia="SimHei" w:cs="SimHei"/>
            <w:sz w:val="28"/>
            <w:szCs w:val="28"/>
          </w:rPr>
          <w:tab/>
        </w:r>
      </w:hyperlink>
      <w:r>
        <w:rPr>
          <w:rFonts w:ascii="SimHei" w:hAnsi="SimHei" w:eastAsia="SimHei" w:cs="SimHei"/>
          <w:sz w:val="28"/>
          <w:szCs w:val="28"/>
        </w:rPr>
      </w:r>
      <w:r/>
    </w:p>
    <w:p>
      <w:pPr>
        <w:ind w:left="0" w:right="0" w:firstLine="0"/>
        <w:spacing w:before="0" w:after="0" w:line="85" w:lineRule="atLeast"/>
        <w:tabs>
          <w:tab w:val="left" w:pos="9072" w:leader="none"/>
        </w:tabs>
        <w:rPr>
          <w:rFonts w:ascii="SimHei" w:hAnsi="SimHei" w:eastAsia="SimHei" w:cs="SimHei"/>
          <w:sz w:val="28"/>
          <w:szCs w:val="28"/>
          <w14:ligatures w14:val="none"/>
        </w:rPr>
        <w:pBdr>
          <w:top w:val="none" w:color="000000" w:sz="4" w:space="0"/>
          <w:left w:val="none" w:color="000000" w:sz="4" w:space="0"/>
          <w:bottom w:val="none" w:color="000000" w:sz="4" w:space="0"/>
          <w:right w:val="none" w:color="000000" w:sz="4" w:space="0"/>
        </w:pBdr>
      </w:pPr>
      <w:r>
        <w:rPr>
          <w:rFonts w:ascii="SimHei" w:hAnsi="SimHei" w:eastAsia="SimHei" w:cs="SimHei"/>
          <w:sz w:val="28"/>
          <w:szCs w:val="28"/>
        </w:rPr>
      </w:r>
      <w:hyperlink r:id="rId14" w:tooltip="https://jszfcg.jsczt.cn/jszc/onlyoffice/7.2.1-34/web-apps/apps/documenteditor/main/index_loader.html?_dc=7.2.1-34&amp;lang=zh&amp;customer=%20&amp;logo=%20&amp;headerlogo=%2Ffavicon.ico&amp;frameEditorId=iframePage&amp;compact=true&amp;parentOrigin=https://jszfcg.jsczt.cn#_Toc13879" w:history="1">
        <w:r>
          <w:rPr>
            <w:rFonts w:ascii="SimHei" w:hAnsi="SimHei" w:eastAsia="SimHei" w:cs="SimHei"/>
            <w:sz w:val="28"/>
            <w:szCs w:val="28"/>
          </w:rPr>
          <w:t xml:space="preserve">第一章</w:t>
        </w:r>
        <w:r>
          <w:rPr>
            <w:rFonts w:ascii="SimHei" w:hAnsi="SimHei" w:eastAsia="SimHei" w:cs="SimHei"/>
            <w:sz w:val="28"/>
            <w:szCs w:val="28"/>
          </w:rPr>
          <w:t xml:space="preserve">  </w:t>
        </w:r>
        <w:r>
          <w:rPr>
            <w:rFonts w:ascii="SimHei" w:hAnsi="SimHei" w:eastAsia="SimHei" w:cs="SimHei"/>
            <w:sz w:val="28"/>
            <w:szCs w:val="28"/>
          </w:rPr>
          <w:t xml:space="preserve">投标邀请函</w:t>
        </w:r>
        <w:r>
          <w:rPr>
            <w:rFonts w:ascii="SimHei" w:hAnsi="SimHei" w:eastAsia="SimHei" w:cs="SimHei"/>
            <w:sz w:val="28"/>
            <w:szCs w:val="28"/>
          </w:rPr>
          <w:tab/>
        </w:r>
      </w:hyperlink>
      <w:r>
        <w:rPr>
          <w:rFonts w:ascii="SimHei" w:hAnsi="SimHei" w:eastAsia="SimHei" w:cs="SimHei"/>
          <w:sz w:val="28"/>
          <w:szCs w:val="28"/>
        </w:rPr>
      </w:r>
      <w:r/>
    </w:p>
    <w:p>
      <w:pPr>
        <w:ind w:left="0" w:right="0" w:firstLine="0"/>
        <w:spacing w:before="0" w:after="0" w:line="85" w:lineRule="atLeast"/>
        <w:tabs>
          <w:tab w:val="left" w:pos="9072" w:leader="none"/>
        </w:tabs>
        <w:rPr>
          <w:rFonts w:ascii="SimHei" w:hAnsi="SimHei" w:eastAsia="SimHei" w:cs="SimHei"/>
          <w:sz w:val="28"/>
          <w:szCs w:val="28"/>
          <w14:ligatures w14:val="none"/>
        </w:rPr>
        <w:pBdr>
          <w:top w:val="none" w:color="000000" w:sz="4" w:space="0"/>
          <w:left w:val="none" w:color="000000" w:sz="4" w:space="0"/>
          <w:bottom w:val="none" w:color="000000" w:sz="4" w:space="0"/>
          <w:right w:val="none" w:color="000000" w:sz="4" w:space="0"/>
        </w:pBdr>
      </w:pPr>
      <w:r>
        <w:rPr>
          <w:rFonts w:ascii="SimHei" w:hAnsi="SimHei" w:eastAsia="SimHei" w:cs="SimHei"/>
          <w:sz w:val="28"/>
          <w:szCs w:val="28"/>
        </w:rPr>
      </w:r>
      <w:hyperlink r:id="rId15" w:tooltip="https://jszfcg.jsczt.cn/jszc/onlyoffice/7.2.1-34/web-apps/apps/documenteditor/main/index_loader.html?_dc=7.2.1-34&amp;lang=zh&amp;customer=%20&amp;logo=%20&amp;headerlogo=%2Ffavicon.ico&amp;frameEditorId=iframePage&amp;compact=true&amp;parentOrigin=https://jszfcg.jsczt.cn#_Toc9316" w:history="1">
        <w:r>
          <w:rPr>
            <w:rFonts w:ascii="SimHei" w:hAnsi="SimHei" w:eastAsia="SimHei" w:cs="SimHei"/>
            <w:sz w:val="28"/>
            <w:szCs w:val="28"/>
          </w:rPr>
          <w:t xml:space="preserve">第二章</w:t>
        </w:r>
        <w:r>
          <w:rPr>
            <w:rFonts w:ascii="SimHei" w:hAnsi="SimHei" w:eastAsia="SimHei" w:cs="SimHei"/>
            <w:sz w:val="28"/>
            <w:szCs w:val="28"/>
          </w:rPr>
          <w:t xml:space="preserve">  </w:t>
        </w:r>
        <w:r>
          <w:rPr>
            <w:rFonts w:ascii="SimHei" w:hAnsi="SimHei" w:eastAsia="SimHei" w:cs="SimHei"/>
            <w:sz w:val="28"/>
            <w:szCs w:val="28"/>
          </w:rPr>
          <w:t xml:space="preserve">投标人须知</w:t>
        </w:r>
        <w:r>
          <w:rPr>
            <w:rFonts w:ascii="SimHei" w:hAnsi="SimHei" w:eastAsia="SimHei" w:cs="SimHei"/>
            <w:sz w:val="28"/>
            <w:szCs w:val="28"/>
          </w:rPr>
          <w:tab/>
        </w:r>
      </w:hyperlink>
      <w:r>
        <w:rPr>
          <w:rFonts w:ascii="SimHei" w:hAnsi="SimHei" w:eastAsia="SimHei" w:cs="SimHei"/>
          <w:sz w:val="28"/>
          <w:szCs w:val="28"/>
        </w:rPr>
      </w:r>
      <w:r/>
    </w:p>
    <w:p>
      <w:pPr>
        <w:ind w:left="0" w:right="0" w:firstLine="0"/>
        <w:spacing w:before="0" w:after="0" w:line="85" w:lineRule="atLeast"/>
        <w:tabs>
          <w:tab w:val="left" w:pos="9072" w:leader="none"/>
        </w:tabs>
        <w:rPr>
          <w:rFonts w:ascii="SimHei" w:hAnsi="SimHei" w:eastAsia="SimHei" w:cs="SimHei"/>
          <w:sz w:val="28"/>
          <w:szCs w:val="28"/>
          <w14:ligatures w14:val="none"/>
        </w:rPr>
        <w:pBdr>
          <w:top w:val="none" w:color="000000" w:sz="4" w:space="0"/>
          <w:left w:val="none" w:color="000000" w:sz="4" w:space="0"/>
          <w:bottom w:val="none" w:color="000000" w:sz="4" w:space="0"/>
          <w:right w:val="none" w:color="000000" w:sz="4" w:space="0"/>
        </w:pBdr>
      </w:pPr>
      <w:r>
        <w:rPr>
          <w:rFonts w:ascii="SimHei" w:hAnsi="SimHei" w:eastAsia="SimHei" w:cs="SimHei"/>
          <w:sz w:val="28"/>
          <w:szCs w:val="28"/>
        </w:rPr>
      </w:r>
      <w:hyperlink r:id="rId16" w:tooltip="https://jszfcg.jsczt.cn/jszc/onlyoffice/7.2.1-34/web-apps/apps/documenteditor/main/index_loader.html?_dc=7.2.1-34&amp;lang=zh&amp;customer=%20&amp;logo=%20&amp;headerlogo=%2Ffavicon.ico&amp;frameEditorId=iframePage&amp;compact=true&amp;parentOrigin=https://jszfcg.jsczt.cn#_Toc25170" w:history="1">
        <w:r>
          <w:rPr>
            <w:rFonts w:ascii="SimHei" w:hAnsi="SimHei" w:eastAsia="SimHei" w:cs="SimHei"/>
            <w:sz w:val="28"/>
            <w:szCs w:val="28"/>
          </w:rPr>
          <w:t xml:space="preserve">第三章</w:t>
        </w:r>
        <w:r>
          <w:rPr>
            <w:rFonts w:ascii="SimHei" w:hAnsi="SimHei" w:eastAsia="SimHei" w:cs="SimHei"/>
            <w:sz w:val="28"/>
            <w:szCs w:val="28"/>
          </w:rPr>
          <w:t xml:space="preserve">  </w:t>
        </w:r>
        <w:r>
          <w:rPr>
            <w:rFonts w:ascii="SimHei" w:hAnsi="SimHei" w:eastAsia="SimHei" w:cs="SimHei"/>
            <w:sz w:val="28"/>
            <w:szCs w:val="28"/>
          </w:rPr>
          <w:t xml:space="preserve">投标文件格式</w:t>
        </w:r>
        <w:r>
          <w:rPr>
            <w:rFonts w:ascii="SimHei" w:hAnsi="SimHei" w:eastAsia="SimHei" w:cs="SimHei"/>
            <w:sz w:val="28"/>
            <w:szCs w:val="28"/>
          </w:rPr>
          <w:tab/>
        </w:r>
      </w:hyperlink>
      <w:r>
        <w:rPr>
          <w:rFonts w:ascii="SimHei" w:hAnsi="SimHei" w:eastAsia="SimHei" w:cs="SimHei"/>
          <w:sz w:val="28"/>
          <w:szCs w:val="28"/>
        </w:rPr>
      </w:r>
      <w:r/>
    </w:p>
    <w:p>
      <w:pPr>
        <w:ind w:left="0" w:right="0" w:firstLine="0"/>
        <w:spacing w:before="0" w:after="0" w:line="85" w:lineRule="atLeast"/>
        <w:tabs>
          <w:tab w:val="left" w:pos="9072" w:leader="none"/>
        </w:tabs>
        <w:rPr>
          <w:rFonts w:ascii="SimHei" w:hAnsi="SimHei" w:eastAsia="SimHei" w:cs="SimHei"/>
          <w:sz w:val="28"/>
          <w:szCs w:val="28"/>
          <w14:ligatures w14:val="none"/>
        </w:rPr>
        <w:pBdr>
          <w:top w:val="none" w:color="000000" w:sz="4" w:space="0"/>
          <w:left w:val="none" w:color="000000" w:sz="4" w:space="0"/>
          <w:bottom w:val="none" w:color="000000" w:sz="4" w:space="0"/>
          <w:right w:val="none" w:color="000000" w:sz="4" w:space="0"/>
        </w:pBdr>
      </w:pPr>
      <w:r>
        <w:rPr>
          <w:rFonts w:ascii="SimHei" w:hAnsi="SimHei" w:eastAsia="SimHei" w:cs="SimHei"/>
          <w:sz w:val="28"/>
          <w:szCs w:val="28"/>
        </w:rPr>
      </w:r>
      <w:hyperlink r:id="rId17" w:tooltip="https://jszfcg.jsczt.cn/jszc/onlyoffice/7.2.1-34/web-apps/apps/documenteditor/main/index_loader.html?_dc=7.2.1-34&amp;lang=zh&amp;customer=%20&amp;logo=%20&amp;headerlogo=%2Ffavicon.ico&amp;frameEditorId=iframePage&amp;compact=true&amp;parentOrigin=https://jszfcg.jsczt.cn#_Toc8987" w:history="1">
        <w:r>
          <w:rPr>
            <w:rFonts w:ascii="SimHei" w:hAnsi="SimHei" w:eastAsia="SimHei" w:cs="SimHei"/>
            <w:sz w:val="28"/>
            <w:szCs w:val="28"/>
          </w:rPr>
          <w:t xml:space="preserve">第四章</w:t>
        </w:r>
        <w:r>
          <w:rPr>
            <w:rFonts w:ascii="SimHei" w:hAnsi="SimHei" w:eastAsia="SimHei" w:cs="SimHei"/>
            <w:sz w:val="28"/>
            <w:szCs w:val="28"/>
          </w:rPr>
          <w:t xml:space="preserve"> </w:t>
        </w:r>
        <w:r>
          <w:rPr>
            <w:rFonts w:ascii="SimHei" w:hAnsi="SimHei" w:eastAsia="SimHei" w:cs="SimHei"/>
            <w:sz w:val="28"/>
            <w:szCs w:val="28"/>
          </w:rPr>
          <w:t xml:space="preserve">招标书</w:t>
        </w:r>
        <w:r>
          <w:rPr>
            <w:rFonts w:ascii="SimHei" w:hAnsi="SimHei" w:eastAsia="SimHei" w:cs="SimHei"/>
            <w:sz w:val="28"/>
            <w:szCs w:val="28"/>
          </w:rPr>
          <w:tab/>
        </w:r>
      </w:hyperlink>
      <w:r>
        <w:rPr>
          <w:rFonts w:ascii="SimHei" w:hAnsi="SimHei" w:eastAsia="SimHei" w:cs="SimHei"/>
          <w:sz w:val="28"/>
          <w:szCs w:val="28"/>
        </w:rPr>
      </w:r>
      <w:r/>
    </w:p>
    <w:p>
      <w:pPr>
        <w:ind w:left="0" w:right="0" w:firstLine="0"/>
        <w:spacing w:before="0" w:after="0" w:line="85" w:lineRule="atLeast"/>
        <w:tabs>
          <w:tab w:val="left" w:pos="9072" w:leader="none"/>
        </w:tabs>
        <w:rPr>
          <w:rFonts w:ascii="SimHei" w:hAnsi="SimHei" w:eastAsia="SimHei" w:cs="SimHei"/>
          <w:sz w:val="28"/>
          <w:szCs w:val="28"/>
          <w14:ligatures w14:val="none"/>
        </w:rPr>
        <w:pBdr>
          <w:top w:val="none" w:color="000000" w:sz="4" w:space="0"/>
          <w:left w:val="none" w:color="000000" w:sz="4" w:space="0"/>
          <w:bottom w:val="none" w:color="000000" w:sz="4" w:space="0"/>
          <w:right w:val="none" w:color="000000" w:sz="4" w:space="0"/>
        </w:pBdr>
      </w:pPr>
      <w:r>
        <w:rPr>
          <w:rFonts w:ascii="SimHei" w:hAnsi="SimHei" w:eastAsia="SimHei" w:cs="SimHei"/>
          <w:sz w:val="28"/>
          <w:szCs w:val="28"/>
        </w:rPr>
      </w:r>
      <w:hyperlink r:id="rId18" w:tooltip="https://jszfcg.jsczt.cn/jszc/onlyoffice/7.2.1-34/web-apps/apps/documenteditor/main/index_loader.html?_dc=7.2.1-34&amp;lang=zh&amp;customer=%20&amp;logo=%20&amp;headerlogo=%2Ffavicon.ico&amp;frameEditorId=iframePage&amp;compact=true&amp;parentOrigin=https://jszfcg.jsczt.cn#_Toc30006" w:history="1">
        <w:r>
          <w:rPr>
            <w:rFonts w:ascii="SimHei" w:hAnsi="SimHei" w:eastAsia="SimHei" w:cs="SimHei"/>
            <w:sz w:val="28"/>
            <w:szCs w:val="28"/>
          </w:rPr>
          <w:t xml:space="preserve">第五章</w:t>
        </w:r>
        <w:r>
          <w:rPr>
            <w:rFonts w:ascii="SimHei" w:hAnsi="SimHei" w:eastAsia="SimHei" w:cs="SimHei"/>
            <w:sz w:val="28"/>
            <w:szCs w:val="28"/>
          </w:rPr>
          <w:t xml:space="preserve"> </w:t>
        </w:r>
        <w:r>
          <w:rPr>
            <w:rFonts w:ascii="SimHei" w:hAnsi="SimHei" w:eastAsia="SimHei" w:cs="SimHei"/>
            <w:sz w:val="28"/>
            <w:szCs w:val="28"/>
          </w:rPr>
          <w:t xml:space="preserve">合同主要条款</w:t>
        </w:r>
        <w:r>
          <w:rPr>
            <w:rFonts w:ascii="SimHei" w:hAnsi="SimHei" w:eastAsia="SimHei" w:cs="SimHei"/>
            <w:sz w:val="28"/>
            <w:szCs w:val="28"/>
          </w:rPr>
          <w:tab/>
        </w:r>
      </w:hyperlink>
      <w:r>
        <w:rPr>
          <w:rFonts w:ascii="SimHei" w:hAnsi="SimHei" w:eastAsia="SimHei" w:cs="SimHei"/>
          <w:sz w:val="28"/>
          <w:szCs w:val="28"/>
        </w:rPr>
      </w:r>
      <w:r/>
    </w:p>
    <w:p>
      <w:pPr>
        <w:ind w:left="0" w:right="0" w:firstLine="0"/>
        <w:spacing w:before="0" w:after="0" w:line="85" w:lineRule="atLeast"/>
        <w:tabs>
          <w:tab w:val="left" w:pos="9072" w:leader="none"/>
        </w:tabs>
        <w:rPr>
          <w:rFonts w:ascii="SimHei" w:hAnsi="SimHei" w:eastAsia="SimHei" w:cs="SimHei"/>
          <w:sz w:val="28"/>
          <w:szCs w:val="28"/>
          <w14:ligatures w14:val="none"/>
        </w:rPr>
        <w:pBdr>
          <w:top w:val="none" w:color="000000" w:sz="4" w:space="0"/>
          <w:left w:val="none" w:color="000000" w:sz="4" w:space="0"/>
          <w:bottom w:val="none" w:color="000000" w:sz="4" w:space="0"/>
          <w:right w:val="none" w:color="000000" w:sz="4" w:space="0"/>
        </w:pBdr>
      </w:pPr>
      <w:r>
        <w:rPr>
          <w:rFonts w:ascii="SimHei" w:hAnsi="SimHei" w:eastAsia="SimHei" w:cs="SimHei"/>
          <w:sz w:val="28"/>
          <w:szCs w:val="28"/>
        </w:rPr>
      </w:r>
      <w:hyperlink r:id="rId19" w:tooltip="https://jszfcg.jsczt.cn/jszc/onlyoffice/7.2.1-34/web-apps/apps/documenteditor/main/index_loader.html?_dc=7.2.1-34&amp;lang=zh&amp;customer=%20&amp;logo=%20&amp;headerlogo=%2Ffavicon.ico&amp;frameEditorId=iframePage&amp;compact=true&amp;parentOrigin=https://jszfcg.jsczt.cn#_Toc29939" w:history="1">
        <w:r>
          <w:rPr>
            <w:rFonts w:ascii="SimHei" w:hAnsi="SimHei" w:eastAsia="SimHei" w:cs="SimHei"/>
            <w:sz w:val="28"/>
            <w:szCs w:val="28"/>
          </w:rPr>
          <w:t xml:space="preserve">第六章</w:t>
        </w:r>
        <w:r>
          <w:rPr>
            <w:rFonts w:ascii="SimHei" w:hAnsi="SimHei" w:eastAsia="SimHei" w:cs="SimHei"/>
            <w:sz w:val="28"/>
            <w:szCs w:val="28"/>
          </w:rPr>
          <w:t xml:space="preserve"> </w:t>
        </w:r>
        <w:r>
          <w:rPr>
            <w:rFonts w:ascii="SimHei" w:hAnsi="SimHei" w:eastAsia="SimHei" w:cs="SimHei"/>
            <w:sz w:val="28"/>
            <w:szCs w:val="28"/>
          </w:rPr>
          <w:t xml:space="preserve">评分标准</w:t>
        </w:r>
        <w:r>
          <w:rPr>
            <w:rFonts w:ascii="SimHei" w:hAnsi="SimHei" w:eastAsia="SimHei" w:cs="SimHei"/>
            <w:sz w:val="28"/>
            <w:szCs w:val="28"/>
          </w:rPr>
        </w:r>
      </w:hyperlink>
      <w:r>
        <w:rPr>
          <w:rFonts w:ascii="SimHei" w:hAnsi="SimHei" w:eastAsia="SimHei" w:cs="SimHei"/>
          <w:sz w:val="28"/>
          <w:szCs w:val="28"/>
          <w14:ligatures w14:val="none"/>
        </w:rPr>
      </w:r>
      <w:r/>
    </w:p>
    <w:p>
      <w:pPr>
        <w:ind w:left="0" w:right="0" w:firstLine="0"/>
        <w:jc w:val="center"/>
        <w:spacing w:before="240" w:after="24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r>
      <w:r>
        <w:rPr>
          <w:rFonts w:ascii="SimSun" w:hAnsi="SimSun" w:eastAsia="SimSun" w:cs="SimSun"/>
          <w:color w:val="000000"/>
          <w:sz w:val="24"/>
          <w:highlight w:val="none"/>
        </w:rPr>
      </w:r>
      <w:r/>
    </w:p>
    <w:p>
      <w:pPr>
        <w:ind w:left="0" w:right="0" w:firstLine="0"/>
        <w:jc w:val="center"/>
        <w:spacing w:before="240" w:after="240" w:line="113" w:lineRule="atLeast"/>
        <w:rPr>
          <w:rFonts w:ascii="SimSun" w:hAnsi="SimSun" w:eastAsia="SimSun" w:cs="SimSun"/>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r>
      <w:r>
        <w:rPr>
          <w:rFonts w:ascii="SimSun" w:hAnsi="SimSun" w:eastAsia="SimSun" w:cs="SimSun"/>
          <w:color w:val="000000"/>
          <w:sz w:val="24"/>
          <w:highlight w:val="none"/>
        </w:rPr>
      </w:r>
      <w:r/>
    </w:p>
    <w:p>
      <w:pPr>
        <w:ind w:left="0" w:right="0" w:firstLine="0"/>
        <w:jc w:val="center"/>
        <w:spacing w:before="240" w:after="240" w:line="113" w:lineRule="atLeast"/>
        <w:rPr>
          <w:rFonts w:ascii="SimSun" w:hAnsi="SimSun" w:eastAsia="SimSun" w:cs="SimSun"/>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r>
      <w:r>
        <w:rPr>
          <w:rFonts w:ascii="SimSun" w:hAnsi="SimSun" w:eastAsia="SimSun" w:cs="SimSun"/>
          <w:color w:val="000000"/>
          <w:sz w:val="24"/>
          <w:highlight w:val="none"/>
        </w:rPr>
      </w:r>
      <w:r/>
    </w:p>
    <w:p>
      <w:pPr>
        <w:ind w:left="0" w:right="0" w:firstLine="0"/>
        <w:jc w:val="center"/>
        <w:spacing w:before="240" w:after="240" w:line="113" w:lineRule="atLeast"/>
        <w:rPr>
          <w:rFonts w:ascii="SimSun" w:hAnsi="SimSun" w:eastAsia="SimSun" w:cs="SimSun"/>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r>
      <w:r>
        <w:rPr>
          <w:rFonts w:ascii="SimSun" w:hAnsi="SimSun" w:eastAsia="SimSun" w:cs="SimSun"/>
          <w:color w:val="000000"/>
          <w:sz w:val="24"/>
          <w:highlight w:val="none"/>
        </w:rPr>
      </w:r>
      <w:r/>
    </w:p>
    <w:p>
      <w:pPr>
        <w:ind w:left="0" w:right="0" w:firstLine="0"/>
        <w:jc w:val="center"/>
        <w:spacing w:before="240" w:after="240" w:line="113" w:lineRule="atLeast"/>
        <w:rPr>
          <w:rFonts w:ascii="SimSun" w:hAnsi="SimSun" w:eastAsia="SimSun" w:cs="SimSun"/>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rPr>
        <w:t xml:space="preserve">前附表</w:t>
      </w:r>
      <w:r/>
    </w:p>
    <w:tbl>
      <w:tblPr>
        <w:tblStyle w:val="7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51"/>
        <w:gridCol w:w="8221"/>
      </w:tblGrid>
      <w:tr>
        <w:trPr>
          <w:trHeight w:val="52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2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内容规定</w:t>
            </w:r>
            <w:r/>
          </w:p>
        </w:tc>
      </w:tr>
      <w:tr>
        <w:trPr>
          <w:trHeight w:val="4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采购内容：全自动血液核酸筛查系统采购项目</w:t>
            </w:r>
            <w:r/>
          </w:p>
        </w:tc>
      </w:tr>
      <w:tr>
        <w:trPr>
          <w:trHeight w:val="4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标段数：1个标段</w:t>
            </w:r>
            <w:r/>
          </w:p>
        </w:tc>
      </w:tr>
      <w:tr>
        <w:trPr>
          <w:trHeight w:val="4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采购内容：见第四章采购需求</w:t>
            </w:r>
            <w:r/>
          </w:p>
        </w:tc>
      </w:tr>
      <w:tr>
        <w:trPr>
          <w:trHeight w:val="4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投标有效期：90日历天</w:t>
            </w:r>
            <w:r/>
          </w:p>
        </w:tc>
      </w:tr>
      <w:tr>
        <w:trPr>
          <w:trHeight w:val="4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投标保证金：不提交，本项目招标文件内关于投标保证金的相关规定均不适用。</w:t>
            </w:r>
            <w:r/>
          </w:p>
        </w:tc>
      </w:tr>
      <w:tr>
        <w:trPr>
          <w:trHeight w:val="4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签订合同：中标通知书发出之日起15日内</w:t>
            </w:r>
            <w:r/>
          </w:p>
        </w:tc>
      </w:tr>
      <w:tr>
        <w:trPr>
          <w:trHeight w:val="4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现场考察：不组织。</w:t>
            </w:r>
            <w:r/>
          </w:p>
        </w:tc>
      </w:tr>
      <w:tr>
        <w:trPr>
          <w:trHeight w:val="4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投标文件：应使用“苏采云”系统制作并提交电子版投标文件，未按要求线上递交电子投标文件将被拒收。供应商中标后须提供4套投标文件。</w:t>
            </w:r>
            <w:r/>
          </w:p>
        </w:tc>
      </w:tr>
      <w:tr>
        <w:trPr>
          <w:trHeight w:val="4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履约保证金：本项目无需缴纳履约保证金，涉及的相关条款均不适用。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1" w:type="dxa"/>
            <w:vAlign w:val="center"/>
            <w:textDirection w:val="lrTb"/>
            <w:noWrap w:val="false"/>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电子投标文件上传截止时间：2026年08月13日09:30（北京时间）</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上传地点：苏采云政府采购一体化平台</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本项目为不见面开标项目，开标阶段供应商在【供应商解密】环节必须使用 CA 证书解密电子投标文件，如在系统规定的解密时间内未能完成解密的，视为放弃投标（响应）。</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询问：获取招标文件成功的投标供应商在下载招标文件后，若对招标文件有疑问，可通过邮件（1214506206@qq.com）进行询问。采购代理机构通过邮件予以解答，询问人自行在邮件中查看解答信息。</w:t>
            </w:r>
            <w:r/>
          </w:p>
        </w:tc>
      </w:tr>
      <w:tr>
        <w:trPr>
          <w:trHeight w:val="9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投标人认为招标文件、采购过程、中标结果使自己的权益受到损害的，可以在知道或者应知其权益受到损害之日起7个工作日内，以书面形式向采购人提出质疑。投标人须在法定质疑期内一次性提出针对同一采购程序环节的质疑。投标人若质疑，应符合《政府采购质疑和投诉办法》（中华人民共和国财政部令第94号）。</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未依照采购公告要求依法获取招标文件的投标人，视为未参加该项政府采购活动，不具备对该政府采购项目提出质疑的法定权利。</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接受质疑函的方式：当场送达或邮寄。</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1" w:type="dxa"/>
            <w:vAlign w:val="center"/>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本项目采购单位在申报预算时已经包含代理服务费，代理服务费由中标单位支付，本项目综合报价包含代理服务费用，请各供应商在报价时综合考虑。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代理服务费收费标准：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预算金额 100 万元以下部分，费率为该部分预算金额的 1.5%；</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预算金额 100 万元（含）－500 万元部分，费率为该部分预算金额的 1.1%；</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代理服务费以采购预算金额为基数依据，按以上规定的标准和差额定率累进法进行计算收取。例：如预算金额为150万元，则代理服务费＝100万元×1.5%＋（150万元－100万元）×1.1%。如按上述方法计算的金额低于人民币 3000 元整，则本项目代理服务费按人民币3000元整计收。该费用由中标单位在领取中标通知书时一次性付清。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本项目招标代理费金额：37000元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中标原则：采用综合评分法</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评标办法：详见第六章。</w:t>
            </w:r>
            <w:r/>
          </w:p>
        </w:tc>
      </w:tr>
    </w:tbl>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pStyle w:val="736"/>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rPr>
        <w:t xml:space="preserve">招标公告</w:t>
      </w:r>
      <w:r/>
    </w:p>
    <w:p>
      <w:pPr>
        <w:ind w:left="0" w:right="0" w:firstLine="480"/>
        <w:spacing w:before="0" w:after="0" w:line="85"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项目概况</w:t>
      </w:r>
      <w:r/>
    </w:p>
    <w:p>
      <w:pPr>
        <w:ind w:left="0" w:right="0" w:firstLine="480"/>
        <w:spacing w:before="0" w:after="0" w:line="85"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全自动血液核酸筛查系统采购项目的潜在投标人应在“苏采云政府采购一体化平台”网站自行免费下载招标文件，并于2026年08月13日09点30分（北京时间）前提交投标文件。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一、项目基本情况</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采购编号：JSZC-320500-PMJS-G2026-0020</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采购内容：全自动血液核酸筛查系统采购项目</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预算金额：300万元</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最高限价：300万元</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采购需求：全自动血液核酸筛查系统2套。</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交货期限：合同签订后，25天内完成供货</w:t>
      </w:r>
      <w:r>
        <w:rPr>
          <w:rFonts w:ascii="Segoe UI" w:hAnsi="Segoe UI" w:eastAsia="Segoe UI" w:cs="Segoe UI"/>
          <w:color w:val="000000"/>
          <w:sz w:val="24"/>
          <w:highlight w:val="white"/>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本项目（是/否）接受联合体投标：否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二、申请人的资格要求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1.满足《中华人民共和国政府采购法》第二十二条规定：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（1）具有独立承担民事责任的能力；</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（2）具有良好的商业信誉和健全的财务会计制度；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（3）具有履行合同所必需的设备和专业技术能力；</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（4）有依法缴纳税收和社会保障资金的良好记录；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（5）参加政府采购活动前三年内，在经营活动中没有重大违法记录；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（6）法律、行政法规规定的其他条件。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2.落实政府采购政策需满足的资格要求：无。</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3.本项目的特定资格要求：须具有所投产品的医疗器械经营资格。</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（1）根据政府采购法及相关法规，招标代理人将对供应商进行信用查询。对列入失信被执行人、重大税收违法案件当事人名单、政府采购严重违法失信行为记录名单的供应商，拒绝其参与政府采购活动。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（2）单位负责人为同一人或者存在直接控股、管理关系的不同供应商，不得参加同一合同项下的政府采购活动。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（3）为本采购项目提供整体设计、规范编制或者项目管理、监理、检测等服务的供应商，不得再参加本采购项目的其他采购活动。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三、获取招标文件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时间：自招标文件公告发布之日起5个工作日内。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地点：供应商登录苏州市政府采购网站首页下侧“苏采云—已参与项目”，根据提示下载招标（采购）文件。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方式：网上报名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售价：0.00元</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四、提交投标文件截止时间、开标时间和地点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2026年08月13日09:30（北京时间）</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地点：苏州市政府采购网站-苏采云系统</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五、公告期限</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自本公告发布之日起5个工作日。</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w:t>
      </w:r>
      <w:r>
        <w:rPr>
          <w:rFonts w:ascii="SimSun" w:hAnsi="SimSun" w:eastAsia="SimSun" w:cs="SimSun"/>
          <w:b/>
          <w:color w:val="000000"/>
          <w:sz w:val="24"/>
          <w:u w:val="none"/>
        </w:rPr>
        <w:t xml:space="preserve">其他补充事宜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为网上招投标项目，供应商应在“苏州市政府采购网－苏采云－项目参与－采购项目”页面，点击“我要参与”并签章提交《投标供应商确认函》，提交《投标供应商确认函》的日期视同为依法获取招标文件的日期。供应商须打印、保留《投标供应商确认函》并截图系统提交《投标供应商确认函》的日期，质疑时《投标供应商确认函》、系统截图与质疑函一并提交；未依照招标公告要求提交《投标供应商确认函》的供应商，视为未参与该项政府采购活动，不具备对该政府采购项目提出质疑的法定权利，但因供应商资格条件或获取招标文件时间设定不符合有关法律法</w:t>
      </w:r>
      <w:r>
        <w:rPr>
          <w:rFonts w:ascii="SimSun" w:hAnsi="SimSun" w:eastAsia="SimSun" w:cs="SimSun"/>
          <w:color w:val="000000"/>
          <w:sz w:val="24"/>
        </w:rPr>
        <w:t xml:space="preserve">规规定等原因使供应商权益受损的除外。</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2.本项目支持网上不见面开标，</w:t>
      </w:r>
      <w:r>
        <w:rPr>
          <w:rFonts w:ascii="SimSun" w:hAnsi="SimSun" w:eastAsia="SimSun" w:cs="SimSun"/>
          <w:b/>
          <w:color w:val="000000"/>
          <w:sz w:val="24"/>
        </w:rPr>
        <w:t xml:space="preserve">供应商不需到现场参加开标会，开标阶段供应商在【供应商解密】环节必须使用 CA证书解密电子投标（响应）文件，如在系统规定的解密时间内未能完成解密的视为放弃投标（响应）。</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文件制作完成后请于截止前成功上传至“苏采云”系统，未按要求线上递交电子投标（响应）文件视为放弃参加该采购项目。供应商应充分考虑到网络环境、网络带宽等风险因素，如因供应商自身原因造成的电子投标文件上传不成功由供应商自行承担全部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4.线上参加（观看）开标会方式：苏州市政府采购网点击“苏采云”进入交易系统，点击“开标大厅—我的项目”。找到对应项目</w:t>
      </w:r>
      <w:r>
        <w:rPr>
          <w:rFonts w:ascii="SimSun" w:hAnsi="SimSun" w:eastAsia="SimSun" w:cs="SimSun"/>
          <w:color w:val="000000"/>
          <w:sz w:val="24"/>
          <w:highlight w:val="white"/>
        </w:rPr>
        <w:t xml:space="preserve">进入不见面开标系统</w:t>
      </w:r>
      <w:r>
        <w:rPr>
          <w:rFonts w:ascii="SimSun" w:hAnsi="SimSun" w:eastAsia="SimSun" w:cs="SimSun"/>
          <w:color w:val="000000"/>
          <w:sz w:val="24"/>
        </w:rPr>
        <w:t xml:space="preserve">。</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5.请供应商确保电脑、系统及其他设备（视频输入输出设备等）无误，且开标直至项目结束始终保持系统在线状态。</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 CA办理及使用指南：根据省财政厅《关于更换全省政府采购交易系统CA数字证书和电子签章的通知》（苏财购〔2023〕101号），“苏采云”政府采购交易系统（以下简称苏采云系统）的CA数字证书、电子签章为江苏省电子政务证书认证中心CA和方正国际软件（北京）有限公司电子签章。具体办理指南和操作手册见苏州市政府采购网苏采云登录页面右下角“【新CA办理指南】--江苏省政府采购数字证书（供应商）CA及电子签章办理指南”。苏州现场办理地址：苏州高新区邓尉路105号狮山科技馆1楼服务大厅，咨询电话：0512-65737</w:t>
      </w:r>
      <w:r>
        <w:rPr>
          <w:rFonts w:ascii="SimSun" w:hAnsi="SimSun" w:eastAsia="SimSun" w:cs="SimSun"/>
          <w:color w:val="000000"/>
          <w:sz w:val="24"/>
        </w:rPr>
        <w:t xml:space="preserve">699。</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进入“苏采云”政府采购交易系统后，按照《苏采云系统供应商操作手册》（以下简称《操作手册》）进行注册，并按《操作手册》要求制作、上传电子响应文件。供应商可在采购系统中下载《苏采云系统供应商操作手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7.考虑到熟悉苏采云系统操作需要一定的时间，请提早准备以免耽误采购活动。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供应商应及时关注政府采购信息发布媒体上发布的更正（补充）公告，同时在苏采云系统中下载更正（补充）资料，如有遗漏（包括但不限于文件未下载或下载不完整），所造成的投标失败或损失由供应商自行负责。</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9.投标人（供应商）应自行在苏采云政府采购一体化平台上下载/获取招标（采购）文件及其澄清（答疑）、工程量清单（如有）、图纸等相关招标（采购）资料（如有），恕不另行通知。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10.采购项目需要落实的政府采购政策：</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（1）财政部、工业和信息化部《政府采购促进中小企业发展管理办法》财库〔2020〕46号。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关于促进残疾人就业政府采购政策的通知》（财库〔2017〕141号）；《关于政府采购支持监狱企业发展有关问题的通知》（财库〔2014〕68号）；苏州市财政局《关于贯彻执行绿色采购、促进残疾人就业和支持监狱企业发展有关政策的通知》（苏财购〔2020〕10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（3）财库〔2022〕19号《关于进一步加大政府采购支持中小企业力度的通知》。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（4）苏财购〔2022〕16号关于印发《苏州市政府采购促进中小企业发展实施意见》的通知。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（5）国办发〔2025〕34号《国务院办公厅关于在政府采购中实施本国产品标准及相关政策的通知》。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11.成交供应商可凭政府采购合同办理融资贷款，详情请见江苏政府采购网“政采贷”专栏。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12.请贵单位领取本次采购文件后，认真阅读各项内容，进行必要的投标准备，按文件的要求详细填写和编制投标文件。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13.苏州市财政局政府采购管理处监督电话：0512-68616651。</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14.本次采购的有关信息将在苏州市政府采购网、江苏政府采购网、中国政府采购网</w:t>
      </w:r>
      <w:r>
        <w:rPr>
          <w:rFonts w:ascii="SimSun" w:hAnsi="SimSun" w:eastAsia="SimSun" w:cs="SimSun"/>
          <w:sz w:val="24"/>
        </w:rPr>
        <w:t xml:space="preserve">上发布</w:t>
      </w:r>
      <w:r>
        <w:rPr>
          <w:rFonts w:ascii="SimSun" w:hAnsi="SimSun" w:eastAsia="SimSun" w:cs="SimSun"/>
          <w:color w:val="000000"/>
          <w:sz w:val="24"/>
        </w:rPr>
        <w:t xml:space="preserve">，敬请留意。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15.技术支持</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注册咨询：18261002950；</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CA技术咨询电话：400-608-6099；</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签章使用问题：025-83633811、025-83633812、15380932027、15371015030；</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系统使用指导与咨询：联系电话：13914088964、18261002950；QQ：3048755361、1315179389、895706745。智能客服：登录苏采云系统后，联系系统右下方智能客服图标进行咨询。</w:t>
      </w:r>
      <w:r/>
    </w:p>
    <w:p>
      <w:pPr>
        <w:ind w:left="0" w:right="0" w:firstLine="24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七、凡对本次采购提出询问，请按以下方式联系。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1.采购人信息</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名称：苏州市中心血站</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单位地址：苏州市姑苏区十梓街355号</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联系人：方涛</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联系电话：0512-65230270</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名称：江苏京苏项目管理咨询有限公司</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地址：苏州工业园区东环路1400号综艺开元大厦1幢15楼</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电话：0512-67256848-1647</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3.项目联系方式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项目联系人：俞莉（项目负责人）、顾苏芯</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 0512-67256848-1647</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736"/>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highlight w:val="none"/>
        </w:rPr>
      </w:r>
      <w:r>
        <w:rPr>
          <w:rFonts w:ascii="SimHei" w:hAnsi="SimHei" w:eastAsia="SimHei" w:cs="SimHei"/>
          <w:b/>
          <w:color w:val="000000"/>
          <w:sz w:val="48"/>
          <w:highlight w:val="none"/>
        </w:rPr>
      </w:r>
      <w:r/>
    </w:p>
    <w:p>
      <w:pPr>
        <w:pStyle w:val="736"/>
        <w:ind w:left="0" w:right="0" w:firstLine="0"/>
        <w:jc w:val="center"/>
        <w:spacing w:before="120" w:after="120" w:line="85" w:lineRule="atLeast"/>
        <w:rPr>
          <w:rFonts w:ascii="SimHei" w:hAnsi="SimHei" w:eastAsia="SimHei" w:cs="SimHei"/>
          <w:b/>
          <w:bCs/>
          <w:color w:val="000000"/>
          <w:sz w:val="48"/>
          <w:szCs w:val="48"/>
          <w:highlight w:val="none"/>
        </w:rPr>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highlight w:val="none"/>
        </w:rPr>
      </w:r>
      <w:r>
        <w:rPr>
          <w:rFonts w:ascii="SimHei" w:hAnsi="SimHei" w:eastAsia="SimHei" w:cs="SimHei"/>
          <w:b/>
          <w:color w:val="000000"/>
          <w:sz w:val="48"/>
          <w:highlight w:val="none"/>
        </w:rPr>
      </w:r>
      <w:r/>
    </w:p>
    <w:p>
      <w:pPr>
        <w:pStyle w:val="736"/>
        <w:ind w:left="0" w:right="0" w:firstLine="0"/>
        <w:jc w:val="center"/>
        <w:spacing w:before="120" w:after="120" w:line="85" w:lineRule="atLeast"/>
        <w:rPr>
          <w:rFonts w:ascii="SimHei" w:hAnsi="SimHei" w:eastAsia="SimHei" w:cs="SimHei"/>
          <w:b/>
          <w:bCs/>
          <w:color w:val="000000"/>
          <w:sz w:val="48"/>
          <w:szCs w:val="48"/>
          <w:highlight w:val="none"/>
        </w:rPr>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highlight w:val="none"/>
        </w:rPr>
      </w:r>
      <w:r>
        <w:rPr>
          <w:rFonts w:ascii="SimHei" w:hAnsi="SimHei" w:eastAsia="SimHei" w:cs="SimHei"/>
          <w:b/>
          <w:color w:val="000000"/>
          <w:sz w:val="48"/>
          <w:highlight w:val="none"/>
        </w:rPr>
      </w:r>
      <w:r/>
    </w:p>
    <w:p>
      <w:pPr>
        <w:pStyle w:val="736"/>
        <w:ind w:left="0" w:right="0" w:firstLine="0"/>
        <w:jc w:val="center"/>
        <w:spacing w:before="120" w:after="120" w:line="85" w:lineRule="atLeast"/>
        <w:rPr>
          <w:rFonts w:ascii="SimHei" w:hAnsi="SimHei" w:eastAsia="SimHei" w:cs="SimHei"/>
          <w:b/>
          <w:bCs/>
          <w:color w:val="000000"/>
          <w:sz w:val="48"/>
          <w:szCs w:val="48"/>
          <w:highlight w:val="none"/>
        </w:rPr>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highlight w:val="none"/>
        </w:rPr>
      </w:r>
      <w:r>
        <w:rPr>
          <w:rFonts w:ascii="SimHei" w:hAnsi="SimHei" w:eastAsia="SimHei" w:cs="SimHei"/>
          <w:b/>
          <w:color w:val="000000"/>
          <w:sz w:val="48"/>
          <w:highlight w:val="none"/>
        </w:rPr>
      </w:r>
      <w:r/>
    </w:p>
    <w:p>
      <w:pPr>
        <w:pStyle w:val="736"/>
        <w:ind w:left="0" w:right="0" w:firstLine="0"/>
        <w:jc w:val="center"/>
        <w:spacing w:before="120" w:after="120" w:line="85" w:lineRule="atLeast"/>
        <w:rPr>
          <w:rFonts w:ascii="SimHei" w:hAnsi="SimHei" w:eastAsia="SimHei" w:cs="SimHei"/>
          <w:b/>
          <w:bCs/>
          <w:color w:val="000000"/>
          <w:sz w:val="48"/>
          <w:szCs w:val="48"/>
          <w:highlight w:val="none"/>
        </w:rPr>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highlight w:val="none"/>
        </w:rPr>
      </w:r>
      <w:r>
        <w:rPr>
          <w:rFonts w:ascii="SimHei" w:hAnsi="SimHei" w:eastAsia="SimHei" w:cs="SimHei"/>
          <w:b/>
          <w:color w:val="000000"/>
          <w:sz w:val="48"/>
          <w:highlight w:val="none"/>
        </w:rPr>
      </w:r>
      <w:r/>
    </w:p>
    <w:p>
      <w:pPr>
        <w:pStyle w:val="736"/>
        <w:ind w:left="0" w:right="0" w:firstLine="0"/>
        <w:jc w:val="center"/>
        <w:spacing w:before="120" w:after="120" w:line="85" w:lineRule="atLeast"/>
        <w:rPr>
          <w:rFonts w:ascii="SimHei" w:hAnsi="SimHei" w:eastAsia="SimHei" w:cs="SimHei"/>
          <w:b/>
          <w:bCs/>
          <w:color w:val="000000"/>
          <w:sz w:val="48"/>
          <w:szCs w:val="48"/>
          <w:highlight w:val="none"/>
        </w:rPr>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u w:val="none"/>
        </w:rPr>
        <w:t xml:space="preserve">第一章</w:t>
      </w:r>
      <w:r>
        <w:rPr>
          <w:rFonts w:ascii="SimHei" w:hAnsi="SimHei" w:eastAsia="SimHei" w:cs="SimHei"/>
          <w:b/>
          <w:color w:val="000000"/>
          <w:sz w:val="48"/>
        </w:rPr>
        <w:t xml:space="preserve">  投标邀请函</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江苏京苏项目管理咨询有限公司受苏州市中心血站的委托，就其所需的全自动血液核酸筛查系统采购项目进行国内公开招标。欢迎有条件的单位前来参加投标。</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1.采购编号：</w:t>
      </w:r>
      <w:r>
        <w:rPr>
          <w:rFonts w:ascii="SimSun" w:hAnsi="SimSun" w:eastAsia="SimSun" w:cs="SimSun"/>
          <w:color w:val="000000"/>
          <w:sz w:val="24"/>
        </w:rPr>
        <w:t xml:space="preserve">JSZC-320500-PMJS-G2026-0020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2.招标内容：</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2.1项目名称：全自动血液核酸筛查系统采购项目</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2.2预算金额：300万元</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2.3最高限价：300万元</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2.4服务范围：详见招标文件第四章《招标书》</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2.5采购需求：详见招标文件第四章《招标书》</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2.6交货期限：</w:t>
      </w:r>
      <w:r>
        <w:rPr>
          <w:rFonts w:ascii="SimSun" w:hAnsi="SimSun" w:eastAsia="SimSun" w:cs="SimSun"/>
          <w:color w:val="000000"/>
          <w:sz w:val="24"/>
          <w:highlight w:val="white"/>
        </w:rPr>
        <w:t xml:space="preserve">合同签订后，</w:t>
      </w:r>
      <w:r>
        <w:rPr>
          <w:rFonts w:ascii="Segoe UI" w:hAnsi="Segoe UI" w:eastAsia="Segoe UI" w:cs="Segoe UI"/>
          <w:color w:val="000000"/>
          <w:sz w:val="24"/>
          <w:highlight w:val="white"/>
        </w:rPr>
        <w:t xml:space="preserve">25</w:t>
      </w:r>
      <w:r>
        <w:rPr>
          <w:rFonts w:ascii="SimSun" w:hAnsi="SimSun" w:eastAsia="SimSun" w:cs="SimSun"/>
          <w:color w:val="000000"/>
          <w:sz w:val="24"/>
          <w:highlight w:val="white"/>
        </w:rPr>
        <w:t xml:space="preserve">天内完成供货。</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3.开标信息：</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3.1投标文件上传截止时间：2026年08月13日09:30（北京时间）</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3.2投标文件递交地点：苏州市政府采购网站-苏采云系统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3.3时间：2026年08月13日09:30</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3.4本项目支持网上不见面开标，</w:t>
      </w:r>
      <w:r>
        <w:rPr>
          <w:rFonts w:ascii="SimSun" w:hAnsi="SimSun" w:eastAsia="SimSun" w:cs="SimSun"/>
          <w:b/>
          <w:color w:val="000000"/>
          <w:sz w:val="24"/>
        </w:rPr>
        <w:t xml:space="preserve">供应商不需到现场参加开标会。</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3.5本项目为不见面开标项目，开标阶段供应商在【供应商解密】环节必须使用 CA证书解密电子投标（响应）文件，如在系统规定的解密时间内未能完成解密的视为放弃投标（响应）。</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3.6请供应商确保电脑、系统及其他设备（视频输入输出设备等）无误，且开标直至项目结束始终保持系统在线状态。</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3.7线上参加（观看）开标会方式：苏州市政府采购网点击“苏采云”进入交易系统，点击“开标大厅－我的项目”，找到对应项目</w:t>
      </w:r>
      <w:r>
        <w:rPr>
          <w:rFonts w:ascii="SimSun" w:hAnsi="SimSun" w:eastAsia="SimSun" w:cs="SimSun"/>
          <w:color w:val="000000"/>
          <w:sz w:val="24"/>
          <w:highlight w:val="white"/>
        </w:rPr>
        <w:t xml:space="preserve">进入不见面开标系统</w:t>
      </w:r>
      <w:r>
        <w:rPr>
          <w:rFonts w:ascii="SimSun" w:hAnsi="SimSun" w:eastAsia="SimSun" w:cs="SimSun"/>
          <w:color w:val="000000"/>
          <w:sz w:val="24"/>
        </w:rPr>
        <w:t xml:space="preserve">。</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4.联系单位：</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4.1采购人信息</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名称：苏州市中心血站</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单位地址：苏州市姑苏区十梓街355号</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联系人：方涛</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联系电话：0512-65230270</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4.2采购代理机构信息</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名称：江苏京苏项目管理咨询有限公司</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地址：苏州工业园区东环路1400号综艺开元大厦1幢15楼</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电话：0512-67256848-1647</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4.3项目联系方式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项目联系人：俞莉（项目负责人）、顾苏芯</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 0512-67256848-1647</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江苏京苏项目管理咨询有限公司 </w:t>
      </w:r>
      <w:r/>
    </w:p>
    <w:p>
      <w:pPr>
        <w:ind w:left="0" w:right="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2026年07月23日</w:t>
      </w:r>
      <w:r/>
    </w:p>
    <w:p>
      <w:pPr>
        <w:ind w:left="0" w:right="0" w:firstLine="40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rPr>
        <w:t xml:space="preserve"> </w:t>
      </w:r>
      <w:r/>
    </w:p>
    <w:p>
      <w:pPr>
        <w:ind w:left="0" w:right="0" w:firstLine="964"/>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rPr>
        <w:t xml:space="preserve"> </w:t>
      </w:r>
      <w:r/>
    </w:p>
    <w:p>
      <w:pPr>
        <w:ind w:left="0" w:right="0" w:firstLine="964"/>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rPr>
        <w:t xml:space="preserve"> </w:t>
      </w:r>
      <w:r>
        <w:rPr>
          <w:rFonts w:ascii="SimHei" w:hAnsi="SimHei" w:eastAsia="SimHei" w:cs="SimHei"/>
          <w:b/>
          <w:color w:val="000000"/>
          <w:sz w:val="48"/>
        </w:rPr>
        <w:t xml:space="preserve">第二章  投标人须知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A 说明和释义</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1.说明</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1.1本招标文件仅适用于江苏京苏项目管理咨询有限公司组织的招标活动。</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1.2本次招标活动及因本次招标产生的合同受中国法律制约和保护。</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1.3本招标文件的解释权属于江苏京苏项目管理咨询有限公司。</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2.词语释义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2.1采购人：依法进行政府采购的各级国家机关、事业单位、团体组织。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2.2投标人：指向采购人提供货物、工程或服务的法人、其他组织或者自然人。</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2.3采购代理机构：指依法接受采购人委托，从事货物、工程和服务等政府采购代理业务的社会中介机构。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2.4响应：投标人根据采购人或采购代理机构发布的招标文件，编制投标文件并按规定投标的行为。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2.5合同：采供双方根据招标文件和中标的投标文件及中标通知书规定的内容签署的以书面形式所达成的协议，包括所有的附件、附录和构成协议的所有文件。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2.6甲方（采购人）：合同中明确规定的实际购买货物和服务的法人或其他组织和自然人。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2.7乙方（投标人）：合同中规定的向采购人提供货物和服务的法人或其他组织和自然人。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2.8知识产权：指专利权、商标权、著作权等无形财产专有权的统称。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2.9天：日历日。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2.10交货地点：合同中明确约定的乙方交货的最终地点。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2.11不可抗力：不能预见、不能避免并且不能克服的客观情况。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2.12实质性响应：满足有关本次采购标的、数量、质量、价款或者报酬、服务要求、履行期限、履行地点和方式、违约责任和解决争议方法等要求。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2.13进口产品：通过中国海关报关验放进入中国境内且产自关境外的产品。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2.14书面形式：指书面文字、合同书、信件和传真等可以有形地表现所载内容的形式。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2.15扫描件：指原件的各种彩色复制件，包括扫描、照片等。</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B 投标人</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3.合格投标人的一般条件</w:t>
      </w:r>
      <w:r/>
    </w:p>
    <w:p>
      <w:pPr>
        <w:ind w:left="0" w:right="0" w:firstLine="3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按招标公告</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4.合格投标人的特殊条件</w:t>
      </w:r>
      <w:r/>
    </w:p>
    <w:p>
      <w:pPr>
        <w:ind w:left="0" w:right="0" w:firstLine="3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按招标公告</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 投标人代表</w:t>
      </w:r>
      <w:r/>
    </w:p>
    <w:p>
      <w:pPr>
        <w:ind w:left="0" w:right="0" w:firstLine="50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5.1指全权代表投标人参加投标活动并签署投标文件的人，如果投标人代表不是法定代表人，须持有《法定代表人授权委托书》（详见统一格式）。</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6.投标费用</w:t>
      </w:r>
      <w:r/>
    </w:p>
    <w:p>
      <w:pPr>
        <w:ind w:left="0" w:right="0" w:firstLine="50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6.1无论投标过程中的做法和结果如何，投标人自行承担所有与参加投标有关的全部费用。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7.联合体：本项目不接受联合体投标，文件中涉及的相关条款均不适用。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7.1如接受联合体参加投标的，由两个或两个以上法人组成一个联合体以一个投标人的身份共同响应时，联合体各方均应当符合政府采购法第二十二条规定的条件。同时还应符合以下要求：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7.1.1 联合体各方中至少应当有一方应具备承担本项目的相应资格条件。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7.1.2 联合体各方应签订联合投标协议，明确联合体的牵头人，明确约定各方拟承担的工作和责任，并将该联合投标协议随投标文件一并提交。联合体牵头人应被授权作为联合体所有成员的代表承担责任和接受指令，并负责整个合同的全面履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7.1.3以联合体形式参加政府采购活动的，联合体各方不得再单独参加或者与其他投标人另外组成联合体参加同一合同项下的政府采购活动。出现上述情况者，其投标和与其有关的联合体的投标均作无效投标处理。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7.1.4联合体中标的，联合体各方应当共同与采购人签订合同，就中标项目向采购人承担连带责任。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7.2除非另有规定或说明，本采购文件中“投标人”一词亦指联合体各成员。</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8.招标文件</w:t>
      </w:r>
      <w:r/>
    </w:p>
    <w:p>
      <w:pPr>
        <w:ind w:left="0" w:right="0" w:firstLine="50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招标文件由招标文件总目录所列内容组成，投标人获取招标文件后，应仔细检查招标文件的所有内容，如有残缺等问题应在获取招标文件后及时向采购代理机构提出，否则，由此产生的影响由投标人自己承担，投标人同时应认真阅读招标文件中所有的事项、格式、条款和规范要求等，若投标人的投标文件没有按招标文件要求提交全部资料，或投标文件没有对招标文件做出实质性响应，其风险由投标人自行承担，并根据有关条款规定，该电子投标文件将被拒绝。</w:t>
      </w:r>
      <w:r/>
    </w:p>
    <w:p>
      <w:pPr>
        <w:ind w:left="0" w:right="0" w:firstLine="50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 招标文件及其更正（补充）文件不是直接从苏采云系统获得的，采购代理机构对招标文件及其更正（补充）文件的真实性、完整性不承担任何责任。</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9.招标文件的询问</w:t>
      </w:r>
      <w:r/>
    </w:p>
    <w:p>
      <w:pPr>
        <w:ind w:left="0" w:right="0" w:firstLine="3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9.1投标人在收到招标文件后，若有问题需要询问，应按照前附表要求及时提出，采购代理机构将予以解答，但答复内容不得涉及商业秘密。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10.招标文件的澄清、修改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在投标截止时间前，采购人、采购代理机构无论出于自己的考虑，还是出于对投标人提问的澄清，均可对招标文件用更正（补充）文件的方式在原公告发布媒体上对招标文件进行澄清或修改，澄清或修改不得改变采购标的和资格条件。更正（补充）文件将作为招标文件的组成部分，对所有投标人有约束力。</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10.2为使投标人有足够的时间按招标文件的修改要求考虑修正投标文件，或出于其他原因，采购人、采购代理机构有权推迟投标截止日期和开标日期。</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10.3投标人应及时关注采购信息发布媒体上发布的更正（补充）公告，如有遗漏（包括但不限于文件未下载或下载不完整），所造成的投标失败或损失由投标人自行负责。</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10.4招标文件的澄清、修改、补充等内容均以原公告发布媒体上发布的内容为准。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11.现场考察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11.1根据自身投标需要，投标人对有关现场和周围环境进行考察，以获取编制投标文件和签署合同所需的信息。考察现场所发生的费用由投标人自己承担。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 经采购人允许，投标人可为考察目的进入采购人的项目现场，但投标人不得因此使采购人承担有关的责任和蒙受损失。投标人应承担考察现场的责任和风险。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11.4投标人应在现场考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12.提示与要求</w:t>
      </w:r>
      <w:r/>
    </w:p>
    <w:p>
      <w:pPr>
        <w:ind w:left="0" w:right="0" w:firstLine="50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12.1投标人应仔细阅读招标文件的所有内容，按招标文件的要求提供投标文件，并保证所提供的全部数据的真实性，以使其投标对招标文件作出实质性响应，否则，其投标可能被拒绝。</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12.2无论是否提交投标文件，投标人都应将招标文件及以后的所有通知、文件等视为保密文件。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13.投标文件计量单位和使用文字</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13.1投标文件中所使用的计量单位，除招标文件中有特殊要求外，均应使用中华人民共和国法定计量单位。</w:t>
      </w:r>
      <w:r/>
    </w:p>
    <w:p>
      <w:pPr>
        <w:ind w:left="0" w:right="0" w:firstLine="50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投标文件应使用中文编制，递交中文证明资料，投标文件中必须使用其它文字的，必须附有中文译本。对于未附有中文译本和中文译本不准确的投标文件可能引起的对投标人不利的后果，采购人或采购代理机构概不负责。</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14.投标文件的组成</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14.1投标书一（报价部分）：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14.1.1投标函（格式见第三章）；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14.1.2法定代表人授权委托书（如有授权）；</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14.1.3《开标一览表》；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14.1.4《投标报价明细表》（格式见第三章）；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投标书二（技术及资格证明部分）：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14.2.1关于资格文件的声明函（格式见第三章）；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14.2.2投标人情况表（格式见第三章）；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14.2.3供应商与其他单位存在控股、管理关系情况表（格式见第三章）；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14.2.4投标人企业法定代表人身份证扫描件；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14.2.5代理人身份证扫描件（如有授权）；</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14.2.6投标人证明其满足合格投标人资格基本条件的证明材料：</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（1）具有独立承担民事责任的能力证明：包括法人或者其他组织的营业执照等证明文件，自然人身份证明；</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（2）具有良好的商业信誉和健全的财务会计制度证明：包括但不限于最近一期财务审计报告；其他组织、自然人及成立未满一年的法人应提供银行出具的资信证明；</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（3）履行合同所必备的设备和专业技术能力的证明材料或承诺函；</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有依法缴纳税收和社会保障资金的良好记录：投标人参加本次政府采购活动前半年（至少一个月）依法缴纳税收和社会保障资金（专用收据或社会保险缴纳清单）的证明材料；如为依法免税或不需要缴纳的，投标人则须提供对应证明资料，否则不予认可；</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（5）参加政府采购活动前三年内在经营活动中没有重大违法记录的书面声明函；</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（6）所投产品如为医疗器械的须提供该产品的医疗器械注册证或备案登记表扫描件；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14.2.7技术参数对照偏离表（见格式）；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14.2.8商务条款偏离表（见格式）；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14.2.9售后服务承诺书（见格式）；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14.2.10货物清单表；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14.2.11中小企业声明函（格式见第三章）或残疾人福利性单位声明函（格式见第三章）或监狱企业证明文件；</w:t>
      </w:r>
      <w:r>
        <w:rPr>
          <w:rFonts w:ascii="SimSun" w:hAnsi="SimSun" w:eastAsia="SimSun" w:cs="SimSun"/>
          <w:b/>
          <w:color w:val="000000"/>
          <w:sz w:val="24"/>
          <w:u w:val="single"/>
        </w:rPr>
        <w:t xml:space="preserve">(注：未提供或者提供的中小企业声明函或残疾人福利性单位声明函、监狱企业证明文件未加盖有公章上传至电子投标文件中的均视为不享受相关政策。）</w:t>
      </w:r>
      <w:r/>
    </w:p>
    <w:p>
      <w:pPr>
        <w:ind w:left="0" w:right="0" w:firstLine="463"/>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14.2.12《关于符合本国产品标准的声明函》（注：如供应商未按要求提供或未加盖公章的均不享受相关政策）；</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14.2.13其他可以证明投标人资信、资质和货物、服务质量的证书、文件、推荐信等资料；</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14.2.14招标文件及评分标准中所涉及需提供的其他资料。</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注：1、投标书二（技术及资格证明部分）中不得出现价格。</w:t>
      </w:r>
      <w:r/>
    </w:p>
    <w:p>
      <w:pPr>
        <w:ind w:left="0" w:right="0" w:firstLine="985"/>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2.投标人必须提交上述14.1.1—14.2.10款规定的资料。否则，投标文件将因未实质响应招标文件而被拒绝。</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14.3投标文件由14.1、14.2款规定的内容共同组成。</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15.电子投标文件编制及提交</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本项目为网上招投标项目，供应商应登录苏采云系统、线上获取招标（采购）文件，线上获取更正（补充）文件、对投标（响应）文件进行电子签章、线上递交投标（响应）文件；应使用电子投标文件制作工具制作电子版投标（响应）文件。</w:t>
      </w:r>
      <w:r>
        <w:rPr>
          <w:rFonts w:ascii="SimSun" w:hAnsi="SimSun" w:eastAsia="SimSun" w:cs="SimSun"/>
          <w:b/>
          <w:color w:val="000000"/>
          <w:sz w:val="24"/>
        </w:rPr>
        <w:t xml:space="preserve">电子投标（响应）文件制作完成后请于上传截止前成功上传，未按要求线上递交电子投标（响应）文件将被拒收。</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15.2电子投标（响应）文件制作工具下载：</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电子投标文件制作工具下载：详见苏州市政府采购网-苏采云登陆页面右下角点击驱动下载。使用指南见《苏采云系统供应商操作手册》。</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15.3电子投标（响应）文件制作与提交：</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供应商根据《苏采云系统供应商操作手册》进行操作。制作电子投标文件时必须与投标文件制作软件目录一一对应，将相关资料上传至相应模块。</w:t>
      </w:r>
      <w:r>
        <w:rPr>
          <w:rFonts w:ascii="SimSun" w:hAnsi="SimSun" w:eastAsia="SimSun" w:cs="SimSun"/>
          <w:b/>
          <w:color w:val="000000"/>
          <w:sz w:val="24"/>
        </w:rPr>
        <w:t xml:space="preserve">需对投标（响应）文件中涉及的扫描件（复印件）及需要加盖公章的部分进行签章，否则视为未提供相对应项。</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15.4投标（响应）文件制作完成后导出投标（响应）文件，在“参与详情”页面上传已制作完成的投标（响应）文件。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15.5投标（响应）文件提交后，供应商可通过模拟解密操作检测投标（响应）文件是否可以正常解密。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15.6</w:t>
      </w:r>
      <w:r>
        <w:rPr>
          <w:rFonts w:ascii="SimSun" w:hAnsi="SimSun" w:eastAsia="SimSun" w:cs="SimSun"/>
          <w:b/>
          <w:color w:val="000000"/>
          <w:sz w:val="24"/>
          <w:u w:val="single"/>
        </w:rPr>
        <w:t xml:space="preserve">因本章“14.投标文件的组成”要求的中小企业声明函、残疾人福利性单位声明函、关于符合本国产品标准的声明函要求的文件需在中标公告时对外公示，故投标供应商如涉及需要提供“14.投标文件的组成”要求的中小企业声明函、残疾人福利性单位声明函、关于符合本国产品标准的声明函的文件时，必须将签章上传至电子投标文件中。</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15.7供应商应在采购系统中选择已制作好的投标文件进行上传，上传必须在投标（响应）截止时间前完成。</w:t>
      </w:r>
      <w:r>
        <w:rPr>
          <w:rFonts w:ascii="SimSun" w:hAnsi="SimSun" w:eastAsia="SimSun" w:cs="SimSun"/>
          <w:b/>
          <w:color w:val="000000"/>
          <w:sz w:val="24"/>
        </w:rPr>
        <w:t xml:space="preserve">未按要求成功上传的投标（响应）文件视为未递交。</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15.8在投标文件递交截止时间止采购人收到的投标文件递交份数少于三份，采购人有权宣布本次采购失败。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15.9联合体投标：本项目不涉及。</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如招标（采购）公告中允许联合体投标，联合体投标的投标（响应）文件制作上传操作如下：</w:t>
      </w:r>
      <w:r/>
    </w:p>
    <w:p>
      <w:pPr>
        <w:ind w:left="0" w:right="0" w:firstLine="480"/>
        <w:spacing w:before="0" w:after="0" w:line="85" w:lineRule="atLeast"/>
        <w:tabs>
          <w:tab w:val="left" w:pos="142" w:leader="none"/>
          <w:tab w:val="left" w:pos="6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第一步：在投标（响应）文件中上传联合体投标协议书。</w:t>
      </w:r>
      <w:r/>
    </w:p>
    <w:p>
      <w:pPr>
        <w:ind w:left="0" w:right="0" w:firstLine="480"/>
        <w:spacing w:before="0" w:after="0" w:line="85" w:lineRule="atLeast"/>
        <w:tabs>
          <w:tab w:val="left" w:pos="142" w:leader="none"/>
          <w:tab w:val="left" w:pos="6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第二步：在投标（响应）文件中，由联合体中的牵头人制作投标（响应）文件。</w:t>
      </w:r>
      <w:r/>
    </w:p>
    <w:p>
      <w:pPr>
        <w:ind w:left="0" w:right="0" w:firstLine="482"/>
        <w:spacing w:before="0" w:after="0" w:line="85" w:lineRule="atLeast"/>
        <w:tabs>
          <w:tab w:val="left" w:pos="50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备注：投标文件中的CA证书签章为有效签名章。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16.报价（编制）要求的说明</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除非合同中另有规定，投标人对《分项报价表》中的报价应包括但不限于所投设备及其备品、备件和专用工具费用、税费（如包括关税、货物及其所用原材料、零部件的各种国内外税费）及包装、运至最终目的地的运输、保险、检测验收、安装、调试、技术支持与培训、售后服务与维保及相关劳务支出等工作所发生的全部费用以及投标人企业利润、税金和政策性文件规定及合同包含的所有风险、责任等各项应有费用。同时，除非合同条款中另有规定，否则，响应单位所报价格在合同实施期间不因市场变化因素而变动。投标人应对所投项目的全部内容进行报价，只投其</w:t>
      </w:r>
      <w:r>
        <w:rPr>
          <w:rFonts w:ascii="SimSun" w:hAnsi="SimSun" w:eastAsia="SimSun" w:cs="SimSun"/>
          <w:color w:val="000000"/>
          <w:sz w:val="24"/>
        </w:rPr>
        <w:t xml:space="preserve">中部分内容者，其标书将被拒绝。投标报价为最终报价，除非因特殊原因并经双方协商同意，投标人不得再要求追加任何费用。同时，除非合同条款中另有规定，否则，投标人所报价格在合同实施期间不因市场变化因素而变动，政策性条款例外。</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16.2投标报价编制要求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16.2.1根据提供的投标文件及有关资料单独编制相关的投标报价并汇总填入《分项报价表》；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16.3投标人应按《分项报价表》中的全部服务计算单价和总价。《分项报价表》中的每一单项均应计算并填写单价和总价。如发现投标报价中有错算、漏算现象，一旦中标，投标人自行承担错算、漏算这部分的经济损失，视为包含在总报价中。</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16.4投标人应对招标文件内所要采购的全部内容进行报价，只投其中部分内容者，其投标文件将被拒绝。但如果采购文件要求分标段投标的，则投标人可以有选择地只投其中一个或几个标段，也可以投全部标段，但各标段应分别计算填写单价和总价。</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16.5一项内容只允许一个报价，采购人不接受任何有选择性的报价。</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16.6投标文件报价中的单价和总价全部采用人民币表示，除非合同的特殊条款另有规定。</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17.投标保证金（本项目无需提交投标保证金，本招标文件内投标保证金相关规定均不适用）。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18.投标文件的有效期</w:t>
      </w:r>
      <w:r/>
    </w:p>
    <w:p>
      <w:pPr>
        <w:ind w:left="0" w:right="0" w:firstLine="50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18.1投标文件的有效期见前附表，在此期间内，投标文件应保持有效。有效期短于这个规定期限的响应，将被拒绝。</w:t>
      </w:r>
      <w:r/>
    </w:p>
    <w:p>
      <w:pPr>
        <w:ind w:left="0" w:right="0" w:firstLine="50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18.2在特殊情况下，采购单位可与投标人协商延长投标文件的有效期。这种要求和答复都应以书面的形式进行。同意延长有效期的投标人不能修改投标文件。拒绝接受延期要求的投标人的投标将被拒绝。</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19.投标文件的修改和撤回</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19.1投标人在提交投标文件后开启前可在系统中对其投标文件进行修改或撤销。</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 开启后投标人不得撤回投标文件。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20.开标</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20.1本项目支持网上不见面开标，</w:t>
      </w:r>
      <w:r>
        <w:rPr>
          <w:rFonts w:ascii="SimSun" w:hAnsi="SimSun" w:eastAsia="SimSun" w:cs="SimSun"/>
          <w:b/>
          <w:color w:val="000000"/>
          <w:sz w:val="24"/>
        </w:rPr>
        <w:t xml:space="preserve">供应商不需到现场参加开标会</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20.2线上参加（观看）开标会方式：苏州市政府采购网点击“苏采云”进入交易系统，点击“开标大厅－我的项目”，找到对应项目</w:t>
      </w:r>
      <w:r>
        <w:rPr>
          <w:rFonts w:ascii="SimSun" w:hAnsi="SimSun" w:eastAsia="SimSun" w:cs="SimSun"/>
          <w:color w:val="000000"/>
          <w:sz w:val="24"/>
          <w:highlight w:val="white"/>
        </w:rPr>
        <w:t xml:space="preserve">进入不见面开标系统</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w:t>
      </w:r>
      <w:r>
        <w:rPr>
          <w:rFonts w:ascii="SimSun" w:hAnsi="SimSun" w:eastAsia="SimSun" w:cs="SimSun"/>
          <w:b/>
          <w:color w:val="000000"/>
          <w:sz w:val="24"/>
        </w:rPr>
        <w:t xml:space="preserve">开标阶段供应商在【供应商解密】环节必须使用 CA证书解密电子投标（响应）文件，如在系统规定的解密时间内未能完成解密的视为放弃投标（响应）。</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20.4开评审结果会在评标结束后通过采购系统告知投标人，请投标人及时查看，否则导致对投标人不利的后果由投标人自行承担。</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20.5开标过程中，投标人应当通过苏采云系统的开标大厅进入开标系统，采购人或采购代理机构会在留言栏目作出答复，请投标人及时关注。为了保证开标秩序，请不要在互动交流中发表与开标无关的言论。开标中出现异常情况时，将通过留言栏目发布相关信息，请投标人及时关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20.6</w:t>
      </w:r>
      <w:r>
        <w:rPr>
          <w:rFonts w:ascii="SimSun" w:hAnsi="SimSun" w:eastAsia="SimSun" w:cs="SimSun"/>
          <w:b/>
          <w:color w:val="000000"/>
          <w:sz w:val="24"/>
        </w:rPr>
        <w:t xml:space="preserve">请供应商确保电脑、系统及其他设备（视频输入输出设备等）无误，且开标直至项目结束始终保持系统在线状态。</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20.7本项目采用线上澄清：</w:t>
      </w:r>
      <w:r/>
    </w:p>
    <w:p>
      <w:pPr>
        <w:ind w:left="0" w:right="0" w:firstLine="6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在对投标文件的有效性、完整性和响应程度进行审查时，可以要求投标人对投标文件中含义不明确、同类问题表述不一致或者有明显文字和计算错误的内容等作出必要的澄清、说明或者更正。投标人的澄清、说明或者更正不得超出投标文件的范围或者改变投标文件的实质性内容。</w:t>
      </w:r>
      <w:r/>
    </w:p>
    <w:p>
      <w:pPr>
        <w:ind w:left="0" w:right="0" w:firstLine="6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评审中需要投标人进行澄清的通知会通过苏采云系统发出，投标人应及时登录采购系统查看澄清要求并在规定的时间内按要求进行线上答复。</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有关澄清的答复应在系统内采用书面形式，该书面答复应有投标人签（盖）章，并将作为投标内容的一部分。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线上澄清答复的方式：当发起答疑澄清时，页面弹出处理答疑澄清消息菜单，点击反馈进入－点击【响应】－填写询问响应内容后，进行询问响应函签章。</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评审结束后系统公告中会提示评审流程结束，投标人可离开电脑。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20.8由于开标现场监控传输路径与开标信息传输路径不同，会造成网页显示时间与监控图像显示时间不同。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20.9技术支持</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注册咨询：18261002950；</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CA技术咨询电话：400-608-6099；</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签章使用问题：025-83633811、025-83633812、15380932027、15371015030；</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系统使用指导与咨询：联系电话：13914088964、18261002950；QQ：3048755361、1315179389、895706745。智能客服：登录苏采云系统后，联系系统右下方智能客服图标进行咨询。</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21.资格审查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21.1公开招标采购项目开标结束后，采购人或者采购代理机构应当依法对投标人的资格进行审查，</w:t>
      </w:r>
      <w:r>
        <w:rPr>
          <w:rFonts w:ascii="SimSun" w:hAnsi="SimSun" w:eastAsia="SimSun" w:cs="SimSun"/>
          <w:b/>
          <w:color w:val="000000"/>
          <w:sz w:val="24"/>
        </w:rPr>
        <w:t xml:space="preserve">未通过资格审查的投标无效。</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21.2根据政府采购法及相关法规，以及苏州市财政局《关于印发苏州市市级政府采购信用记录查询和使用工作试行办法的通知》（苏财购〔2017〕11号）的规定，将对投标人进行信用查询。</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21.2.1查询时间：投标文件递交截止时间。</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21.2.2查询渠道：在中国政府采购网（http://www.ccgp.gov.cn）、信用中国（www.creditchina.gov.cn）的网站输入投标人全称或统一社会信用代码查询信用记录，并将查询结果递交评审小组。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21.3经采购人或者采购代理机构审查供应商存在失信行为的，投标无效。</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21.4合格投标人不足3家的，不得评标。</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22.评标委员会或评标小组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22.1评标委员会或评标小组（以下简称评委会）成员依法组建，负责具体评标事务，并独立履行职责；</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22.2评标委员会或评标小组与参加采购活动的投标人存在下列利害关系之一的，应当回避：</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（一）参加采购活动前三年内，与投标人存在劳动关系，或者担任过投标人的董事、监事，或者是投标人的控股股东或实际控制人；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（二）与投标人的法定代表人或者负责人有夫妻、直系血亲、三代以内旁系血亲或者近姻亲关系；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（三）与投标人有其他影响政府采购活动公平、公正进行的关系。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评标委员会或评标小组发现本人与参加采购活动的投标人有利害关系的，应当主动提出回避。采购人或采购代理机构发现评审专家与参加采购活动的投标人有利害关系的，应当要求其回避。</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22.3评标委员会将对符合资格的投标人的投标文件进行符合性审查，以确定其是否满足招标文件的实质性要求。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22.4评委会组负责具体的评标事务，并独立履行以下职责：</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22.4.1审查、评价投标文件是否符合招标文件的商务、技术等实质性要求；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22.4.2要求投标人对投标文件有关事项作出澄清或者说明；</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22.4.3对投标文件进行比较和评价；</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22.4.4确定中标候选人名单，以及根据采购人委托直接确定中标人；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22.4.5向采购人、采购代理机构或者有关部门报告评标中发现的违法行为。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22.5评委会成员应当履行下列义务：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22.5.1遵纪守法，客观、公正、廉洁地履行职责；</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22.5.2按照招标文件规定的评标办法和评标标准进行评标，对评审意见承担个人责任；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22.5.3对评标过程和结果，以及投标人的商业秘密保密；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22.5.4参与评标报告的起草；</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22.5.5配合采购人、采购代理机构答复投标人提出的质疑；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22.5.6配合有关部门的投诉处理工作。</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23.评标内容的保密</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23.1公开开标后，直到宣布授予中标单位合同为止，凡属于审查、澄清、评价和比较投标的所有数据，有关授予合同的信息都不应向投标人或与评标无关的其他人泄露。</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23.2在投标文件的审查、澄清、评价和比较以及授予合同的过程中，投标人对采购人、采购代理机构和评标委员会成员施加影响的任何行为，都将取消其中标资格。</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23.3在评标期间，采购人、采购代理机构将通过指定联络人与投标人进行联系。</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24.对投标文件初审</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评委会将对资格符合的投标文件进行符合性审查。即依据招标文件规定，从投标文件的有效性、完整性和对招标文件的响应程度进行审查，以确定是否对招标文件的实质性要求作出响应。投标文件有下列情况之一者将被认定为无效投标：</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24.1.1投标文件未按照本招标文件规定对投标文件进行签章；</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24.1.2投标人拒绝修正错误；</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24.1.3投标人的报价是选择性的；</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24.1.4投标人的报价只投了同一标段中部分内容；</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24.1.5投标人的投标文件中出现评委会认为不应雷同的；</w:t>
      </w:r>
      <w:r/>
    </w:p>
    <w:p>
      <w:pPr>
        <w:ind w:left="0" w:right="0" w:firstLine="50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24.1.6不同投标人的“机器码一致”的情形；</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24.1.7其他被评委会认定无效的情况。</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实质性响应的投标应该是与招标文件要求的标的、数量、质量、价款或者报酬、履行期限、履行地点和方式、违约责任和解决争议方法等条款相符。不得限制合同中买方的权利或投标人的义务，也不得对其他实质性回应的投标人的竞争地位产生不公正影响。</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招标文件提供的工艺、材料、设备、参考的商标或样本目录号码等仅作为说明并没有限制性，投标人在投标中可以选用替代标准，但这些替代标准要优于或相当于技术规格中要求的标准，以满足采购人的需要。</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24.4对于投标文件中含义不明确、同类问题表述不一致或者有明显文字和计算错误的内容，评标委员会应当以书面形式要求投标人作出必要的澄清、说明或者补正。投标人的澄清、说明或者补正不得超出投标文件的范围或者改变投标文件的实质性内容。</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24.5投标文件报价出现前后不一致的，除招标文件另有规定外，按照下列规定修正：</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24.5.1投标文件中开标一览表（报价表）内容与投标文件中相应内容不一致的，以开标一览表（报价表）为准；</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24.5.2大写金额和小写金额不一致的，以大写金额为准；</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24.5.3单价金额小数点或者百分比有明显错位的，以开标一览表的总价为准，并修改单价；</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24.5.4总价金额与按单价汇总金额不一致的，以单价金额计算结果为准。</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同时出现两种以上不一致的，按照前款规定的顺序修正。修正后的报价按照《中华人民共和国财政部令第87号》第五十一条第二款的规定经投标人确认后产生约束力，投标人不确认的，其投标无效。</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24.6除上述情形外，对投标文件的判定，只依据投标文件本身，不依靠开标后的任何外来证明。</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24.7采购代理机构将拒绝被确定为非实质性响应的投标，投标人不能通过修正或撤销不符之处而使其投标成为实质性响应的投标。</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24.8对不同文字文本投标文件的解释发生异议的，以中文文本为准。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25.投标的澄清、说明或纠正</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对于投标文件中含义不明确、同类问题表述不一致或者有明显文字和计算错误的内容，评标委员会应当要求投标人作出必要的澄清、说明或者补正。投标人的澄清、说明或者补正不得超出投标文件的范围或者改变投标文件的实质性内容。</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25.2投标人对投标文件的澄清不得改变投标的价格（校核时发现的算术错误除外）及实质内容。</w:t>
      </w:r>
      <w:r/>
    </w:p>
    <w:p>
      <w:pPr>
        <w:ind w:left="0" w:right="0" w:firstLine="6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25.3评审中需要供应商进行澄清的通知会通过苏采云系统发出，供应商应及时登录采购系统查看澄清要求并在规定的时间内按要求进行线上答复，否则视为未实质性响应。</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有关澄清的答复应在系统内采用书面形式，该书面答复应有投标人签（盖）章，并将作为投标内容的一部分。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线上澄清答复的方式：当发起答疑澄清时，页面弹出处理答疑澄清消息菜单，点击反馈进入－点击【响应】－填写询问响应内容后，进行询问响应函签章。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26.异常低价投标审查</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26.1评标过程中出现下列情形之一的，评标委员会应当启动异常低价投标审查程序：</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（1）投标（响应）报价低于全部通过符合性审查供应商投标（响应）报价平均值50%的，即投标（响应）报价（全部通过符合性审查供应商投标（响应）报价平均值×50%；）</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（2）投标（响应）报价低于通过符合性审查的次低报价供应商投标（响应）报价50%的，即投标（响应）报价（通过符合性审查的次低报价供应商投标（响应）报价×50%；）</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（3）投标报价低于采购项目最高限价45%的，即投标报价＜采购项目最高限价×45%；</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（4）评标委员会认定的供应商报价过低、有可能影响产品质量或者不能诚信履约的其他情形。</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26.2评标委员会认定的供应商报价过低、有可能影响产品质量或者不能诚信履约的其他情形。</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26.3启动异常低价投标审查后，评标委员会应当要求相关供应商在评标现场合理的时间内，提供项目具体成本测算等与报价合理性相关的书面说明材料及相关证明材料，对投标价格作出解释，包括但不限于原材料成本、人工成本、制造费用等；评审委员会依据投标（响应）供应商不能提供书面说明、证明材料，或者提供的书面说明、证明材料不能证明其报价合理性的，评审委员会应当将其作为无效投标（响应）处理。由评标委员会根据专业经验，参考同类项目中标（成交）价格、类似产品市场价格水平、行业人工费用标准、国家有关部门指导行业协会发布的行业平均成本</w:t>
      </w:r>
      <w:r>
        <w:rPr>
          <w:rFonts w:ascii="SimSun" w:hAnsi="SimSun" w:eastAsia="SimSun" w:cs="SimSun"/>
          <w:b/>
          <w:color w:val="000000"/>
          <w:sz w:val="24"/>
        </w:rPr>
        <w:t xml:space="preserve">等情况，对报价合理性进行判断。投标供应商不提供书面说明、证明材料，或者提供的书面说明、证明材料不能证明其报价合理性的，评标委员会应当将其作为无效投标处理。审查相关情况应当在评标报告中进行记录。</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27.1 在招标过程中，出现下列情况之一的，应予废标：</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27.1.1进入评审的实质响应的供应商不足三家的；</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27.1.2出现影响采购公正的违法、违规行为的；</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27.1.3投标人的报价均超过了采购预算的，采购方不能支付的；</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27.1.4因重大变故，采购任务取消的；</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27.2 废标后，采购人将把废标的理由通知所有投标人。</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28.投标文件的评价和比较</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28.1评标委员会将仅对按照本须知有关规定确定为实质性响应招标文件要求的投标文件进行评价和比较。</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 评价和比较采用综合评分法，评委会严格按照招标文件的规定要求、条件、评分标准，对投标人所提供货物或服务的先进性、可靠性、售后服务承诺、质量保证承诺等实质性响应内容进行比较评价。</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29.中标单位的确认</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29.1中标人的数量：1个。</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29.2评标委员会根据投标人资格审查情况，对投标文件进行评价和比较，按照评标办法和标准进行评标推荐中标候选人。评标委员会有权评定中标人，同时也有权拒绝任何或所有投标人中标。</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29.3评标结果按评审后得分由高到低顺序排列。得分相同的，按投标报价由低到高顺序排列。得分且投标报价相同的并列，则由评标委员会以抽签方式确定中标候选人。投标文件满足招标文件全部实质性要求，且按照评审因素的量化指标评审得分最高的投标人为排名第一的中标候选人。</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29.4采购人或者采购代理机构应当自中标人确定之日起2个工作日内，在政府采购信息媒体上发布中标公告，中标公告期限为1个工作日。</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在公告中标结果的同时，采购人或者采购代理机构应当向中标人发出中标通知书；对未通过资格审查的投标人，应当告知其未通过的原因；采用综合评分法评审的，还应当告知未中标人本人的评审得分与排序。未中标人须在中标公告发出之日起2个工作日内向采购代理机构另行提供用以接收《未中标通知书》和“评审得分与排序”的电子邮件地址，未按时提供电子邮件地址或提供信息有误的，视为自动放弃并自行承担相应后果。</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30. 中标通知书</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30.1中标通知书将成为合同的组成部分。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31.履约保证金：本项目无需缴纳履约保证金，文件中涉及的相关条款均不适用。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详见前附表。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31.1乙方履约保证金在签订本合同前缴纳，履约保证金可采用支票、本票、汇票、电子履约保函，或者金融机构、担保机构出具的银行保函等非现金形式。如递交电子履约保函的，中标单位在江苏政府采购电子履约保函（保险）平台开具履约保函，按履约要求准时提供有关材料。开具电子保函路径：1、苏采云（江苏政府采购一体化平台）--政策支持--保险保函；2、江苏政府采购网-－保险保函；3、PC端登录 https://www.jsdzbh.com 直接开具。咨询电话：4006800040。</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31.2如果乙方未能履行合同规定的任何义务，或因乙方责任应由乙方承担的赔偿或违约金支付未完成，甲方有权从履约保证金中取得补偿。</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31.3履约保证金（无息）将在乙方履行完合同义务一个月内，凭乙方的收款收据退还余款给乙方。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31.4甲方逾期退还履约保证金的，乙方有权要求甲方自约定的退还期限届满次日起，每逾期一日，按应退还的履约保证金款项的0.03%支付违约金，直至实际退还之日为止。</w:t>
      </w:r>
      <w:r/>
    </w:p>
    <w:p>
      <w:pPr>
        <w:ind w:left="0" w:right="0" w:firstLine="480"/>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31.5乙方擅自解除合同，或因乙方违约导致甲方解除合同，或因乙方违约给甲方造成重大损失时，履约保证金不予退还。</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32.合同</w:t>
      </w:r>
      <w:r/>
    </w:p>
    <w:p>
      <w:pPr>
        <w:ind w:left="0" w:right="0" w:firstLine="3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32.1采购人应当自中标通知书发出之日起15日内，按照招标文件和中标人投标文件的规定，与中标人签订书面合同。</w:t>
      </w:r>
      <w:r/>
    </w:p>
    <w:p>
      <w:pPr>
        <w:ind w:left="40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32.2 政府采购合同的双方当事人不得擅自变更、中止或者终止合同。</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32.3政府采购合同继续履行将损害国家利益和社会公共利益的，双方当事人应当变更、中止或者终止合同。有过错的一方应当承担赔偿责任，双方都有过错的，各自承担相应的责任。</w:t>
      </w:r>
      <w:r/>
    </w:p>
    <w:p>
      <w:pPr>
        <w:ind w:left="0" w:right="0" w:firstLine="36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32.4采购人在合同签订后，可以增加与合同标的相同的货物，在不改变合同其他条款的前提下，可以与投标人协商签订补充合同，但所有补充合同的采购金额不得超过原合同采购金额的百分之十。</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32.5依据《政府采购促进中小企业发展管理办法》规定享受扶持政策获得政府采购合同的小微企业不得将合同分包给大中型企业，中型企业不得将合同分包给大型企业。</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33.质疑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33.1根据《政府采购质疑和投诉办法》财政部第94号令，供应商认为采购文件、采购过程、中标（成交）结果使自己的权益受到损害的，可以在知道或者应知其权益受到损害之日起7个工作日内，以书面形式向采购人、采购代理机构提出质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33.2本次采购文件要求供应商在法定质疑期内一次性提出针对同一采购程序环节的质疑。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33.3采购人、采购代理机构收到质疑供应商在法定质疑期内发出的质疑函，应当在收到质疑函后7个工作日内作出答复，并以书面形式通知质疑供应商和其他有关供应商。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33.4供应商提出质疑应当提交质疑函、交易文件下载确认单和必要的证明材料。质疑函应当包括下列内容：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33.5供应商的姓名或者名称、地址、邮编、联系人及联系电话；</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33.6质疑项目的名称、编号；</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33.7具体、明确的质疑事项和与质疑事项相关的请求；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33.8事实依据；</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33.9必要的法律依据；</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33.10提出质疑的日期。</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33.11质疑联系方式详见采购公告。</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34.政府采购政策</w:t>
      </w:r>
      <w:r/>
    </w:p>
    <w:p>
      <w:pPr>
        <w:ind w:left="0" w:right="0" w:firstLine="723"/>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34.1关于节能环保产品政府采购要求：</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如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left="0" w:right="0" w:firstLine="723"/>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34.2针对中小型企业的评审：</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（1）针对中小型企业的评审：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政府采购促进中小企业发展管理办法》（财库〔2020〕46号）、《关于印发&lt;苏州市政府采购促进中小企业发展实施意见&gt;的通知》（苏财购〔2022〕16号）的相关规定，供应商认定本企业提供的货物、工程或服务符合上述文件规定情形，供应商需根据《中小企业划型标准规定》（工信部联企业〔2011〕300号）提交《中小企业声明函》并加盖公章，</w:t>
      </w:r>
      <w:r>
        <w:rPr>
          <w:rFonts w:ascii="SimSun" w:hAnsi="SimSun" w:eastAsia="SimSun" w:cs="SimSun"/>
          <w:b/>
          <w:color w:val="000000"/>
          <w:sz w:val="24"/>
        </w:rPr>
        <w:t xml:space="preserve">《中小企业声明函》中所填的行业应与本采购标的对应的中小企业划分标准所属行业一致，未提交声明函或所提交的声明函中行业与本采购标的对应的中小企业划分标准所属行业不一致的不享受相关扶持政策。服务类项目中供应商若使用退休人员，将不享受相关扶持政策。</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在政府采购活动中，供应商提供的货物符合下列情形的，享受《政府采购促进中小企业发展管理办法》规定的中小企业扶持政策：</w:t>
      </w:r>
      <w:r>
        <w:rPr>
          <w:rFonts w:ascii="SimSun" w:hAnsi="SimSun" w:eastAsia="SimSun" w:cs="SimSun"/>
          <w:b/>
          <w:color w:val="000000"/>
          <w:sz w:val="24"/>
        </w:rPr>
        <w:t xml:space="preserve">在货物采购项目中，货物由中小企业制造，即货物由中小企业生产且使用该中小企业商号或者注册商标。供应商提供的货物既有中小企业制造货物，也有大型企业制造货物的，不享受中小企业扶持政策。</w:t>
      </w:r>
      <w:r>
        <w:rPr>
          <w:rFonts w:ascii="SimSun" w:hAnsi="SimSun" w:eastAsia="SimSun" w:cs="SimSun"/>
          <w:color w:val="000000"/>
          <w:sz w:val="24"/>
        </w:rPr>
        <w:t xml:space="preserve">如供应商属于小型或微型企业，对小型和微型企业的价格给予20%的扣除，用扣除后的价格参与评审。</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根据《政府采购促进中小企业发展管理办法》（财库〔2020〕46号）及《中小企业划型标准规定》（工信部联企业〔2011〕300号），本采购项目对应的中小企业划分标准所属行业为：工业。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若中小微企业提供的 “中小企业声明函” 或认定证明为虚假声明则视同提供虚假材料，按政府采购相关规定处理并报请政府监管部门给予行政处罚。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未尽事宜按照《苏州市政府采购促进中小企业发展实施意见》执行。</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（2）残疾人福利性单位</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关于促进残疾人就业政府采购政策的通知》（财库〔2017〕141号）的相关规定，在政府采购活动中残疾人福利性单位视同小型、微型企业。符合条件的残疾人福利性单位，应提交《残疾人福利性单位声明函》，并对声明的真实性负责。</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（3）监狱企业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关于政府采购支持监狱企业发展有关问题的通知》（财库〔2014〕68号）的相关规定在政府采购活动中，监狱企业视同小型、微型企业。监狱企业应当提供由省级以上监狱管理局、戒毒管理局（含新疆生产建设兵团）出具的属于监狱企业的证明文件。</w:t>
      </w:r>
      <w:r/>
    </w:p>
    <w:p>
      <w:pPr>
        <w:ind w:left="0" w:right="0" w:firstLine="482"/>
        <w:spacing w:before="240" w:after="36"/>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34.3实施本国产品标准及相关政策</w:t>
      </w:r>
      <w:r/>
    </w:p>
    <w:p>
      <w:pPr>
        <w:ind w:left="0" w:right="0" w:firstLine="0"/>
        <w:spacing w:before="240" w:after="36"/>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根据《国务院办公厅关于在政府采购中实施本国产品标准及相关政策的通知》（国办发</w:t>
      </w:r>
      <w:r>
        <w:rPr>
          <w:rFonts w:ascii="SimSun" w:hAnsi="SimSun" w:eastAsia="SimSun" w:cs="SimSun"/>
          <w:color w:val="000000"/>
          <w:sz w:val="24"/>
        </w:rPr>
        <w:t xml:space="preserve">〔</w:t>
      </w:r>
      <w:r>
        <w:rPr>
          <w:rFonts w:ascii="SimSun" w:hAnsi="SimSun" w:eastAsia="SimSun" w:cs="SimSun"/>
          <w:b/>
          <w:color w:val="000000"/>
          <w:sz w:val="24"/>
        </w:rPr>
        <w:t xml:space="preserve">2025</w:t>
      </w:r>
      <w:r>
        <w:rPr>
          <w:rFonts w:ascii="SimSun" w:hAnsi="SimSun" w:eastAsia="SimSun" w:cs="SimSun"/>
          <w:color w:val="000000"/>
          <w:sz w:val="24"/>
        </w:rPr>
        <w:t xml:space="preserve">〕</w:t>
      </w:r>
      <w:r>
        <w:rPr>
          <w:rFonts w:ascii="SimSun" w:hAnsi="SimSun" w:eastAsia="SimSun" w:cs="SimSun"/>
          <w:b/>
          <w:color w:val="000000"/>
          <w:sz w:val="24"/>
        </w:rPr>
        <w:t xml:space="preserve">34号）的规定，本项目对采购本国产品给予政策支持</w:t>
      </w:r>
      <w:r>
        <w:rPr>
          <w:rFonts w:ascii="SimSun" w:hAnsi="SimSun" w:eastAsia="SimSun" w:cs="SimSun"/>
          <w:color w:val="000000"/>
          <w:sz w:val="24"/>
        </w:rPr>
        <w:t xml:space="preserve">。</w:t>
      </w:r>
      <w:r>
        <w:rPr>
          <w:rFonts w:ascii="SimSun" w:hAnsi="SimSun" w:eastAsia="SimSun" w:cs="SimSun"/>
          <w:b/>
          <w:color w:val="000000"/>
          <w:sz w:val="24"/>
        </w:rPr>
        <w:t xml:space="preserve">供应商提供的货物，如属于本国产品，则享受相关政策。</w:t>
      </w:r>
      <w:r/>
    </w:p>
    <w:p>
      <w:pPr>
        <w:ind w:left="0" w:right="0" w:firstLine="0"/>
        <w:spacing w:before="240" w:after="3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34.3.1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0"/>
        <w:spacing w:before="240" w:after="3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34.3.2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0"/>
        <w:spacing w:before="240" w:after="3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34.3.3本项目政府采购活动中既有本国产品又有非本国产品参与竞争的，依法对本国产品给予价格评审优惠，对本国产品的报价给予20%的价格扣除，用扣除后的价格参与评审。</w:t>
      </w:r>
      <w:r/>
    </w:p>
    <w:p>
      <w:pPr>
        <w:ind w:left="0" w:right="0" w:firstLine="0"/>
        <w:spacing w:before="240" w:after="3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当采购项目或者采购包中含有多种产品，供应商为该采购项目或者采购包提供的符合本国产品标准的产品成本之和占该供应商提供的全部产品成本之和的比例达到80%以上时（供应商需在“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left="0" w:right="0" w:firstLine="0"/>
        <w:spacing w:before="240" w:after="3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34.3.4供应商需按照招标文件的要求提供《关于符合本国产品标准的声明函》（以下简称《声明函》）或财政部会同有关部门规定的有关证明文件的，如不提供或提供不符合要求的将不享受本国产品价格评审优惠。</w:t>
      </w:r>
      <w:r/>
    </w:p>
    <w:p>
      <w:pPr>
        <w:ind w:left="0" w:right="0" w:firstLine="0"/>
        <w:spacing w:before="240" w:after="3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34.3.5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left="0" w:right="0" w:firstLine="0"/>
        <w:spacing w:before="240" w:after="3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34.3.6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right="0" w:firstLine="482"/>
        <w:spacing w:before="240" w:after="36"/>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34.4信用记录</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政府采购法及相关法规，以及苏州市财政局《关于苏州市政府采购网下线“供应商信用查询”功能的通知》的规定，我们将依法对供应商进行信用查询，凡经评审小组确认不符合政府采购相关法律法规规定的，将拒绝其参与政府采购活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34.4.1查询截止时点：响应文件递交截止时间。</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34.4.2查询渠道：</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采购代理机构将通过，在中国政府采购网（http://www.ccgp.gov.cn）、信用中国（www.creditchina.gov.cn）的网站输入供应商全称或统一社会信用代码查询信用记录，并将查询结果递交评审小组。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34.4.3信用记录使用规则：对响应单位进行资格性审查时，应根据查询结果对供应商的不良信用记录逐项甄别确认。按照《中华人民共和国政府采购法》第二十二条规定，下列信用记录属于应依法拒绝供应商参加政府采购的失信信息：</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（一）政府采购严重违法记录，即供应商被全国各级财政部门列入“政府采购严重违法失信行为记录名单”，且在处罚有效期内的。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（二）财政部门与法院、工商、税务等部门联合惩戒的失信信息，包括：</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（1）被列入失信被执行人名单；</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（2）被列入重大税收违法案件当事人名单；</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企业经营异常名录中被责令停产停业、暂扣或者吊销许可证或者执照，或者对经营活动中的较大数额罚款（“较大数额罚款”认定为200万元以上的罚款，法律、行政法规以及国务院有关部门明确规定相关领域“较大数额罚款”标准高于200万元的，从其规定）的信用记录。处罚生效日至递交投标（响应）文件日未满三年的。</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35. 代理服务费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35.1本项目采购单位在申报预算时已经包含代理服务费，代理服务费由中标单位支付，本项目综合报价包含代理服务费用，请各供应商在报价时综合考虑。中标单位须按前附表的规定计算并支付代理服务费，该费用应在中标通知书发出时付清。</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35.2中标单位如果未按规定缴纳代理服务费，采购人或采购代理机构保留诉讼的权利。</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36. 未尽事宜</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按《中华人民共和国政府采购法》及其他有关的法律法规的规定执行。</w:t>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pStyle w:val="736"/>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rPr>
        <w:t xml:space="preserve">第三章  投标文件格式</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说明：</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对本章所有的投标书格式 ，投标方可根据自身情况进行补充和修改，但补充和修改不得造成与本格式内容有实质性的违背。</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格式一、投标函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投标函</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江苏京苏项目管理咨询有限公司：</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我们收到贵公司</w:t>
      </w:r>
      <w:r>
        <w:rPr>
          <w:rFonts w:ascii="SimSun" w:hAnsi="SimSun" w:eastAsia="SimSun" w:cs="SimSun"/>
          <w:color w:val="000000"/>
          <w:sz w:val="24"/>
          <w:u w:val="single"/>
        </w:rPr>
        <w:t xml:space="preserve">            </w:t>
      </w:r>
      <w:r>
        <w:rPr>
          <w:rFonts w:ascii="SimSun" w:hAnsi="SimSun" w:eastAsia="SimSun" w:cs="SimSun"/>
          <w:color w:val="000000"/>
          <w:sz w:val="24"/>
        </w:rPr>
        <w:t xml:space="preserve">号采购文件，经仔细阅读和研究，我们决定参加投标，并承诺如下：</w:t>
      </w:r>
      <w:r/>
    </w:p>
    <w:p>
      <w:pPr>
        <w:numPr>
          <w:ilvl w:val="0"/>
          <w:numId w:val="4"/>
        </w:numPr>
        <w:spacing w:before="0" w:after="0" w:line="85" w:lineRule="atLeast"/>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们愿意按照招标文件的一切要求，提供招标项目的所有内容，我们的投标报价包括但不限于所投设备及其备品、备件和专用工具费用、税费（如包括关税、货物及其所用原材料、零部件的各种国内外税费）及包装、运至最终目的地的运输、保险、检测验收、安装、调试、技术支持与培训、售后服务与维保及相关劳务支出等工作所发生的全部费用以及投标人企业利润、税金和政策性文件规定及合同包含的所有风险、责任等各项应有费用。我单位的投标报价为最终报价，除非因特殊原因并经双方协商同意，我单位不再要求追加任何费用。我单位所报价格在合同实施期间不因市场</w:t>
      </w:r>
      <w:r>
        <w:rPr>
          <w:rFonts w:ascii="SimSun" w:hAnsi="SimSun" w:eastAsia="SimSun" w:cs="SimSun"/>
          <w:color w:val="000000"/>
          <w:sz w:val="24"/>
        </w:rPr>
        <w:t xml:space="preserve">变化因素而变动，政策性条款例外。</w:t>
      </w:r>
      <w:r/>
    </w:p>
    <w:p>
      <w:pPr>
        <w:ind w:left="0" w:right="0" w:firstLine="509"/>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2.如果我们的投标书被接受，我们将严格履行招标文件中规定的每一项要求，严格履行合同的责任和义务，保证按期、按质履行合同，完成服务的全部工作。</w:t>
      </w:r>
      <w:r/>
    </w:p>
    <w:p>
      <w:pPr>
        <w:ind w:left="0" w:right="0" w:firstLine="509"/>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3.我们同意按招标文件中的规定，本投标书的有效期限为开标后</w:t>
      </w:r>
      <w:r>
        <w:rPr>
          <w:rFonts w:ascii="SimSun" w:hAnsi="SimSun" w:eastAsia="SimSun" w:cs="SimSun"/>
          <w:color w:val="000000"/>
          <w:sz w:val="24"/>
          <w:u w:val="single"/>
        </w:rPr>
        <w:t xml:space="preserve">   </w:t>
      </w:r>
      <w:r>
        <w:rPr>
          <w:rFonts w:ascii="SimSun" w:hAnsi="SimSun" w:eastAsia="SimSun" w:cs="SimSun"/>
          <w:color w:val="000000"/>
          <w:sz w:val="24"/>
        </w:rPr>
        <w:t xml:space="preserve">天。</w:t>
      </w:r>
      <w:r/>
    </w:p>
    <w:p>
      <w:pPr>
        <w:ind w:left="0" w:right="0" w:firstLine="509"/>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4.我们愿意提供招标方在招标文件中要求的所有资料。也同意向贵方提供贵方可能另外要求的与其投标有关的任何证据或资料。</w:t>
      </w:r>
      <w:r/>
    </w:p>
    <w:p>
      <w:pPr>
        <w:ind w:left="0" w:right="0" w:firstLine="509"/>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5.我们认为你们有权决定中标者，还认为你们有权接受或拒绝所有的投标者。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6.我们愿意遵守招标公告及招标文件中所列的收费标准。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7.我们承诺该项投标在开标后的全过程中保持有效，不作任何更改和变动。我们同意中标后若不履行投标文件的内容要求和各项承诺及义务的即被视为违约，其中标资格将被取消。</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8.我们同意中标方若无法按约定条款履行义务等行为，招标方有权取消我们的中标资格，并可就因我方未能履约而导致采购方损失的向我方进行索赔。</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9.如果我们中标，我们愿意按前附表规定的收费标准支付中标服务费，逾期按中国人民银行公布的同期人民币贷款最高利率计付利息；</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10.与本次投标有关的通讯地址：</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单位：联系人：</w:t>
      </w:r>
      <w:r>
        <w:rPr>
          <w:rFonts w:ascii="SimSun" w:hAnsi="SimSun" w:eastAsia="SimSun" w:cs="SimSun"/>
          <w:color w:val="000000"/>
          <w:sz w:val="24"/>
        </w:rPr>
        <w:t xml:space="preserve">                 联系电话：</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地址：邮政编码：</w:t>
      </w:r>
      <w:r/>
    </w:p>
    <w:p>
      <w:pPr>
        <w:ind w:left="0" w:right="0" w:firstLine="52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投标单位：（单位公章）                       日期： 年　　月　　日</w:t>
      </w:r>
      <w:r/>
    </w:p>
    <w:p>
      <w:pPr>
        <w:ind w:left="0" w:right="0" w:firstLine="400"/>
        <w:spacing w:before="240" w:after="240"/>
        <w:rPr>
          <w:rFonts w:ascii="Times New Roman" w:hAnsi="Times New Roman" w:eastAsia="Times New Roman" w:cs="Times New Roman"/>
          <w:color w:val="000000"/>
          <w:sz w:val="24"/>
          <w:szCs w:val="24"/>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00"/>
        <w:spacing w:before="240" w:after="240"/>
        <w:pBdr>
          <w:top w:val="none" w:color="000000" w:sz="4" w:space="0"/>
          <w:left w:val="none" w:color="000000" w:sz="4" w:space="0"/>
          <w:bottom w:val="none" w:color="000000" w:sz="4" w:space="0"/>
          <w:right w:val="none" w:color="000000" w:sz="4" w:space="0"/>
        </w:pBdr>
      </w:pPr>
      <w:r/>
      <w:r/>
    </w:p>
    <w:p>
      <w:pPr>
        <w:ind w:left="0" w:right="0" w:firstLine="400"/>
        <w:spacing w:before="240" w:after="240"/>
        <w:pBdr>
          <w:top w:val="none" w:color="000000" w:sz="4" w:space="0"/>
          <w:left w:val="none" w:color="000000" w:sz="4" w:space="0"/>
          <w:bottom w:val="none" w:color="000000" w:sz="4" w:space="0"/>
          <w:right w:val="none" w:color="000000" w:sz="4" w:space="0"/>
        </w:pBdr>
      </w:pPr>
      <w:r/>
      <w:r/>
    </w:p>
    <w:p>
      <w:pPr>
        <w:ind w:left="0" w:right="0" w:firstLine="400"/>
        <w:spacing w:before="240" w:after="240"/>
        <w:pBdr>
          <w:top w:val="none" w:color="000000" w:sz="4" w:space="0"/>
          <w:left w:val="none" w:color="000000" w:sz="4" w:space="0"/>
          <w:bottom w:val="none" w:color="000000" w:sz="4" w:space="0"/>
          <w:right w:val="none" w:color="000000" w:sz="4" w:space="0"/>
        </w:pBdr>
      </w:pPr>
      <w:r/>
      <w:r/>
    </w:p>
    <w:p>
      <w:pPr>
        <w:ind w:left="0" w:right="0" w:firstLine="400"/>
        <w:spacing w:before="240" w:after="240"/>
        <w:pBdr>
          <w:top w:val="none" w:color="000000" w:sz="4" w:space="0"/>
          <w:left w:val="none" w:color="000000" w:sz="4" w:space="0"/>
          <w:bottom w:val="none" w:color="000000" w:sz="4" w:space="0"/>
          <w:right w:val="none" w:color="000000" w:sz="4" w:space="0"/>
        </w:pBdr>
      </w:pPr>
      <w:r/>
      <w:r/>
    </w:p>
    <w:p>
      <w:pPr>
        <w:ind w:left="0" w:right="0" w:firstLine="400"/>
        <w:spacing w:before="240" w:after="240"/>
        <w:pBdr>
          <w:top w:val="none" w:color="000000" w:sz="4" w:space="0"/>
          <w:left w:val="none" w:color="000000" w:sz="4" w:space="0"/>
          <w:bottom w:val="none" w:color="000000" w:sz="4" w:space="0"/>
          <w:right w:val="none" w:color="000000" w:sz="4" w:space="0"/>
        </w:pBdr>
      </w:pPr>
      <w:r/>
      <w:r/>
    </w:p>
    <w:p>
      <w:pPr>
        <w:ind w:left="0" w:right="0" w:firstLine="400"/>
        <w:spacing w:before="240" w:after="240"/>
        <w:pBdr>
          <w:top w:val="none" w:color="000000" w:sz="4" w:space="0"/>
          <w:left w:val="none" w:color="000000" w:sz="4" w:space="0"/>
          <w:bottom w:val="none" w:color="000000" w:sz="4" w:space="0"/>
          <w:right w:val="none" w:color="000000" w:sz="4" w:space="0"/>
        </w:pBdr>
      </w:pPr>
      <w:r/>
      <w:r/>
    </w:p>
    <w:p>
      <w:pPr>
        <w:ind w:left="0" w:right="0" w:firstLine="40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r>
      <w:r>
        <w:rPr>
          <w:rFonts w:ascii="Times New Roman" w:hAnsi="Times New Roman" w:eastAsia="Times New Roman" w:cs="Times New Roman"/>
          <w:color w:val="000000"/>
          <w:sz w:val="24"/>
          <w:highlight w:val="none"/>
        </w:rPr>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格式二、法定代表人授权委托书</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法定代表人授权委托书</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2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本授权委托书声明：我</w:t>
      </w:r>
      <w:r>
        <w:rPr>
          <w:rFonts w:ascii="SimSun" w:hAnsi="SimSun" w:eastAsia="SimSun" w:cs="SimSun"/>
          <w:color w:val="000000"/>
          <w:sz w:val="24"/>
          <w:u w:val="single"/>
        </w:rPr>
        <w:t xml:space="preserve">  （姓名）</w:t>
      </w:r>
      <w:r>
        <w:rPr>
          <w:rFonts w:ascii="SimSun" w:hAnsi="SimSun" w:eastAsia="SimSun" w:cs="SimSun"/>
          <w:color w:val="000000"/>
          <w:sz w:val="24"/>
        </w:rPr>
        <w:t xml:space="preserve">系</w:t>
      </w:r>
      <w:r>
        <w:rPr>
          <w:rFonts w:ascii="SimSun" w:hAnsi="SimSun" w:eastAsia="SimSun" w:cs="SimSun"/>
          <w:color w:val="000000"/>
          <w:sz w:val="24"/>
          <w:u w:val="single"/>
        </w:rPr>
        <w:t xml:space="preserve">（供应商名称）</w:t>
      </w:r>
      <w:r>
        <w:rPr>
          <w:rFonts w:ascii="SimSun" w:hAnsi="SimSun" w:eastAsia="SimSun" w:cs="SimSun"/>
          <w:color w:val="000000"/>
          <w:sz w:val="24"/>
        </w:rPr>
        <w:t xml:space="preserve">的法定代表人，现授权委托</w:t>
      </w:r>
      <w:r>
        <w:rPr>
          <w:rFonts w:ascii="SimSun" w:hAnsi="SimSun" w:eastAsia="SimSun" w:cs="SimSun"/>
          <w:color w:val="000000"/>
          <w:sz w:val="24"/>
          <w:u w:val="single"/>
        </w:rPr>
        <w:t xml:space="preserve"> （姓名）</w:t>
      </w:r>
      <w:r>
        <w:rPr>
          <w:rFonts w:ascii="SimSun" w:hAnsi="SimSun" w:eastAsia="SimSun" w:cs="SimSun"/>
          <w:color w:val="000000"/>
          <w:sz w:val="24"/>
        </w:rPr>
        <w:t xml:space="preserve">为我公司授权代表（即代理人），以本公司的名义参加 </w:t>
      </w:r>
      <w:r>
        <w:rPr>
          <w:rFonts w:ascii="SimSun" w:hAnsi="SimSun" w:eastAsia="SimSun" w:cs="SimSun"/>
          <w:color w:val="000000"/>
          <w:sz w:val="24"/>
          <w:u w:val="single"/>
        </w:rPr>
        <w:t xml:space="preserve">       </w:t>
      </w:r>
      <w:r>
        <w:rPr>
          <w:rFonts w:ascii="SimSun" w:hAnsi="SimSun" w:eastAsia="SimSun" w:cs="SimSun"/>
          <w:color w:val="000000"/>
          <w:sz w:val="24"/>
        </w:rPr>
        <w:t xml:space="preserve">组织实施的编号为</w:t>
      </w:r>
      <w:r>
        <w:rPr>
          <w:rFonts w:ascii="SimSun" w:hAnsi="SimSun" w:eastAsia="SimSun" w:cs="SimSun"/>
          <w:color w:val="000000"/>
          <w:sz w:val="24"/>
          <w:u w:val="single"/>
        </w:rPr>
        <w:t xml:space="preserve">        </w:t>
      </w:r>
      <w:r>
        <w:rPr>
          <w:rFonts w:ascii="SimSun" w:hAnsi="SimSun" w:eastAsia="SimSun" w:cs="SimSun"/>
          <w:color w:val="000000"/>
          <w:sz w:val="24"/>
        </w:rPr>
        <w:t xml:space="preserve">号的投标活动。授权代表在投标活动过程中所签署的一切文件和处理与这有关的一切事务，我均予以承认。</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授权代表在授权委托书有效期内签署的所有文件不因授权委托的撤销而失效，除非有撤销授权委托的书面通知，本授权委托书自投标活动开始至合同履行完毕止。</w:t>
      </w:r>
      <w:r/>
    </w:p>
    <w:p>
      <w:pPr>
        <w:ind w:left="0" w:right="0" w:firstLine="52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授权代表无转委托权。特此委托。</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投标单位：（单位公章）</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法定代表人：（签字或盖章）</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代理人：（签字或盖章）</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年　　月　　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格式三、开标一览表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开标一览表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1"/>
        </w:rPr>
        <w:t xml:space="preserve">采购编号：</w:t>
      </w:r>
      <w:r/>
    </w:p>
    <w:tbl>
      <w:tblPr>
        <w:tblStyle w:val="7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110"/>
        <w:gridCol w:w="4111"/>
        <w:gridCol w:w="1982"/>
        <w:gridCol w:w="1081"/>
      </w:tblGrid>
      <w:tr>
        <w:trPr>
          <w:trHeight w:val="60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1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1"/>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1"/>
              </w:rPr>
              <w:t xml:space="preserve">投标报价（元）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8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1"/>
              </w:rPr>
              <w:t xml:space="preserve">交货期限</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1"/>
              </w:rPr>
              <w:t xml:space="preserve">税率%</w:t>
            </w:r>
            <w:r/>
          </w:p>
        </w:tc>
      </w:tr>
      <w:tr>
        <w:trPr>
          <w:trHeight w:val="93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1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1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1"/>
              </w:rPr>
              <w:t xml:space="preserve"> </w:t>
            </w:r>
            <w:r/>
          </w:p>
        </w:tc>
      </w:tr>
      <w:tr>
        <w:trPr>
          <w:trHeight w:val="93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10" w:type="dxa"/>
            <w:vAlign w:val="center"/>
            <w:textDirection w:val="lrTb"/>
            <w:noWrap w:val="false"/>
          </w:tcPr>
          <w:p>
            <w:pPr>
              <w:ind w:left="26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1"/>
              </w:rPr>
              <w:t xml:space="preserve">投标总价（元）</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7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1"/>
              </w:rPr>
              <w:t xml:space="preserve">大写：</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1"/>
              </w:rPr>
              <w:t xml:space="preserve">小写：</w:t>
            </w:r>
            <w:r/>
          </w:p>
        </w:tc>
      </w:tr>
      <w:tr>
        <w:trPr>
          <w:trHeight w:val="93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1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7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□中型企业   □小型企业   □微型企业   □残疾人福利性单位   □监狱企业</w:t>
            </w:r>
            <w:r/>
          </w:p>
        </w:tc>
      </w:tr>
    </w:tbl>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投标单位：（单位公章）</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法定代表人：（签字或盖章）</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格式四、分项报价表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分项报价表</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tbl>
      <w:tblPr>
        <w:tblStyle w:val="7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12"/>
        <w:gridCol w:w="2119"/>
        <w:gridCol w:w="1116"/>
        <w:gridCol w:w="1596"/>
        <w:gridCol w:w="1915"/>
        <w:gridCol w:w="1579"/>
      </w:tblGrid>
      <w:tr>
        <w:trPr>
          <w:trHeight w:val="78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标的物名称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50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3"/>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符合本国产品标准的产品成本之和占本项目提供的全部产品成本之和的比例：</w:t>
            </w:r>
            <w:r>
              <w:rPr>
                <w:rFonts w:ascii="SimSun" w:hAnsi="SimSun" w:eastAsia="SimSun" w:cs="SimSun"/>
                <w:color w:val="000000"/>
                <w:sz w:val="24"/>
                <w:u w:val="single"/>
              </w:rPr>
              <w:t xml:space="preserve">    %</w:t>
            </w:r>
            <w:r/>
          </w:p>
        </w:tc>
      </w:tr>
    </w:tbl>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w:t>
      </w:r>
      <w:r>
        <w:rPr>
          <w:rFonts w:ascii="SimSun" w:hAnsi="SimSun" w:eastAsia="SimSun" w:cs="SimSun"/>
          <w:color w:val="000000"/>
          <w:sz w:val="24"/>
        </w:rPr>
        <w:t xml:space="preserve">本项目采购单位在申报预算时已经包含代理服务费，代理服务费由中标单位支付，本项目综合报价包含代理服务费用，请各供应商在报价时综合考虑</w:t>
      </w:r>
      <w:r>
        <w:rPr>
          <w:rFonts w:ascii="SimSun" w:hAnsi="SimSun" w:eastAsia="SimSun" w:cs="SimSun"/>
          <w:b/>
          <w:color w:val="000000"/>
          <w:sz w:val="24"/>
        </w:rPr>
        <w:t xml:space="preserve">。</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投标单位：（单位公章）</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法定代表人：（签字或盖章）</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格式五、货物清单表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货物清单表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采购编号：</w:t>
      </w:r>
      <w:r/>
    </w:p>
    <w:tbl>
      <w:tblPr>
        <w:tblStyle w:val="7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95"/>
        <w:gridCol w:w="1400"/>
        <w:gridCol w:w="1400"/>
        <w:gridCol w:w="1400"/>
        <w:gridCol w:w="1400"/>
        <w:gridCol w:w="1476"/>
        <w:gridCol w:w="983"/>
      </w:tblGrid>
      <w:tr>
        <w:trPr>
          <w:trHeight w:val="45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型号/规格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生产厂家</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7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备注</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5" w:type="dxa"/>
            <w:vAlign w:val="top"/>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0" w:type="dxa"/>
            <w:vAlign w:val="top"/>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0" w:type="dxa"/>
            <w:vAlign w:val="top"/>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0" w:type="dxa"/>
            <w:vAlign w:val="top"/>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0" w:type="dxa"/>
            <w:vAlign w:val="top"/>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6" w:type="dxa"/>
            <w:vAlign w:val="top"/>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3" w:type="dxa"/>
            <w:vAlign w:val="top"/>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5" w:type="dxa"/>
            <w:vAlign w:val="top"/>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0" w:type="dxa"/>
            <w:vAlign w:val="top"/>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0" w:type="dxa"/>
            <w:vAlign w:val="top"/>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0" w:type="dxa"/>
            <w:vAlign w:val="top"/>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0" w:type="dxa"/>
            <w:vAlign w:val="top"/>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6" w:type="dxa"/>
            <w:vAlign w:val="top"/>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3" w:type="dxa"/>
            <w:vAlign w:val="top"/>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5" w:type="dxa"/>
            <w:vAlign w:val="top"/>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0" w:type="dxa"/>
            <w:vAlign w:val="top"/>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0" w:type="dxa"/>
            <w:vAlign w:val="top"/>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0" w:type="dxa"/>
            <w:vAlign w:val="top"/>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0" w:type="dxa"/>
            <w:vAlign w:val="top"/>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6" w:type="dxa"/>
            <w:vAlign w:val="top"/>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3" w:type="dxa"/>
            <w:vAlign w:val="top"/>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5" w:type="dxa"/>
            <w:vAlign w:val="top"/>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0" w:type="dxa"/>
            <w:vAlign w:val="top"/>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0" w:type="dxa"/>
            <w:vAlign w:val="top"/>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0" w:type="dxa"/>
            <w:vAlign w:val="top"/>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0" w:type="dxa"/>
            <w:vAlign w:val="top"/>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6" w:type="dxa"/>
            <w:vAlign w:val="top"/>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3" w:type="dxa"/>
            <w:vAlign w:val="top"/>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5" w:type="dxa"/>
            <w:vAlign w:val="top"/>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0" w:type="dxa"/>
            <w:vAlign w:val="top"/>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0" w:type="dxa"/>
            <w:vAlign w:val="top"/>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0" w:type="dxa"/>
            <w:vAlign w:val="top"/>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0" w:type="dxa"/>
            <w:vAlign w:val="top"/>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6" w:type="dxa"/>
            <w:vAlign w:val="top"/>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3" w:type="dxa"/>
            <w:vAlign w:val="top"/>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5" w:type="dxa"/>
            <w:vAlign w:val="top"/>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0" w:type="dxa"/>
            <w:vAlign w:val="top"/>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0" w:type="dxa"/>
            <w:vAlign w:val="top"/>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0" w:type="dxa"/>
            <w:vAlign w:val="top"/>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0" w:type="dxa"/>
            <w:vAlign w:val="top"/>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6" w:type="dxa"/>
            <w:vAlign w:val="top"/>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3" w:type="dxa"/>
            <w:vAlign w:val="top"/>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5" w:type="dxa"/>
            <w:vAlign w:val="top"/>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0" w:type="dxa"/>
            <w:vAlign w:val="top"/>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0" w:type="dxa"/>
            <w:vAlign w:val="top"/>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0" w:type="dxa"/>
            <w:vAlign w:val="top"/>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0" w:type="dxa"/>
            <w:vAlign w:val="top"/>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6" w:type="dxa"/>
            <w:vAlign w:val="top"/>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3" w:type="dxa"/>
            <w:vAlign w:val="top"/>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bl>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投标单位：（单位公章）</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格式六、售后服务承诺书</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售后服务承诺书</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bl>
      <w:tblPr>
        <w:tblStyle w:val="7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28"/>
        <w:gridCol w:w="3060"/>
        <w:gridCol w:w="1800"/>
        <w:gridCol w:w="2616"/>
      </w:tblGrid>
      <w:tr>
        <w:trPr>
          <w:trHeight w:val="85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60"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售后服务内容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00"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期限（时间）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16" w:type="dxa"/>
            <w:vAlign w:val="center"/>
            <w:textDirection w:val="lrTb"/>
            <w:noWrap/>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8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tcPr>
          <w:p>
            <w:pPr>
              <w:ind w:left="0" w:right="0" w:firstLine="0"/>
              <w:jc w:val="center"/>
              <w:spacing w:before="25" w:after="2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dxa"/>
            <w:vAlign w:val="center"/>
            <w:textDirection w:val="lrTb"/>
            <w:noWrap/>
          </w:tcPr>
          <w:p>
            <w:pPr>
              <w:ind w:left="0" w:right="0" w:firstLine="0"/>
              <w:jc w:val="center"/>
              <w:spacing w:before="25" w:after="2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免费质保期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0" w:type="dxa"/>
            <w:vAlign w:val="center"/>
            <w:textDirection w:val="lrTb"/>
            <w:noWrap/>
          </w:tcPr>
          <w:p>
            <w:pPr>
              <w:ind w:left="0" w:right="0" w:firstLine="0"/>
              <w:jc w:val="center"/>
              <w:spacing w:before="25" w:after="2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16" w:type="dxa"/>
            <w:vAlign w:val="center"/>
            <w:textDirection w:val="lrTb"/>
            <w:noWrap/>
          </w:tcPr>
          <w:p>
            <w:pPr>
              <w:ind w:left="0" w:right="0" w:firstLine="0"/>
              <w:jc w:val="center"/>
              <w:spacing w:before="25" w:after="2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tcPr>
          <w:p>
            <w:pPr>
              <w:ind w:left="0" w:right="0" w:firstLine="0"/>
              <w:jc w:val="center"/>
              <w:spacing w:before="25" w:after="2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dxa"/>
            <w:vAlign w:val="center"/>
            <w:textDirection w:val="lrTb"/>
            <w:noWrap/>
          </w:tcPr>
          <w:p>
            <w:pPr>
              <w:ind w:left="0" w:right="0" w:firstLine="0"/>
              <w:jc w:val="center"/>
              <w:spacing w:before="25" w:after="2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服务响应</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0" w:type="dxa"/>
            <w:vAlign w:val="center"/>
            <w:textDirection w:val="lrTb"/>
            <w:noWrap/>
          </w:tcPr>
          <w:p>
            <w:pPr>
              <w:ind w:left="0" w:right="0" w:firstLine="0"/>
              <w:jc w:val="center"/>
              <w:spacing w:before="25" w:after="2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16" w:type="dxa"/>
            <w:vAlign w:val="center"/>
            <w:textDirection w:val="lrTb"/>
            <w:noWrap/>
          </w:tcPr>
          <w:p>
            <w:pPr>
              <w:ind w:left="0" w:right="0" w:firstLine="0"/>
              <w:jc w:val="center"/>
              <w:spacing w:before="25" w:after="2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tcPr>
          <w:p>
            <w:pPr>
              <w:ind w:left="0" w:right="0" w:firstLine="0"/>
              <w:jc w:val="center"/>
              <w:spacing w:before="25" w:after="2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dxa"/>
            <w:vAlign w:val="center"/>
            <w:textDirection w:val="lrTb"/>
            <w:noWrap/>
          </w:tcPr>
          <w:p>
            <w:pPr>
              <w:ind w:left="0" w:right="0" w:firstLine="0"/>
              <w:jc w:val="center"/>
              <w:spacing w:before="25" w:after="2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到达现场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0" w:type="dxa"/>
            <w:vAlign w:val="center"/>
            <w:textDirection w:val="lrTb"/>
            <w:noWrap/>
          </w:tcPr>
          <w:p>
            <w:pPr>
              <w:ind w:left="0" w:right="0" w:firstLine="0"/>
              <w:jc w:val="center"/>
              <w:spacing w:before="25" w:after="2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16" w:type="dxa"/>
            <w:vAlign w:val="center"/>
            <w:textDirection w:val="lrTb"/>
            <w:noWrap/>
          </w:tcPr>
          <w:p>
            <w:pPr>
              <w:ind w:left="0" w:right="0" w:firstLine="0"/>
              <w:jc w:val="center"/>
              <w:spacing w:before="25" w:after="2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tcPr>
          <w:p>
            <w:pPr>
              <w:ind w:left="0" w:right="0" w:firstLine="0"/>
              <w:jc w:val="center"/>
              <w:spacing w:before="25" w:after="2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dxa"/>
            <w:vAlign w:val="center"/>
            <w:textDirection w:val="lrTb"/>
            <w:noWrap/>
          </w:tcPr>
          <w:p>
            <w:pPr>
              <w:ind w:left="0" w:right="0" w:firstLine="0"/>
              <w:jc w:val="center"/>
              <w:spacing w:before="25" w:after="2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解决问题</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0" w:type="dxa"/>
            <w:vAlign w:val="center"/>
            <w:textDirection w:val="lrTb"/>
            <w:noWrap/>
          </w:tcPr>
          <w:p>
            <w:pPr>
              <w:ind w:left="0" w:right="0" w:firstLine="0"/>
              <w:jc w:val="center"/>
              <w:spacing w:before="25" w:after="2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16" w:type="dxa"/>
            <w:vAlign w:val="center"/>
            <w:textDirection w:val="lrTb"/>
            <w:noWrap/>
          </w:tcPr>
          <w:p>
            <w:pPr>
              <w:ind w:left="0" w:right="0" w:firstLine="0"/>
              <w:jc w:val="center"/>
              <w:spacing w:before="25" w:after="2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tcPr>
          <w:p>
            <w:pPr>
              <w:ind w:left="0" w:right="0" w:firstLine="0"/>
              <w:jc w:val="center"/>
              <w:spacing w:before="25" w:after="2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0" w:type="dxa"/>
            <w:vAlign w:val="center"/>
            <w:textDirection w:val="lrTb"/>
            <w:noWrap/>
          </w:tcPr>
          <w:p>
            <w:pPr>
              <w:ind w:left="0" w:right="0" w:firstLine="0"/>
              <w:jc w:val="center"/>
              <w:spacing w:before="25" w:after="2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0" w:type="dxa"/>
            <w:vAlign w:val="center"/>
            <w:textDirection w:val="lrTb"/>
            <w:noWrap/>
          </w:tcPr>
          <w:p>
            <w:pPr>
              <w:ind w:left="0" w:right="0" w:firstLine="0"/>
              <w:jc w:val="center"/>
              <w:spacing w:before="25" w:after="2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16" w:type="dxa"/>
            <w:vAlign w:val="center"/>
            <w:textDirection w:val="lrTb"/>
            <w:noWrap/>
          </w:tcPr>
          <w:p>
            <w:pPr>
              <w:ind w:left="0" w:right="0" w:firstLine="0"/>
              <w:jc w:val="center"/>
              <w:spacing w:before="25" w:after="2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25" w:after="2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注：1、针对服务内容有必须说明的事项，请在“备注”栏目内注明；</w:t>
      </w:r>
      <w:r/>
    </w:p>
    <w:p>
      <w:pPr>
        <w:ind w:left="0" w:right="0" w:firstLine="480"/>
        <w:spacing w:before="25" w:after="2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2、如有其它售后服务内容，可自行参照填写。</w:t>
      </w:r>
      <w:r/>
    </w:p>
    <w:p>
      <w:pPr>
        <w:ind w:left="0" w:right="0" w:firstLine="0"/>
        <w:spacing w:before="25" w:after="2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投标单位：（单位公章）</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附件七、技术参数对照偏离表</w:t>
      </w:r>
      <w:r/>
    </w:p>
    <w:p>
      <w:pPr>
        <w:ind w:left="0" w:right="0" w:firstLine="0"/>
        <w:jc w:val="center"/>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技术参数对照偏离表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1"/>
        </w:rPr>
        <w:t xml:space="preserve">采购编号：</w:t>
      </w:r>
      <w:r/>
    </w:p>
    <w:tbl>
      <w:tblPr>
        <w:tblStyle w:val="7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70"/>
        <w:gridCol w:w="2524"/>
        <w:gridCol w:w="2372"/>
        <w:gridCol w:w="1913"/>
        <w:gridCol w:w="1121"/>
        <w:gridCol w:w="714"/>
      </w:tblGrid>
      <w:tr>
        <w:trPr>
          <w:trHeight w:val="51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采购文件技术条款描述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投标文件响应条款描述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1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响应情况（响应或不响应）</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2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对应页码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2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1.投标单位提交的投标文件应在本表中将投标文件实际响应的技术要求与采购文件的技术参数进行逐项对应列出对比，并在“偏离说明”项下填写以下内容：优于的，填写“正偏离”；符合的，填写“无偏离”；低于的，填写“负偏离”。</w:t>
      </w:r>
      <w:r/>
    </w:p>
    <w:p>
      <w:pPr>
        <w:ind w:left="0" w:right="0" w:firstLine="8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2.若事项较多，投标单位可根据投标内容的实际情况另纸说明。</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2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投标单位：（单位公章）</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格式八、商务条款偏离表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商务条款偏离表</w:t>
      </w:r>
      <w:r/>
    </w:p>
    <w:p>
      <w:pPr>
        <w:ind w:left="0" w:right="0" w:firstLine="5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1"/>
        </w:rPr>
        <w:t xml:space="preserve">采购编号：</w:t>
      </w:r>
      <w:r/>
    </w:p>
    <w:tbl>
      <w:tblPr>
        <w:tblStyle w:val="7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03"/>
        <w:gridCol w:w="3243"/>
        <w:gridCol w:w="2154"/>
        <w:gridCol w:w="2026"/>
        <w:gridCol w:w="961"/>
      </w:tblGrid>
      <w:tr>
        <w:trPr>
          <w:trHeight w:val="46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2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偏离说明</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交货要求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付款方式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合同主要条款</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4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1.投标单位提交的投标文件应在本表中将投标文件实际响应的商务部分与采购文件的商务部分进行列出对比，并在“偏离说明”项下填写以下内容：优于的，填写“正偏离”；符合的，填写“无偏离”；低于的，填写“负偏离”。</w:t>
      </w:r>
      <w:r/>
    </w:p>
    <w:p>
      <w:pPr>
        <w:ind w:left="0" w:right="0" w:firstLine="8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2.若事项较多，投标单位可根据投标内容的实际情况另纸说明。</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投标单位：（单位公章）</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570" w:right="0" w:firstLine="0"/>
        <w:spacing w:before="240" w:after="240" w:line="5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格式九、类似业绩一览表</w:t>
      </w:r>
      <w:r/>
    </w:p>
    <w:p>
      <w:pPr>
        <w:ind w:left="0" w:right="0" w:firstLine="38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类似业绩一览表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1"/>
        </w:rPr>
        <w:t xml:space="preserve">采购编号：</w:t>
      </w:r>
      <w:r/>
    </w:p>
    <w:tbl>
      <w:tblPr>
        <w:tblStyle w:val="7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813"/>
        <w:gridCol w:w="2585"/>
        <w:gridCol w:w="1023"/>
        <w:gridCol w:w="1023"/>
        <w:gridCol w:w="1021"/>
      </w:tblGrid>
      <w:tr>
        <w:trPr>
          <w:trHeight w:val="390"/>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8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5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0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合同金额</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0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签订日期</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02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rHeight w:val="3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8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2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8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2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8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2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8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2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8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2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8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2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pStyle w:val="738"/>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pStyle w:val="738"/>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投标单位：（单位公章）</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格式十、资格证明文件</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（1）关于资格文件的声明函</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关于资格文件的声明函</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9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6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本公司愿就由贵公司组织实施的采购编号为</w:t>
      </w:r>
      <w:r>
        <w:rPr>
          <w:rFonts w:ascii="SimSun" w:hAnsi="SimSun" w:eastAsia="SimSun" w:cs="SimSun"/>
          <w:color w:val="000000"/>
          <w:sz w:val="24"/>
          <w:u w:val="single"/>
        </w:rPr>
        <w:t xml:space="preserve">          </w:t>
      </w:r>
      <w:r>
        <w:rPr>
          <w:rFonts w:ascii="SimSun" w:hAnsi="SimSun" w:eastAsia="SimSun" w:cs="SimSun"/>
          <w:color w:val="000000"/>
          <w:sz w:val="24"/>
        </w:rPr>
        <w:t xml:space="preserve">号的招标活动进行投标。本公司所提交的投标文件中所有关于投标资格的文件、证明和陈述均是真实的、准确的。若与真实情况不符，本公司愿意承担由此而产生的一切后果。</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ab/>
        <w:tab/>
        <w:tab/>
        <w:tab/>
      </w:r>
      <w:r/>
    </w:p>
    <w:p>
      <w:pPr>
        <w:pStyle w:val="738"/>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投标单位：（单位公章）</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（2）投标人情况表</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投标人情况表</w:t>
      </w:r>
      <w:r/>
    </w:p>
    <w:tbl>
      <w:tblPr>
        <w:tblStyle w:val="7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667"/>
        <w:gridCol w:w="1788"/>
        <w:gridCol w:w="1446"/>
        <w:gridCol w:w="2049"/>
        <w:gridCol w:w="123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67"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88"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46"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成立日期</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79"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67"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8"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6"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注册资本</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79" w:type="dxa"/>
            <w:vAlign w:val="top"/>
            <w:textDirection w:val="lrTb"/>
            <w:noWrap w:val="false"/>
          </w:tcPr>
          <w:p>
            <w:pPr>
              <w:ind w:left="0" w:right="0" w:firstLine="216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67"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经营范围</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13"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67"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职工人数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8"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95"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其中：有中高级以上职称的人数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30"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67" w:type="dxa"/>
            <w:vAlign w:val="center"/>
            <w:textDirection w:val="lrTb"/>
            <w:noWrap w:val="false"/>
          </w:tcPr>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资产总计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8"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6" w:type="dxa"/>
            <w:vAlign w:val="center"/>
            <w:textDirection w:val="lrTb"/>
            <w:noWrap w:val="false"/>
          </w:tcPr>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净资产</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79"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67" w:type="dxa"/>
            <w:vAlign w:val="center"/>
            <w:textDirection w:val="lrTb"/>
            <w:noWrap w:val="false"/>
          </w:tcPr>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股东权益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8"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6" w:type="dxa"/>
            <w:vAlign w:val="center"/>
            <w:textDirection w:val="lrTb"/>
            <w:noWrap w:val="false"/>
          </w:tcPr>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销售收入</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79" w:type="dxa"/>
            <w:vAlign w:val="center"/>
            <w:textDirection w:val="lrTb"/>
            <w:noWrap w:val="false"/>
          </w:tcPr>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2025年    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67"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实现利润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8"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2025年  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6"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79"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67"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营业面积（含厂房面积）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8" w:type="dxa"/>
            <w:vAlign w:val="center"/>
            <w:textDirection w:val="lrTb"/>
            <w:noWrap w:val="false"/>
          </w:tcPr>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平方米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6"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其中：</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79"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自有面积平方米</w:t>
            </w:r>
            <w:r/>
          </w:p>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承租面积平方米</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67"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单位简历及内设机构情况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13"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67"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单位优势及特长</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13"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67"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近三年来完成或正在履行的重大合同情况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13"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67"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最近2年内在经营过程中受到何种奖励或处分</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13"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（包括财政、工商、税务、物价、技监部门稽查情况和结果）</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67"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最近3年内有无因售假、售劣或是其他原因被消费者投诉或起诉的情况及说明</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13"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（包括解决方式和结果）</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67"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最近3年内主要负责人有无因经济犯罪被司法机关追究的情况及说明</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13"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67"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其他需要说明的情况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13"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（3）供应商与其他单位存在控股、管理关系情况表</w:t>
      </w:r>
      <w:r/>
    </w:p>
    <w:p>
      <w:pPr>
        <w:ind w:left="0" w:right="0" w:firstLine="0"/>
        <w:jc w:val="center"/>
        <w:spacing w:before="100" w:after="1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供应商与其他单位存在控股、管理关系情况表</w:t>
      </w:r>
      <w:r/>
    </w:p>
    <w:tbl>
      <w:tblPr>
        <w:tblStyle w:val="7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09"/>
        <w:gridCol w:w="3946"/>
      </w:tblGrid>
      <w:tr>
        <w:trPr>
          <w:trHeight w:val="63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0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供应商与其他单位存在控股、管理关系的单位名称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946"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控股、管理关系情况说明</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46"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46"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46"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46"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46"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46"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r>
    </w:tbl>
    <w:p>
      <w:pPr>
        <w:ind w:left="0" w:right="0" w:firstLine="0"/>
        <w:spacing w:before="75" w:after="75" w:line="43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注：投标单位应当按实填写所有与之有控股、管理关系的情况。</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b/>
          <w:color w:val="000000"/>
          <w:sz w:val="24"/>
        </w:rPr>
        <w:t xml:space="preserve">（4）中小企业声明函</w:t>
      </w:r>
      <w:r/>
    </w:p>
    <w:p>
      <w:pPr>
        <w:ind w:left="0" w:right="0" w:firstLine="1285"/>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中小企业声明函（货物类）</w:t>
      </w:r>
      <w:r/>
    </w:p>
    <w:p>
      <w:pPr>
        <w:ind w:left="0" w:right="0" w:firstLine="843"/>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江苏京苏项目管理咨询有限公司：</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本公司郑重声明，根据《政府采购促进中小企业发展管理办法》（财库﹝2020﹞46 号）的规定，本公司参加的采购活动，提供的货物</w:t>
      </w:r>
      <w:r>
        <w:rPr>
          <w:rFonts w:ascii="SimSun" w:hAnsi="SimSun" w:eastAsia="SimSun" w:cs="SimSun"/>
          <w:b/>
          <w:color w:val="000000"/>
          <w:sz w:val="24"/>
        </w:rPr>
        <w:t xml:space="preserve">全部</w:t>
      </w:r>
      <w:r>
        <w:rPr>
          <w:rFonts w:ascii="SimSun" w:hAnsi="SimSun" w:eastAsia="SimSun" w:cs="SimSun"/>
          <w:color w:val="000000"/>
          <w:sz w:val="24"/>
        </w:rPr>
        <w:t xml:space="preserve">由符合政策要求的下列中小企业制造。相关企业（含联合体中的中小企业、签订分包意向协议的中小企业）的具体情况如下：</w:t>
      </w:r>
      <w:r/>
    </w:p>
    <w:p>
      <w:pPr>
        <w:ind w:left="0" w:right="0" w:firstLine="42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w:t>
      </w:r>
      <w:r>
        <w:rPr>
          <w:rFonts w:ascii="SimSun" w:hAnsi="SimSun" w:eastAsia="SimSun" w:cs="SimSun"/>
          <w:b/>
          <w:color w:val="000000"/>
          <w:sz w:val="24"/>
          <w:u w:val="single"/>
        </w:rPr>
        <w:t xml:space="preserve">  ……        设备</w:t>
      </w:r>
      <w:r>
        <w:rPr>
          <w:rFonts w:ascii="SimSun" w:hAnsi="SimSun" w:eastAsia="SimSun" w:cs="SimSun"/>
          <w:b/>
          <w:color w:val="000000"/>
          <w:sz w:val="24"/>
        </w:rPr>
        <w:t xml:space="preserve">，属于</w:t>
      </w:r>
      <w:r>
        <w:rPr>
          <w:rFonts w:ascii="SimSun" w:hAnsi="SimSun" w:eastAsia="SimSun" w:cs="SimSun"/>
          <w:b/>
          <w:color w:val="000000"/>
          <w:sz w:val="24"/>
          <w:u w:val="single"/>
        </w:rPr>
        <w:t xml:space="preserve">  工业</w:t>
      </w:r>
      <w:r>
        <w:rPr>
          <w:rFonts w:ascii="SimSun" w:hAnsi="SimSun" w:eastAsia="SimSun" w:cs="SimSun"/>
          <w:color w:val="000000"/>
          <w:sz w:val="24"/>
        </w:rPr>
        <w:t xml:space="preserve">；制造商（企业名称），从业人员人，营业收入为万元，资产总额为万元，制造商属于（中型企业、小型企业、微型企业，</w:t>
      </w:r>
      <w:r>
        <w:rPr>
          <w:rFonts w:ascii="SimSun" w:hAnsi="SimSun" w:eastAsia="SimSun" w:cs="SimSun"/>
          <w:b/>
          <w:color w:val="000000"/>
          <w:sz w:val="24"/>
          <w:u w:val="single"/>
        </w:rPr>
        <w:t xml:space="preserve">三选一填写</w:t>
      </w:r>
      <w:r>
        <w:rPr>
          <w:rFonts w:ascii="SimSun" w:hAnsi="SimSun" w:eastAsia="SimSun" w:cs="SimSun"/>
          <w:color w:val="000000"/>
          <w:sz w:val="24"/>
        </w:rPr>
        <w:t xml:space="preserve">）；</w:t>
      </w:r>
      <w:r/>
    </w:p>
    <w:p>
      <w:pPr>
        <w:ind w:left="0" w:right="0" w:firstLine="42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w:t>
      </w:r>
      <w:r>
        <w:rPr>
          <w:rFonts w:ascii="SimSun" w:hAnsi="SimSun" w:eastAsia="SimSun" w:cs="SimSun"/>
          <w:b/>
          <w:color w:val="000000"/>
          <w:sz w:val="24"/>
          <w:u w:val="single"/>
        </w:rPr>
        <w:t xml:space="preserve">  ……         设备</w:t>
      </w:r>
      <w:r>
        <w:rPr>
          <w:rFonts w:ascii="SimSun" w:hAnsi="SimSun" w:eastAsia="SimSun" w:cs="SimSun"/>
          <w:b/>
          <w:color w:val="000000"/>
          <w:sz w:val="24"/>
        </w:rPr>
        <w:t xml:space="preserve">，属于</w:t>
      </w:r>
      <w:r>
        <w:rPr>
          <w:rFonts w:ascii="SimSun" w:hAnsi="SimSun" w:eastAsia="SimSun" w:cs="SimSun"/>
          <w:b/>
          <w:color w:val="000000"/>
          <w:sz w:val="24"/>
          <w:u w:val="single"/>
        </w:rPr>
        <w:t xml:space="preserve">  工业</w:t>
      </w:r>
      <w:r>
        <w:rPr>
          <w:rFonts w:ascii="SimSun" w:hAnsi="SimSun" w:eastAsia="SimSun" w:cs="SimSun"/>
          <w:color w:val="000000"/>
          <w:sz w:val="24"/>
        </w:rPr>
        <w:t xml:space="preserve">；制造商（企业名称），从业人员人，营业收入为万元，资产总额为万元，制造商属于（中型企业、小型企业、微型企业，</w:t>
      </w:r>
      <w:r>
        <w:rPr>
          <w:rFonts w:ascii="SimSun" w:hAnsi="SimSun" w:eastAsia="SimSun" w:cs="SimSun"/>
          <w:b/>
          <w:color w:val="000000"/>
          <w:sz w:val="24"/>
          <w:u w:val="single"/>
        </w:rPr>
        <w:t xml:space="preserve">三选一填写</w:t>
      </w:r>
      <w:r>
        <w:rPr>
          <w:rFonts w:ascii="SimSun" w:hAnsi="SimSun" w:eastAsia="SimSun" w:cs="SimSun"/>
          <w:color w:val="000000"/>
          <w:sz w:val="24"/>
        </w:rPr>
        <w:t xml:space="preserve">）；</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48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企业名称（盖章）：</w:t>
      </w:r>
      <w:r/>
    </w:p>
    <w:p>
      <w:pPr>
        <w:ind w:left="0" w:right="48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w:t>
      </w:r>
      <w:r/>
    </w:p>
    <w:p>
      <w:pPr>
        <w:ind w:left="0" w:right="0" w:firstLine="48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1.提供的中小企业声明函须加盖有公章的彩色扫描件上传至电子投标文件中（如属于）。否则不可享受相应扶持政策。</w:t>
      </w:r>
      <w:r/>
    </w:p>
    <w:p>
      <w:pPr>
        <w:ind w:left="0" w:right="0" w:firstLine="48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2.如供应商认定本企业为小型或微型企业，则需根据“工信部联企业〔2011〕300号”通知中的《中小企业划型标准规定》填报“中小企业声明函”。</w:t>
      </w:r>
      <w:r/>
    </w:p>
    <w:p>
      <w:pPr>
        <w:ind w:left="0" w:right="0" w:firstLine="48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3.从业人员、营业收入、资产总额填报上一年度数据，无上一年度数据的新成立企业可不填报。</w:t>
      </w:r>
      <w:r/>
    </w:p>
    <w:p>
      <w:pPr>
        <w:ind w:left="0" w:right="0" w:firstLine="48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4.中小企业划分标准详见“工信部联企业〔2011〕300号通知中的《中小企业划型标准规定》”。</w:t>
      </w:r>
      <w:r/>
    </w:p>
    <w:p>
      <w:pPr>
        <w:ind w:left="0" w:right="0" w:firstLine="48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5.《中小企业声明函》中所填的行业应与本采购标的对应的中小企业划分标准所属行业一致，不一致的不可享受相应政策优惠。</w:t>
      </w:r>
      <w:r/>
    </w:p>
    <w:p>
      <w:pPr>
        <w:ind w:left="0" w:right="0" w:firstLine="48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6.如未对（中型企业、小型企业、微型企业）进行选择，视同非小微企业，不可享受相应扶持政策。</w:t>
      </w:r>
      <w:r/>
    </w:p>
    <w:p>
      <w:pPr>
        <w:ind w:left="0" w:right="0" w:firstLine="48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7.中标单位为中小微企业的，《中小企业声明函》将随中标结果同时公告。</w:t>
      </w:r>
      <w:r/>
    </w:p>
    <w:p>
      <w:pPr>
        <w:ind w:left="0" w:right="0" w:firstLine="48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8.未尽事宜按照《苏州市政府采购促进中小企业发展实施意见》执行。</w:t>
      </w:r>
      <w:r/>
    </w:p>
    <w:p>
      <w:pPr>
        <w:ind w:left="0" w:right="0" w:firstLine="48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9.若供应商提供的“中小企业声明函”内容不实的，属于提供虚假材料谋取中标、成交，依照《中华人民共和国政府采购法》等国家有关规定追究相应责任。</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（5）残疾人福利性单位声明函</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残疾人福利性单位声明函</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本单位对上述声明的真实性负责。如有虚假，将依法承担相应责任。</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单位名称（盖章）：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241"/>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注：提供的残疾人福利性单位声明函须加盖有公章的彩色扫描件上传至电子投标文件中（如属于）。否则不可享受相应扶持政策。</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格式十、关于符合本国产品标准的声明函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关于符合本国产品标准的声明函</w:t>
      </w:r>
      <w:r/>
    </w:p>
    <w:p>
      <w:pPr>
        <w:ind w:left="0" w:right="0" w:firstLine="420"/>
        <w:spacing w:before="15" w:after="15"/>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rFonts w:ascii="SimSun" w:hAnsi="SimSun" w:eastAsia="SimSun" w:cs="SimSun"/>
          <w:color w:val="000000"/>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w:t>
      </w:r>
      <w:r>
        <w:rPr>
          <w:rFonts w:ascii="SimSun" w:hAnsi="SimSun" w:eastAsia="SimSun" w:cs="SimSun"/>
          <w:color w:val="000000"/>
          <w:sz w:val="24"/>
          <w:highlight w:val="white"/>
          <w:u w:val="single"/>
        </w:rPr>
        <w:t xml:space="preserve">（产品名称1）</w:t>
      </w:r>
      <w:r>
        <w:rPr>
          <w:rFonts w:ascii="SimSun" w:hAnsi="SimSun" w:eastAsia="SimSun" w:cs="SimSun"/>
          <w:color w:val="000000"/>
          <w:sz w:val="24"/>
          <w:highlight w:val="white"/>
          <w:vertAlign w:val="superscript"/>
        </w:rPr>
        <w:t xml:space="preserve">1</w:t>
      </w:r>
      <w:r>
        <w:rPr>
          <w:rFonts w:ascii="SimSun" w:hAnsi="SimSun" w:eastAsia="SimSun" w:cs="SimSun"/>
          <w:color w:val="000000"/>
          <w:sz w:val="24"/>
          <w:highlight w:val="white"/>
        </w:rPr>
        <w:t xml:space="preserve">，生产厂为</w:t>
      </w:r>
      <w:r>
        <w:rPr>
          <w:rFonts w:ascii="SimSun" w:hAnsi="SimSun" w:eastAsia="SimSun" w:cs="SimSun"/>
          <w:color w:val="000000"/>
          <w:sz w:val="24"/>
          <w:highlight w:val="white"/>
          <w:u w:val="single"/>
        </w:rPr>
        <w:t xml:space="preserve">（厂名）</w:t>
      </w:r>
      <w:r>
        <w:rPr>
          <w:rFonts w:ascii="SimSun" w:hAnsi="SimSun" w:eastAsia="SimSun" w:cs="SimSun"/>
          <w:color w:val="000000"/>
          <w:sz w:val="24"/>
          <w:highlight w:val="white"/>
          <w:vertAlign w:val="superscript"/>
        </w:rPr>
        <w:t xml:space="preserve">2</w:t>
      </w:r>
      <w:r>
        <w:rPr>
          <w:rFonts w:ascii="SimSun" w:hAnsi="SimSun" w:eastAsia="SimSun" w:cs="SimSun"/>
          <w:color w:val="000000"/>
          <w:sz w:val="24"/>
          <w:highlight w:val="white"/>
        </w:rPr>
        <w:t xml:space="preserve">，厂址为</w:t>
      </w:r>
      <w:r>
        <w:rPr>
          <w:rFonts w:ascii="SimSun" w:hAnsi="SimSun" w:eastAsia="SimSun" w:cs="SimSun"/>
          <w:color w:val="000000"/>
          <w:sz w:val="24"/>
          <w:highlight w:val="white"/>
          <w:u w:val="single"/>
        </w:rPr>
        <w:t xml:space="preserve">（生产厂址）</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的中国境内生产的组件成本占比≥</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vertAlign w:val="superscript"/>
        </w:rPr>
        <w:t xml:space="preserve">3</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vertAlign w:val="superscript"/>
        </w:rPr>
        <w:t xml:space="preserve">4</w:t>
      </w:r>
      <w:r>
        <w:rPr>
          <w:rFonts w:ascii="SimSun" w:hAnsi="SimSun" w:eastAsia="SimSun" w:cs="SimSun"/>
          <w:color w:val="000000"/>
          <w:sz w:val="24"/>
          <w:highlight w:val="white"/>
        </w:rPr>
        <w:t xml:space="preserve">在中国境内生产。</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vertAlign w:val="superscript"/>
        </w:rPr>
        <w:t xml:space="preserve">5</w:t>
      </w:r>
      <w:r>
        <w:rPr>
          <w:rFonts w:ascii="SimSun" w:hAnsi="SimSun" w:eastAsia="SimSun" w:cs="SimSun"/>
          <w:color w:val="000000"/>
          <w:sz w:val="24"/>
          <w:highlight w:val="white"/>
        </w:rPr>
        <w:t xml:space="preserve">在中国境内完成。</w:t>
      </w:r>
      <w:r/>
    </w:p>
    <w:p>
      <w:pPr>
        <w:ind w:left="0" w:right="0" w:firstLine="42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w:t>
      </w:r>
      <w:r>
        <w:rPr>
          <w:rFonts w:ascii="SimSun" w:hAnsi="SimSun" w:eastAsia="SimSun" w:cs="SimSun"/>
          <w:color w:val="000000"/>
          <w:sz w:val="24"/>
          <w:highlight w:val="white"/>
          <w:u w:val="single"/>
        </w:rPr>
        <w:t xml:space="preserve">（产品名称2）</w:t>
      </w:r>
      <w:r>
        <w:rPr>
          <w:rFonts w:ascii="SimSun" w:hAnsi="SimSun" w:eastAsia="SimSun" w:cs="SimSun"/>
          <w:color w:val="000000"/>
          <w:sz w:val="24"/>
          <w:highlight w:val="white"/>
        </w:rPr>
        <w:t xml:space="preserve">，生产厂为</w:t>
      </w:r>
      <w:r>
        <w:rPr>
          <w:rFonts w:ascii="SimSun" w:hAnsi="SimSun" w:eastAsia="SimSun" w:cs="SimSun"/>
          <w:color w:val="000000"/>
          <w:sz w:val="24"/>
          <w:highlight w:val="white"/>
          <w:u w:val="single"/>
        </w:rPr>
        <w:t xml:space="preserve">（厂名）</w:t>
      </w:r>
      <w:r>
        <w:rPr>
          <w:rFonts w:ascii="SimSun" w:hAnsi="SimSun" w:eastAsia="SimSun" w:cs="SimSun"/>
          <w:color w:val="000000"/>
          <w:sz w:val="24"/>
          <w:highlight w:val="white"/>
        </w:rPr>
        <w:t xml:space="preserve">，厂址为</w:t>
      </w:r>
      <w:r>
        <w:rPr>
          <w:rFonts w:ascii="SimSun" w:hAnsi="SimSun" w:eastAsia="SimSun" w:cs="SimSun"/>
          <w:color w:val="000000"/>
          <w:sz w:val="24"/>
          <w:highlight w:val="white"/>
          <w:u w:val="single"/>
        </w:rPr>
        <w:t xml:space="preserve">（生产厂址）</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的中国境内生产的组件成本占比≥</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在中国境内生产。</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在中国境内完成。</w:t>
      </w:r>
      <w:r/>
    </w:p>
    <w:p>
      <w:pPr>
        <w:ind w:left="0" w:right="0" w:firstLine="42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w:t>
      </w:r>
      <w:r/>
    </w:p>
    <w:p>
      <w:pPr>
        <w:ind w:left="0" w:right="0" w:firstLine="42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本公司（单位）对上述声明内容的真实性负责。如有虚假，愿承担相应法律责任。</w:t>
      </w:r>
      <w:r/>
    </w:p>
    <w:p>
      <w:pPr>
        <w:ind w:left="0" w:right="0" w:firstLine="0"/>
        <w:spacing w:before="30" w:after="3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p>
      <w:pPr>
        <w:ind w:left="0" w:right="0" w:firstLine="0"/>
        <w:jc w:val="right"/>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公司（单位）名称（加盖CA电子公章）：         </w:t>
      </w:r>
      <w:r/>
    </w:p>
    <w:p>
      <w:pPr>
        <w:ind w:left="0" w:right="0" w:firstLine="0"/>
        <w:jc w:val="center"/>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日期：      年   月   日         </w:t>
      </w:r>
      <w:r/>
    </w:p>
    <w:p>
      <w:pPr>
        <w:ind w:left="0" w:right="0" w:firstLine="0"/>
        <w:spacing w:before="30" w:after="3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p>
      <w:pPr>
        <w:ind w:left="0" w:right="0" w:firstLine="0"/>
        <w:spacing w:before="30" w:after="3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p>
      <w:pPr>
        <w:ind w:left="0" w:right="0" w:firstLine="0"/>
        <w:spacing w:before="30" w:after="3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_________________</w:t>
      </w:r>
      <w:r/>
    </w:p>
    <w:p>
      <w:pPr>
        <w:ind w:left="0" w:right="0" w:firstLine="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1.产品如有型号，请在“产品名称”栏一并填写。</w:t>
      </w:r>
      <w:r/>
    </w:p>
    <w:p>
      <w:pPr>
        <w:ind w:left="0" w:right="0" w:firstLine="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2.生产厂名与厂址应与生产厂营业执照载明的相关信息保持一致。</w:t>
      </w:r>
      <w:r/>
    </w:p>
    <w:p>
      <w:pPr>
        <w:ind w:left="0" w:right="0" w:firstLine="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3.该产品的中国境内生产的组件成本占比相关要求实施前，“规定比例”栏可不填，下同。</w:t>
      </w:r>
      <w:r/>
    </w:p>
    <w:p>
      <w:pPr>
        <w:ind w:left="0" w:right="0" w:firstLine="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4.该产品的关键组件要求实施前，“关键组件”栏可不填，下同。</w:t>
      </w:r>
      <w:r/>
    </w:p>
    <w:p>
      <w:pPr>
        <w:ind w:left="0" w:right="0" w:firstLine="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5.该产品的关键工序要求实施前，“关键工序”栏可不填，下同。</w:t>
      </w:r>
      <w:r/>
    </w:p>
    <w:p>
      <w:pPr>
        <w:ind w:left="0" w:right="0" w:firstLine="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6.《声明函》中标注“</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”的地方无需填写。</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pStyle w:val="736"/>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rPr>
        <w:t xml:space="preserve"> </w:t>
      </w:r>
      <w:r/>
    </w:p>
    <w:p>
      <w:pPr>
        <w:pStyle w:val="736"/>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8"/>
        </w:rPr>
        <w:t xml:space="preserve"> </w:t>
      </w:r>
      <w:r/>
    </w:p>
    <w:p>
      <w:pPr>
        <w:ind w:left="0" w:right="0" w:firstLine="96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8"/>
        </w:rPr>
        <w:t xml:space="preserve"> </w:t>
      </w:r>
      <w:r/>
    </w:p>
    <w:p>
      <w:pPr>
        <w:ind w:left="0" w:right="0" w:firstLine="96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8"/>
        </w:rPr>
        <w:t xml:space="preserve"> </w:t>
      </w:r>
      <w:r/>
    </w:p>
    <w:p>
      <w:pPr>
        <w:pStyle w:val="736"/>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highlight w:val="none"/>
        </w:rPr>
      </w:r>
      <w:r>
        <w:rPr>
          <w:rFonts w:ascii="SimHei" w:hAnsi="SimHei" w:eastAsia="SimHei" w:cs="SimHei"/>
          <w:b/>
          <w:color w:val="000000"/>
          <w:sz w:val="48"/>
          <w:highlight w:val="none"/>
        </w:rPr>
      </w:r>
      <w:r/>
    </w:p>
    <w:p>
      <w:pPr>
        <w:pStyle w:val="736"/>
        <w:ind w:left="0" w:right="0" w:firstLine="0"/>
        <w:jc w:val="center"/>
        <w:spacing w:before="120" w:after="120" w:line="85" w:lineRule="atLeast"/>
        <w:rPr>
          <w:rFonts w:ascii="SimHei" w:hAnsi="SimHei" w:eastAsia="SimHei" w:cs="SimHei"/>
          <w:b/>
          <w:bCs/>
          <w:color w:val="000000"/>
          <w:sz w:val="48"/>
          <w:szCs w:val="48"/>
          <w:highlight w:val="none"/>
        </w:rPr>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highlight w:val="none"/>
        </w:rPr>
      </w:r>
      <w:r>
        <w:rPr>
          <w:rFonts w:ascii="SimHei" w:hAnsi="SimHei" w:eastAsia="SimHei" w:cs="SimHei"/>
          <w:b/>
          <w:color w:val="000000"/>
          <w:sz w:val="48"/>
          <w:highlight w:val="none"/>
        </w:rPr>
      </w:r>
      <w:r/>
    </w:p>
    <w:p>
      <w:pPr>
        <w:pStyle w:val="736"/>
        <w:ind w:left="0" w:right="0" w:firstLine="0"/>
        <w:jc w:val="center"/>
        <w:spacing w:before="120" w:after="120" w:line="85" w:lineRule="atLeast"/>
        <w:rPr>
          <w:rFonts w:ascii="SimHei" w:hAnsi="SimHei" w:eastAsia="SimHei" w:cs="SimHei"/>
          <w:b/>
          <w:bCs/>
          <w:color w:val="000000"/>
          <w:sz w:val="48"/>
          <w:szCs w:val="48"/>
          <w:highlight w:val="none"/>
        </w:rPr>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highlight w:val="none"/>
        </w:rPr>
      </w:r>
      <w:r>
        <w:rPr>
          <w:rFonts w:ascii="SimHei" w:hAnsi="SimHei" w:eastAsia="SimHei" w:cs="SimHei"/>
          <w:b/>
          <w:color w:val="000000"/>
          <w:sz w:val="48"/>
          <w:highlight w:val="none"/>
        </w:rPr>
      </w:r>
      <w:r/>
    </w:p>
    <w:p>
      <w:pPr>
        <w:pStyle w:val="736"/>
        <w:ind w:left="0" w:right="0" w:firstLine="0"/>
        <w:jc w:val="center"/>
        <w:spacing w:before="120" w:after="120" w:line="85" w:lineRule="atLeast"/>
        <w:rPr>
          <w:rFonts w:ascii="SimHei" w:hAnsi="SimHei" w:eastAsia="SimHei" w:cs="SimHei"/>
          <w:b/>
          <w:bCs/>
          <w:color w:val="000000"/>
          <w:sz w:val="48"/>
          <w:szCs w:val="48"/>
          <w:highlight w:val="none"/>
        </w:rPr>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highlight w:val="none"/>
        </w:rPr>
      </w:r>
      <w:r>
        <w:rPr>
          <w:rFonts w:ascii="SimHei" w:hAnsi="SimHei" w:eastAsia="SimHei" w:cs="SimHei"/>
          <w:b/>
          <w:color w:val="000000"/>
          <w:sz w:val="48"/>
          <w:highlight w:val="none"/>
        </w:rPr>
      </w:r>
      <w:r/>
    </w:p>
    <w:p>
      <w:pPr>
        <w:pStyle w:val="736"/>
        <w:ind w:left="0" w:right="0" w:firstLine="0"/>
        <w:jc w:val="center"/>
        <w:spacing w:before="120" w:after="120" w:line="85" w:lineRule="atLeast"/>
        <w:rPr>
          <w:rFonts w:ascii="SimHei" w:hAnsi="SimHei" w:eastAsia="SimHei" w:cs="SimHei"/>
          <w:b/>
          <w:bCs/>
          <w:color w:val="000000"/>
          <w:sz w:val="48"/>
          <w:szCs w:val="48"/>
          <w:highlight w:val="none"/>
        </w:rPr>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highlight w:val="none"/>
        </w:rPr>
      </w:r>
      <w:r>
        <w:rPr>
          <w:rFonts w:ascii="SimHei" w:hAnsi="SimHei" w:eastAsia="SimHei" w:cs="SimHei"/>
          <w:b/>
          <w:color w:val="000000"/>
          <w:sz w:val="48"/>
          <w:highlight w:val="none"/>
        </w:rPr>
      </w:r>
      <w:r/>
    </w:p>
    <w:p>
      <w:pPr>
        <w:pStyle w:val="736"/>
        <w:ind w:left="0" w:right="0" w:firstLine="0"/>
        <w:jc w:val="center"/>
        <w:spacing w:before="120" w:after="120" w:line="85" w:lineRule="atLeast"/>
        <w:rPr>
          <w:rFonts w:ascii="SimHei" w:hAnsi="SimHei" w:eastAsia="SimHei" w:cs="SimHei"/>
          <w:b/>
          <w:bCs/>
          <w:color w:val="000000"/>
          <w:sz w:val="48"/>
          <w:szCs w:val="48"/>
          <w:highlight w:val="none"/>
        </w:rPr>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rPr>
        <w:t xml:space="preserve">第四章 招标书</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0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4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江苏京苏项目管理咨询有限公司作为招标代理机构，受苏州市中心血站的委托，就其所需的全自动血液核酸筛查系统采购项目进行国内公开招标。</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一、采购编号</w:t>
      </w:r>
      <w:r>
        <w:rPr>
          <w:rFonts w:ascii="SimSun" w:hAnsi="SimSun" w:eastAsia="SimSun" w:cs="SimSun"/>
          <w:color w:val="000000"/>
          <w:sz w:val="24"/>
        </w:rPr>
        <w:t xml:space="preserve">：JSZC-320500-PMJS-G2026-0020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二、招标项目：</w:t>
      </w:r>
      <w:r>
        <w:rPr>
          <w:rFonts w:ascii="SimSun" w:hAnsi="SimSun" w:eastAsia="SimSun" w:cs="SimSun"/>
          <w:color w:val="000000"/>
          <w:sz w:val="24"/>
        </w:rPr>
        <w:t xml:space="preserve">全自动血液核酸筛查系统采购项目</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三、采购预算：</w:t>
      </w:r>
      <w:r>
        <w:rPr>
          <w:rFonts w:ascii="SimSun" w:hAnsi="SimSun" w:eastAsia="SimSun" w:cs="SimSun"/>
          <w:color w:val="000000"/>
          <w:sz w:val="24"/>
        </w:rPr>
        <w:t xml:space="preserve">人民币叁佰万元整（¥：3000000.00元）</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四、采购要求：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（一）采购清单：（不接受进口产品投标）</w:t>
      </w:r>
      <w:r/>
    </w:p>
    <w:tbl>
      <w:tblPr>
        <w:tblStyle w:val="7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92"/>
        <w:gridCol w:w="2377"/>
        <w:gridCol w:w="1842"/>
        <w:gridCol w:w="1560"/>
        <w:gridCol w:w="1781"/>
      </w:tblGrid>
      <w:tr>
        <w:trPr>
          <w:trHeight w:val="3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7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产品名称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6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核心产品</w:t>
            </w:r>
            <w:r/>
          </w:p>
        </w:tc>
      </w:tr>
      <w:tr>
        <w:trPr>
          <w:trHeight w:val="4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全自动血液核酸筛查系统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w:t>
            </w:r>
            <w:r/>
          </w:p>
        </w:tc>
      </w:tr>
    </w:tbl>
    <w:p>
      <w:pPr>
        <w:numPr>
          <w:ilvl w:val="0"/>
          <w:numId w:val="5"/>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技术参数要求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▲1、用途要求：全自动核酸提取及荧光PCR检测系统，系统适用于血站献血员标本的乙型肝炎病毒（HBV）DNA、丙型肝炎病毒（HCV）RNA和人类免疫缺陷病毒（1+2型）（HIV 1+2）RNA核酸筛查检测实验。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▲2、系统功能：全自动完成核酸提纯、PCR反应体系配制、实时荧光定量PCR检测的一体机（非组合机），无需手工封膜及样本转移，参与提取与扩增的仪器均须在同一张注册证。</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3、检测方法学：采用实时荧光定量PCR法。</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4、检测速度：高速处理样本，第一批出结果的时间不超过4小时。</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★5、检测模式： 检测方式支持6份样本的混样检测，兼具敏感性和高通量，能够提供6混样检测的临床评估数据或分析灵敏度。</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★6、6混样检测阳性后进行单人份拆分检测所需最小样本量≤1mL。</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7、试剂位：内置温控区域可存放试剂，系统可存放试剂盒≥10盒，避免反复装载卸载。</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8、质控试剂位：内置温控区域储存质控，可存放≥10个质控架，自动匹配检测需求加载。</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9、试剂耗材监测：试剂配备RFID射频芯片识别标签，无需扫码，系统自动按需取用，全程跟踪监控剩余效期与剩余测试数。</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▲10、配套性要求：为保证检测结果的稳定性和可溯源性，配套试剂与提取设备、扩增检测设备均为同一厂商生产。</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★11、检测灵敏度(95%最低检出限)：HIV-1（M组）≤40IU/ml，HIV-2≤40IU/ml，HCV≤10IU/ml，HBV≤ 3IU/ml。</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▲12、双区检测HIV-1，提高对变异株检测的可靠性。</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▲13.双探针检测HCV，提高对变异株检测的可靠性。</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▲14、试剂要求：配套试剂即开即用，无需冷冻，方便使用。</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▲15、抗干扰能力：需对核酸检测相关抗干扰物质（如甘油三酯、胆红素、血红蛋白等）有过明确验证。</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16、污染防控：AmpErase-dUTP配对系统防止产物污染，自动热压封膜站，扩增板专用卸载位等多重污染防控及生物安全设计，防止污染。</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▲17、配套试剂基因型覆盖：HIV－1 M组、O组；HIV-2：A、B；HCV 1-6亚型；HBV A-H及Pre-core区突变。</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▲18、质量控制：检测试剂质控品能够对HIV-1 型M组、O组和HIV-2型单独进行质控监测，提升对于HIV不同基因型、亚型的监测能力。</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（三）其他需求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1、货物到达采购单位后，在采购单位技术人员在场的情况下开箱清点货物，组织安装、调试及操作培训，并承担因此发生的一切费用。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2、投标文件中提供实施方案，内容应包括但不限于①安装调试、系统集成、试运行、测试、调优等内容，②人员组织架构，③工作时间进度表、工作程序和步骤，④管理和协调方法，⑤关键步骤的思路和要点。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3、投标人负责保管、看护进场的设备及附配件直至完成安装调试后交付采购单位。</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（四）售后服务要求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1、质保期要求：整体提供至少3年的原厂免费质保。自验收合格之日起计算。接到维修通知后有专职的技术服务人员上门服务，保证维修响应时间2小时内，工程师12小时内到现场，48小时内需完成维修。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2、投标文件中提供针对本项目制定的售后服务管理体系方案，包括售后服务机制、响应时间、故障解决等内容、关于所投产品的售后服务承诺书、优惠措施等。</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3、投标文件中提供针对本项目制定的应急预案。分析设备有可能出现的重大故障，制定出合理的应急预案。</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（五）故障应急预案</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投标人根据往年设备故障案例，分析设备有可能出现的重大故障，制定出合理的应急预案。</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①可能出现的重大故障分析，例如设备无法开机或持续处于宕机状态等情况的故障分析，分析故障原因。提供备机的申请流程和送达方案、提供维修机器的远程解决方案；</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②本项目的重点、难点分析，例如分析在售后服务过程中可能出现的问题例如售后工程师无法按时到场、或维修配件不能及时到货等情况；</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③针对分析的上述故障应急情况，提供对应的解决方案；</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（六）培训方案</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提供科室使用培训维护人员培训；提供培训团队组成情况介绍。提供培训方案，包括①培训需求分析、②培训目标计划、③培训内容及方法计划、④负责培训人员情况、⑤培训设备场地等情况介绍。</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①培训需求分析</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针对本项目产品分析采购方科室的培训需求，例如分析采购方人员操作方法的培训需求、实际应用场景的培训需求、系统维护管理方面的培训需求；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中标方负责提供设备操作培训及专业厂家维修培训，保证采购单位工程师及操作人员正常操作设备的各种功能及进行设备基础维修。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终身维修并标明保修期后的具体维修维护事宜。</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②培训目标计划</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针对本项目提供培训目标和计划，例如提供设备正式运作前，技术人员对客户操作、使用、场景应用、日常运行、管理、维护等相关培训计划安排、日程表。现场集中培训目标：包括客户操作、场景应用、系统维护管理等均不得少于1次。培训最终目标：投标人须提供所需的培训服务，以确保采购人的技术人员能对投标人所提供的设备和装置的设计、日常运作、故障和例行维护、事故处理和解决方面等有全面性的认识和了解。</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③培训内容及方法计划</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并解释有关设计资料、文件、图纸等，以便采购人操作人员对整套系统的各个方面都能熟练掌握。提供培训所需的材料、设备、幻灯片以及其它的培训教材文件，所有教材文件须以中文说明。投标文件中提供详细的培训资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④负责培训人员情况</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投入本项目的负责培训老师，需拟派经验丰富的专业工程师负责进行。设备正式运作前，需提供技术人员对客户操作、使用，系统日常运行、维护等相关培训，现场集中培训不得少于1次。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⑤培训设备场地等情况介绍</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投标人在投标文件中将培训场地和培训时所需电脑、投影等办公设备进行阐述。培训时提供容纳足够人数的会议室以及办公用品，提供培训演示PPT和现场操作视频等。</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（七）产品质量要求：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1、产品质量及安装符合国家质量标准和验收规范，并响应招标文件所规定技术性能要求，以及中标人承诺的其他指标。</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2、国家具有强制性标准的，所投产品须符合国家强制性标准。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3、所有设备在到达安装现场时须经采购单位技术人员记录验收后才可进行设备安装，验货时须提交该产品的原厂质量合格证明及服务质保证明文件。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4、所有设备、附（配）件应具备该类产品的功能要求，无瑕疵和缺陷，质量为合格产品，同时有明确的生产厂商或制造厂商。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5、缺陷保修：如果设备交付使用后，缺陷多次反复出现，中标方必须提出分析报告和解决方案，更换该产品，直到最后纠正缺陷、投标人提供质保从纠正之日起重新计算质保期。</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6、如果是超出投标人的责任范围的疏忽、误操作等情况而导致的更换修正，应由投标人进行修理，其额外费用由双方协商承担。</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（八）验收要求及标准：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验收：产品运抵甲方指定地点后，甲方对所供货物就数量、外观、材质、工艺等基本检测项目进行验收，若有产品损坏、丢失或出现其他不符合招标要求的情况，乙方应根据甲方的要求免费补充、更换；设备安装调试完毕后，甲方组织质量性能验收，若发现乙方提供的设备及其安装有质量、性能方面的问题甲方有权拒收或要求乙方更换、维修直至验收合格。</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2、验收时，乙方必须参加，由双方签署验收单。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3、项目完成后，供方需提供所投产品生产厂家的授权书、质保书、保修证明等书面资料，并按国家制造和安装的标准要求检测验收。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4、验收标准：按本招标文件、供应商的投标文件、承诺及国家相关标准为准。如双方对验收结果有分歧，则以苏州市技术质量监督局的检验结果为准，检验费用由有过失的一方支付。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5、货物到达采购人后，投标人应有专人负责看护并派工程技术人员到达现场，在采购人技术人员在场的情况下开箱清点货物，组织安装、调试及操作培训，并承担因此发生的一切费用。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6、交货过程中如发现不符合本次采购文件所规定产品，供方应无条件退换。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7、本项目实施《江苏省政府采购履约验收管理办法》。</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五、综合说明及其他：</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1、投标人须明确所投设备生产厂家、品牌、型号等；须按照投标技术对照表格式对技术参数进行逐条应答、写出具体的数值，投标人必须对所有技术应答负责。</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2、货物到达采购人后，投标人应有专人负责看护并在7天内派工程技术人员到达现场，在采购人技术人员在场的情况下开箱清点货物，组织安装、调试及操作培训，并承担因此发生的一切费用。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3、设备如涉及易损件，需详细提供设备涉及的所有易损件名称、价格。成交后出现未列出的易损件的，视为免费使用，或者视为虚假应标。</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4、投标人应提供软件版本免费升级服务（如有，在不涉及硬件情况下）。</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投标人不得以“密码”制约用户。如用户工作和维修需要，应无条件免费开放密码。</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投标人对采购人以后设备、系统永久无偿开放。</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如发生投标人怠于提供上述义务而导致采购人损失等,采购人有权要求投标人予以赔偿。</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5、采购人进行设备维护、信息系统升级、他方软件接入等情况时，投标方无条件免费开放接口，并配合甲方工作。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报价要求：投标总报价一次报定，包括全部内容的设备及其备品、备件和专用工具费用、税费（如包括关税、货物及其所用原材料、零部件的各种国内外税费）及包装、运至最终目的地的运输、保险、检测验收、安装、调试、技术支持与培训、售后服务与维保及相关劳务支出等工作所发生的全部费用以及投标人企业利润、税金和政策性文件规定及合同包含的所有风险、责任等各项应有费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知识产权：投标人应保证招标人免除且投标人承担由于招标人在其本国使用该设备或设备任何一部分时而引起第三方提出的侵犯专利权、商标权或工业设计权的起诉、行动、行政程序索赔、请求等以及招标人为此而产生的损失和损害、费用和支出（包括律师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8、付款方式：详见合同条款。</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9、交货要求：合同签订后，25天内完成供货。</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10、交货及安装地点：由乙方负责办理运输将标的物送到采购人所在地。</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11、凡涉及采购文件的补充说明和修改，均以中国政府采购网、江苏政府采购网、苏州政府采购网上发布的通知为准。</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pStyle w:val="736"/>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highlight w:val="none"/>
        </w:rPr>
      </w:r>
      <w:r>
        <w:rPr>
          <w:rFonts w:ascii="SimHei" w:hAnsi="SimHei" w:eastAsia="SimHei" w:cs="SimHei"/>
          <w:b/>
          <w:color w:val="000000"/>
          <w:sz w:val="48"/>
          <w:highlight w:val="none"/>
        </w:rPr>
      </w:r>
      <w:r/>
    </w:p>
    <w:p>
      <w:pPr>
        <w:pStyle w:val="736"/>
        <w:ind w:left="0" w:right="0" w:firstLine="0"/>
        <w:jc w:val="center"/>
        <w:spacing w:before="120" w:after="120" w:line="85" w:lineRule="atLeast"/>
        <w:rPr>
          <w:rFonts w:ascii="SimHei" w:hAnsi="SimHei" w:eastAsia="SimHei" w:cs="SimHei"/>
          <w:b/>
          <w:bCs/>
          <w:color w:val="000000"/>
          <w:sz w:val="48"/>
          <w:szCs w:val="48"/>
          <w:highlight w:val="none"/>
        </w:rPr>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highlight w:val="none"/>
        </w:rPr>
      </w:r>
      <w:r>
        <w:rPr>
          <w:rFonts w:ascii="SimHei" w:hAnsi="SimHei" w:eastAsia="SimHei" w:cs="SimHei"/>
          <w:b/>
          <w:color w:val="000000"/>
          <w:sz w:val="48"/>
          <w:highlight w:val="none"/>
        </w:rPr>
      </w:r>
      <w:r/>
    </w:p>
    <w:p>
      <w:pPr>
        <w:pStyle w:val="736"/>
        <w:ind w:left="0" w:right="0" w:firstLine="0"/>
        <w:jc w:val="center"/>
        <w:spacing w:before="120" w:after="120" w:line="85" w:lineRule="atLeast"/>
        <w:rPr>
          <w:rFonts w:ascii="SimHei" w:hAnsi="SimHei" w:eastAsia="SimHei" w:cs="SimHei"/>
          <w:b/>
          <w:bCs/>
          <w:color w:val="000000"/>
          <w:sz w:val="48"/>
          <w:szCs w:val="48"/>
          <w:highlight w:val="none"/>
        </w:rPr>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highlight w:val="none"/>
        </w:rPr>
      </w:r>
      <w:r>
        <w:rPr>
          <w:rFonts w:ascii="SimHei" w:hAnsi="SimHei" w:eastAsia="SimHei" w:cs="SimHei"/>
          <w:b/>
          <w:color w:val="000000"/>
          <w:sz w:val="48"/>
          <w:highlight w:val="none"/>
        </w:rPr>
      </w:r>
      <w:r/>
    </w:p>
    <w:p>
      <w:pPr>
        <w:pStyle w:val="736"/>
        <w:ind w:left="0" w:right="0" w:firstLine="0"/>
        <w:jc w:val="center"/>
        <w:spacing w:before="120" w:after="120" w:line="85" w:lineRule="atLeast"/>
        <w:rPr>
          <w:rFonts w:ascii="SimHei" w:hAnsi="SimHei" w:eastAsia="SimHei" w:cs="SimHei"/>
          <w:b/>
          <w:bCs/>
          <w:color w:val="000000"/>
          <w:sz w:val="48"/>
          <w:szCs w:val="48"/>
          <w:highlight w:val="none"/>
        </w:rPr>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highlight w:val="none"/>
        </w:rPr>
      </w:r>
      <w:r>
        <w:rPr>
          <w:rFonts w:ascii="SimHei" w:hAnsi="SimHei" w:eastAsia="SimHei" w:cs="SimHei"/>
          <w:b/>
          <w:color w:val="000000"/>
          <w:sz w:val="48"/>
          <w:highlight w:val="none"/>
        </w:rPr>
      </w:r>
      <w:r/>
    </w:p>
    <w:p>
      <w:pPr>
        <w:pStyle w:val="736"/>
        <w:ind w:left="0" w:right="0" w:firstLine="0"/>
        <w:jc w:val="center"/>
        <w:spacing w:before="120" w:after="120" w:line="85" w:lineRule="atLeast"/>
        <w:rPr>
          <w:rFonts w:ascii="SimHei" w:hAnsi="SimHei" w:eastAsia="SimHei" w:cs="SimHei"/>
          <w:b/>
          <w:bCs/>
          <w:color w:val="000000"/>
          <w:sz w:val="48"/>
          <w:szCs w:val="48"/>
          <w:highlight w:val="none"/>
        </w:rPr>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rPr>
        <w:t xml:space="preserve">第五章 合同主要条款</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240"/>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64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全自动血液核酸筛查系统采购</w:t>
      </w:r>
      <w:r/>
    </w:p>
    <w:p>
      <w:pPr>
        <w:ind w:left="0" w:right="0" w:firstLine="240"/>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采购人（全称）：（以下简称甲方）</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供应商（全称）：（以下简称乙方）</w:t>
      </w:r>
      <w:r/>
    </w:p>
    <w:p>
      <w:pPr>
        <w:ind w:left="0" w:right="0" w:firstLine="42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根据苏州市政府采购编号JSZC-320500-PMJS-G2026-0020采购文件及乙方中标的投标文件和中标通知书，甲乙双方就此次中标的事宜，签订本合同书。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一、合同内容：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1、乙方负责完成甲方的，详见《标的物清单》。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2、下列文件为本合同不可分割部分：</w:t>
      </w:r>
      <w:r/>
    </w:p>
    <w:p>
      <w:pPr>
        <w:ind w:left="0" w:right="0" w:firstLine="42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2.1采购文件；</w:t>
      </w:r>
      <w:r/>
    </w:p>
    <w:p>
      <w:pPr>
        <w:ind w:left="0" w:right="0" w:firstLine="42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2.2乙方中标的投标书；</w:t>
      </w:r>
      <w:r/>
    </w:p>
    <w:p>
      <w:pPr>
        <w:ind w:left="0" w:right="0" w:firstLine="42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2.3乙方在招投标过程中所作的其他承诺、声明、书面澄清等；</w:t>
      </w:r>
      <w:r/>
    </w:p>
    <w:p>
      <w:pPr>
        <w:ind w:left="0" w:right="0" w:firstLine="42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2.4中标通知书。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二、价格与支付：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价格按此次中标价格执行，合同总金额为人民币元，投标总价一次报定，总报价包括所投设备及其备品、备件和专用工具费用、税费（如包括关税、货物及其所用原材料、零部件的各种国内外税费）及包装、运至最终目的地的运输、保险、检测验收、安装、调试、技术支持与培训、售后服务与维保及相关劳务支出等工作所发生的全部费用以及投标人企业利润、税金和政策性文件规定及合同包含的所有风险、责任费等各项应有费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2、付款方式：</w:t>
      </w:r>
      <w:r>
        <w:rPr>
          <w:rFonts w:ascii="SimSun" w:hAnsi="SimSun" w:eastAsia="SimSun" w:cs="SimSun"/>
          <w:color w:val="000000"/>
          <w:sz w:val="21"/>
        </w:rPr>
        <w:t xml:space="preserve">（由乙方进行勾选）</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A、□在签订合同时，乙方明确表示需要甲方支付预付款的</w:t>
      </w:r>
      <w:r/>
    </w:p>
    <w:p>
      <w:pPr>
        <w:ind w:left="0" w:right="0" w:firstLine="42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采购合同签订生效后，甲方在10个工作日内向乙方支</w:t>
      </w:r>
      <w:r>
        <w:rPr>
          <w:rFonts w:ascii="SimSun" w:hAnsi="SimSun" w:eastAsia="SimSun" w:cs="SimSun"/>
          <w:color w:val="000000" w:themeColor="text1"/>
          <w:sz w:val="24"/>
        </w:rPr>
        <w:t xml:space="preserve">付合同金额</w:t>
      </w:r>
      <w:r>
        <w:rPr>
          <w:rFonts w:ascii="SimSun" w:hAnsi="SimSun" w:eastAsia="SimSun" w:cs="SimSun"/>
          <w:color w:val="000000" w:themeColor="text1"/>
          <w:sz w:val="24"/>
        </w:rPr>
        <w:t xml:space="preserve">30%</w:t>
      </w:r>
      <w:r>
        <w:rPr>
          <w:rFonts w:ascii="SimSun" w:hAnsi="SimSun" w:eastAsia="SimSun" w:cs="SimSun"/>
          <w:color w:val="000000" w:themeColor="text1"/>
          <w:sz w:val="24"/>
        </w:rPr>
        <w:t xml:space="preserve">的预付款。待全部货物到达甲方指定地点并安装结束，经甲方最终验收合格，并由乙方提前向甲方提供下列单据（A、B、C）后15日内，无任何异议情形下由甲方向乙方一次性付至合同总价</w:t>
      </w:r>
      <w:r>
        <w:rPr>
          <w:rFonts w:ascii="SimSun" w:hAnsi="SimSun" w:eastAsia="SimSun" w:cs="SimSun"/>
          <w:color w:val="000000" w:themeColor="text1"/>
          <w:sz w:val="24"/>
        </w:rPr>
        <w:t xml:space="preserve">95%</w:t>
      </w:r>
      <w:r>
        <w:rPr>
          <w:rFonts w:ascii="SimSun" w:hAnsi="SimSun" w:eastAsia="SimSun" w:cs="SimSun"/>
          <w:color w:val="000000" w:themeColor="text1"/>
          <w:sz w:val="24"/>
        </w:rPr>
        <w:t xml:space="preserve">，验收合格满一年后由采购人在15日内向中标供应商一次性付至合同总价100%。</w:t>
      </w:r>
      <w:r>
        <w:rPr>
          <w:color w:val="000000" w:themeColor="text1"/>
        </w:rPr>
      </w:r>
    </w:p>
    <w:p>
      <w:pPr>
        <w:ind w:left="0" w:right="0" w:firstLine="42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B、□在签订合同时，乙方明确表示无需甲方支付预付款的</w:t>
      </w:r>
      <w:r>
        <w:rPr>
          <w:color w:val="000000" w:themeColor="text1"/>
        </w:rP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采购合同签订生效后，待全部货物到达甲方指定地点并安装结</w:t>
      </w:r>
      <w:r>
        <w:rPr>
          <w:rFonts w:ascii="SimSun" w:hAnsi="SimSun" w:eastAsia="SimSun" w:cs="SimSun"/>
          <w:color w:val="000000"/>
          <w:sz w:val="24"/>
        </w:rPr>
        <w:t xml:space="preserve">束，经甲方最终验收合格，并由乙方提前向甲方提供下列单据（A、B、C）后15日内，无任何异议情形下由甲方向乙方一次性付至合同总价95%，验收合格满一年后由采购人在15日内向中标供应商一次性付至合同总价100%。</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A、甲乙双方签字确认的《采购验收单》。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B、乙方出具的满足甲方要求的合格销售发票。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C、交付货物时乙方出具的书面合格检验证明、甲方签收的送货回单。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账户信息：</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乙方开户名称：</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银行账号：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三、质量与验收：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1、乙方应按照标书的有关规定提供合格设备；</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2、质保期内设备质量出现问题，乙方负责包修、包退、包换，费用由乙方承担；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3、设备的验收包括：数量、外观、质量、性能、质保单、包装和乙方承诺的其它指标；</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4、验收标准：根据标书要求及有关规定并按国家最新行业标准进行验收通过；</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5、乙方交付验收时应先用书面方式通告甲方；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四、售后服务：</w:t>
      </w:r>
      <w:r/>
    </w:p>
    <w:p>
      <w:pPr>
        <w:ind w:left="0" w:right="0" w:firstLine="42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1、质保期为：</w:t>
      </w:r>
      <w:r>
        <w:rPr>
          <w:rFonts w:ascii="SimSun" w:hAnsi="SimSun" w:eastAsia="SimSun" w:cs="SimSun"/>
          <w:color w:val="ff0000"/>
          <w:sz w:val="24"/>
        </w:rPr>
        <w:t xml:space="preserve">三年。</w:t>
      </w:r>
      <w:r/>
    </w:p>
    <w:p>
      <w:pPr>
        <w:ind w:left="0" w:right="0" w:firstLine="42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2、按照采购文件和乙方在投标书中承诺的服务执行。</w:t>
      </w:r>
      <w:r/>
    </w:p>
    <w:p>
      <w:pPr>
        <w:ind w:left="0" w:right="0" w:firstLine="42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五、交货和安装：</w:t>
      </w:r>
      <w:r/>
    </w:p>
    <w:p>
      <w:pPr>
        <w:ind w:left="0" w:right="0" w:firstLine="42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1、交货时间：合同签订生效接甲方进场通知后25天内供货并安装调试结束。</w:t>
      </w:r>
      <w:r/>
    </w:p>
    <w:p>
      <w:pPr>
        <w:ind w:left="0" w:right="0" w:firstLine="42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2、交货地点：由乙方负责办理运输将标的物送到采购人所在地。</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如本项目标的物涉及商品包装及快递包装的情况，则乙方需要按照以下法规通知标准执行政府采购商品包装和快递包装要求。详见：关于《财政部办公厅生态环境部办公厅国家邮政局办公室关于印发〈商品包装政府采购需求标准（试行）〉、〈快递包装政府采购需求标准（试行）〉的通知》的通知（苏财办购〔2020〕8号）。</w:t>
      </w:r>
      <w:r/>
    </w:p>
    <w:p>
      <w:pPr>
        <w:ind w:left="0" w:right="0" w:firstLine="42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六、违约责任：</w:t>
      </w:r>
      <w:r/>
    </w:p>
    <w:p>
      <w:pPr>
        <w:ind w:left="0" w:right="0" w:firstLine="42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按采购文件的规定执行。</w:t>
      </w:r>
      <w:r/>
    </w:p>
    <w:p>
      <w:pPr>
        <w:ind w:left="0" w:right="0" w:firstLine="42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七、合同生效及其它：</w:t>
      </w:r>
      <w:r/>
    </w:p>
    <w:p>
      <w:pPr>
        <w:ind w:left="0" w:right="0" w:firstLine="42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1、本合同在双方签名盖章后即生效。</w:t>
      </w:r>
      <w:r/>
    </w:p>
    <w:p>
      <w:pPr>
        <w:ind w:left="0" w:right="0" w:firstLine="42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合同在执行过程中出现的未尽事宜，双方在不违背本合同和采购文件的原则下协商解决，协商结果以书面形式盖章记录在案，作为本合同的附件，与本合同具有同等效力，但需向政府采购管理部门和采购代理机构备存。</w:t>
      </w:r>
      <w:r/>
    </w:p>
    <w:p>
      <w:pPr>
        <w:ind w:left="57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甲方签章：乙方签章：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法定代表人或代理人：法定代表人或代理人：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年月日年月日 </w:t>
        <w:br w:type="page" w:clear="all"/>
      </w:r>
      <w:r/>
    </w:p>
    <w:p>
      <w:pPr>
        <w:pStyle w:val="736"/>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highlight w:val="none"/>
        </w:rPr>
      </w:r>
      <w:r>
        <w:rPr>
          <w:rFonts w:ascii="SimHei" w:hAnsi="SimHei" w:eastAsia="SimHei" w:cs="SimHei"/>
          <w:b/>
          <w:color w:val="000000"/>
          <w:sz w:val="48"/>
          <w:highlight w:val="none"/>
        </w:rPr>
      </w:r>
      <w:r/>
    </w:p>
    <w:p>
      <w:pPr>
        <w:pStyle w:val="736"/>
        <w:ind w:left="0" w:right="0" w:firstLine="0"/>
        <w:jc w:val="center"/>
        <w:spacing w:before="120" w:after="120" w:line="85" w:lineRule="atLeast"/>
        <w:rPr>
          <w:rFonts w:ascii="SimHei" w:hAnsi="SimHei" w:eastAsia="SimHei" w:cs="SimHei"/>
          <w:b/>
          <w:bCs/>
          <w:color w:val="000000"/>
          <w:sz w:val="48"/>
          <w:szCs w:val="48"/>
          <w:highlight w:val="none"/>
        </w:rPr>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highlight w:val="none"/>
        </w:rPr>
      </w:r>
      <w:r>
        <w:rPr>
          <w:rFonts w:ascii="SimHei" w:hAnsi="SimHei" w:eastAsia="SimHei" w:cs="SimHei"/>
          <w:b/>
          <w:color w:val="000000"/>
          <w:sz w:val="48"/>
          <w:highlight w:val="none"/>
        </w:rPr>
      </w:r>
      <w:r/>
    </w:p>
    <w:p>
      <w:pPr>
        <w:pStyle w:val="736"/>
        <w:ind w:left="0" w:right="0" w:firstLine="0"/>
        <w:jc w:val="center"/>
        <w:spacing w:before="120" w:after="120" w:line="85" w:lineRule="atLeast"/>
        <w:rPr>
          <w:rFonts w:ascii="SimHei" w:hAnsi="SimHei" w:eastAsia="SimHei" w:cs="SimHei"/>
          <w:b/>
          <w:bCs/>
          <w:color w:val="000000"/>
          <w:sz w:val="48"/>
          <w:szCs w:val="48"/>
          <w:highlight w:val="none"/>
        </w:rPr>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highlight w:val="none"/>
        </w:rPr>
      </w:r>
      <w:r>
        <w:rPr>
          <w:rFonts w:ascii="SimHei" w:hAnsi="SimHei" w:eastAsia="SimHei" w:cs="SimHei"/>
          <w:b/>
          <w:color w:val="000000"/>
          <w:sz w:val="48"/>
          <w:highlight w:val="none"/>
        </w:rPr>
      </w:r>
      <w:r/>
    </w:p>
    <w:p>
      <w:pPr>
        <w:pStyle w:val="736"/>
        <w:ind w:left="0" w:right="0" w:firstLine="0"/>
        <w:jc w:val="center"/>
        <w:spacing w:before="120" w:after="120" w:line="85" w:lineRule="atLeast"/>
        <w:rPr>
          <w:rFonts w:ascii="SimHei" w:hAnsi="SimHei" w:eastAsia="SimHei" w:cs="SimHei"/>
          <w:b/>
          <w:bCs/>
          <w:color w:val="000000"/>
          <w:sz w:val="48"/>
          <w:szCs w:val="48"/>
          <w:highlight w:val="none"/>
        </w:rPr>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highlight w:val="none"/>
        </w:rPr>
      </w:r>
      <w:r>
        <w:rPr>
          <w:rFonts w:ascii="SimHei" w:hAnsi="SimHei" w:eastAsia="SimHei" w:cs="SimHei"/>
          <w:b/>
          <w:color w:val="000000"/>
          <w:sz w:val="48"/>
          <w:highlight w:val="none"/>
        </w:rPr>
      </w:r>
      <w:r/>
    </w:p>
    <w:p>
      <w:pPr>
        <w:pStyle w:val="736"/>
        <w:ind w:left="0" w:right="0" w:firstLine="0"/>
        <w:jc w:val="center"/>
        <w:spacing w:before="120" w:after="120" w:line="85" w:lineRule="atLeast"/>
        <w:rPr>
          <w:rFonts w:ascii="SimHei" w:hAnsi="SimHei" w:eastAsia="SimHei" w:cs="SimHei"/>
          <w:b/>
          <w:bCs/>
          <w:color w:val="000000"/>
          <w:sz w:val="48"/>
          <w:szCs w:val="48"/>
          <w:highlight w:val="none"/>
        </w:rPr>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highlight w:val="none"/>
        </w:rPr>
      </w:r>
      <w:r>
        <w:rPr>
          <w:rFonts w:ascii="SimHei" w:hAnsi="SimHei" w:eastAsia="SimHei" w:cs="SimHei"/>
          <w:b/>
          <w:color w:val="000000"/>
          <w:sz w:val="48"/>
          <w:highlight w:val="none"/>
        </w:rPr>
      </w:r>
      <w:r/>
    </w:p>
    <w:p>
      <w:pPr>
        <w:pStyle w:val="736"/>
        <w:ind w:left="0" w:right="0" w:firstLine="0"/>
        <w:jc w:val="center"/>
        <w:spacing w:before="120" w:after="120" w:line="85" w:lineRule="atLeast"/>
        <w:rPr>
          <w:rFonts w:ascii="SimHei" w:hAnsi="SimHei" w:eastAsia="SimHei" w:cs="SimHei"/>
          <w:b/>
          <w:bCs/>
          <w:color w:val="000000"/>
          <w:sz w:val="48"/>
          <w:szCs w:val="48"/>
          <w:highlight w:val="none"/>
        </w:rPr>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rPr>
        <w:t xml:space="preserve">第六章 评分标准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r>
      <w:r>
        <w:rPr>
          <w:rFonts w:ascii="SimSun" w:hAnsi="SimSun" w:eastAsia="SimSun" w:cs="SimSun"/>
          <w:color w:val="000000"/>
          <w:sz w:val="24"/>
          <w:highlight w:val="none"/>
        </w:rPr>
      </w:r>
      <w:r/>
    </w:p>
    <w:p>
      <w:pPr>
        <w:ind w:left="0" w:right="0" w:firstLine="420"/>
        <w:spacing w:before="0" w:after="0" w:line="85" w:lineRule="atLeast"/>
        <w:rPr>
          <w:rFonts w:ascii="SimSun" w:hAnsi="SimSun" w:eastAsia="SimSun" w:cs="SimSun"/>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r>
      <w:r>
        <w:rPr>
          <w:rFonts w:ascii="SimSun" w:hAnsi="SimSun" w:eastAsia="SimSun" w:cs="SimSun"/>
          <w:color w:val="000000"/>
          <w:sz w:val="24"/>
          <w:highlight w:val="none"/>
        </w:rPr>
      </w:r>
      <w:r/>
    </w:p>
    <w:p>
      <w:pPr>
        <w:ind w:left="0" w:right="0" w:firstLine="420"/>
        <w:spacing w:before="0" w:after="0" w:line="85" w:lineRule="atLeast"/>
        <w:rPr>
          <w:rFonts w:ascii="SimSun" w:hAnsi="SimSun" w:eastAsia="SimSun" w:cs="SimSun"/>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r>
      <w:r>
        <w:rPr>
          <w:rFonts w:ascii="SimSun" w:hAnsi="SimSun" w:eastAsia="SimSun" w:cs="SimSun"/>
          <w:color w:val="000000"/>
          <w:sz w:val="24"/>
          <w:highlight w:val="none"/>
        </w:rPr>
      </w:r>
      <w:r/>
    </w:p>
    <w:p>
      <w:pPr>
        <w:ind w:left="0" w:right="0" w:firstLine="420"/>
        <w:spacing w:before="0" w:after="0" w:line="85" w:lineRule="atLeast"/>
        <w:rPr>
          <w:rFonts w:ascii="SimSun" w:hAnsi="SimSun" w:eastAsia="SimSun" w:cs="SimSun"/>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r>
      <w:r>
        <w:rPr>
          <w:rFonts w:ascii="SimSun" w:hAnsi="SimSun" w:eastAsia="SimSun" w:cs="SimSun"/>
          <w:color w:val="000000"/>
          <w:sz w:val="24"/>
          <w:highlight w:val="none"/>
        </w:rPr>
      </w:r>
      <w:r/>
    </w:p>
    <w:p>
      <w:pPr>
        <w:ind w:left="0" w:right="0" w:firstLine="420"/>
        <w:spacing w:before="0" w:after="0" w:line="85" w:lineRule="atLeast"/>
        <w:rPr>
          <w:rFonts w:ascii="SimSun" w:hAnsi="SimSun" w:eastAsia="SimSun" w:cs="SimSun"/>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r>
      <w:r>
        <w:rPr>
          <w:rFonts w:ascii="SimSun" w:hAnsi="SimSun" w:eastAsia="SimSun" w:cs="SimSun"/>
          <w:color w:val="000000"/>
          <w:sz w:val="24"/>
          <w:highlight w:val="none"/>
        </w:rPr>
      </w:r>
      <w:r/>
    </w:p>
    <w:p>
      <w:pPr>
        <w:ind w:left="0" w:right="0" w:firstLine="420"/>
        <w:spacing w:before="0" w:after="0" w:line="85" w:lineRule="atLeast"/>
        <w:rPr>
          <w:rFonts w:ascii="SimSun" w:hAnsi="SimSun" w:eastAsia="SimSun" w:cs="SimSun"/>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r>
      <w:r>
        <w:rPr>
          <w:rFonts w:ascii="SimSun" w:hAnsi="SimSun" w:eastAsia="SimSun" w:cs="SimSun"/>
          <w:color w:val="000000"/>
          <w:sz w:val="24"/>
          <w:highlight w:val="none"/>
        </w:rPr>
      </w:r>
      <w:r/>
    </w:p>
    <w:p>
      <w:pPr>
        <w:ind w:left="0" w:right="0" w:firstLine="420"/>
        <w:spacing w:before="0" w:after="0" w:line="85" w:lineRule="atLeast"/>
        <w:rPr>
          <w:rFonts w:ascii="SimSun" w:hAnsi="SimSun" w:eastAsia="SimSun" w:cs="SimSun"/>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r>
      <w:r>
        <w:rPr>
          <w:rFonts w:ascii="SimSun" w:hAnsi="SimSun" w:eastAsia="SimSun" w:cs="SimSun"/>
          <w:color w:val="000000"/>
          <w:sz w:val="24"/>
          <w:highlight w:val="none"/>
        </w:rPr>
      </w:r>
      <w:r/>
    </w:p>
    <w:p>
      <w:pPr>
        <w:ind w:left="0" w:right="0" w:firstLine="420"/>
        <w:spacing w:before="0" w:after="0" w:line="85" w:lineRule="atLeast"/>
        <w:rPr>
          <w:rFonts w:ascii="SimSun" w:hAnsi="SimSun" w:eastAsia="SimSun" w:cs="SimSun"/>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r>
      <w:r>
        <w:rPr>
          <w:rFonts w:ascii="SimSun" w:hAnsi="SimSun" w:eastAsia="SimSun" w:cs="SimSun"/>
          <w:color w:val="000000"/>
          <w:sz w:val="24"/>
          <w:highlight w:val="none"/>
        </w:rPr>
      </w:r>
      <w:r/>
    </w:p>
    <w:p>
      <w:pPr>
        <w:ind w:left="0" w:right="0" w:firstLine="420"/>
        <w:spacing w:before="0" w:after="0" w:line="85" w:lineRule="atLeast"/>
        <w:rPr>
          <w:rFonts w:ascii="SimSun" w:hAnsi="SimSun" w:eastAsia="SimSun" w:cs="SimSun"/>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r>
      <w:r>
        <w:rPr>
          <w:rFonts w:ascii="SimSun" w:hAnsi="SimSun" w:eastAsia="SimSun" w:cs="SimSun"/>
          <w:color w:val="000000"/>
          <w:sz w:val="24"/>
          <w:highlight w:val="none"/>
        </w:rPr>
      </w:r>
      <w:r/>
    </w:p>
    <w:p>
      <w:pPr>
        <w:ind w:left="0" w:right="0" w:firstLine="420"/>
        <w:spacing w:before="0" w:after="0" w:line="85" w:lineRule="atLeast"/>
        <w:rPr>
          <w:rFonts w:ascii="SimSun" w:hAnsi="SimSun" w:eastAsia="SimSun" w:cs="SimSun"/>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r>
      <w:r>
        <w:rPr>
          <w:rFonts w:ascii="SimSun" w:hAnsi="SimSun" w:eastAsia="SimSun" w:cs="SimSun"/>
          <w:color w:val="000000"/>
          <w:sz w:val="24"/>
          <w:highlight w:val="none"/>
        </w:rPr>
      </w:r>
      <w:r/>
    </w:p>
    <w:p>
      <w:pPr>
        <w:ind w:left="0" w:right="0" w:firstLine="420"/>
        <w:spacing w:before="0" w:after="0" w:line="85" w:lineRule="atLeast"/>
        <w:rPr>
          <w:rFonts w:ascii="SimSun" w:hAnsi="SimSun" w:eastAsia="SimSun" w:cs="SimSun"/>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r>
      <w:r>
        <w:rPr>
          <w:rFonts w:ascii="SimSun" w:hAnsi="SimSun" w:eastAsia="SimSun" w:cs="SimSun"/>
          <w:color w:val="000000"/>
          <w:sz w:val="24"/>
          <w:highlight w:val="none"/>
        </w:rPr>
      </w:r>
      <w:r/>
    </w:p>
    <w:p>
      <w:pPr>
        <w:ind w:left="0" w:right="0" w:firstLine="420"/>
        <w:spacing w:before="0" w:after="0" w:line="85" w:lineRule="atLeast"/>
        <w:rPr>
          <w:rFonts w:ascii="SimSun" w:hAnsi="SimSun" w:eastAsia="SimSun" w:cs="SimSun"/>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r>
      <w:r>
        <w:rPr>
          <w:rFonts w:ascii="SimSun" w:hAnsi="SimSun" w:eastAsia="SimSun" w:cs="SimSun"/>
          <w:color w:val="000000"/>
          <w:sz w:val="24"/>
          <w:highlight w:val="none"/>
        </w:rPr>
      </w:r>
      <w:r/>
    </w:p>
    <w:p>
      <w:pPr>
        <w:ind w:left="0" w:right="0" w:firstLine="420"/>
        <w:spacing w:before="0" w:after="0" w:line="85" w:lineRule="atLeast"/>
        <w:rPr>
          <w:rFonts w:ascii="SimSun" w:hAnsi="SimSun" w:eastAsia="SimSun" w:cs="SimSun"/>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r>
      <w:r>
        <w:rPr>
          <w:rFonts w:ascii="SimSun" w:hAnsi="SimSun" w:eastAsia="SimSun" w:cs="SimSun"/>
          <w:color w:val="000000"/>
          <w:sz w:val="24"/>
          <w:highlight w:val="none"/>
        </w:rPr>
      </w:r>
      <w:r/>
    </w:p>
    <w:p>
      <w:pPr>
        <w:ind w:left="0" w:right="0" w:firstLine="420"/>
        <w:spacing w:before="0" w:after="0" w:line="85" w:lineRule="atLeast"/>
        <w:rPr>
          <w:rFonts w:ascii="SimSun" w:hAnsi="SimSun" w:eastAsia="SimSun" w:cs="SimSun"/>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r>
      <w:r>
        <w:rPr>
          <w:rFonts w:ascii="SimSun" w:hAnsi="SimSun" w:eastAsia="SimSun" w:cs="SimSun"/>
          <w:color w:val="000000"/>
          <w:sz w:val="24"/>
          <w:highlight w:val="none"/>
        </w:rPr>
      </w:r>
      <w:r/>
    </w:p>
    <w:p>
      <w:pPr>
        <w:ind w:left="0" w:right="0" w:firstLine="420"/>
        <w:spacing w:before="0" w:after="0" w:line="85" w:lineRule="atLeast"/>
        <w:rPr>
          <w:rFonts w:ascii="SimSun" w:hAnsi="SimSun" w:eastAsia="SimSun" w:cs="SimSun"/>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r>
      <w:r>
        <w:rPr>
          <w:rFonts w:ascii="SimSun" w:hAnsi="SimSun" w:eastAsia="SimSun" w:cs="SimSun"/>
          <w:color w:val="000000"/>
          <w:sz w:val="24"/>
          <w:highlight w:val="none"/>
        </w:rPr>
      </w:r>
      <w:r/>
    </w:p>
    <w:p>
      <w:pPr>
        <w:ind w:left="0" w:right="0" w:firstLine="420"/>
        <w:spacing w:before="0" w:after="0" w:line="85" w:lineRule="atLeast"/>
        <w:rPr>
          <w:rFonts w:ascii="SimSun" w:hAnsi="SimSun" w:eastAsia="SimSun" w:cs="SimSun"/>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r>
      <w:r>
        <w:rPr>
          <w:rFonts w:ascii="SimSun" w:hAnsi="SimSun" w:eastAsia="SimSun" w:cs="SimSun"/>
          <w:color w:val="000000"/>
          <w:sz w:val="24"/>
          <w:highlight w:val="none"/>
        </w:rPr>
      </w:r>
      <w:r/>
    </w:p>
    <w:p>
      <w:pPr>
        <w:ind w:left="0" w:right="0" w:firstLine="420"/>
        <w:spacing w:before="0" w:after="0" w:line="85" w:lineRule="atLeast"/>
        <w:rPr>
          <w:rFonts w:ascii="SimSun" w:hAnsi="SimSun" w:eastAsia="SimSun" w:cs="SimSun"/>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r>
      <w:r>
        <w:rPr>
          <w:rFonts w:ascii="SimSun" w:hAnsi="SimSun" w:eastAsia="SimSun" w:cs="SimSun"/>
          <w:color w:val="000000"/>
          <w:sz w:val="24"/>
          <w:highlight w:val="none"/>
        </w:rPr>
      </w:r>
      <w:r/>
    </w:p>
    <w:p>
      <w:pPr>
        <w:ind w:left="0" w:right="0" w:firstLine="420"/>
        <w:spacing w:before="0" w:after="0" w:line="85" w:lineRule="atLeast"/>
        <w:rPr>
          <w:rFonts w:ascii="SimSun" w:hAnsi="SimSun" w:eastAsia="SimSun" w:cs="SimSun"/>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评标办法：</w:t>
      </w:r>
      <w:r/>
    </w:p>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1、评标采用综合评分法，即指投标文件满足采购文件全部实质性要求，且按照评审因素的量化指标评审得分最高的供应商为排名第一的中标候选人的评审方法。</w:t>
      </w:r>
      <w:r/>
    </w:p>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2、评标小组各成员独立对每个进入打分程序的有效投标供应商的投标文件技术和资质部分以打分的形式进行评审和评价。</w:t>
      </w:r>
      <w:r/>
    </w:p>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提供相同品牌货物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货物采购项目，多家投标人提供的核心货物（标注）品牌相同的，按上述规定处理。</w:t>
      </w:r>
      <w:r/>
    </w:p>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对评委的评分(除价格分外)进行统计汇总，直接算术平均，计算出每个投标单位的得分，加上价格得分即为每个投标单位的综合得分。评审结果按评审后得分由高到低顺序排列（保留小数点后2位）。得分相同的，按投标报价由低到高顺序排列。得分且投标报价相同的并列。投标文件满足采购文件全部实质性要求，且按照前述综合评审得分由高到低的排序选择前三名供应商作为中标候选人。如选取中标候选人时出现评审得分相同，且投标报价也相同的并列情况的，则由采购人组织以抽签方式确定优先选取顺序。</w:t>
      </w:r>
      <w:r/>
    </w:p>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5、评审小组根据采购人的授权，按照中标候选人的顺序在中标候选人中直接确定中标单位。</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(一）价格分（30分）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第一步：投标报价低于或等于采购预算的，为有效投标报价；超采购预算为无效投标报价。无效投标报价的投标文件不进行评审，也不得中标。</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第二步：在所有有效投标报价中满足招标文件要求，且评审价格最低的评审报价为评标基准价，其价格分为30分，其他投标单位的价格分按照下列公式计算（计算结果四舍五入保留两位小数）</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投标报价得分＝（评标基准价/投标报价）×30×100％</w:t>
      </w:r>
      <w:r/>
    </w:p>
    <w:p>
      <w:pPr>
        <w:ind w:left="0" w:right="0" w:firstLine="241"/>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（二）技术参数、性能等比较（39分）</w:t>
      </w:r>
      <w:r/>
    </w:p>
    <w:p>
      <w:pPr>
        <w:ind w:left="0" w:right="0" w:firstLine="403"/>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投标单位结合第四章招标书中“技术参数要求”中的参数进行响应。投标人必须如实响应技术参数要求，对所投产品进行应答，并在技术偏离表中逐条给予说明，评委参照产品技术参数要求进行打分。</w:t>
      </w:r>
      <w:r>
        <w:rPr>
          <w:rFonts w:ascii="SimSun" w:hAnsi="SimSun" w:eastAsia="SimSun" w:cs="SimSun"/>
          <w:b/>
          <w:color w:val="000000"/>
          <w:sz w:val="24"/>
        </w:rPr>
        <w:t xml:space="preserve">打“</w:t>
      </w:r>
      <w:r>
        <w:rPr>
          <w:rFonts w:ascii="SimSun" w:hAnsi="SimSun" w:eastAsia="SimSun" w:cs="SimSun"/>
          <w:color w:val="000000"/>
          <w:sz w:val="24"/>
        </w:rPr>
        <w:t xml:space="preserve">★</w:t>
      </w:r>
      <w:r>
        <w:rPr>
          <w:rFonts w:ascii="SimSun" w:hAnsi="SimSun" w:eastAsia="SimSun" w:cs="SimSun"/>
          <w:b/>
          <w:color w:val="000000"/>
          <w:sz w:val="24"/>
        </w:rPr>
        <w:t xml:space="preserve">”项参数为必须满足项，负偏离视为无效投标</w:t>
      </w:r>
      <w:r>
        <w:rPr>
          <w:rFonts w:ascii="SimSun" w:hAnsi="SimSun" w:eastAsia="SimSun" w:cs="SimSun"/>
          <w:color w:val="000000"/>
          <w:sz w:val="24"/>
        </w:rPr>
        <w:t xml:space="preserve">；打“▲”项技术参数若出现负偏离每项扣3分，其他技术参数出现负偏离的每项扣 2分，扣完为止。</w:t>
      </w:r>
      <w:r>
        <w:rPr>
          <w:rFonts w:ascii="SimSun" w:hAnsi="SimSun" w:eastAsia="SimSun" w:cs="SimSun"/>
          <w:b/>
          <w:color w:val="000000"/>
          <w:sz w:val="24"/>
        </w:rPr>
        <w:t xml:space="preserve">(</w:t>
      </w:r>
      <w:r>
        <w:rPr>
          <w:rFonts w:ascii="SimSun" w:hAnsi="SimSun" w:eastAsia="SimSun" w:cs="SimSun"/>
          <w:color w:val="000000"/>
          <w:sz w:val="24"/>
        </w:rPr>
        <w:t xml:space="preserve">投标单位需提供相关的证明材料（带有技术参数的彩页或加盖投标人公章的技术参数对照表）并作出相应的对比（列表）供评委评判，否则评委可视为负偏离处理。注：①证明资料如为外文须提供中文译本，否则评标委员会有权不予以认可。②各投标人在提供证明材料时需对所对应的技术参数进行醒目标注，以便评标委员会进行评审。)</w:t>
      </w:r>
      <w:r/>
    </w:p>
    <w:p>
      <w:pPr>
        <w:numPr>
          <w:ilvl w:val="0"/>
          <w:numId w:val="5"/>
        </w:numP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售后服务（9分）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1、采购文件中要求的免费质保年限3年的基础上，每延长免费质保期1年，本项加2分，满分6分。（投标单位需提供承诺书）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2、针对本项目设置合理明确的售后服务方案，售后服务方案包括①服务机制、响应时间、故障解决等内容、②服务流程、③服务标准、维保档案等情况。</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述内容详尽、可行性高且能够满足本项目需求的每一项得1分；各项内容虽阐述但未贴合项目实际情况进行论述或内容中未包括具体实施细节及措施或内容里有“不合理”、“错误”的每一项得0.5分（内容“不合理”、“错误”是指：存在不适用项目实际情况、套用其他无关内容、内容不完整、与本项目履约无关、逻辑存在漏洞以及不满足采购文件要求的其他情况）；未提供相关项内容的相关项不得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（四）安装实施方案（6分）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针对本项目设置合理明确的安装实施方案，以保障货物交付、安装、就位、验收等有效的项目管理，安装实施方案应包括:①项目实施计划与时间安排、②项目试运行调试方案、③项目人员组成及职责安排</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述内容详尽、可行性高且能够满足本项目需求的每一项得2分；各项内容虽阐述但未贴合项目实际情况进行论述或内容中未包括具体实施细节及措施或内容里有“不合理”、“错误”的每一项得1分（内容“不合理”、“错误”是指：存在不适用项目实际情况、套用其他无关内容、内容不完整、与本项目履约无关、逻辑存在漏洞以及不满足采购文件要求的其他情况）；未提供相关项内容的相关项不得分。</w:t>
      </w:r>
      <w:r/>
    </w:p>
    <w:p>
      <w:pPr>
        <w:ind w:left="42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（五）技术培训方案（6分）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针对本项目设置合理明确的技术培训方案，包含：①培训需求分析、培训目标计划、②培训内容及方法计划（时间、地点、人次）、③负责培训人员情况、培训设备场地等情况介绍</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述内容详尽、可行性高且能够满足本项目需求的每一项得2分；各项内容虽阐述但未贴合项目实际情况进行论述或内容中未包括具体实施细节及措施或内容里有“不合理”、“错误”的每一项得1分（内容“不合理”、“错误”是指：存在不适用项目实际情况、套用其他无关内容、内容不完整、与本项目履约无关、逻辑存在漏洞以及不满足采购文件要求的其他情况）；未提供相关项内容的相关项不得分。</w:t>
      </w:r>
      <w:r/>
    </w:p>
    <w:p>
      <w:pPr>
        <w:ind w:left="42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（六）履约能力（10分）</w:t>
      </w:r>
      <w:r/>
    </w:p>
    <w:p>
      <w:pPr>
        <w:ind w:left="0" w:right="0" w:firstLine="480"/>
        <w:jc w:val="both"/>
        <w:spacing w:before="156"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2023年1月1日(以合同签订日期为准)以来投标单位或生产厂家出具有关类似项目销售成交业绩，有一份得5分，最高10分。（投标文件中提供合同完整复印件或官方公示网站中标资料的佐证，未提供或提供不全面清晰的不得分。）</w:t>
      </w:r>
      <w:r/>
    </w:p>
    <w:p>
      <w:pPr>
        <w:ind w:left="0" w:right="0" w:firstLine="48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1、以上评分标准中的得分要素，均须由投标单位在投标文件中提供相应的证明资料，否则视为其不具备该条得分条件。</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2、报价超过采购预算的将不进入综合评审程序，也不得中标。</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3、付款方式、服务期如有负偏离的不得成交。</w:t>
      </w:r>
      <w:r/>
    </w:p>
    <w:p>
      <w:pPr>
        <w:ind w:left="502"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4、所有扫描件必须字迹清晰可见，字迹不清晰不得分。扫描件：指原件或者复印件的复制件，包括扫描、照片等。</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（全文完）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r/>
      <w:r/>
    </w:p>
    <w:sectPr>
      <w:headerReference w:type="default" r:id="rId9"/>
      <w:footerReference w:type="default" r:id="rId10"/>
      <w:footnotePr/>
      <w:endnotePr/>
      <w:type w:val="nextPage"/>
      <w:pgSz w:w="11906" w:h="16838" w:orient="portrait"/>
      <w:pgMar w:top="1134" w:right="1366" w:bottom="1134" w:left="1417" w:header="851" w:footer="992"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FangSong">
    <w:panose1 w:val="02010609060101010101"/>
  </w:font>
  <w:font w:name="SimHei">
    <w:panose1 w:val="02010609060101010101"/>
  </w:font>
  <w:font w:name="KaiTi">
    <w:panose1 w:val="02010609060101010101"/>
  </w:font>
  <w:font w:name="Symbol">
    <w:panose1 w:val="05050102010706020507"/>
  </w:font>
  <w:font w:name="Wingdings">
    <w:panose1 w:val="05000000000000000000"/>
  </w:font>
  <w:font w:name="Cambria">
    <w:panose1 w:val="02040503050406030204"/>
  </w:font>
  <w:font w:name="Calibri">
    <w:panose1 w:val="020F0502020204030204"/>
  </w:font>
  <w:font w:name="Courier New">
    <w:panose1 w:val="02070309020205020404"/>
  </w:font>
  <w:font w:name="方正仿宋简体">
    <w:panose1 w:val="020B0503020202020204"/>
  </w:font>
  <w:font w:name="Tahoma">
    <w:panose1 w:val="020B0604030504040204"/>
  </w:font>
  <w:font w:name="楷体_GB2312">
    <w:panose1 w:val="02010609060101010101"/>
  </w:font>
  <w:font w:name="仿宋_GB2312">
    <w:panose1 w:val="02010609060101010101"/>
  </w:font>
  <w:font w:name="黑体">
    <w:panose1 w:val="02010609060101010101"/>
  </w:font>
  <w:font w:name="Arial Unicode MS">
    <w:panose1 w:val="020B0604020202020204"/>
  </w:font>
  <w:font w:name="Arial">
    <w:panose1 w:val="020B0604020202020204"/>
  </w:font>
  <w:font w:name="创艺简仿宋">
    <w:panose1 w:val="020B050302020202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0"/>
      <w:jc w:val="right"/>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57785" cy="131445"/>
              <wp:effectExtent l="0" t="0" r="0" b="0"/>
              <wp:wrapNone/>
              <wp:docPr id="2" name="Text Box 1"/>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a:noFill/>
                      </a:ln>
                    </wps:spPr>
                    <wps:txbx>
                      <w:txbxContent>
                        <w:p>
                          <w:pPr>
                            <w:pStyle w:val="760"/>
                          </w:pPr>
                          <w:r>
                            <w:fldChar w:fldCharType="begin"/>
                          </w:r>
                          <w:r>
                            <w:instrText xml:space="preserve"> PAGE  \* MERGEFORMAT </w:instrText>
                          </w:r>
                          <w:r>
                            <w:fldChar w:fldCharType="separate"/>
                          </w:r>
                          <w:r>
                            <w:t xml:space="preserve">72</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v:textbox inset="0,0,0,0">
                <w:txbxContent>
                  <w:p>
                    <w:pPr>
                      <w:pStyle w:val="760"/>
                    </w:pPr>
                    <w:r>
                      <w:fldChar w:fldCharType="begin"/>
                    </w:r>
                    <w:r>
                      <w:instrText xml:space="preserve"> PAGE  \* MERGEFORMAT </w:instrText>
                    </w:r>
                    <w:r>
                      <w:fldChar w:fldCharType="separate"/>
                    </w:r>
                    <w:r>
                      <w:t xml:space="preserve">72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9"/>
      <w:ind w:left="412"/>
      <w:spacing w:before="16" w:line="191" w:lineRule="auto"/>
      <w:rPr>
        <w:rFonts w:ascii="宋体" w:hAnsi="宋体" w:cs="宋体"/>
        <w:bCs/>
        <w:sz w:val="18"/>
        <w:szCs w:val="18"/>
      </w:rPr>
    </w:pPr>
    <w:r>
      <w:rPr>
        <w:rFonts w:hint="eastAsia" w:ascii="宋体" w:hAnsi="宋体" w:cs="宋体"/>
        <w:bCs/>
        <w:sz w:val="18"/>
        <w:szCs w:val="18"/>
      </w:rPr>
      <w:t xml:space="preserve">江苏京苏项目管理咨询有限公司</w:t>
    </w:r>
    <w:r>
      <w:rPr>
        <w:rFonts w:ascii="宋体" w:hAnsi="宋体" w:cs="宋体"/>
        <w:bCs/>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257810</wp:posOffset>
              </wp:positionH>
              <wp:positionV relativeFrom="paragraph">
                <wp:posOffset>117475</wp:posOffset>
              </wp:positionV>
              <wp:extent cx="5542280" cy="5080"/>
              <wp:effectExtent l="0" t="0" r="0" b="0"/>
              <wp:wrapNone/>
              <wp:docPr id="1" name="自选图形 2"/>
              <wp:cNvGraphicFramePr/>
              <a:graphic xmlns:a="http://schemas.openxmlformats.org/drawingml/2006/main">
                <a:graphicData uri="http://schemas.microsoft.com/office/word/2010/wordprocessingShape">
                  <wps:wsp>
                    <wps:cNvPr id="0" name=""/>
                    <wps:cNvSpPr/>
                    <wps:spPr bwMode="auto">
                      <a:xfrm>
                        <a:off x="0" y="0"/>
                        <a:ext cx="5542280" cy="5080"/>
                      </a:xfrm>
                      <a:custGeom>
                        <a:avLst/>
                        <a:gdLst/>
                        <a:ahLst/>
                        <a:cxnLst/>
                        <a:rect l="0" t="0" r="r" b="b"/>
                        <a:pathLst>
                          <a:path w="8727" h="8" fill="norm" stroke="1" extrusionOk="0">
                            <a:moveTo>
                              <a:pt x="0" y="3"/>
                            </a:moveTo>
                            <a:lnTo>
                              <a:pt x="8727" y="3"/>
                            </a:lnTo>
                          </a:path>
                        </a:pathLst>
                      </a:custGeom>
                      <a:noFill/>
                      <a:ln w="4572" cap="flat" cmpd="sng">
                        <a:solidFill>
                          <a:srgbClr val="000000"/>
                        </a:solidFill>
                        <a:prstDash val="solid"/>
                        <a:bevel/>
                        <a:headEnd type="none" w="med" len="med"/>
                        <a:tailEnd type="none" w="med" len="med"/>
                      </a:ln>
                    </wps:spPr>
                    <wps:bodyPr rot="0">
                      <a:prstTxWarp prst="textNoShape">
                        <a:avLst/>
                      </a:prstTxWarp>
                      <a:noAutofit/>
                    </wps:bodyPr>
                  </wps:wsp>
                </a:graphicData>
              </a:graphic>
            </wp:anchor>
          </w:drawing>
        </mc:Choice>
        <mc:Fallback>
          <w:pict>
            <v:shape id="shape 0" o:spid="_x0000_s0" style="position:absolute;z-index:251661312;o:allowoverlap:true;o:allowincell:true;mso-position-horizontal-relative:text;margin-left:20.3pt;mso-position-horizontal:absolute;mso-position-vertical-relative:text;margin-top:9.2pt;mso-position-vertical:absolute;width:436.4pt;height:0.4pt;mso-wrap-distance-left:9.0pt;mso-wrap-distance-top:0.0pt;mso-wrap-distance-right:9.0pt;mso-wrap-distance-bottom:0.0pt;visibility:visible;" path="m0,37500l100000,37500e" coordsize="100000,100000" filled="f" strokecolor="#000000" strokeweight="0.36pt">
              <v:path textboxrect="0,0,100000,100000"/>
              <v:stroke dashstyle="solid"/>
            </v:shape>
          </w:pict>
        </mc:Fallback>
      </mc:AlternateContent>
    </w:r>
    <w:r>
      <w:rPr>
        <w:rFonts w:hint="eastAsia" w:ascii="宋体" w:hAnsi="宋体" w:cs="宋体"/>
        <w:bCs/>
        <w:sz w:val="18"/>
        <w:szCs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EnclosedCircle"/>
      <w:pStyle w:val="973"/>
      <w:isLgl w:val="false"/>
      <w:suff w:val="tab"/>
      <w:lvlText w:val="%1"/>
      <w:lvlJc w:val="left"/>
      <w:pPr>
        <w:ind w:left="961" w:hanging="360"/>
        <w:tabs>
          <w:tab w:val="left" w:pos="961" w:leader="none"/>
        </w:tabs>
      </w:pPr>
    </w:lvl>
    <w:lvl w:ilvl="1">
      <w:start w:val="1"/>
      <w:numFmt w:val="lowerLetter"/>
      <w:isLgl w:val="false"/>
      <w:suff w:val="tab"/>
      <w:lvlText w:val="%2)"/>
      <w:lvlJc w:val="left"/>
      <w:pPr>
        <w:ind w:left="1441" w:hanging="420"/>
        <w:tabs>
          <w:tab w:val="left" w:pos="1441" w:leader="none"/>
        </w:tabs>
      </w:pPr>
    </w:lvl>
    <w:lvl w:ilvl="2">
      <w:start w:val="1"/>
      <w:numFmt w:val="lowerRoman"/>
      <w:isLgl w:val="false"/>
      <w:suff w:val="tab"/>
      <w:lvlText w:val="%3."/>
      <w:lvlJc w:val="right"/>
      <w:pPr>
        <w:ind w:left="1861" w:hanging="420"/>
        <w:tabs>
          <w:tab w:val="left" w:pos="1861" w:leader="none"/>
        </w:tabs>
      </w:pPr>
    </w:lvl>
    <w:lvl w:ilvl="3">
      <w:start w:val="1"/>
      <w:numFmt w:val="decimal"/>
      <w:isLgl w:val="false"/>
      <w:suff w:val="tab"/>
      <w:lvlText w:val="%4."/>
      <w:lvlJc w:val="left"/>
      <w:pPr>
        <w:ind w:left="2281" w:hanging="420"/>
        <w:tabs>
          <w:tab w:val="left" w:pos="2281" w:leader="none"/>
        </w:tabs>
      </w:pPr>
    </w:lvl>
    <w:lvl w:ilvl="4">
      <w:start w:val="1"/>
      <w:numFmt w:val="lowerLetter"/>
      <w:isLgl w:val="false"/>
      <w:suff w:val="tab"/>
      <w:lvlText w:val="%5)"/>
      <w:lvlJc w:val="left"/>
      <w:pPr>
        <w:ind w:left="2701" w:hanging="420"/>
        <w:tabs>
          <w:tab w:val="left" w:pos="2701" w:leader="none"/>
        </w:tabs>
      </w:pPr>
    </w:lvl>
    <w:lvl w:ilvl="5">
      <w:start w:val="1"/>
      <w:numFmt w:val="lowerRoman"/>
      <w:isLgl w:val="false"/>
      <w:suff w:val="tab"/>
      <w:lvlText w:val="%6."/>
      <w:lvlJc w:val="right"/>
      <w:pPr>
        <w:ind w:left="3121" w:hanging="420"/>
        <w:tabs>
          <w:tab w:val="left" w:pos="3121" w:leader="none"/>
        </w:tabs>
      </w:pPr>
    </w:lvl>
    <w:lvl w:ilvl="6">
      <w:start w:val="1"/>
      <w:numFmt w:val="decimal"/>
      <w:isLgl w:val="false"/>
      <w:suff w:val="tab"/>
      <w:lvlText w:val="%7."/>
      <w:lvlJc w:val="left"/>
      <w:pPr>
        <w:ind w:left="3541" w:hanging="420"/>
        <w:tabs>
          <w:tab w:val="left" w:pos="3541" w:leader="none"/>
        </w:tabs>
      </w:pPr>
    </w:lvl>
    <w:lvl w:ilvl="7">
      <w:start w:val="1"/>
      <w:numFmt w:val="lowerLetter"/>
      <w:isLgl w:val="false"/>
      <w:suff w:val="tab"/>
      <w:lvlText w:val="%8)"/>
      <w:lvlJc w:val="left"/>
      <w:pPr>
        <w:ind w:left="3961" w:hanging="420"/>
        <w:tabs>
          <w:tab w:val="left" w:pos="3961" w:leader="none"/>
        </w:tabs>
      </w:pPr>
    </w:lvl>
    <w:lvl w:ilvl="8">
      <w:start w:val="1"/>
      <w:numFmt w:val="lowerRoman"/>
      <w:isLgl w:val="false"/>
      <w:suff w:val="tab"/>
      <w:lvlText w:val="%9."/>
      <w:lvlJc w:val="right"/>
      <w:pPr>
        <w:ind w:left="4381" w:hanging="420"/>
        <w:tabs>
          <w:tab w:val="left" w:pos="4381" w:leader="none"/>
        </w:tabs>
      </w:pPr>
    </w:lvl>
  </w:abstractNum>
  <w:abstractNum w:abstractNumId="3">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1"/>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1">
    <w:name w:val="Heading 7"/>
    <w:basedOn w:val="735"/>
    <w:next w:val="735"/>
    <w:link w:val="807"/>
    <w:uiPriority w:val="9"/>
    <w:unhideWhenUsed/>
    <w:qFormat/>
    <w:pPr>
      <w:keepLines/>
      <w:keepNext/>
      <w:spacing w:before="320" w:after="200"/>
      <w:outlineLvl w:val="6"/>
    </w:pPr>
    <w:rPr>
      <w:rFonts w:ascii="Arial" w:hAnsi="Arial" w:eastAsia="Arial" w:cs="Arial"/>
      <w:b/>
      <w:bCs/>
      <w:i/>
      <w:iCs/>
      <w:sz w:val="22"/>
      <w:szCs w:val="22"/>
    </w:rPr>
  </w:style>
  <w:style w:type="paragraph" w:styleId="702">
    <w:name w:val="Heading 8"/>
    <w:basedOn w:val="735"/>
    <w:next w:val="735"/>
    <w:link w:val="809"/>
    <w:uiPriority w:val="9"/>
    <w:unhideWhenUsed/>
    <w:qFormat/>
    <w:pPr>
      <w:keepLines/>
      <w:keepNext/>
      <w:spacing w:before="320" w:after="200"/>
      <w:outlineLvl w:val="7"/>
    </w:pPr>
    <w:rPr>
      <w:rFonts w:ascii="Arial" w:hAnsi="Arial" w:eastAsia="Arial" w:cs="Arial"/>
      <w:i/>
      <w:iCs/>
      <w:sz w:val="22"/>
      <w:szCs w:val="22"/>
    </w:rPr>
  </w:style>
  <w:style w:type="paragraph" w:styleId="703">
    <w:name w:val="Heading 9"/>
    <w:basedOn w:val="735"/>
    <w:next w:val="735"/>
    <w:link w:val="811"/>
    <w:uiPriority w:val="9"/>
    <w:unhideWhenUsed/>
    <w:qFormat/>
    <w:pPr>
      <w:keepLines/>
      <w:keepNext/>
      <w:spacing w:before="320" w:after="200"/>
      <w:outlineLvl w:val="8"/>
    </w:pPr>
    <w:rPr>
      <w:rFonts w:ascii="Arial" w:hAnsi="Arial" w:eastAsia="Arial" w:cs="Arial"/>
      <w:i/>
      <w:iCs/>
      <w:sz w:val="21"/>
      <w:szCs w:val="21"/>
    </w:rPr>
  </w:style>
  <w:style w:type="paragraph" w:styleId="704">
    <w:name w:val="No Spacing"/>
    <w:uiPriority w:val="1"/>
    <w:qFormat/>
    <w:pPr>
      <w:spacing w:before="0" w:after="0" w:line="240" w:lineRule="auto"/>
    </w:pPr>
  </w:style>
  <w:style w:type="character" w:styleId="705">
    <w:name w:val="Title Char"/>
    <w:basedOn w:val="742"/>
    <w:link w:val="774"/>
    <w:uiPriority w:val="10"/>
    <w:rPr>
      <w:sz w:val="48"/>
      <w:szCs w:val="48"/>
    </w:rPr>
  </w:style>
  <w:style w:type="character" w:styleId="706">
    <w:name w:val="Subtitle Char"/>
    <w:basedOn w:val="742"/>
    <w:link w:val="764"/>
    <w:uiPriority w:val="11"/>
    <w:rPr>
      <w:sz w:val="24"/>
      <w:szCs w:val="24"/>
    </w:rPr>
  </w:style>
  <w:style w:type="paragraph" w:styleId="707">
    <w:name w:val="Quote"/>
    <w:basedOn w:val="735"/>
    <w:next w:val="735"/>
    <w:link w:val="708"/>
    <w:uiPriority w:val="29"/>
    <w:qFormat/>
    <w:pPr>
      <w:ind w:left="720" w:right="720"/>
    </w:pPr>
    <w:rPr>
      <w:i/>
    </w:rPr>
  </w:style>
  <w:style w:type="character" w:styleId="708">
    <w:name w:val="Quote Char"/>
    <w:link w:val="707"/>
    <w:uiPriority w:val="29"/>
    <w:rPr>
      <w:i/>
    </w:rPr>
  </w:style>
  <w:style w:type="paragraph" w:styleId="709">
    <w:name w:val="Intense Quote"/>
    <w:basedOn w:val="735"/>
    <w:next w:val="735"/>
    <w:link w:val="71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0">
    <w:name w:val="Intense Quote Char"/>
    <w:link w:val="709"/>
    <w:uiPriority w:val="30"/>
    <w:rPr>
      <w:i/>
    </w:rPr>
  </w:style>
  <w:style w:type="paragraph" w:styleId="711">
    <w:name w:val="Caption"/>
    <w:basedOn w:val="735"/>
    <w:next w:val="735"/>
    <w:uiPriority w:val="35"/>
    <w:semiHidden/>
    <w:unhideWhenUsed/>
    <w:qFormat/>
    <w:pPr>
      <w:spacing w:line="276" w:lineRule="auto"/>
    </w:pPr>
    <w:rPr>
      <w:b/>
      <w:bCs/>
      <w:color w:val="4f81bd" w:themeColor="accent1"/>
      <w:sz w:val="18"/>
      <w:szCs w:val="18"/>
    </w:rPr>
  </w:style>
  <w:style w:type="table" w:styleId="712">
    <w:name w:val="Plain Table 1"/>
    <w:basedOn w:val="74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3">
    <w:name w:val="Plain Table 2"/>
    <w:basedOn w:val="74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4">
    <w:name w:val="Plain Table 3"/>
    <w:basedOn w:val="74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5">
    <w:name w:val="Plain Table 4"/>
    <w:basedOn w:val="74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6">
    <w:name w:val="Plain Table 5"/>
    <w:basedOn w:val="74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7">
    <w:name w:val="Grid Table 1 Light"/>
    <w:basedOn w:val="74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8">
    <w:name w:val="Grid Table 2"/>
    <w:basedOn w:val="74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9">
    <w:name w:val="Grid Table 3"/>
    <w:basedOn w:val="74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0">
    <w:name w:val="Grid Table 4"/>
    <w:basedOn w:val="74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1">
    <w:name w:val="Grid Table 5 Dark"/>
    <w:basedOn w:val="7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2">
    <w:name w:val="Grid Table 6 Colorful"/>
    <w:basedOn w:val="74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3">
    <w:name w:val="Grid Table 7 Colorful"/>
    <w:basedOn w:val="74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4">
    <w:name w:val="List Table 1 Light"/>
    <w:basedOn w:val="74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5">
    <w:name w:val="List Table 2"/>
    <w:basedOn w:val="74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26">
    <w:name w:val="List Table 3"/>
    <w:basedOn w:val="74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7">
    <w:name w:val="List Table 4"/>
    <w:basedOn w:val="74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8">
    <w:name w:val="List Table 5 Dark"/>
    <w:basedOn w:val="74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29">
    <w:name w:val="List Table 6 Colorful"/>
    <w:basedOn w:val="74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30">
    <w:name w:val="List Table 7 Colorful"/>
    <w:basedOn w:val="74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31">
    <w:name w:val="Footnote Text Char"/>
    <w:link w:val="765"/>
    <w:uiPriority w:val="99"/>
    <w:rPr>
      <w:sz w:val="18"/>
    </w:rPr>
  </w:style>
  <w:style w:type="character" w:styleId="732">
    <w:name w:val="Endnote Text Char"/>
    <w:link w:val="758"/>
    <w:uiPriority w:val="99"/>
    <w:rPr>
      <w:sz w:val="20"/>
    </w:rPr>
  </w:style>
  <w:style w:type="paragraph" w:styleId="733">
    <w:name w:val="TOC Heading"/>
    <w:uiPriority w:val="39"/>
    <w:unhideWhenUsed/>
  </w:style>
  <w:style w:type="paragraph" w:styleId="734">
    <w:name w:val="table of figures"/>
    <w:basedOn w:val="735"/>
    <w:next w:val="735"/>
    <w:uiPriority w:val="99"/>
    <w:unhideWhenUsed/>
    <w:pPr>
      <w:spacing w:after="0" w:afterAutospacing="0"/>
    </w:pPr>
  </w:style>
  <w:style w:type="paragraph" w:styleId="735" w:default="1">
    <w:name w:val="Normal"/>
    <w:next w:val="744"/>
    <w:uiPriority w:val="0"/>
    <w:qFormat/>
    <w:rPr>
      <w:rFonts w:ascii="Times New Roman" w:hAnsi="Times New Roman" w:eastAsia="宋体" w:cs="Times New Roman"/>
      <w:lang w:val="en-US" w:eastAsia="zh-CN" w:bidi="ar-SA"/>
    </w:rPr>
  </w:style>
  <w:style w:type="paragraph" w:styleId="736">
    <w:name w:val="Heading 1"/>
    <w:basedOn w:val="735"/>
    <w:next w:val="735"/>
    <w:link w:val="984"/>
    <w:uiPriority w:val="0"/>
    <w:qFormat/>
    <w:pPr>
      <w:keepLines/>
      <w:keepNext/>
      <w:spacing w:before="340" w:after="330" w:line="578" w:lineRule="auto"/>
      <w:outlineLvl w:val="0"/>
    </w:pPr>
    <w:rPr>
      <w:b/>
      <w:sz w:val="44"/>
    </w:rPr>
  </w:style>
  <w:style w:type="paragraph" w:styleId="737">
    <w:name w:val="Heading 2"/>
    <w:basedOn w:val="735"/>
    <w:next w:val="735"/>
    <w:uiPriority w:val="0"/>
    <w:qFormat/>
    <w:pPr>
      <w:keepLines/>
      <w:keepNext/>
      <w:outlineLvl w:val="1"/>
    </w:pPr>
    <w:rPr>
      <w:rFonts w:ascii="宋体" w:hAnsi="宋体"/>
      <w:b/>
    </w:rPr>
  </w:style>
  <w:style w:type="paragraph" w:styleId="738">
    <w:name w:val="Heading 3"/>
    <w:basedOn w:val="735"/>
    <w:next w:val="735"/>
    <w:uiPriority w:val="0"/>
    <w:qFormat/>
    <w:pPr>
      <w:keepLines/>
      <w:keepNext/>
      <w:outlineLvl w:val="2"/>
    </w:pPr>
    <w:rPr>
      <w:b/>
    </w:rPr>
  </w:style>
  <w:style w:type="paragraph" w:styleId="739">
    <w:name w:val="Heading 4"/>
    <w:basedOn w:val="735"/>
    <w:next w:val="735"/>
    <w:uiPriority w:val="0"/>
    <w:qFormat/>
    <w:pPr>
      <w:keepLines/>
      <w:keepNext/>
      <w:spacing w:before="280" w:after="290" w:line="376" w:lineRule="auto"/>
      <w:outlineLvl w:val="3"/>
    </w:pPr>
    <w:rPr>
      <w:rFonts w:ascii="Arial" w:hAnsi="Arial" w:eastAsia="黑体"/>
      <w:b/>
      <w:bCs/>
      <w:sz w:val="28"/>
      <w:szCs w:val="28"/>
    </w:rPr>
  </w:style>
  <w:style w:type="paragraph" w:styleId="740">
    <w:name w:val="Heading 5"/>
    <w:basedOn w:val="735"/>
    <w:next w:val="735"/>
    <w:uiPriority w:val="0"/>
    <w:qFormat/>
    <w:pPr>
      <w:keepLines/>
      <w:keepNext/>
      <w:spacing w:before="280" w:after="290" w:line="376" w:lineRule="auto"/>
      <w:outlineLvl w:val="4"/>
    </w:pPr>
    <w:rPr>
      <w:rFonts w:eastAsia="楷体_GB2312"/>
      <w:b/>
      <w:bCs/>
      <w:sz w:val="28"/>
      <w:szCs w:val="28"/>
    </w:rPr>
  </w:style>
  <w:style w:type="paragraph" w:styleId="741">
    <w:name w:val="Heading 6"/>
    <w:basedOn w:val="735"/>
    <w:next w:val="735"/>
    <w:uiPriority w:val="0"/>
    <w:qFormat/>
    <w:pPr>
      <w:keepLines/>
      <w:keepNext/>
      <w:spacing w:before="240" w:after="64" w:line="320" w:lineRule="auto"/>
      <w:outlineLvl w:val="5"/>
    </w:pPr>
    <w:rPr>
      <w:rFonts w:ascii="Arial" w:hAnsi="Arial" w:eastAsia="黑体"/>
      <w:b/>
      <w:bCs/>
      <w:sz w:val="24"/>
      <w:szCs w:val="24"/>
    </w:rPr>
  </w:style>
  <w:style w:type="character" w:styleId="742" w:default="1">
    <w:name w:val="Default Paragraph Font"/>
    <w:uiPriority w:val="1"/>
    <w:semiHidden/>
    <w:unhideWhenUsed/>
    <w:qFormat/>
  </w:style>
  <w:style w:type="table" w:styleId="743" w:default="1">
    <w:name w:val="Normal Table"/>
    <w:uiPriority w:val="99"/>
    <w:semiHidden/>
    <w:unhideWhenUsed/>
    <w:qFormat/>
    <w:tblPr>
      <w:tblCellMar>
        <w:left w:w="108" w:type="dxa"/>
        <w:top w:w="0" w:type="dxa"/>
        <w:right w:w="108" w:type="dxa"/>
        <w:bottom w:w="0" w:type="dxa"/>
      </w:tblCellMar>
    </w:tblPr>
  </w:style>
  <w:style w:type="paragraph" w:styleId="744">
    <w:name w:val="Body Text Indent"/>
    <w:basedOn w:val="735"/>
    <w:next w:val="735"/>
    <w:link w:val="960"/>
    <w:uiPriority w:val="0"/>
    <w:qFormat/>
    <w:pPr>
      <w:ind w:left="570"/>
      <w:spacing w:line="520" w:lineRule="exact"/>
    </w:pPr>
    <w:rPr>
      <w:rFonts w:ascii="方正仿宋简体" w:hAnsi="创艺简仿宋" w:eastAsia="方正仿宋简体"/>
      <w:sz w:val="24"/>
    </w:rPr>
  </w:style>
  <w:style w:type="paragraph" w:styleId="745">
    <w:name w:val="toc 7"/>
    <w:next w:val="735"/>
    <w:uiPriority w:val="39"/>
    <w:unhideWhenUsed/>
    <w:qFormat/>
    <w:pPr>
      <w:ind w:left="1701"/>
      <w:spacing w:after="57"/>
    </w:pPr>
    <w:rPr>
      <w:rFonts w:ascii="Times New Roman" w:hAnsi="Times New Roman" w:eastAsia="宋体" w:cs="Times New Roman"/>
      <w:lang w:val="en-US" w:eastAsia="zh-CN" w:bidi="ar-SA"/>
    </w:rPr>
  </w:style>
  <w:style w:type="paragraph" w:styleId="746">
    <w:name w:val="Normal Indent"/>
    <w:basedOn w:val="735"/>
    <w:next w:val="735"/>
    <w:uiPriority w:val="99"/>
    <w:unhideWhenUsed/>
    <w:qFormat/>
    <w:pPr>
      <w:ind w:firstLine="420"/>
    </w:pPr>
  </w:style>
  <w:style w:type="paragraph" w:styleId="747">
    <w:name w:val="Document Map"/>
    <w:basedOn w:val="735"/>
    <w:uiPriority w:val="0"/>
    <w:qFormat/>
    <w:pPr>
      <w:shd w:val="clear" w:color="000080" w:fill="000080"/>
    </w:pPr>
  </w:style>
  <w:style w:type="paragraph" w:styleId="748">
    <w:name w:val="annotation text"/>
    <w:basedOn w:val="735"/>
    <w:link w:val="963"/>
    <w:uiPriority w:val="0"/>
    <w:semiHidden/>
    <w:qFormat/>
    <w:rPr>
      <w:rFonts w:eastAsia="楷体_GB2312"/>
      <w:sz w:val="26"/>
    </w:rPr>
  </w:style>
  <w:style w:type="paragraph" w:styleId="749">
    <w:name w:val="Body Text"/>
    <w:basedOn w:val="735"/>
    <w:next w:val="750"/>
    <w:uiPriority w:val="0"/>
    <w:qFormat/>
    <w:pPr>
      <w:spacing w:line="400" w:lineRule="exact"/>
    </w:pPr>
    <w:rPr>
      <w:rFonts w:ascii="楷体_GB2312"/>
      <w:sz w:val="28"/>
    </w:rPr>
  </w:style>
  <w:style w:type="paragraph" w:styleId="750">
    <w:name w:val="Body Text 2"/>
    <w:basedOn w:val="735"/>
    <w:next w:val="749"/>
    <w:uiPriority w:val="0"/>
    <w:qFormat/>
    <w:pPr>
      <w:spacing w:after="120" w:line="480" w:lineRule="auto"/>
    </w:pPr>
    <w:rPr>
      <w:rFonts w:ascii="Times New Roman" w:eastAsia="宋体"/>
    </w:rPr>
  </w:style>
  <w:style w:type="paragraph" w:styleId="751">
    <w:name w:val="Block Text"/>
    <w:basedOn w:val="736"/>
    <w:next w:val="735"/>
    <w:uiPriority w:val="0"/>
    <w:qFormat/>
    <w:pPr>
      <w:ind w:left="1440" w:right="700"/>
    </w:pPr>
  </w:style>
  <w:style w:type="paragraph" w:styleId="752">
    <w:name w:val="toc 5"/>
    <w:next w:val="735"/>
    <w:uiPriority w:val="39"/>
    <w:unhideWhenUsed/>
    <w:qFormat/>
    <w:pPr>
      <w:ind w:left="1134"/>
      <w:spacing w:after="57"/>
    </w:pPr>
    <w:rPr>
      <w:rFonts w:ascii="Times New Roman" w:hAnsi="Times New Roman" w:eastAsia="宋体" w:cs="Times New Roman"/>
      <w:lang w:val="en-US" w:eastAsia="zh-CN" w:bidi="ar-SA"/>
    </w:rPr>
  </w:style>
  <w:style w:type="paragraph" w:styleId="753">
    <w:name w:val="toc 3"/>
    <w:basedOn w:val="735"/>
    <w:next w:val="735"/>
    <w:uiPriority w:val="0"/>
    <w:qFormat/>
    <w:pPr>
      <w:ind w:left="840"/>
    </w:pPr>
  </w:style>
  <w:style w:type="paragraph" w:styleId="754">
    <w:name w:val="Plain Text"/>
    <w:basedOn w:val="735"/>
    <w:link w:val="956"/>
    <w:uiPriority w:val="0"/>
    <w:qFormat/>
    <w:rPr>
      <w:rFonts w:ascii="宋体" w:hAnsi="Courier New" w:eastAsia="楷体_GB2312"/>
      <w:sz w:val="26"/>
    </w:rPr>
  </w:style>
  <w:style w:type="paragraph" w:styleId="755">
    <w:name w:val="toc 8"/>
    <w:next w:val="735"/>
    <w:uiPriority w:val="39"/>
    <w:unhideWhenUsed/>
    <w:qFormat/>
    <w:pPr>
      <w:ind w:left="1984"/>
      <w:spacing w:after="57"/>
    </w:pPr>
    <w:rPr>
      <w:rFonts w:ascii="Times New Roman" w:hAnsi="Times New Roman" w:eastAsia="宋体" w:cs="Times New Roman"/>
      <w:lang w:val="en-US" w:eastAsia="zh-CN" w:bidi="ar-SA"/>
    </w:rPr>
  </w:style>
  <w:style w:type="paragraph" w:styleId="756">
    <w:name w:val="Date"/>
    <w:basedOn w:val="735"/>
    <w:next w:val="735"/>
    <w:link w:val="961"/>
    <w:uiPriority w:val="0"/>
    <w:qFormat/>
    <w:rPr>
      <w:rFonts w:ascii="宋体" w:hAnsi="宋体" w:eastAsia="楷体_GB2312"/>
      <w:sz w:val="24"/>
    </w:rPr>
  </w:style>
  <w:style w:type="paragraph" w:styleId="757">
    <w:name w:val="Body Text Indent 2"/>
    <w:basedOn w:val="735"/>
    <w:uiPriority w:val="0"/>
    <w:qFormat/>
    <w:pPr>
      <w:ind w:firstLine="502"/>
      <w:spacing w:line="360" w:lineRule="auto"/>
      <w:tabs>
        <w:tab w:val="left" w:pos="0" w:leader="none"/>
      </w:tabs>
    </w:pPr>
    <w:rPr>
      <w:rFonts w:ascii="宋体"/>
      <w:b/>
      <w:bCs/>
      <w:sz w:val="24"/>
    </w:rPr>
  </w:style>
  <w:style w:type="paragraph" w:styleId="758">
    <w:name w:val="endnote text"/>
    <w:link w:val="952"/>
    <w:uiPriority w:val="99"/>
    <w:unhideWhenUsed/>
    <w:qFormat/>
    <w:rPr>
      <w:rFonts w:ascii="Times New Roman" w:hAnsi="Times New Roman" w:eastAsia="宋体" w:cs="Times New Roman"/>
      <w:lang w:val="en-US" w:eastAsia="zh-CN" w:bidi="ar-SA"/>
    </w:rPr>
  </w:style>
  <w:style w:type="paragraph" w:styleId="759">
    <w:name w:val="Balloon Text"/>
    <w:basedOn w:val="735"/>
    <w:uiPriority w:val="0"/>
    <w:qFormat/>
    <w:rPr>
      <w:sz w:val="18"/>
      <w:szCs w:val="18"/>
    </w:rPr>
  </w:style>
  <w:style w:type="paragraph" w:styleId="760">
    <w:name w:val="Footer"/>
    <w:basedOn w:val="735"/>
    <w:link w:val="959"/>
    <w:uiPriority w:val="0"/>
    <w:qFormat/>
    <w:pPr>
      <w:tabs>
        <w:tab w:val="center" w:pos="4153" w:leader="none"/>
        <w:tab w:val="right" w:pos="8306" w:leader="none"/>
      </w:tabs>
    </w:pPr>
    <w:rPr>
      <w:rFonts w:eastAsia="楷体_GB2312"/>
      <w:sz w:val="18"/>
    </w:rPr>
  </w:style>
  <w:style w:type="paragraph" w:styleId="761">
    <w:name w:val="Header"/>
    <w:basedOn w:val="735"/>
    <w:uiPriority w:val="0"/>
    <w:qFormat/>
    <w:pPr>
      <w:jc w:val="center"/>
      <w:tabs>
        <w:tab w:val="center" w:pos="4153" w:leader="none"/>
        <w:tab w:val="right" w:pos="8306" w:leader="none"/>
      </w:tabs>
      <w:pBdr>
        <w:bottom w:val="single" w:color="000000" w:sz="6" w:space="1"/>
      </w:pBdr>
    </w:pPr>
    <w:rPr>
      <w:sz w:val="18"/>
    </w:rPr>
  </w:style>
  <w:style w:type="paragraph" w:styleId="762">
    <w:name w:val="toc 1"/>
    <w:basedOn w:val="735"/>
    <w:next w:val="735"/>
    <w:uiPriority w:val="0"/>
    <w:qFormat/>
    <w:rPr>
      <w:sz w:val="24"/>
    </w:rPr>
  </w:style>
  <w:style w:type="paragraph" w:styleId="763">
    <w:name w:val="toc 4"/>
    <w:next w:val="735"/>
    <w:uiPriority w:val="39"/>
    <w:unhideWhenUsed/>
    <w:qFormat/>
    <w:pPr>
      <w:ind w:left="850"/>
      <w:spacing w:after="57"/>
    </w:pPr>
    <w:rPr>
      <w:rFonts w:ascii="Times New Roman" w:hAnsi="Times New Roman" w:eastAsia="宋体" w:cs="Times New Roman"/>
      <w:lang w:val="en-US" w:eastAsia="zh-CN" w:bidi="ar-SA"/>
    </w:rPr>
  </w:style>
  <w:style w:type="paragraph" w:styleId="764">
    <w:name w:val="Subtitle"/>
    <w:link w:val="815"/>
    <w:uiPriority w:val="11"/>
    <w:qFormat/>
    <w:pPr>
      <w:spacing w:before="200" w:after="200"/>
    </w:pPr>
    <w:rPr>
      <w:rFonts w:ascii="Times New Roman" w:hAnsi="Times New Roman" w:eastAsia="宋体" w:cs="Times New Roman"/>
      <w:sz w:val="24"/>
      <w:szCs w:val="24"/>
      <w:lang w:val="en-US" w:eastAsia="zh-CN" w:bidi="ar-SA"/>
    </w:rPr>
  </w:style>
  <w:style w:type="paragraph" w:styleId="765">
    <w:name w:val="footnote text"/>
    <w:basedOn w:val="736"/>
    <w:next w:val="751"/>
    <w:link w:val="951"/>
    <w:uiPriority w:val="99"/>
    <w:unhideWhenUsed/>
    <w:qFormat/>
    <w:pPr>
      <w:spacing w:after="40"/>
    </w:pPr>
    <w:rPr>
      <w:rFonts w:ascii="Times New Roman" w:hAnsi="Times New Roman" w:eastAsia="宋体" w:cs="Times New Roman"/>
      <w:sz w:val="18"/>
      <w:lang w:val="en-US" w:eastAsia="zh-CN" w:bidi="ar-SA"/>
    </w:rPr>
  </w:style>
  <w:style w:type="paragraph" w:styleId="766">
    <w:name w:val="toc 6"/>
    <w:next w:val="735"/>
    <w:uiPriority w:val="39"/>
    <w:unhideWhenUsed/>
    <w:qFormat/>
    <w:pPr>
      <w:ind w:left="1417"/>
      <w:spacing w:after="57"/>
    </w:pPr>
    <w:rPr>
      <w:rFonts w:ascii="Times New Roman" w:hAnsi="Times New Roman" w:eastAsia="宋体" w:cs="Times New Roman"/>
      <w:lang w:val="en-US" w:eastAsia="zh-CN" w:bidi="ar-SA"/>
    </w:rPr>
  </w:style>
  <w:style w:type="paragraph" w:styleId="767">
    <w:name w:val="Body Text Indent 3"/>
    <w:basedOn w:val="735"/>
    <w:uiPriority w:val="0"/>
    <w:qFormat/>
    <w:pPr>
      <w:ind w:firstLine="617"/>
      <w:spacing w:line="360" w:lineRule="auto"/>
    </w:pPr>
    <w:rPr>
      <w:sz w:val="24"/>
      <w:szCs w:val="24"/>
    </w:rPr>
  </w:style>
  <w:style w:type="paragraph" w:styleId="768">
    <w:name w:val="index 7"/>
    <w:basedOn w:val="735"/>
    <w:next w:val="735"/>
    <w:uiPriority w:val="0"/>
    <w:semiHidden/>
    <w:qFormat/>
    <w:pPr>
      <w:ind w:left="2520"/>
    </w:pPr>
    <w:rPr>
      <w:sz w:val="28"/>
    </w:rPr>
  </w:style>
  <w:style w:type="paragraph" w:styleId="769">
    <w:name w:val="toc 2"/>
    <w:next w:val="735"/>
    <w:uiPriority w:val="39"/>
    <w:unhideWhenUsed/>
    <w:qFormat/>
    <w:pPr>
      <w:ind w:left="283"/>
      <w:spacing w:after="57"/>
    </w:pPr>
    <w:rPr>
      <w:rFonts w:ascii="Times New Roman" w:hAnsi="Times New Roman" w:eastAsia="宋体" w:cs="Times New Roman"/>
      <w:lang w:val="en-US" w:eastAsia="zh-CN" w:bidi="ar-SA"/>
    </w:rPr>
  </w:style>
  <w:style w:type="paragraph" w:styleId="770">
    <w:name w:val="toc 9"/>
    <w:next w:val="735"/>
    <w:uiPriority w:val="39"/>
    <w:unhideWhenUsed/>
    <w:qFormat/>
    <w:pPr>
      <w:ind w:left="2268"/>
      <w:spacing w:after="57"/>
    </w:pPr>
    <w:rPr>
      <w:rFonts w:ascii="Times New Roman" w:hAnsi="Times New Roman" w:eastAsia="宋体" w:cs="Times New Roman"/>
      <w:lang w:val="en-US" w:eastAsia="zh-CN" w:bidi="ar-SA"/>
    </w:rPr>
  </w:style>
  <w:style w:type="paragraph" w:styleId="771">
    <w:name w:val="HTML Preformatted"/>
    <w:basedOn w:val="735"/>
    <w:uiPriority w:val="0"/>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rPr>
  </w:style>
  <w:style w:type="paragraph" w:styleId="772">
    <w:name w:val="Normal (Web)"/>
    <w:basedOn w:val="735"/>
    <w:uiPriority w:val="0"/>
    <w:qFormat/>
    <w:pPr>
      <w:spacing w:before="100" w:beforeAutospacing="1" w:after="100" w:afterAutospacing="1"/>
    </w:pPr>
    <w:rPr>
      <w:rFonts w:ascii="宋体" w:hAnsi="宋体"/>
      <w:sz w:val="24"/>
      <w:szCs w:val="24"/>
    </w:rPr>
  </w:style>
  <w:style w:type="paragraph" w:styleId="773">
    <w:name w:val="index 1"/>
    <w:basedOn w:val="735"/>
    <w:next w:val="735"/>
    <w:uiPriority w:val="0"/>
    <w:qFormat/>
  </w:style>
  <w:style w:type="paragraph" w:styleId="774">
    <w:name w:val="Title"/>
    <w:link w:val="814"/>
    <w:uiPriority w:val="10"/>
    <w:qFormat/>
    <w:pPr>
      <w:contextualSpacing/>
      <w:spacing w:before="300" w:after="200"/>
    </w:pPr>
    <w:rPr>
      <w:rFonts w:ascii="Times New Roman" w:hAnsi="Times New Roman" w:eastAsia="宋体" w:cs="Times New Roman"/>
      <w:sz w:val="48"/>
      <w:szCs w:val="48"/>
      <w:lang w:val="en-US" w:eastAsia="zh-CN" w:bidi="ar-SA"/>
    </w:rPr>
  </w:style>
  <w:style w:type="paragraph" w:styleId="775">
    <w:name w:val="annotation subject"/>
    <w:basedOn w:val="748"/>
    <w:next w:val="748"/>
    <w:uiPriority w:val="0"/>
    <w:semiHidden/>
    <w:qFormat/>
    <w:rPr>
      <w:b/>
      <w:bCs/>
    </w:rPr>
  </w:style>
  <w:style w:type="paragraph" w:styleId="776">
    <w:name w:val="Body Text First Indent"/>
    <w:basedOn w:val="749"/>
    <w:uiPriority w:val="99"/>
    <w:semiHidden/>
    <w:unhideWhenUsed/>
    <w:qFormat/>
    <w:pPr>
      <w:ind w:firstLine="420"/>
      <w:jc w:val="both"/>
      <w:spacing w:after="120"/>
    </w:pPr>
    <w:rPr>
      <w:rFonts w:asciiTheme="minorHAnsi" w:hAnsiTheme="minorHAnsi" w:eastAsiaTheme="minorEastAsia" w:cstheme="minorBidi"/>
      <w:sz w:val="21"/>
      <w:szCs w:val="22"/>
    </w:rPr>
  </w:style>
  <w:style w:type="paragraph" w:styleId="777">
    <w:name w:val="Body Text First Indent 2"/>
    <w:basedOn w:val="744"/>
    <w:uiPriority w:val="99"/>
    <w:unhideWhenUsed/>
    <w:qFormat/>
    <w:pPr>
      <w:ind w:firstLine="420"/>
    </w:pPr>
  </w:style>
  <w:style w:type="table" w:styleId="778">
    <w:name w:val="Table Grid"/>
    <w:basedOn w:val="743"/>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9">
    <w:name w:val="Strong"/>
    <w:basedOn w:val="742"/>
    <w:uiPriority w:val="22"/>
    <w:qFormat/>
    <w:rPr>
      <w:b/>
    </w:rPr>
  </w:style>
  <w:style w:type="character" w:styleId="780">
    <w:name w:val="endnote reference"/>
    <w:uiPriority w:val="99"/>
    <w:unhideWhenUsed/>
    <w:qFormat/>
    <w:rPr>
      <w:vertAlign w:val="superscript"/>
    </w:rPr>
  </w:style>
  <w:style w:type="character" w:styleId="781">
    <w:name w:val="page number"/>
    <w:basedOn w:val="742"/>
    <w:uiPriority w:val="0"/>
    <w:qFormat/>
  </w:style>
  <w:style w:type="character" w:styleId="782">
    <w:name w:val="FollowedHyperlink"/>
    <w:basedOn w:val="742"/>
    <w:uiPriority w:val="99"/>
    <w:semiHidden/>
    <w:unhideWhenUsed/>
    <w:qFormat/>
    <w:rPr>
      <w:color w:val="333333"/>
      <w:u w:val="none"/>
    </w:rPr>
  </w:style>
  <w:style w:type="character" w:styleId="783">
    <w:name w:val="Emphasis"/>
    <w:basedOn w:val="742"/>
    <w:uiPriority w:val="20"/>
    <w:qFormat/>
  </w:style>
  <w:style w:type="character" w:styleId="784">
    <w:name w:val="Hyperlink"/>
    <w:basedOn w:val="742"/>
    <w:uiPriority w:val="0"/>
    <w:qFormat/>
    <w:rPr>
      <w:color w:val="333333"/>
      <w:u w:val="none"/>
    </w:rPr>
  </w:style>
  <w:style w:type="character" w:styleId="785">
    <w:name w:val="annotation reference"/>
    <w:uiPriority w:val="99"/>
    <w:qFormat/>
    <w:rPr>
      <w:sz w:val="21"/>
      <w:szCs w:val="21"/>
    </w:rPr>
  </w:style>
  <w:style w:type="character" w:styleId="786">
    <w:name w:val="footnote reference"/>
    <w:uiPriority w:val="99"/>
    <w:unhideWhenUsed/>
    <w:qFormat/>
    <w:rPr>
      <w:vertAlign w:val="superscript"/>
    </w:rPr>
  </w:style>
  <w:style w:type="paragraph" w:styleId="787" w:customStyle="1">
    <w:name w:val="正文文本缩进11"/>
    <w:basedOn w:val="735"/>
    <w:next w:val="788"/>
    <w:uiPriority w:val="0"/>
    <w:qFormat/>
    <w:pPr>
      <w:ind w:firstLine="420"/>
      <w:spacing w:line="360" w:lineRule="exact"/>
    </w:pPr>
    <w:rPr>
      <w:sz w:val="24"/>
    </w:rPr>
  </w:style>
  <w:style w:type="paragraph" w:styleId="788" w:customStyle="1">
    <w:name w:val="目录 51"/>
    <w:next w:val="735"/>
    <w:uiPriority w:val="0"/>
    <w:qFormat/>
    <w:pPr>
      <w:ind w:left="1275"/>
      <w:jc w:val="both"/>
    </w:pPr>
    <w:rPr>
      <w:rFonts w:ascii="Times New Roman" w:hAnsi="Times New Roman" w:eastAsia="宋体" w:cs="Times New Roman"/>
      <w:sz w:val="21"/>
      <w:lang w:val="en-US" w:eastAsia="zh-CN" w:bidi="ar-SA"/>
    </w:rPr>
  </w:style>
  <w:style w:type="paragraph" w:styleId="789" w:customStyle="1">
    <w:name w:val="正文文本缩进1"/>
    <w:basedOn w:val="735"/>
    <w:next w:val="735"/>
    <w:uiPriority w:val="99"/>
    <w:unhideWhenUsed/>
    <w:qFormat/>
    <w:pPr>
      <w:ind w:firstLine="570"/>
    </w:pPr>
    <w:rPr>
      <w:rFonts w:ascii="宋体"/>
      <w:sz w:val="28"/>
    </w:rPr>
  </w:style>
  <w:style w:type="paragraph" w:styleId="790" w:customStyle="1">
    <w:name w:val="正文首行缩进 211"/>
    <w:basedOn w:val="787"/>
    <w:uiPriority w:val="0"/>
    <w:qFormat/>
    <w:pPr>
      <w:ind w:left="420"/>
      <w:spacing w:after="120" w:line="240" w:lineRule="auto"/>
    </w:pPr>
    <w:rPr>
      <w:sz w:val="21"/>
    </w:rPr>
  </w:style>
  <w:style w:type="paragraph" w:styleId="791" w:customStyle="1">
    <w:name w:val="寄信人地址1"/>
    <w:basedOn w:val="735"/>
    <w:uiPriority w:val="0"/>
    <w:qFormat/>
    <w:rPr>
      <w:rFonts w:ascii="Arial" w:hAnsi="Arial"/>
    </w:rPr>
  </w:style>
  <w:style w:type="paragraph" w:styleId="792" w:customStyle="1">
    <w:name w:val="正文1"/>
    <w:next w:val="735"/>
    <w:uiPriority w:val="0"/>
    <w:qFormat/>
    <w:pPr>
      <w:ind w:firstLine="200"/>
      <w:jc w:val="both"/>
      <w:spacing w:line="360" w:lineRule="auto"/>
      <w:widowControl w:val="off"/>
    </w:pPr>
    <w:rPr>
      <w:rFonts w:ascii="Calibri" w:hAnsi="Calibri" w:eastAsia="仿宋_GB2312" w:cs="Times New Roman"/>
      <w:sz w:val="24"/>
      <w:szCs w:val="22"/>
      <w:lang w:val="en-US" w:eastAsia="zh-CN" w:bidi="ar-SA"/>
    </w:rPr>
  </w:style>
  <w:style w:type="paragraph" w:styleId="793" w:customStyle="1">
    <w:name w:val="首行缩进"/>
    <w:basedOn w:val="735"/>
    <w:uiPriority w:val="0"/>
    <w:qFormat/>
    <w:pPr>
      <w:ind w:firstLine="480"/>
    </w:pPr>
    <w:rPr>
      <w:lang w:val="zh-CN"/>
    </w:rPr>
  </w:style>
  <w:style w:type="paragraph" w:styleId="794" w:customStyle="1">
    <w:name w:val="标题 11"/>
    <w:link w:val="795"/>
    <w:uiPriority w:val="9"/>
    <w:qFormat/>
    <w:pPr>
      <w:keepLines/>
      <w:keepNext/>
      <w:spacing w:before="480" w:after="200"/>
      <w:outlineLvl w:val="0"/>
    </w:pPr>
    <w:rPr>
      <w:rFonts w:ascii="Arial" w:hAnsi="Arial" w:eastAsia="Arial" w:cs="Times New Roman"/>
      <w:sz w:val="40"/>
      <w:szCs w:val="40"/>
      <w:lang w:val="en-US" w:eastAsia="zh-CN" w:bidi="ar-SA"/>
    </w:rPr>
  </w:style>
  <w:style w:type="character" w:styleId="795" w:customStyle="1">
    <w:name w:val="Heading 1 Char"/>
    <w:link w:val="794"/>
    <w:uiPriority w:val="9"/>
    <w:qFormat/>
    <w:rPr>
      <w:rFonts w:ascii="Arial" w:hAnsi="Arial" w:eastAsia="Arial"/>
      <w:sz w:val="40"/>
      <w:szCs w:val="40"/>
      <w:lang w:bidi="ar-SA"/>
    </w:rPr>
  </w:style>
  <w:style w:type="paragraph" w:styleId="796" w:customStyle="1">
    <w:name w:val="标题 21"/>
    <w:link w:val="797"/>
    <w:uiPriority w:val="9"/>
    <w:unhideWhenUsed/>
    <w:qFormat/>
    <w:pPr>
      <w:keepLines/>
      <w:keepNext/>
      <w:spacing w:before="360" w:after="200"/>
      <w:outlineLvl w:val="1"/>
    </w:pPr>
    <w:rPr>
      <w:rFonts w:ascii="Arial" w:hAnsi="Arial" w:eastAsia="Arial" w:cs="Times New Roman"/>
      <w:sz w:val="34"/>
      <w:lang w:val="en-US" w:eastAsia="zh-CN" w:bidi="ar-SA"/>
    </w:rPr>
  </w:style>
  <w:style w:type="character" w:styleId="797" w:customStyle="1">
    <w:name w:val="Heading 2 Char"/>
    <w:link w:val="796"/>
    <w:uiPriority w:val="9"/>
    <w:qFormat/>
    <w:rPr>
      <w:rFonts w:ascii="Arial" w:hAnsi="Arial" w:eastAsia="Arial"/>
      <w:sz w:val="34"/>
      <w:lang w:bidi="ar-SA"/>
    </w:rPr>
  </w:style>
  <w:style w:type="paragraph" w:styleId="798" w:customStyle="1">
    <w:name w:val="标题 31"/>
    <w:link w:val="799"/>
    <w:uiPriority w:val="9"/>
    <w:unhideWhenUsed/>
    <w:qFormat/>
    <w:pPr>
      <w:keepLines/>
      <w:keepNext/>
      <w:spacing w:before="320" w:after="200"/>
      <w:outlineLvl w:val="2"/>
    </w:pPr>
    <w:rPr>
      <w:rFonts w:ascii="Arial" w:hAnsi="Arial" w:eastAsia="Arial" w:cs="Times New Roman"/>
      <w:sz w:val="30"/>
      <w:szCs w:val="30"/>
      <w:lang w:val="en-US" w:eastAsia="zh-CN" w:bidi="ar-SA"/>
    </w:rPr>
  </w:style>
  <w:style w:type="character" w:styleId="799" w:customStyle="1">
    <w:name w:val="Heading 3 Char"/>
    <w:link w:val="798"/>
    <w:uiPriority w:val="9"/>
    <w:qFormat/>
    <w:rPr>
      <w:rFonts w:ascii="Arial" w:hAnsi="Arial" w:eastAsia="Arial"/>
      <w:sz w:val="30"/>
      <w:szCs w:val="30"/>
      <w:lang w:bidi="ar-SA"/>
    </w:rPr>
  </w:style>
  <w:style w:type="paragraph" w:styleId="800" w:customStyle="1">
    <w:name w:val="标题 41"/>
    <w:link w:val="801"/>
    <w:uiPriority w:val="9"/>
    <w:unhideWhenUsed/>
    <w:qFormat/>
    <w:pPr>
      <w:keepLines/>
      <w:keepNext/>
      <w:spacing w:before="320" w:after="200"/>
      <w:outlineLvl w:val="3"/>
    </w:pPr>
    <w:rPr>
      <w:rFonts w:ascii="Arial" w:hAnsi="Arial" w:eastAsia="Arial" w:cs="Times New Roman"/>
      <w:b/>
      <w:bCs/>
      <w:sz w:val="26"/>
      <w:szCs w:val="26"/>
      <w:lang w:val="en-US" w:eastAsia="zh-CN" w:bidi="ar-SA"/>
    </w:rPr>
  </w:style>
  <w:style w:type="character" w:styleId="801" w:customStyle="1">
    <w:name w:val="Heading 4 Char"/>
    <w:link w:val="800"/>
    <w:uiPriority w:val="9"/>
    <w:qFormat/>
    <w:rPr>
      <w:rFonts w:ascii="Arial" w:hAnsi="Arial" w:eastAsia="Arial"/>
      <w:b/>
      <w:bCs/>
      <w:sz w:val="26"/>
      <w:szCs w:val="26"/>
      <w:lang w:bidi="ar-SA"/>
    </w:rPr>
  </w:style>
  <w:style w:type="paragraph" w:styleId="802" w:customStyle="1">
    <w:name w:val="标题 51"/>
    <w:link w:val="803"/>
    <w:uiPriority w:val="9"/>
    <w:unhideWhenUsed/>
    <w:qFormat/>
    <w:pPr>
      <w:keepLines/>
      <w:keepNext/>
      <w:spacing w:before="320" w:after="200"/>
      <w:outlineLvl w:val="4"/>
    </w:pPr>
    <w:rPr>
      <w:rFonts w:ascii="Arial" w:hAnsi="Arial" w:eastAsia="Arial" w:cs="Times New Roman"/>
      <w:b/>
      <w:bCs/>
      <w:sz w:val="24"/>
      <w:szCs w:val="24"/>
      <w:lang w:val="en-US" w:eastAsia="zh-CN" w:bidi="ar-SA"/>
    </w:rPr>
  </w:style>
  <w:style w:type="character" w:styleId="803" w:customStyle="1">
    <w:name w:val="Heading 5 Char"/>
    <w:link w:val="802"/>
    <w:uiPriority w:val="9"/>
    <w:qFormat/>
    <w:rPr>
      <w:rFonts w:ascii="Arial" w:hAnsi="Arial" w:eastAsia="Arial"/>
      <w:b/>
      <w:bCs/>
      <w:sz w:val="24"/>
      <w:szCs w:val="24"/>
      <w:lang w:bidi="ar-SA"/>
    </w:rPr>
  </w:style>
  <w:style w:type="paragraph" w:styleId="804" w:customStyle="1">
    <w:name w:val="标题 61"/>
    <w:link w:val="805"/>
    <w:uiPriority w:val="9"/>
    <w:unhideWhenUsed/>
    <w:qFormat/>
    <w:pPr>
      <w:keepLines/>
      <w:keepNext/>
      <w:spacing w:before="320" w:after="200"/>
      <w:outlineLvl w:val="5"/>
    </w:pPr>
    <w:rPr>
      <w:rFonts w:ascii="Arial" w:hAnsi="Arial" w:eastAsia="Arial" w:cs="Times New Roman"/>
      <w:b/>
      <w:bCs/>
      <w:sz w:val="22"/>
      <w:szCs w:val="22"/>
      <w:lang w:val="en-US" w:eastAsia="zh-CN" w:bidi="ar-SA"/>
    </w:rPr>
  </w:style>
  <w:style w:type="character" w:styleId="805" w:customStyle="1">
    <w:name w:val="Heading 6 Char"/>
    <w:link w:val="804"/>
    <w:uiPriority w:val="9"/>
    <w:qFormat/>
    <w:rPr>
      <w:rFonts w:ascii="Arial" w:hAnsi="Arial" w:eastAsia="Arial"/>
      <w:b/>
      <w:bCs/>
      <w:sz w:val="22"/>
      <w:szCs w:val="22"/>
      <w:lang w:bidi="ar-SA"/>
    </w:rPr>
  </w:style>
  <w:style w:type="paragraph" w:styleId="806" w:customStyle="1">
    <w:name w:val="标题 71"/>
    <w:link w:val="807"/>
    <w:uiPriority w:val="9"/>
    <w:unhideWhenUsed/>
    <w:qFormat/>
    <w:pPr>
      <w:keepLines/>
      <w:keepNext/>
      <w:spacing w:before="320" w:after="200"/>
      <w:outlineLvl w:val="6"/>
    </w:pPr>
    <w:rPr>
      <w:rFonts w:ascii="Arial" w:hAnsi="Arial" w:eastAsia="Arial" w:cs="Times New Roman"/>
      <w:b/>
      <w:bCs/>
      <w:i/>
      <w:iCs/>
      <w:sz w:val="22"/>
      <w:szCs w:val="22"/>
      <w:lang w:val="en-US" w:eastAsia="zh-CN" w:bidi="ar-SA"/>
    </w:rPr>
  </w:style>
  <w:style w:type="character" w:styleId="807" w:customStyle="1">
    <w:name w:val="Heading 7 Char"/>
    <w:link w:val="806"/>
    <w:uiPriority w:val="9"/>
    <w:qFormat/>
    <w:rPr>
      <w:rFonts w:ascii="Arial" w:hAnsi="Arial" w:eastAsia="Arial"/>
      <w:b/>
      <w:bCs/>
      <w:i/>
      <w:iCs/>
      <w:sz w:val="22"/>
      <w:szCs w:val="22"/>
      <w:lang w:bidi="ar-SA"/>
    </w:rPr>
  </w:style>
  <w:style w:type="paragraph" w:styleId="808" w:customStyle="1">
    <w:name w:val="标题 81"/>
    <w:link w:val="809"/>
    <w:uiPriority w:val="9"/>
    <w:unhideWhenUsed/>
    <w:qFormat/>
    <w:pPr>
      <w:keepLines/>
      <w:keepNext/>
      <w:spacing w:before="320" w:after="200"/>
      <w:outlineLvl w:val="7"/>
    </w:pPr>
    <w:rPr>
      <w:rFonts w:ascii="Arial" w:hAnsi="Arial" w:eastAsia="Arial" w:cs="Times New Roman"/>
      <w:i/>
      <w:iCs/>
      <w:sz w:val="22"/>
      <w:szCs w:val="22"/>
      <w:lang w:val="en-US" w:eastAsia="zh-CN" w:bidi="ar-SA"/>
    </w:rPr>
  </w:style>
  <w:style w:type="character" w:styleId="809" w:customStyle="1">
    <w:name w:val="Heading 8 Char"/>
    <w:link w:val="808"/>
    <w:uiPriority w:val="9"/>
    <w:qFormat/>
    <w:rPr>
      <w:rFonts w:ascii="Arial" w:hAnsi="Arial" w:eastAsia="Arial"/>
      <w:i/>
      <w:iCs/>
      <w:sz w:val="22"/>
      <w:szCs w:val="22"/>
      <w:lang w:bidi="ar-SA"/>
    </w:rPr>
  </w:style>
  <w:style w:type="paragraph" w:styleId="810" w:customStyle="1">
    <w:name w:val="标题 91"/>
    <w:link w:val="811"/>
    <w:uiPriority w:val="9"/>
    <w:unhideWhenUsed/>
    <w:qFormat/>
    <w:pPr>
      <w:keepLines/>
      <w:keepNext/>
      <w:spacing w:before="320" w:after="200"/>
      <w:outlineLvl w:val="8"/>
    </w:pPr>
    <w:rPr>
      <w:rFonts w:ascii="Arial" w:hAnsi="Arial" w:eastAsia="Arial" w:cs="Times New Roman"/>
      <w:i/>
      <w:iCs/>
      <w:sz w:val="21"/>
      <w:szCs w:val="21"/>
      <w:lang w:val="en-US" w:eastAsia="zh-CN" w:bidi="ar-SA"/>
    </w:rPr>
  </w:style>
  <w:style w:type="character" w:styleId="811" w:customStyle="1">
    <w:name w:val="Heading 9 Char"/>
    <w:link w:val="810"/>
    <w:uiPriority w:val="9"/>
    <w:qFormat/>
    <w:rPr>
      <w:rFonts w:ascii="Arial" w:hAnsi="Arial" w:eastAsia="Arial"/>
      <w:i/>
      <w:iCs/>
      <w:sz w:val="21"/>
      <w:szCs w:val="21"/>
      <w:lang w:bidi="ar-SA"/>
    </w:rPr>
  </w:style>
  <w:style w:type="paragraph" w:styleId="812" w:customStyle="1">
    <w:name w:val="列表段落1"/>
    <w:basedOn w:val="735"/>
    <w:uiPriority w:val="0"/>
    <w:qFormat/>
    <w:pPr>
      <w:ind w:firstLine="420"/>
    </w:pPr>
  </w:style>
  <w:style w:type="paragraph" w:styleId="813" w:customStyle="1">
    <w:name w:val="无间隔1"/>
    <w:uiPriority w:val="1"/>
    <w:qFormat/>
    <w:rPr>
      <w:rFonts w:ascii="Times New Roman" w:hAnsi="Times New Roman" w:eastAsia="宋体" w:cs="Times New Roman"/>
      <w:lang w:val="en-US" w:eastAsia="zh-CN" w:bidi="ar-SA"/>
    </w:rPr>
  </w:style>
  <w:style w:type="character" w:styleId="814" w:customStyle="1">
    <w:name w:val="标题 Char"/>
    <w:link w:val="774"/>
    <w:uiPriority w:val="10"/>
    <w:qFormat/>
    <w:rPr>
      <w:sz w:val="48"/>
      <w:szCs w:val="48"/>
      <w:lang w:bidi="ar-SA"/>
    </w:rPr>
  </w:style>
  <w:style w:type="character" w:styleId="815" w:customStyle="1">
    <w:name w:val="副标题 Char"/>
    <w:link w:val="764"/>
    <w:uiPriority w:val="11"/>
    <w:qFormat/>
    <w:rPr>
      <w:sz w:val="24"/>
      <w:szCs w:val="24"/>
      <w:lang w:bidi="ar-SA"/>
    </w:rPr>
  </w:style>
  <w:style w:type="paragraph" w:styleId="816" w:customStyle="1">
    <w:name w:val="引用1"/>
    <w:link w:val="817"/>
    <w:uiPriority w:val="29"/>
    <w:qFormat/>
    <w:pPr>
      <w:ind w:left="720" w:right="720"/>
    </w:pPr>
    <w:rPr>
      <w:rFonts w:ascii="Times New Roman" w:hAnsi="Times New Roman" w:eastAsia="宋体" w:cs="Times New Roman"/>
      <w:i/>
      <w:lang w:val="en-US" w:eastAsia="zh-CN" w:bidi="ar-SA"/>
    </w:rPr>
  </w:style>
  <w:style w:type="character" w:styleId="817" w:customStyle="1">
    <w:name w:val="引用 Char"/>
    <w:link w:val="816"/>
    <w:uiPriority w:val="29"/>
    <w:qFormat/>
    <w:rPr>
      <w:i/>
      <w:lang w:val="en-US" w:eastAsia="zh-CN" w:bidi="ar-SA"/>
    </w:rPr>
  </w:style>
  <w:style w:type="paragraph" w:styleId="818" w:customStyle="1">
    <w:name w:val="明显引用1"/>
    <w:link w:val="819"/>
    <w:uiPriority w:val="30"/>
    <w:qFormat/>
    <w:pPr>
      <w:ind w:left="720" w:right="720"/>
      <w:shd w:val="clear" w:color="f2f2f2"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cs="Times New Roman"/>
      <w:i/>
      <w:lang w:val="en-US" w:eastAsia="zh-CN" w:bidi="ar-SA"/>
    </w:rPr>
  </w:style>
  <w:style w:type="character" w:styleId="819" w:customStyle="1">
    <w:name w:val="明显引用 Char"/>
    <w:link w:val="818"/>
    <w:uiPriority w:val="30"/>
    <w:qFormat/>
    <w:rPr>
      <w:i/>
      <w:shd w:val="clear" w:color="f2f2f2" w:fill="f2f2f2"/>
      <w:lang w:val="en-US" w:eastAsia="zh-CN" w:bidi="ar-SA"/>
    </w:rPr>
  </w:style>
  <w:style w:type="paragraph" w:styleId="820" w:customStyle="1">
    <w:name w:val="页眉1"/>
    <w:link w:val="821"/>
    <w:uiPriority w:val="99"/>
    <w:unhideWhenUsed/>
    <w:qFormat/>
    <w:pPr>
      <w:tabs>
        <w:tab w:val="center" w:pos="7143" w:leader="none"/>
        <w:tab w:val="right" w:pos="14287" w:leader="none"/>
      </w:tabs>
    </w:pPr>
    <w:rPr>
      <w:rFonts w:ascii="Times New Roman" w:hAnsi="Times New Roman" w:eastAsia="宋体" w:cs="Times New Roman"/>
      <w:lang w:val="en-US" w:eastAsia="zh-CN" w:bidi="ar-SA"/>
    </w:rPr>
  </w:style>
  <w:style w:type="character" w:styleId="821" w:customStyle="1">
    <w:name w:val="Header Char"/>
    <w:link w:val="820"/>
    <w:uiPriority w:val="99"/>
    <w:qFormat/>
    <w:rPr>
      <w:lang w:val="en-US" w:eastAsia="zh-CN" w:bidi="ar-SA"/>
    </w:rPr>
  </w:style>
  <w:style w:type="paragraph" w:styleId="822" w:customStyle="1">
    <w:name w:val="页脚1"/>
    <w:link w:val="825"/>
    <w:uiPriority w:val="99"/>
    <w:unhideWhenUsed/>
    <w:qFormat/>
    <w:pPr>
      <w:tabs>
        <w:tab w:val="center" w:pos="7143" w:leader="none"/>
        <w:tab w:val="right" w:pos="14287" w:leader="none"/>
      </w:tabs>
    </w:pPr>
    <w:rPr>
      <w:rFonts w:ascii="Times New Roman" w:hAnsi="Times New Roman" w:eastAsia="宋体" w:cs="Times New Roman"/>
      <w:lang w:val="en-US" w:eastAsia="zh-CN" w:bidi="ar-SA"/>
    </w:rPr>
  </w:style>
  <w:style w:type="character" w:styleId="823" w:customStyle="1">
    <w:name w:val="Footer Char"/>
    <w:uiPriority w:val="99"/>
    <w:qFormat/>
  </w:style>
  <w:style w:type="paragraph" w:styleId="824" w:customStyle="1">
    <w:name w:val="题注1"/>
    <w:uiPriority w:val="35"/>
    <w:unhideWhenUsed/>
    <w:qFormat/>
    <w:pPr>
      <w:spacing w:line="276" w:lineRule="auto"/>
    </w:pPr>
    <w:rPr>
      <w:rFonts w:ascii="Times New Roman" w:hAnsi="Times New Roman" w:eastAsia="宋体" w:cs="Times New Roman"/>
      <w:b/>
      <w:bCs/>
      <w:color w:val="4f81bd"/>
      <w:sz w:val="18"/>
      <w:szCs w:val="18"/>
      <w:lang w:val="en-US" w:eastAsia="zh-CN" w:bidi="ar-SA"/>
    </w:rPr>
  </w:style>
  <w:style w:type="character" w:styleId="825" w:customStyle="1">
    <w:name w:val="Caption Char"/>
    <w:link w:val="822"/>
    <w:uiPriority w:val="99"/>
    <w:qFormat/>
    <w:rPr>
      <w:lang w:val="en-US" w:eastAsia="zh-CN" w:bidi="ar-SA"/>
    </w:rPr>
  </w:style>
  <w:style w:type="table" w:styleId="826"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27"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28"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29" w:customStyle="1">
    <w:name w:val="无格式表格 31"/>
    <w:uiPriority w:val="99"/>
    <w:qFormat/>
    <w:tblPr>
      <w:tblCellMar>
        <w:left w:w="0" w:type="dxa"/>
        <w:top w:w="0" w:type="dxa"/>
        <w:right w:w="0" w:type="dxa"/>
        <w:bottom w:w="0" w:type="dxa"/>
      </w:tblCellMar>
    </w:tblPr>
  </w:style>
  <w:style w:type="table" w:styleId="830" w:customStyle="1">
    <w:name w:val="无格式表格 41"/>
    <w:uiPriority w:val="99"/>
    <w:qFormat/>
    <w:tblPr>
      <w:tblCellMar>
        <w:left w:w="0" w:type="dxa"/>
        <w:top w:w="0" w:type="dxa"/>
        <w:right w:w="0" w:type="dxa"/>
        <w:bottom w:w="0" w:type="dxa"/>
      </w:tblCellMar>
    </w:tblPr>
  </w:style>
  <w:style w:type="table" w:styleId="831" w:customStyle="1">
    <w:name w:val="无格式表格 51"/>
    <w:uiPriority w:val="99"/>
    <w:qFormat/>
    <w:tblPr>
      <w:tblCellMar>
        <w:left w:w="0" w:type="dxa"/>
        <w:top w:w="0" w:type="dxa"/>
        <w:right w:w="0" w:type="dxa"/>
        <w:bottom w:w="0" w:type="dxa"/>
      </w:tblCellMar>
    </w:tblPr>
  </w:style>
  <w:style w:type="table" w:styleId="832"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33"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34"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35"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36"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37"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38"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39"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40"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41"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42"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43"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4"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45"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46"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47"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48"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49"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50"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51"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52"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53"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54"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55"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56"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57"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58"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59"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60"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1"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2"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3"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4"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5"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6"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7"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68"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69"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70"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71"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72"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73"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74"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75"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76"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77"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78"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79"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80"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81" w:customStyle="1">
    <w:name w:val="清单表 1 浅色1"/>
    <w:uiPriority w:val="99"/>
    <w:qFormat/>
    <w:tblPr>
      <w:tblCellMar>
        <w:left w:w="0" w:type="dxa"/>
        <w:top w:w="0" w:type="dxa"/>
        <w:right w:w="0" w:type="dxa"/>
        <w:bottom w:w="0" w:type="dxa"/>
      </w:tblCellMar>
    </w:tblPr>
  </w:style>
  <w:style w:type="table" w:styleId="882" w:customStyle="1">
    <w:name w:val="List Table 1 Light - Accent 1"/>
    <w:uiPriority w:val="99"/>
    <w:qFormat/>
    <w:tblPr>
      <w:tblCellMar>
        <w:left w:w="0" w:type="dxa"/>
        <w:top w:w="0" w:type="dxa"/>
        <w:right w:w="0" w:type="dxa"/>
        <w:bottom w:w="0" w:type="dxa"/>
      </w:tblCellMar>
    </w:tblPr>
  </w:style>
  <w:style w:type="table" w:styleId="883" w:customStyle="1">
    <w:name w:val="List Table 1 Light - Accent 2"/>
    <w:uiPriority w:val="99"/>
    <w:qFormat/>
    <w:tblPr>
      <w:tblCellMar>
        <w:left w:w="0" w:type="dxa"/>
        <w:top w:w="0" w:type="dxa"/>
        <w:right w:w="0" w:type="dxa"/>
        <w:bottom w:w="0" w:type="dxa"/>
      </w:tblCellMar>
    </w:tblPr>
  </w:style>
  <w:style w:type="table" w:styleId="884" w:customStyle="1">
    <w:name w:val="List Table 1 Light - Accent 3"/>
    <w:uiPriority w:val="99"/>
    <w:qFormat/>
    <w:tblPr>
      <w:tblCellMar>
        <w:left w:w="0" w:type="dxa"/>
        <w:top w:w="0" w:type="dxa"/>
        <w:right w:w="0" w:type="dxa"/>
        <w:bottom w:w="0" w:type="dxa"/>
      </w:tblCellMar>
    </w:tblPr>
  </w:style>
  <w:style w:type="table" w:styleId="885" w:customStyle="1">
    <w:name w:val="List Table 1 Light - Accent 4"/>
    <w:uiPriority w:val="99"/>
    <w:qFormat/>
    <w:tblPr>
      <w:tblCellMar>
        <w:left w:w="0" w:type="dxa"/>
        <w:top w:w="0" w:type="dxa"/>
        <w:right w:w="0" w:type="dxa"/>
        <w:bottom w:w="0" w:type="dxa"/>
      </w:tblCellMar>
    </w:tblPr>
  </w:style>
  <w:style w:type="table" w:styleId="886" w:customStyle="1">
    <w:name w:val="List Table 1 Light - Accent 5"/>
    <w:uiPriority w:val="99"/>
    <w:qFormat/>
    <w:tblPr>
      <w:tblCellMar>
        <w:left w:w="0" w:type="dxa"/>
        <w:top w:w="0" w:type="dxa"/>
        <w:right w:w="0" w:type="dxa"/>
        <w:bottom w:w="0" w:type="dxa"/>
      </w:tblCellMar>
    </w:tblPr>
  </w:style>
  <w:style w:type="table" w:styleId="887" w:customStyle="1">
    <w:name w:val="List Table 1 Light - Accent 6"/>
    <w:uiPriority w:val="99"/>
    <w:qFormat/>
    <w:tblPr>
      <w:tblCellMar>
        <w:left w:w="0" w:type="dxa"/>
        <w:top w:w="0" w:type="dxa"/>
        <w:right w:w="0" w:type="dxa"/>
        <w:bottom w:w="0" w:type="dxa"/>
      </w:tblCellMar>
    </w:tblPr>
  </w:style>
  <w:style w:type="table" w:styleId="888"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89"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90"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91"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92"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93"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94"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95"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96"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97"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98"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99"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00"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01"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02"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03"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04"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05"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06"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07"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08"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09"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10"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11"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12"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13"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14"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15"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16"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17"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18"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19"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20"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21"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22"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23"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924"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25"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26"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27"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28"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29"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30" w:customStyle="1">
    <w:name w:val="Lined - Accent"/>
    <w:uiPriority w:val="99"/>
    <w:qFormat/>
    <w:rPr>
      <w:color w:val="404040"/>
    </w:rPr>
    <w:tblPr>
      <w:tblCellMar>
        <w:left w:w="0" w:type="dxa"/>
        <w:top w:w="0" w:type="dxa"/>
        <w:right w:w="0" w:type="dxa"/>
        <w:bottom w:w="0" w:type="dxa"/>
      </w:tblCellMar>
    </w:tblPr>
  </w:style>
  <w:style w:type="table" w:styleId="931" w:customStyle="1">
    <w:name w:val="Lined - Accent 1"/>
    <w:uiPriority w:val="99"/>
    <w:qFormat/>
    <w:rPr>
      <w:color w:val="404040"/>
    </w:rPr>
    <w:tblPr>
      <w:tblCellMar>
        <w:left w:w="0" w:type="dxa"/>
        <w:top w:w="0" w:type="dxa"/>
        <w:right w:w="0" w:type="dxa"/>
        <w:bottom w:w="0" w:type="dxa"/>
      </w:tblCellMar>
    </w:tblPr>
  </w:style>
  <w:style w:type="table" w:styleId="932" w:customStyle="1">
    <w:name w:val="Lined - Accent 2"/>
    <w:uiPriority w:val="99"/>
    <w:qFormat/>
    <w:rPr>
      <w:color w:val="404040"/>
    </w:rPr>
    <w:tblPr>
      <w:tblCellMar>
        <w:left w:w="0" w:type="dxa"/>
        <w:top w:w="0" w:type="dxa"/>
        <w:right w:w="0" w:type="dxa"/>
        <w:bottom w:w="0" w:type="dxa"/>
      </w:tblCellMar>
    </w:tblPr>
  </w:style>
  <w:style w:type="table" w:styleId="933" w:customStyle="1">
    <w:name w:val="Lined - Accent 3"/>
    <w:uiPriority w:val="99"/>
    <w:qFormat/>
    <w:rPr>
      <w:color w:val="404040"/>
    </w:rPr>
    <w:tblPr>
      <w:tblCellMar>
        <w:left w:w="0" w:type="dxa"/>
        <w:top w:w="0" w:type="dxa"/>
        <w:right w:w="0" w:type="dxa"/>
        <w:bottom w:w="0" w:type="dxa"/>
      </w:tblCellMar>
    </w:tblPr>
  </w:style>
  <w:style w:type="table" w:styleId="934" w:customStyle="1">
    <w:name w:val="Lined - Accent 4"/>
    <w:uiPriority w:val="99"/>
    <w:qFormat/>
    <w:rPr>
      <w:color w:val="404040"/>
    </w:rPr>
    <w:tblPr>
      <w:tblCellMar>
        <w:left w:w="0" w:type="dxa"/>
        <w:top w:w="0" w:type="dxa"/>
        <w:right w:w="0" w:type="dxa"/>
        <w:bottom w:w="0" w:type="dxa"/>
      </w:tblCellMar>
    </w:tblPr>
  </w:style>
  <w:style w:type="table" w:styleId="935" w:customStyle="1">
    <w:name w:val="Lined - Accent 5"/>
    <w:uiPriority w:val="99"/>
    <w:qFormat/>
    <w:rPr>
      <w:color w:val="404040"/>
    </w:rPr>
    <w:tblPr>
      <w:tblCellMar>
        <w:left w:w="0" w:type="dxa"/>
        <w:top w:w="0" w:type="dxa"/>
        <w:right w:w="0" w:type="dxa"/>
        <w:bottom w:w="0" w:type="dxa"/>
      </w:tblCellMar>
    </w:tblPr>
  </w:style>
  <w:style w:type="table" w:styleId="936" w:customStyle="1">
    <w:name w:val="Lined - Accent 6"/>
    <w:uiPriority w:val="99"/>
    <w:qFormat/>
    <w:rPr>
      <w:color w:val="404040"/>
    </w:rPr>
    <w:tblPr>
      <w:tblCellMar>
        <w:left w:w="0" w:type="dxa"/>
        <w:top w:w="0" w:type="dxa"/>
        <w:right w:w="0" w:type="dxa"/>
        <w:bottom w:w="0" w:type="dxa"/>
      </w:tblCellMar>
    </w:tblPr>
  </w:style>
  <w:style w:type="table" w:styleId="937"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38"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39"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40"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41"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42"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43"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44"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45"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46"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47"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48"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49"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50"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51" w:customStyle="1">
    <w:name w:val="脚注文本 Char"/>
    <w:link w:val="765"/>
    <w:uiPriority w:val="99"/>
    <w:semiHidden/>
    <w:qFormat/>
    <w:rPr>
      <w:sz w:val="18"/>
      <w:lang w:bidi="ar-SA"/>
    </w:rPr>
  </w:style>
  <w:style w:type="character" w:styleId="952" w:customStyle="1">
    <w:name w:val="尾注文本 Char"/>
    <w:link w:val="758"/>
    <w:uiPriority w:val="99"/>
    <w:semiHidden/>
    <w:qFormat/>
    <w:rPr>
      <w:lang w:val="en-US" w:eastAsia="zh-CN" w:bidi="ar-SA"/>
    </w:rPr>
  </w:style>
  <w:style w:type="paragraph" w:styleId="953" w:customStyle="1">
    <w:name w:val="TOC 标题1"/>
    <w:basedOn w:val="736"/>
    <w:next w:val="735"/>
    <w:uiPriority w:val="0"/>
    <w:qFormat/>
    <w:pPr>
      <w:spacing w:before="480" w:after="0" w:line="276" w:lineRule="auto"/>
      <w:outlineLvl w:val="9"/>
    </w:pPr>
    <w:rPr>
      <w:rFonts w:ascii="Cambria" w:hAnsi="Cambria"/>
      <w:bCs/>
      <w:color w:val="365f91"/>
      <w:sz w:val="28"/>
      <w:szCs w:val="28"/>
    </w:rPr>
  </w:style>
  <w:style w:type="character" w:styleId="954" w:customStyle="1">
    <w:name w:val="Plain Text Char Char"/>
    <w:uiPriority w:val="0"/>
    <w:qFormat/>
    <w:rPr>
      <w:rFonts w:ascii="宋体" w:hAnsi="Courier New" w:eastAsia="楷体_GB2312"/>
      <w:sz w:val="26"/>
      <w:lang w:val="en-US" w:eastAsia="zh-CN" w:bidi="ar-SA"/>
    </w:rPr>
  </w:style>
  <w:style w:type="character" w:styleId="955" w:customStyle="1">
    <w:name w:val="s2"/>
    <w:basedOn w:val="742"/>
    <w:uiPriority w:val="0"/>
    <w:qFormat/>
  </w:style>
  <w:style w:type="character" w:styleId="956" w:customStyle="1">
    <w:name w:val="纯文本 Char"/>
    <w:link w:val="754"/>
    <w:uiPriority w:val="0"/>
    <w:qFormat/>
    <w:rPr>
      <w:rFonts w:ascii="宋体" w:hAnsi="Courier New" w:eastAsia="楷体_GB2312"/>
      <w:sz w:val="26"/>
      <w:lang w:val="en-US" w:eastAsia="zh-CN" w:bidi="ar-SA"/>
    </w:rPr>
  </w:style>
  <w:style w:type="character" w:styleId="957" w:customStyle="1">
    <w:name w:val="正文缩进 Char"/>
    <w:link w:val="958"/>
    <w:uiPriority w:val="0"/>
    <w:qFormat/>
    <w:rPr>
      <w:rFonts w:eastAsia="楷体_GB2312"/>
      <w:sz w:val="24"/>
      <w:lang w:val="en-US" w:eastAsia="zh-CN" w:bidi="ar-SA"/>
    </w:rPr>
  </w:style>
  <w:style w:type="paragraph" w:styleId="958" w:customStyle="1">
    <w:name w:val="正文缩进1"/>
    <w:basedOn w:val="735"/>
    <w:next w:val="735"/>
    <w:link w:val="957"/>
    <w:uiPriority w:val="0"/>
    <w:qFormat/>
    <w:pPr>
      <w:ind w:firstLine="420"/>
    </w:pPr>
    <w:rPr>
      <w:rFonts w:eastAsia="楷体_GB2312"/>
      <w:sz w:val="24"/>
    </w:rPr>
  </w:style>
  <w:style w:type="character" w:styleId="959" w:customStyle="1">
    <w:name w:val="页脚 Char"/>
    <w:link w:val="760"/>
    <w:uiPriority w:val="0"/>
    <w:qFormat/>
    <w:rPr>
      <w:rFonts w:eastAsia="楷体_GB2312"/>
      <w:sz w:val="18"/>
    </w:rPr>
  </w:style>
  <w:style w:type="character" w:styleId="960" w:customStyle="1">
    <w:name w:val="正文文本缩进 Char"/>
    <w:link w:val="744"/>
    <w:uiPriority w:val="0"/>
    <w:qFormat/>
    <w:rPr>
      <w:rFonts w:ascii="方正仿宋简体" w:hAnsi="创艺简仿宋" w:eastAsia="方正仿宋简体"/>
      <w:sz w:val="24"/>
    </w:rPr>
  </w:style>
  <w:style w:type="character" w:styleId="961" w:customStyle="1">
    <w:name w:val="日期 Char"/>
    <w:link w:val="756"/>
    <w:uiPriority w:val="0"/>
    <w:qFormat/>
    <w:rPr>
      <w:rFonts w:ascii="宋体" w:hAnsi="宋体" w:eastAsia="楷体_GB2312"/>
      <w:sz w:val="24"/>
    </w:rPr>
  </w:style>
  <w:style w:type="character" w:styleId="962" w:customStyle="1">
    <w:name w:val="普通文字 Char Char"/>
    <w:uiPriority w:val="0"/>
    <w:qFormat/>
    <w:rPr>
      <w:rFonts w:ascii="宋体" w:hAnsi="Courier New" w:eastAsia="楷体_GB2312"/>
      <w:sz w:val="26"/>
      <w:lang w:val="en-US" w:eastAsia="zh-CN" w:bidi="ar-SA"/>
    </w:rPr>
  </w:style>
  <w:style w:type="character" w:styleId="963" w:customStyle="1">
    <w:name w:val="批注文字 Char"/>
    <w:link w:val="748"/>
    <w:uiPriority w:val="0"/>
    <w:semiHidden/>
    <w:qFormat/>
    <w:rPr>
      <w:rFonts w:eastAsia="楷体_GB2312"/>
      <w:sz w:val="26"/>
    </w:rPr>
  </w:style>
  <w:style w:type="paragraph" w:styleId="964" w:customStyle="1">
    <w:name w:val="样式2"/>
    <w:basedOn w:val="762"/>
    <w:uiPriority w:val="0"/>
    <w:qFormat/>
    <w:pPr>
      <w:jc w:val="both"/>
      <w:tabs>
        <w:tab w:val="right" w:pos="9026" w:leader="dot"/>
      </w:tabs>
    </w:pPr>
    <w:rPr>
      <w:rFonts w:ascii="宋体" w:hAnsi="宋体"/>
      <w:b/>
      <w:bCs/>
      <w:sz w:val="30"/>
    </w:rPr>
  </w:style>
  <w:style w:type="paragraph" w:styleId="965" w:customStyle="1">
    <w:name w:val="p2"/>
    <w:basedOn w:val="735"/>
    <w:uiPriority w:val="0"/>
    <w:qFormat/>
    <w:pPr>
      <w:spacing w:before="100" w:beforeAutospacing="1" w:after="100" w:afterAutospacing="1"/>
    </w:pPr>
    <w:rPr>
      <w:rFonts w:ascii="宋体" w:hAnsi="宋体"/>
      <w:sz w:val="24"/>
      <w:szCs w:val="24"/>
    </w:rPr>
  </w:style>
  <w:style w:type="paragraph" w:styleId="966" w:customStyle="1">
    <w:name w:val="Plain Text1"/>
    <w:basedOn w:val="735"/>
    <w:uiPriority w:val="0"/>
    <w:qFormat/>
    <w:rPr>
      <w:rFonts w:ascii="宋体" w:hAnsi="Courier New"/>
      <w:sz w:val="28"/>
    </w:rPr>
  </w:style>
  <w:style w:type="paragraph" w:styleId="967" w:customStyle="1">
    <w:name w:val="_Style 12"/>
    <w:basedOn w:val="747"/>
    <w:uiPriority w:val="0"/>
    <w:qFormat/>
    <w:pPr>
      <w:spacing w:line="360" w:lineRule="auto"/>
    </w:pPr>
    <w:rPr>
      <w:sz w:val="21"/>
      <w:szCs w:val="24"/>
    </w:rPr>
  </w:style>
  <w:style w:type="paragraph" w:styleId="968" w:customStyle="1">
    <w:name w:val="Char1"/>
    <w:basedOn w:val="735"/>
    <w:uiPriority w:val="0"/>
    <w:qFormat/>
    <w:rPr>
      <w:rFonts w:ascii="Tahoma" w:hAnsi="Tahoma"/>
      <w:sz w:val="24"/>
    </w:rPr>
  </w:style>
  <w:style w:type="paragraph" w:styleId="969" w:customStyle="1">
    <w:name w:val="Char"/>
    <w:basedOn w:val="735"/>
    <w:uiPriority w:val="0"/>
    <w:qFormat/>
    <w:rPr>
      <w:sz w:val="21"/>
      <w:szCs w:val="24"/>
    </w:rPr>
  </w:style>
  <w:style w:type="paragraph" w:styleId="970" w:customStyle="1">
    <w:name w:val="纯文本1"/>
    <w:basedOn w:val="735"/>
    <w:uiPriority w:val="0"/>
    <w:qFormat/>
    <w:rPr>
      <w:rFonts w:ascii="宋体" w:hAnsi="Courier New"/>
      <w:sz w:val="24"/>
      <w:szCs w:val="24"/>
    </w:rPr>
  </w:style>
  <w:style w:type="paragraph" w:styleId="971" w:customStyle="1">
    <w:name w:val="正文 A"/>
    <w:uiPriority w:val="0"/>
    <w:qFormat/>
    <w:pPr>
      <w:jc w:val="both"/>
      <w:widowControl w:val="off"/>
      <w:framePr w:wrap="around" w:vAnchor="margin" w:hAnchor="text" w:y="1"/>
    </w:pPr>
    <w:rPr>
      <w:rFonts w:ascii="Times New Roman" w:hAnsi="Arial Unicode MS" w:eastAsia="Times New Roman" w:cs="Times New Roman"/>
      <w:color w:val="000000"/>
      <w:sz w:val="21"/>
      <w:szCs w:val="21"/>
      <w:lang w:val="en-US" w:eastAsia="zh-CN" w:bidi="ar-SA"/>
    </w:rPr>
  </w:style>
  <w:style w:type="paragraph" w:styleId="972" w:customStyle="1">
    <w:name w:val="font7"/>
    <w:basedOn w:val="735"/>
    <w:uiPriority w:val="0"/>
    <w:qFormat/>
    <w:pPr>
      <w:spacing w:before="100" w:beforeAutospacing="1" w:after="100" w:afterAutospacing="1"/>
    </w:pPr>
  </w:style>
  <w:style w:type="paragraph" w:styleId="973" w:customStyle="1">
    <w:name w:val="Char Char Char"/>
    <w:basedOn w:val="735"/>
    <w:uiPriority w:val="0"/>
    <w:qFormat/>
    <w:pPr>
      <w:numPr>
        <w:ilvl w:val="0"/>
        <w:numId w:val="1"/>
      </w:numPr>
      <w:tabs>
        <w:tab w:val="left" w:pos="840" w:leader="none"/>
      </w:tabs>
    </w:pPr>
  </w:style>
  <w:style w:type="paragraph" w:styleId="974" w:customStyle="1">
    <w:name w:val="Char2"/>
    <w:basedOn w:val="735"/>
    <w:uiPriority w:val="0"/>
    <w:qFormat/>
    <w:rPr>
      <w:rFonts w:ascii="Tahoma" w:hAnsi="Tahoma"/>
      <w:sz w:val="24"/>
    </w:rPr>
  </w:style>
  <w:style w:type="paragraph" w:styleId="975" w:customStyle="1">
    <w:name w:val="默认段落字体 Para Char Char Char Char Char Char Char"/>
    <w:basedOn w:val="735"/>
    <w:uiPriority w:val="0"/>
    <w:qFormat/>
    <w:rPr>
      <w:sz w:val="21"/>
      <w:szCs w:val="24"/>
    </w:rPr>
  </w:style>
  <w:style w:type="paragraph" w:styleId="976" w:customStyle="1">
    <w:name w:val="样式1"/>
    <w:basedOn w:val="762"/>
    <w:uiPriority w:val="0"/>
    <w:qFormat/>
    <w:pPr>
      <w:jc w:val="both"/>
      <w:tabs>
        <w:tab w:val="right" w:pos="9026" w:leader="dot"/>
      </w:tabs>
    </w:pPr>
    <w:rPr>
      <w:rFonts w:ascii="宋体" w:hAnsi="宋体"/>
      <w:b/>
      <w:bCs/>
      <w:sz w:val="30"/>
    </w:rPr>
  </w:style>
  <w:style w:type="paragraph" w:styleId="977" w:customStyle="1">
    <w:name w:val="hidinshow"/>
    <w:basedOn w:val="735"/>
    <w:uiPriority w:val="0"/>
    <w:qFormat/>
    <w:pPr>
      <w:spacing w:before="100" w:beforeAutospacing="1" w:after="100" w:afterAutospacing="1"/>
    </w:pPr>
    <w:rPr>
      <w:rFonts w:ascii="宋体" w:hAnsi="宋体"/>
      <w:sz w:val="24"/>
      <w:szCs w:val="24"/>
    </w:rPr>
  </w:style>
  <w:style w:type="character" w:styleId="978" w:customStyle="1">
    <w:name w:val="正文缩进 Char1"/>
    <w:uiPriority w:val="0"/>
    <w:qFormat/>
    <w:rPr>
      <w:rFonts w:ascii="Times New Roman" w:hAnsi="Times New Roman" w:eastAsia="楷体_GB2312"/>
      <w:sz w:val="24"/>
      <w:szCs w:val="20"/>
    </w:rPr>
  </w:style>
  <w:style w:type="paragraph" w:styleId="979" w:customStyle="1">
    <w:name w:val="修订1"/>
    <w:hidden/>
    <w:uiPriority w:val="99"/>
    <w:semiHidden/>
    <w:qFormat/>
    <w:rPr>
      <w:rFonts w:ascii="Times New Roman" w:hAnsi="Times New Roman" w:eastAsia="宋体" w:cs="Times New Roman"/>
      <w:lang w:val="en-US" w:eastAsia="zh-CN" w:bidi="ar-SA"/>
    </w:rPr>
  </w:style>
  <w:style w:type="table" w:styleId="980" w:customStyle="1">
    <w:name w:val="Table Normal"/>
    <w:uiPriority w:val="0"/>
    <w:unhideWhenUsed/>
    <w:qFormat/>
    <w:tblPr>
      <w:tblCellMar>
        <w:left w:w="0" w:type="dxa"/>
        <w:top w:w="0" w:type="dxa"/>
        <w:right w:w="0" w:type="dxa"/>
        <w:bottom w:w="0" w:type="dxa"/>
      </w:tblCellMar>
    </w:tblPr>
  </w:style>
  <w:style w:type="paragraph" w:styleId="981" w:customStyle="1">
    <w:name w:val="纯文本2"/>
    <w:basedOn w:val="735"/>
    <w:uiPriority w:val="0"/>
    <w:qFormat/>
    <w:rPr>
      <w:rFonts w:ascii="宋体" w:hAnsi="Courier New" w:eastAsia="楷体_GB2312"/>
      <w:sz w:val="28"/>
    </w:rPr>
  </w:style>
  <w:style w:type="paragraph" w:styleId="982" w:customStyle="1">
    <w:name w:val="纯文本21"/>
    <w:basedOn w:val="735"/>
    <w:uiPriority w:val="0"/>
    <w:qFormat/>
    <w:rPr>
      <w:rFonts w:ascii="宋体" w:hAnsi="Courier New"/>
      <w:sz w:val="28"/>
    </w:rPr>
  </w:style>
  <w:style w:type="paragraph" w:styleId="983" w:customStyle="1">
    <w:name w:val="纯文本3"/>
    <w:basedOn w:val="735"/>
    <w:uiPriority w:val="0"/>
    <w:qFormat/>
    <w:rPr>
      <w:rFonts w:ascii="宋体" w:hAnsi="Courier New"/>
      <w:sz w:val="28"/>
    </w:rPr>
  </w:style>
  <w:style w:type="character" w:styleId="984" w:customStyle="1">
    <w:name w:val="标题 1 Char"/>
    <w:link w:val="736"/>
    <w:uiPriority w:val="0"/>
    <w:qFormat/>
    <w:rPr>
      <w:b/>
      <w:sz w:val="44"/>
    </w:rPr>
  </w:style>
  <w:style w:type="paragraph" w:styleId="985" w:customStyle="1">
    <w:name w:val="Default"/>
    <w:next w:val="735"/>
    <w:uiPriority w:val="99"/>
    <w:unhideWhenUsed/>
    <w:qFormat/>
    <w:pPr>
      <w:widowControl w:val="off"/>
    </w:pPr>
    <w:rPr>
      <w:rFonts w:ascii="宋体" w:hAnsi="宋体" w:eastAsia="宋体" w:cs="Times New Roman"/>
      <w:color w:val="000000"/>
      <w:sz w:val="24"/>
      <w:szCs w:val="24"/>
      <w:lang w:val="en-US" w:eastAsia="zh-CN" w:bidi="ar-SA"/>
    </w:rPr>
  </w:style>
  <w:style w:type="paragraph" w:styleId="986" w:customStyle="1">
    <w:name w:val="段"/>
    <w:next w:val="735"/>
    <w:uiPriority w:val="0"/>
    <w:qFormat/>
    <w:pPr>
      <w:ind w:firstLine="200"/>
      <w:jc w:val="both"/>
    </w:pPr>
    <w:rPr>
      <w:rFonts w:ascii="宋体" w:hAnsi="Times New Roman" w:eastAsia="宋体" w:cs="Times New Roman"/>
      <w:sz w:val="21"/>
      <w:lang w:val="en-US" w:eastAsia="zh-CN" w:bidi="ar-SA"/>
    </w:rPr>
  </w:style>
  <w:style w:type="paragraph" w:styleId="987" w:customStyle="1">
    <w:name w:val="_正文段落"/>
    <w:basedOn w:val="735"/>
    <w:uiPriority w:val="0"/>
    <w:qFormat/>
    <w:pPr>
      <w:ind w:firstLine="480"/>
      <w:spacing w:line="360" w:lineRule="auto"/>
    </w:pPr>
    <w:rPr>
      <w:rFonts w:ascii="宋体" w:hAnsi="宋体"/>
      <w:sz w:val="24"/>
      <w:szCs w:val="24"/>
    </w:rPr>
  </w:style>
  <w:style w:type="paragraph" w:styleId="988" w:customStyle="1">
    <w:name w:val="纯文本4"/>
    <w:basedOn w:val="735"/>
    <w:uiPriority w:val="0"/>
    <w:qFormat/>
    <w:rPr>
      <w:rFonts w:ascii="宋体" w:hAnsi="Courier New" w:eastAsia="楷体_GB2312"/>
      <w:sz w:val="28"/>
    </w:rPr>
  </w:style>
  <w:style w:type="paragraph" w:styleId="989" w:customStyle="1">
    <w:name w:val="文档结构图1"/>
    <w:basedOn w:val="735"/>
    <w:uiPriority w:val="99"/>
    <w:qFormat/>
    <w:pPr>
      <w:shd w:val="clear" w:color="auto" w:fill="000080"/>
    </w:pPr>
  </w:style>
  <w:style w:type="paragraph" w:styleId="990" w:customStyle="1">
    <w:name w:val="Table Text"/>
    <w:basedOn w:val="735"/>
    <w:uiPriority w:val="0"/>
    <w:semiHidden/>
    <w:qFormat/>
    <w:rPr>
      <w:rFonts w:ascii="宋体" w:hAnsi="宋体" w:cs="宋体"/>
    </w:rPr>
  </w:style>
  <w:style w:type="paragraph" w:styleId="991" w:customStyle="1">
    <w:name w:val="msolistparagraph"/>
    <w:basedOn w:val="735"/>
    <w:uiPriority w:val="0"/>
    <w:qFormat/>
    <w:pPr>
      <w:ind w:firstLine="420"/>
      <w:jc w:val="both"/>
      <w:widowControl w:val="off"/>
    </w:pPr>
    <w:rPr>
      <w:rFonts w:ascii="Calibri" w:hAnsi="Calibri"/>
      <w:sz w:val="21"/>
      <w:szCs w:val="22"/>
    </w:rPr>
  </w:style>
  <w:style w:type="character" w:styleId="992" w:customStyle="1">
    <w:name w:val="NormalCharacter"/>
    <w:uiPriority w:val="0"/>
    <w:semiHidden/>
    <w:qFormat/>
  </w:style>
  <w:style w:type="paragraph" w:styleId="993" w:customStyle="1">
    <w:name w:val="_Style 5"/>
    <w:basedOn w:val="735"/>
    <w:uiPriority w:val="34"/>
    <w:qFormat/>
    <w:pPr>
      <w:ind w:firstLine="420"/>
    </w:pPr>
    <w:rPr>
      <w:sz w:val="24"/>
    </w:rPr>
  </w:style>
  <w:style w:type="paragraph" w:styleId="994">
    <w:name w:val="List Paragraph"/>
    <w:basedOn w:val="735"/>
    <w:uiPriority w:val="34"/>
    <w:qFormat/>
    <w:pPr>
      <w:ind w:firstLine="420"/>
    </w:pPr>
    <w:rPr>
      <w:sz w:val="21"/>
      <w:szCs w:val="24"/>
    </w:rPr>
  </w:style>
  <w:style w:type="numbering" w:styleId="99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3103" TargetMode="External"/><Relationship Id="rId14"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3879" TargetMode="External"/><Relationship Id="rId15"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9316" TargetMode="External"/><Relationship Id="rId16"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5170" TargetMode="External"/><Relationship Id="rId17"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8987" TargetMode="External"/><Relationship Id="rId18"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30006" TargetMode="External"/><Relationship Id="rId19"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9939"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4286af19-c2de-4d9c-875e-865e31364c10</errorID>
      <errorWord>招标（采购）</errorWord>
      <group>L1_AI</group>
      <groupName>深度校对</groupName>
      <ability>L2_AI_Grammar</ability>
      <abilityName>语法纠错</abilityName>
      <candidateList>
        <item>招标</item>
      </candidateList>
      <explain/>
      <paraID>5B3AD1DB</paraID>
      <start>39</start>
      <end>45</end>
      <status>unmodified</status>
      <modifiedWord/>
      <trackRevisions>false</trackRevisions>
    </reviewItem>
    <reviewItem>
      <errorID>64246483-9e2e-4777-b167-2d71d808c8f1</errorID>
      <errorWord>。</errorWord>
      <group>L1_AI</group>
      <groupName>深度校对</groupName>
      <ability>L2_AI_Punc</ability>
      <abilityName>标点纠错</abilityName>
      <candidateList>
        <item>，</item>
      </candidateList>
      <explain/>
      <paraID>34A00248</paraID>
      <start>51</start>
      <end>52</end>
      <status>unmodified</status>
      <modifiedWord/>
      <trackRevisions>false</trackRevisions>
    </reviewItem>
    <reviewItem>
      <errorID>eca409db-5992-4f9b-9c5b-832dc3a8d1a7</errorID>
      <errorWord>：</errorWord>
      <group>L1_Punc</group>
      <groupName>标点问题</groupName>
      <ability>L2_Punc</ability>
      <abilityName>标点符号检查</abilityName>
      <candidateList/>
      <explain/>
      <paraID>25DFEB8F</paraID>
      <start>44</start>
      <end>45</end>
      <status>unmodified</status>
      <modifiedWord/>
      <trackRevisions>false</trackRevisions>
    </reviewItem>
    <reviewItem>
      <errorID>70fdb0b0-e81d-46fc-a2b9-b93db5d9f7c7</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EE4960</paraID>
      <start>51</start>
      <end>52</end>
      <status>unmodified</status>
      <modifiedWord/>
      <trackRevisions>false</trackRevisions>
    </reviewItem>
    <reviewItem>
      <errorID>3ca02b16-6ff8-4ee5-a9e6-8f778cd80be7</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6D6B2C37</paraID>
      <start>50</start>
      <end>51</end>
      <status>unmodified</status>
      <modifiedWord/>
      <trackRevisions>false</trackRevisions>
    </reviewItem>
    <reviewItem>
      <errorID>c3aa243b-f292-4281-9bf6-efca17d71c71</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3EFD8564</paraID>
      <start>50</start>
      <end>51</end>
      <status>unmodified</status>
      <modifiedWord/>
      <trackRevisions>false</trackRevisions>
    </reviewItem>
    <reviewItem>
      <errorID>a8a8d144-8dc1-4353-a04e-9f4849095868</errorID>
      <errorWord>：</errorWord>
      <group>L1_Punc</group>
      <groupName>标点问题</groupName>
      <ability>L2_Punc</ability>
      <abilityName>标点符号检查</abilityName>
      <candidateList/>
      <explain/>
      <paraID>42B4EEF2</paraID>
      <start>0</start>
      <end>1</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9D7F5961-B511-4297-9E0B-9226C0D64A06}"/>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ruyi</dc:creator>
  <cp:lastModifiedBy>俞莉</cp:lastModifiedBy>
  <cp:revision>44</cp:revision>
  <dcterms:created xsi:type="dcterms:W3CDTF">2023-04-06T13:23:00Z</dcterms:created>
  <dcterms:modified xsi:type="dcterms:W3CDTF">2026-07-23T01:52:20Z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3A2A179C9D7845F6964AFEF5148169BA_13</vt:lpwstr>
  </property>
  <property fmtid="{D5CDD505-2E9C-101B-9397-08002B2CF9AE}" pid="4" name="KSOTemplateDocerSaveRecord">
    <vt:lpwstr>eyJoZGlkIjoiZTljYzUxZDIxMjIyOTQ5MTdiMjczMzEzYTBjYzFjZGEiLCJ1c2VySWQiOiIyOTQ1NzYwNTUifQ==</vt:lpwstr>
  </property>
</Properties>
</file>