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0"/>
          <w:sz w:val="44"/>
          <w:highlight w:val="none"/>
        </w:rPr>
      </w:pPr>
      <w:r>
        <w:rPr>
          <w:rFonts w:hint="eastAsia" w:asciiTheme="minorEastAsia" w:hAnsiTheme="minorEastAsia" w:eastAsiaTheme="minorEastAsia"/>
          <w:b/>
          <w:color w:val="auto"/>
          <w:spacing w:val="0"/>
          <w:sz w:val="44"/>
          <w:highlight w:val="none"/>
          <w:lang w:eastAsia="zh-CN"/>
        </w:rPr>
        <w:t xml:space="preserve">江苏启东吕四港经济开发区零碳园区智慧能碳管理平台建设(一期)项目</w:t>
      </w:r>
      <w:r/>
    </w:p>
    <w:p>
      <w:pPr>
        <w:pStyle w:val="78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8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项目编号：JSZC-320681-HXTH-C2026-0033</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78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8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789"/>
        <w:rPr>
          <w:color w:val="auto"/>
        </w:rPr>
      </w:pPr>
      <w:r>
        <w:rPr>
          <w:color w:val="auto"/>
        </w:rPr>
      </w:r>
      <w:r/>
    </w:p>
    <w:p>
      <w:pPr>
        <w:rPr>
          <w:color w:val="auto"/>
        </w:rPr>
      </w:pPr>
      <w:r>
        <w:rPr>
          <w:color w:val="auto"/>
        </w:rPr>
      </w:r>
      <w:r/>
    </w:p>
    <w:p>
      <w:pPr>
        <w:rPr>
          <w:color w:val="auto"/>
        </w:rPr>
      </w:pPr>
      <w:r>
        <w:rPr>
          <w:color w:val="auto"/>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78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江苏启东吕四港经济开发区管理委员会</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8</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 13 </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78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cs="Times New Roman" w:asciiTheme="minorEastAsia" w:hAnsiTheme="minorEastAsia" w:eastAsiaTheme="minorEastAsia"/>
          <w:color w:val="auto"/>
          <w:sz w:val="32"/>
          <w:szCs w:val="32"/>
          <w:highlight w:val="none"/>
          <w:lang w:val="en-US" w:eastAsia="zh-CN"/>
        </w:rPr>
        <w:t xml:space="preserve">启东市吕四港镇西港池通江大道99号</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789"/>
        <w:rPr>
          <w:rFonts w:asciiTheme="minorEastAsia" w:hAnsiTheme="minorEastAsia" w:eastAsiaTheme="minorEastAsia"/>
          <w:color w:val="auto"/>
          <w:sz w:val="32"/>
          <w:szCs w:val="32"/>
          <w:highlight w:val="none"/>
        </w:rPr>
        <w:sectPr>
          <w:headerReference w:type="default" r:id="rId9"/>
          <w:footerReference w:type="default" r:id="rId12"/>
          <w:footerReference w:type="first" r:id="rId13"/>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789"/>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8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89"/>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asciiTheme="minorEastAsia" w:hAnsiTheme="minorEastAsia" w:eastAsiaTheme="minorEastAsia"/>
          <w:color w:val="auto"/>
          <w:sz w:val="28"/>
          <w:szCs w:val="28"/>
          <w:highlight w:val="none"/>
          <w:lang w:val="en-US" w:eastAsia="zh-CN"/>
        </w:rPr>
        <w:t xml:space="preserve">[</w:t>
      </w:r>
      <w:r>
        <w:rPr>
          <w:rFonts w:hint="eastAsia" w:cs="宋体" w:asciiTheme="minorEastAsia" w:hAnsiTheme="minorEastAsia" w:eastAsiaTheme="minorEastAsia"/>
          <w:color w:val="auto"/>
          <w:sz w:val="28"/>
          <w:szCs w:val="28"/>
          <w:highlight w:val="none"/>
          <w:lang w:eastAsia="zh-CN"/>
        </w:rPr>
        <w:t xml:space="preserve">江苏启东吕四港经济开发区管理委员会</w:t>
      </w:r>
      <w:r>
        <w:rPr>
          <w:rFonts w:hint="eastAsia" w:cs="宋体" w:asciiTheme="minorEastAsia" w:hAnsiTheme="minorEastAsia" w:eastAsiaTheme="minorEastAsia"/>
          <w:color w:val="auto"/>
          <w:sz w:val="28"/>
          <w:szCs w:val="28"/>
          <w:highlight w:val="none"/>
          <w:lang w:val="en-US" w:eastAsia="zh-CN"/>
        </w:rPr>
        <w:t xml:space="preserve">]</w:t>
      </w:r>
      <w:r>
        <w:rPr>
          <w:rFonts w:hint="eastAsia" w:asciiTheme="minorEastAsia" w:hAnsiTheme="minorEastAsia" w:eastAsiaTheme="minorEastAsia"/>
          <w:color w:val="auto"/>
          <w:sz w:val="28"/>
          <w:szCs w:val="28"/>
          <w:highlight w:val="none"/>
        </w:rPr>
        <w:t xml:space="preserve">的委托，就</w:t>
      </w:r>
      <w:r>
        <w:rPr>
          <w:rFonts w:hint="eastAsia" w:asciiTheme="minorEastAsia" w:hAnsiTheme="minorEastAsia" w:eastAsiaTheme="minorEastAsia"/>
          <w:color w:val="auto"/>
          <w:sz w:val="28"/>
          <w:szCs w:val="28"/>
          <w:highlight w:val="none"/>
          <w:lang w:val="en-US" w:eastAsia="zh-CN"/>
        </w:rPr>
        <w:t xml:space="preserve">[</w:t>
      </w:r>
      <w:r>
        <w:rPr>
          <w:rFonts w:hint="eastAsia" w:cs="宋体" w:asciiTheme="minorEastAsia" w:hAnsiTheme="minorEastAsia" w:eastAsiaTheme="minorEastAsia"/>
          <w:color w:val="auto"/>
          <w:sz w:val="28"/>
          <w:szCs w:val="28"/>
          <w:highlight w:val="none"/>
          <w:lang w:eastAsia="zh-CN"/>
        </w:rPr>
        <w:t xml:space="preserve">江苏启东吕四港经济开发区零碳园区智慧能碳管理平台建设(一期)项目</w:t>
      </w:r>
      <w:r>
        <w:rPr>
          <w:rFonts w:hint="eastAsia" w:cs="宋体" w:asciiTheme="minorEastAsia" w:hAnsiTheme="minorEastAsia" w:eastAsiaTheme="minorEastAsia"/>
          <w:color w:val="auto"/>
          <w:sz w:val="28"/>
          <w:szCs w:val="28"/>
          <w:highlight w:val="none"/>
          <w:lang w:val="en-US" w:eastAsia="zh-CN"/>
        </w:rPr>
        <w:t xml:space="preserve">]</w:t>
      </w: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val="en-US" w:eastAsia="zh-CN"/>
        </w:rPr>
        <w:t xml:space="preserve">：</w:t>
      </w:r>
      <w:r>
        <w:rPr>
          <w:rFonts w:hint="eastAsia" w:cs="宋体" w:asciiTheme="minorEastAsia" w:hAnsiTheme="minorEastAsia" w:eastAsiaTheme="minorEastAsia"/>
          <w:color w:val="auto"/>
          <w:sz w:val="28"/>
          <w:szCs w:val="28"/>
          <w:highlight w:val="none"/>
          <w:lang w:eastAsia="zh-CN"/>
        </w:rPr>
        <w:t xml:space="preserve">JSZC-320681-HXTH-C2026-0033）进</w:t>
      </w:r>
      <w:r>
        <w:rPr>
          <w:rFonts w:hint="eastAsia" w:cs="宋体" w:asciiTheme="minorEastAsia" w:hAnsiTheme="minorEastAsia" w:eastAsiaTheme="minorEastAsia"/>
          <w:color w:val="auto"/>
          <w:sz w:val="28"/>
          <w:szCs w:val="28"/>
          <w:highlight w:val="none"/>
        </w:rPr>
        <w:t xml:space="preserve">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hint="eastAsia" w:asciiTheme="minorEastAsia" w:hAnsiTheme="minorEastAsia" w:eastAsiaTheme="minorEastAsia"/>
          <w:color w:val="auto"/>
          <w:sz w:val="28"/>
          <w:szCs w:val="28"/>
          <w:highlight w:val="none"/>
          <w:lang w:val="en-US" w:eastAsia="zh-CN"/>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val="en-US" w:eastAsia="zh-CN"/>
        </w:rPr>
        <w:t xml:space="preserve">[</w:t>
      </w:r>
      <w:r>
        <w:rPr>
          <w:rFonts w:hint="eastAsia" w:cs="宋体" w:asciiTheme="minorEastAsia" w:hAnsiTheme="minorEastAsia" w:eastAsiaTheme="minorEastAsia"/>
          <w:color w:val="auto"/>
          <w:sz w:val="28"/>
          <w:szCs w:val="28"/>
          <w:highlight w:val="none"/>
          <w:lang w:eastAsia="zh-CN"/>
        </w:rPr>
        <w:t xml:space="preserve">江苏启东吕四港经济开发区零碳园区智慧能碳管理平台建设(一期)项目</w:t>
      </w:r>
      <w:r>
        <w:rPr>
          <w:rFonts w:hint="eastAsia" w:cs="宋体" w:asciiTheme="minorEastAsia" w:hAnsiTheme="minorEastAsia" w:eastAsiaTheme="minorEastAsia"/>
          <w:color w:val="auto"/>
          <w:sz w:val="28"/>
          <w:szCs w:val="28"/>
          <w:highlight w:val="none"/>
          <w:lang w:val="en-US" w:eastAsia="zh-CN"/>
        </w:rPr>
        <w:t xml:space="preserve">]</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8</w:t>
      </w:r>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25</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r>
        <w:rPr>
          <w:rFonts w:hint="eastAsia" w:asciiTheme="minorEastAsia" w:hAnsiTheme="minorEastAsia" w:eastAsiaTheme="minorEastAsia"/>
          <w:color w:val="auto"/>
          <w:sz w:val="28"/>
          <w:szCs w:val="28"/>
          <w:highlight w:val="none"/>
          <w:lang w:val="en-US" w:eastAsia="zh-CN"/>
        </w:rPr>
      </w:r>
    </w:p>
    <w:p>
      <w:pPr>
        <w:ind w:firstLine="577"/>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项目编号：JSZC-320681-HXTH-C2026-0033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pacing w:val="-6"/>
          <w:sz w:val="28"/>
          <w:szCs w:val="28"/>
          <w:highlight w:val="none"/>
          <w:lang w:eastAsia="zh-CN"/>
        </w:rPr>
        <w:t xml:space="preserve">江苏启东吕四港经济开发区零碳园区智慧能碳管理平台建设(一期)项目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500" w:lineRule="exact"/>
        <w:rPr>
          <w:rFonts w:hint="default" w:ascii="宋体" w:hAnsi="宋体" w:eastAsia="宋体" w:cs="宋体"/>
          <w:color w:val="auto"/>
          <w:spacing w:val="-6"/>
          <w:sz w:val="28"/>
          <w:szCs w:val="28"/>
          <w:highlight w:val="none"/>
          <w:lang w:val="en-US"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cs="宋体"/>
          <w:color w:val="auto"/>
          <w:sz w:val="28"/>
          <w:szCs w:val="28"/>
          <w:highlight w:val="none"/>
          <w:lang w:val="en-US" w:eastAsia="zh-CN"/>
        </w:rPr>
        <w:t xml:space="preserve">软件和信息技术服务业</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121</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121</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2.潜在供应商访问“苏采云”系统的网络地址和方法：“苏采云”系统的网址：http://jszfcg.jsczt.cn/。</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5.招标代理机构（采购代理机构）将数据电文形式的采购文件加载至“苏采云”系统，供潜在供应商下载或者查阅。</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注：如潜在供应商未按上述要求操作，将自行承担所产生的风险。</w:t>
      </w:r>
      <w:r/>
    </w:p>
    <w:p>
      <w:pPr>
        <w:ind w:firstLine="562"/>
        <w:keepLines w:val="0"/>
        <w:keepNext w:val="0"/>
        <w:pageBreakBefore w:val="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rPr>
        <w:t xml:space="preserve">四、提交响应文件截止时间、磋商时间和地点</w:t>
      </w:r>
      <w:r/>
    </w:p>
    <w:p>
      <w:pPr>
        <w:ind w:firstLine="560"/>
        <w:keepLines w:val="0"/>
        <w:keepNext w:val="0"/>
        <w:pageBreakBefore w:val="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rPr>
        <w:t xml:space="preserve">线上开标地点：“苏采云”系统（网址：http://jszfcg.jsczt.cn/）“开标大厅”</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rPr>
        <w:t xml:space="preserve">响应文件的解密：开标当天各供应商及时登录不见面开标大厅，响应文件递交截止时间后，采购人将在系统内公布响</w:t>
      </w:r>
      <w:r>
        <w:rPr>
          <w:rFonts w:hint="eastAsia" w:ascii="宋体" w:hAnsi="宋体" w:eastAsia="宋体" w:cs="宋体"/>
          <w:color w:val="auto"/>
          <w:sz w:val="28"/>
          <w:szCs w:val="28"/>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3．项目演示、样品、答辩等：本项目须提供功能演示，具体要求详见商务技术分评审</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注：</w:t>
      </w:r>
      <w:r>
        <w:rPr>
          <w:rFonts w:hint="eastAsia" w:ascii="宋体" w:hAnsi="宋体" w:eastAsia="宋体" w:cs="宋体"/>
          <w:color w:val="auto"/>
          <w:sz w:val="28"/>
          <w:szCs w:val="28"/>
          <w:highlight w:val="none"/>
        </w:rPr>
        <w:t xml:space="preserve">供应商需按照磋商文件规定的演示内容制作演示视频文件，视频文件的格式为*.mp4或*.avi，供应商须将视频文件分段压缩为*.zip文件上传（单个文件不得大于50M，所有文件总共不得大于300M），上传的演示视频将作为响应文件的组成部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eastAsia="zh-CN"/>
        </w:rPr>
        <w:t xml:space="preserve">江苏启东吕四港经济开发区管理委员会</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启东市吕四港镇西港池通江大道99号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color w:val="auto"/>
          <w:sz w:val="28"/>
          <w:szCs w:val="28"/>
          <w:highlight w:val="none"/>
          <w:lang w:val="en-US" w:eastAsia="zh-CN"/>
        </w:rPr>
        <w:t xml:space="preserve">蔡先生</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lang w:val="en-US" w:eastAsia="zh-CN"/>
        </w:rPr>
        <w:t xml:space="preserve">0513-83409691</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徐海燕</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color w:val="auto"/>
        </w:rPr>
      </w:pPr>
      <w:r>
        <w:rPr>
          <w:color w:val="auto"/>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16938519"/>
      <w:r/>
      <w:bookmarkStart w:id="2" w:name="_Toc513029203"/>
      <w:r/>
      <w:bookmarkStart w:id="3" w:name="_Toc120614214"/>
      <w:r/>
      <w:bookmarkStart w:id="4" w:name="_Toc20823275"/>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513029204"/>
      <w:r/>
      <w:bookmarkStart w:id="8" w:name="_Toc16938520"/>
      <w:r/>
      <w:bookmarkStart w:id="9" w:name="_Toc20823276"/>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20823277"/>
      <w:r/>
      <w:bookmarkStart w:id="11" w:name="_Toc513029205"/>
      <w:r/>
      <w:bookmarkStart w:id="12" w:name="_Toc16938521"/>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16938522"/>
      <w:r/>
      <w:bookmarkStart w:id="14" w:name="_Toc20823278"/>
      <w:r/>
      <w:bookmarkStart w:id="15" w:name="_Toc513029206"/>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20823279"/>
      <w:r/>
      <w:bookmarkStart w:id="17" w:name="_Toc16938523"/>
      <w:r/>
      <w:bookmarkStart w:id="18" w:name="_Toc513029207"/>
      <w:r/>
      <w:bookmarkStart w:id="19" w:name="_Toc462564067"/>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16938525"/>
      <w:r/>
      <w:bookmarkStart w:id="21" w:name="_Toc20823281"/>
      <w:r/>
      <w:bookmarkStart w:id="22" w:name="_Toc513029209"/>
      <w:r/>
      <w:bookmarkStart w:id="23" w:name="_Toc12061421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513029210"/>
      <w:r/>
      <w:bookmarkStart w:id="25" w:name="_Toc20823282"/>
      <w:r/>
      <w:bookmarkStart w:id="26" w:name="_Toc16938526"/>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462564070"/>
      <w:r/>
      <w:bookmarkStart w:id="28" w:name="_Toc513029211"/>
      <w:r/>
      <w:bookmarkStart w:id="29" w:name="_Toc16938527"/>
      <w:r/>
      <w:bookmarkStart w:id="30" w:name="_Toc20823283"/>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513029212"/>
      <w:r/>
      <w:bookmarkStart w:id="32" w:name="_Toc20823284"/>
      <w:r/>
      <w:bookmarkStart w:id="33" w:name="_Toc462564071"/>
      <w:r/>
      <w:bookmarkStart w:id="34" w:name="_Toc16938528"/>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513029213"/>
      <w:r/>
      <w:bookmarkStart w:id="36" w:name="_Toc20823285"/>
      <w:r/>
      <w:bookmarkStart w:id="37" w:name="_Toc120614216"/>
      <w:r/>
      <w:bookmarkStart w:id="38" w:name="_Toc16938529"/>
      <w:r/>
      <w:bookmarkStart w:id="39" w:name="_Toc462564072"/>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513029214"/>
      <w:r/>
      <w:bookmarkStart w:id="41" w:name="_Toc20823286"/>
      <w:r/>
      <w:bookmarkStart w:id="42" w:name="_Toc462564073"/>
      <w:r/>
      <w:bookmarkStart w:id="43" w:name="_Toc16938530"/>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462564074"/>
      <w:r/>
      <w:bookmarkStart w:id="45" w:name="_Toc513029215"/>
      <w:r/>
      <w:bookmarkStart w:id="46" w:name="_Toc16938531"/>
      <w:r/>
      <w:bookmarkStart w:id="47" w:name="_Toc20823287"/>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rPr>
      </w:pPr>
      <w:r/>
      <w:bookmarkStart w:id="48" w:name="_Hlt26954838"/>
      <w:r/>
      <w:bookmarkEnd w:id="48"/>
      <w:r/>
      <w:bookmarkStart w:id="49" w:name="_Hlt26668975"/>
      <w:r/>
      <w:bookmarkEnd w:id="49"/>
      <w:r/>
      <w:bookmarkStart w:id="50" w:name="_Hlt26670360"/>
      <w:r/>
      <w:bookmarkEnd w:id="50"/>
      <w:r/>
      <w:bookmarkStart w:id="51" w:name="_Toc49090511"/>
      <w:r/>
      <w:bookmarkStart w:id="52" w:name="_Toc14577360"/>
      <w:r>
        <w:rPr>
          <w:rFonts w:hint="eastAsia" w:ascii="宋体" w:hAnsi="宋体" w:eastAsia="宋体" w:cs="宋体"/>
          <w:color w:val="auto"/>
          <w:sz w:val="28"/>
          <w:szCs w:val="28"/>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rPr>
      </w:pPr>
      <w:r/>
      <w:bookmarkStart w:id="53" w:name="_Toc14577355"/>
      <w:r/>
      <w:bookmarkStart w:id="54" w:name="_Toc49090508"/>
      <w:r>
        <w:rPr>
          <w:rFonts w:hint="eastAsia" w:ascii="宋体" w:hAnsi="宋体" w:eastAsia="宋体" w:cs="宋体"/>
          <w:color w:val="auto"/>
          <w:sz w:val="28"/>
          <w:szCs w:val="28"/>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4.分项报价</w:t>
      </w:r>
      <w:bookmarkEnd w:id="53"/>
      <w:r/>
      <w:bookmarkStart w:id="55" w:name="_Hlt26670373"/>
      <w:r/>
      <w:bookmarkEnd w:id="55"/>
      <w:r>
        <w:rPr>
          <w:rFonts w:hint="eastAsia" w:ascii="宋体" w:hAnsi="宋体" w:eastAsia="宋体" w:cs="宋体"/>
          <w:color w:val="auto"/>
          <w:sz w:val="28"/>
          <w:szCs w:val="28"/>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rPr>
        <w:t xml:space="preserve">。</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rPr>
      </w:pPr>
      <w:r/>
      <w:bookmarkStart w:id="57" w:name="_Hlt26954844"/>
      <w:r/>
      <w:bookmarkEnd w:id="57"/>
      <w:r/>
      <w:bookmarkStart w:id="58" w:name="_Hlt26954731"/>
      <w:r/>
      <w:bookmarkEnd w:id="58"/>
      <w:r/>
      <w:bookmarkStart w:id="59" w:name="_Hlt26954842"/>
      <w:r/>
      <w:bookmarkEnd w:id="59"/>
      <w:r/>
      <w:bookmarkStart w:id="60" w:name="_Hlt26670486"/>
      <w:r/>
      <w:bookmarkEnd w:id="60"/>
      <w:r/>
      <w:bookmarkStart w:id="61" w:name="_Hlt26670482"/>
      <w:r/>
      <w:bookmarkEnd w:id="61"/>
      <w:r/>
      <w:bookmarkStart w:id="62" w:name="_Hlt26954846"/>
      <w:r/>
      <w:bookmarkEnd w:id="62"/>
      <w:r/>
      <w:bookmarkStart w:id="63" w:name="_Hlt26954848"/>
      <w:r/>
      <w:bookmarkEnd w:id="63"/>
      <w:r/>
      <w:bookmarkStart w:id="64" w:name="_Hlt26668983"/>
      <w:r/>
      <w:bookmarkEnd w:id="64"/>
      <w:r/>
      <w:bookmarkStart w:id="65" w:name="_Hlt26670425"/>
      <w:r/>
      <w:bookmarkEnd w:id="65"/>
      <w:r/>
      <w:bookmarkStart w:id="66" w:name="_Hlt26670403"/>
      <w:r/>
      <w:bookmarkEnd w:id="66"/>
      <w:r>
        <w:rPr>
          <w:rFonts w:hint="eastAsia" w:ascii="宋体" w:hAnsi="宋体" w:eastAsia="宋体" w:cs="宋体"/>
          <w:color w:val="auto"/>
          <w:sz w:val="28"/>
          <w:szCs w:val="28"/>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852"/>
      <w:r/>
      <w:bookmarkEnd w:id="67"/>
      <w:r/>
      <w:bookmarkStart w:id="68" w:name="_Hlt26954739"/>
      <w:r/>
      <w:bookmarkEnd w:id="68"/>
      <w:r/>
      <w:bookmarkStart w:id="69" w:name="_Toc16938540"/>
      <w:r/>
      <w:bookmarkStart w:id="70" w:name="_Toc20823296"/>
      <w:r/>
      <w:bookmarkStart w:id="71" w:name="_Toc120614217"/>
      <w:r/>
      <w:bookmarkStart w:id="72" w:name="_Toc513029224"/>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462564084"/>
      <w:r/>
      <w:bookmarkStart w:id="74" w:name="_Toc16938541"/>
      <w:r/>
      <w:bookmarkStart w:id="75" w:name="_Toc513029225"/>
      <w:r/>
      <w:bookmarkStart w:id="76" w:name="_Toc20823297"/>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513029226"/>
      <w:r/>
      <w:bookmarkStart w:id="78" w:name="_Toc16938542"/>
      <w:r/>
      <w:bookmarkStart w:id="79" w:name="_Toc20823298"/>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20823299"/>
      <w:r/>
      <w:bookmarkStart w:id="81" w:name="_Toc16938543"/>
      <w:r/>
      <w:bookmarkStart w:id="82" w:name="_Toc513029227"/>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20823300"/>
      <w:r/>
      <w:bookmarkStart w:id="84" w:name="_Toc513029228"/>
      <w:r/>
      <w:bookmarkStart w:id="85" w:name="_Toc16938544"/>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20823302"/>
      <w:r/>
      <w:bookmarkStart w:id="87" w:name="_Toc513029230"/>
      <w:r/>
      <w:bookmarkStart w:id="88" w:name="_Toc16938546"/>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②</w:t>
      </w:r>
      <w:r>
        <w:rPr>
          <w:rFonts w:hint="eastAsia" w:ascii="宋体" w:hAnsi="宋体" w:eastAsia="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③</w:t>
      </w:r>
      <w:r>
        <w:rPr>
          <w:rFonts w:hint="eastAsia" w:ascii="宋体" w:hAnsi="宋体" w:eastAsia="宋体" w:cs="宋体"/>
          <w:bCs/>
          <w:color w:val="auto"/>
          <w:sz w:val="28"/>
          <w:szCs w:val="28"/>
          <w:highlight w:val="none"/>
        </w:rPr>
        <w:t xml:space="preserve">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④</w:t>
      </w:r>
      <w:r>
        <w:rPr>
          <w:rFonts w:hint="eastAsia" w:ascii="宋体" w:hAnsi="宋体" w:eastAsia="宋体" w:cs="宋体"/>
          <w:bCs/>
          <w:color w:val="auto"/>
          <w:sz w:val="28"/>
          <w:szCs w:val="28"/>
          <w:highlight w:val="none"/>
        </w:rPr>
        <w:t xml:space="preserve">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6.1.10.2</w:t>
      </w:r>
      <w:r>
        <w:rPr>
          <w:rFonts w:hint="eastAsia" w:ascii="宋体" w:hAnsi="宋体" w:eastAsia="宋体" w:cs="宋体"/>
          <w:bCs/>
          <w:color w:val="auto"/>
          <w:sz w:val="28"/>
          <w:szCs w:val="28"/>
          <w:highlight w:val="none"/>
        </w:rPr>
        <w:t xml:space="preserve">启动异常低价投标（响应）审查后，属于前述第</w:t>
      </w:r>
      <w:r>
        <w:rPr>
          <w:rFonts w:hint="eastAsia" w:ascii="宋体" w:hAnsi="宋体" w:eastAsia="宋体" w:cs="宋体"/>
          <w:bCs/>
          <w:color w:val="auto"/>
          <w:sz w:val="28"/>
          <w:szCs w:val="28"/>
        </w:rPr>
        <w:t xml:space="preserve">①</w:t>
      </w:r>
      <w:r>
        <w:rPr>
          <w:rFonts w:hint="eastAsia" w:ascii="宋体" w:hAnsi="宋体" w:eastAsia="宋体" w:cs="宋体"/>
          <w:bCs/>
          <w:color w:val="auto"/>
          <w:sz w:val="28"/>
          <w:szCs w:val="28"/>
          <w:highlight w:val="none"/>
        </w:rPr>
        <w:t xml:space="preserve">项至第</w:t>
      </w:r>
      <w:r>
        <w:rPr>
          <w:rFonts w:hint="eastAsia" w:ascii="宋体" w:hAnsi="宋体" w:eastAsia="宋体" w:cs="宋体"/>
          <w:bCs/>
          <w:color w:val="auto"/>
          <w:sz w:val="28"/>
          <w:szCs w:val="28"/>
        </w:rPr>
        <w:t xml:space="preserve">④</w:t>
      </w:r>
      <w:r>
        <w:rPr>
          <w:rFonts w:hint="eastAsia" w:ascii="宋体" w:hAnsi="宋体" w:eastAsia="宋体" w:cs="宋体"/>
          <w:bCs/>
          <w:color w:val="auto"/>
          <w:sz w:val="28"/>
          <w:szCs w:val="28"/>
          <w:highlight w:val="none"/>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16938554"/>
      <w:r/>
      <w:bookmarkStart w:id="90" w:name="_Toc20823310"/>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20823308"/>
      <w:r/>
      <w:bookmarkStart w:id="93" w:name="_Toc120614220"/>
      <w:r/>
      <w:bookmarkStart w:id="94" w:name="_Toc513029236"/>
      <w:r/>
      <w:bookmarkStart w:id="95" w:name="_Toc16938552"/>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16938553"/>
      <w:r/>
      <w:bookmarkStart w:id="97" w:name="_Toc20823309"/>
      <w:r/>
      <w:bookmarkStart w:id="98" w:name="_Toc513029237"/>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782"/>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2"/>
        <w:jc w:val="left"/>
        <w:keepLines w:val="0"/>
        <w:keepNext w:val="0"/>
        <w:pageBreakBefore w:val="0"/>
        <w:spacing w:line="500" w:lineRule="exact"/>
        <w:widowControl w:val="off"/>
        <w:rPr>
          <w:rStyle w:val="1035"/>
          <w:rFonts w:hint="default" w:ascii="宋体" w:hAnsi="宋体" w:eastAsia="宋体" w:cs="宋体"/>
          <w:b/>
          <w:bCs/>
          <w:color w:val="auto"/>
          <w:sz w:val="28"/>
          <w:szCs w:val="28"/>
          <w:lang w:val="en-US" w:eastAsia="zh-CN"/>
        </w:rPr>
      </w:pPr>
      <w:r>
        <w:rPr>
          <w:rStyle w:val="1035"/>
          <w:rFonts w:hint="eastAsia" w:ascii="宋体" w:hAnsi="宋体" w:eastAsia="宋体" w:cs="宋体"/>
          <w:b/>
          <w:bCs/>
          <w:color w:val="auto"/>
          <w:sz w:val="28"/>
          <w:szCs w:val="28"/>
          <w:lang w:val="zh-CN"/>
        </w:rPr>
        <w:t xml:space="preserve">（一） </w:t>
      </w:r>
      <w:r>
        <w:rPr>
          <w:rStyle w:val="1035"/>
          <w:rFonts w:hint="eastAsia" w:ascii="宋体" w:hAnsi="宋体" w:cs="宋体"/>
          <w:b/>
          <w:bCs/>
          <w:color w:val="auto"/>
          <w:sz w:val="28"/>
          <w:szCs w:val="28"/>
          <w:lang w:val="en-US" w:eastAsia="zh-CN"/>
        </w:rPr>
        <w:t xml:space="preserve">项目概况</w:t>
      </w:r>
      <w:r/>
    </w:p>
    <w:p>
      <w:pPr>
        <w:ind w:firstLine="560"/>
        <w:jc w:val="left"/>
        <w:keepLines w:val="0"/>
        <w:keepNext w:val="0"/>
        <w:pageBreakBefore w:val="0"/>
        <w:spacing w:line="500" w:lineRule="exact"/>
        <w:widowControl w:val="off"/>
        <w:rPr>
          <w:rStyle w:val="1035"/>
          <w:rFonts w:hint="eastAsia" w:ascii="宋体" w:hAnsi="宋体" w:eastAsia="宋体" w:cs="宋体"/>
          <w:color w:val="auto"/>
          <w:sz w:val="28"/>
          <w:szCs w:val="28"/>
          <w:lang w:val="zh-CN" w:eastAsia="zh-CN"/>
        </w:rPr>
      </w:pPr>
      <w:r>
        <w:rPr>
          <w:rStyle w:val="1035"/>
          <w:rFonts w:hint="eastAsia" w:ascii="宋体" w:hAnsi="宋体" w:eastAsia="宋体" w:cs="宋体"/>
          <w:color w:val="auto"/>
          <w:sz w:val="28"/>
          <w:szCs w:val="28"/>
          <w:lang w:val="zh-CN" w:eastAsia="zh-CN"/>
        </w:rPr>
        <w:t xml:space="preserve">本项目以国家级零碳园区战略为目标，依据工信部《工业企业和园区数字化能碳管理中心建设指南》（工信厅节〔2025〕13号）规定的12项功能，构建覆盖园区规上企业及重点用能单位的“园区—</w:t>
      </w:r>
      <w:r>
        <w:rPr>
          <w:rStyle w:val="1035"/>
          <w:rFonts w:hint="eastAsia" w:ascii="宋体" w:hAnsi="宋体" w:eastAsia="宋体" w:cs="宋体"/>
          <w:color w:val="auto"/>
          <w:sz w:val="28"/>
          <w:szCs w:val="28"/>
          <w:lang w:val="en-US" w:eastAsia="zh-CN"/>
        </w:rPr>
        <w:t xml:space="preserve">子园区</w:t>
      </w:r>
      <w:r>
        <w:rPr>
          <w:rStyle w:val="1035"/>
          <w:rFonts w:hint="eastAsia" w:ascii="宋体" w:hAnsi="宋体" w:eastAsia="宋体" w:cs="宋体"/>
          <w:color w:val="auto"/>
          <w:sz w:val="28"/>
          <w:szCs w:val="28"/>
          <w:lang w:val="zh-CN" w:eastAsia="zh-CN"/>
        </w:rPr>
        <w:t xml:space="preserve">—企业”</w:t>
      </w:r>
      <w:r>
        <w:rPr>
          <w:rStyle w:val="1035"/>
          <w:rFonts w:hint="eastAsia" w:ascii="宋体" w:hAnsi="宋体" w:eastAsia="宋体" w:cs="宋体"/>
          <w:color w:val="auto"/>
          <w:sz w:val="28"/>
          <w:szCs w:val="28"/>
          <w:lang w:val="en-US" w:eastAsia="zh-CN"/>
        </w:rPr>
        <w:t xml:space="preserve">三</w:t>
      </w:r>
      <w:r>
        <w:rPr>
          <w:rStyle w:val="1035"/>
          <w:rFonts w:hint="eastAsia" w:ascii="宋体" w:hAnsi="宋体" w:eastAsia="宋体" w:cs="宋体"/>
          <w:color w:val="auto"/>
          <w:sz w:val="28"/>
          <w:szCs w:val="28"/>
          <w:lang w:val="zh-CN" w:eastAsia="zh-CN"/>
        </w:rPr>
        <w:t xml:space="preserve">级能碳管理平台。</w:t>
      </w:r>
      <w:r>
        <w:rPr>
          <w:rStyle w:val="1035"/>
          <w:rFonts w:hint="eastAsia" w:ascii="宋体" w:hAnsi="宋体" w:eastAsia="宋体" w:cs="宋体"/>
          <w:color w:val="auto"/>
          <w:sz w:val="28"/>
          <w:szCs w:val="28"/>
          <w:lang w:val="zh-CN" w:eastAsia="zh-CN"/>
        </w:rPr>
        <w:fldChar w:fldCharType="begin"/>
      </w:r>
      <w:r>
        <w:rPr>
          <w:rStyle w:val="1035"/>
          <w:rFonts w:hint="eastAsia" w:ascii="宋体" w:hAnsi="宋体" w:eastAsia="宋体" w:cs="宋体"/>
          <w:color w:val="auto"/>
          <w:sz w:val="28"/>
          <w:szCs w:val="28"/>
          <w:lang w:val="zh-CN" w:eastAsia="zh-CN"/>
        </w:rPr>
        <w:instrText xml:space="preserve"> HYPERLINK "https://www.ttbz.org.cn/upload/file/20251024/6389691877597748661542185.docx" \l "1#1" \t "https://chat.deepseek.com/a/chat/s/_blank" </w:instrText>
      </w:r>
      <w:r>
        <w:rPr>
          <w:rStyle w:val="1035"/>
          <w:rFonts w:hint="eastAsia" w:ascii="宋体" w:hAnsi="宋体" w:eastAsia="宋体" w:cs="宋体"/>
          <w:color w:val="auto"/>
          <w:sz w:val="28"/>
          <w:szCs w:val="28"/>
          <w:lang w:val="zh-CN" w:eastAsia="zh-CN"/>
        </w:rPr>
        <w:fldChar w:fldCharType="separate"/>
      </w:r>
      <w:r>
        <w:rPr>
          <w:rStyle w:val="1035"/>
          <w:rFonts w:hint="eastAsia" w:ascii="宋体" w:hAnsi="宋体" w:eastAsia="宋体" w:cs="宋体"/>
          <w:color w:val="auto"/>
          <w:sz w:val="28"/>
          <w:szCs w:val="28"/>
          <w:lang w:val="zh-CN" w:eastAsia="zh-CN"/>
        </w:rPr>
        <w:fldChar w:fldCharType="end"/>
      </w:r>
      <w:r>
        <w:rPr>
          <w:rStyle w:val="1035"/>
          <w:rFonts w:hint="eastAsia" w:ascii="宋体" w:hAnsi="宋体" w:eastAsia="宋体" w:cs="宋体"/>
          <w:color w:val="auto"/>
          <w:sz w:val="28"/>
          <w:szCs w:val="28"/>
          <w:lang w:val="zh-CN" w:eastAsia="zh-CN"/>
        </w:rPr>
        <w:fldChar w:fldCharType="begin"/>
      </w:r>
      <w:r>
        <w:rPr>
          <w:rStyle w:val="1035"/>
          <w:rFonts w:hint="eastAsia" w:ascii="宋体" w:hAnsi="宋体" w:eastAsia="宋体" w:cs="宋体"/>
          <w:color w:val="auto"/>
          <w:sz w:val="28"/>
          <w:szCs w:val="28"/>
          <w:lang w:val="zh-CN" w:eastAsia="zh-CN"/>
        </w:rPr>
        <w:instrText xml:space="preserve"> HYPERLINK "https://news.solarbe.com/202604/28/50022382.html" \t "https://chat.deepseek.com/a/chat/s/_blank" </w:instrText>
      </w:r>
      <w:r>
        <w:rPr>
          <w:rStyle w:val="1035"/>
          <w:rFonts w:hint="eastAsia" w:ascii="宋体" w:hAnsi="宋体" w:eastAsia="宋体" w:cs="宋体"/>
          <w:color w:val="auto"/>
          <w:sz w:val="28"/>
          <w:szCs w:val="28"/>
          <w:lang w:val="zh-CN" w:eastAsia="zh-CN"/>
        </w:rPr>
        <w:fldChar w:fldCharType="separate"/>
      </w:r>
      <w:r>
        <w:rPr>
          <w:rStyle w:val="1035"/>
          <w:rFonts w:hint="eastAsia" w:ascii="宋体" w:hAnsi="宋体" w:eastAsia="宋体" w:cs="宋体"/>
          <w:color w:val="auto"/>
          <w:sz w:val="28"/>
          <w:szCs w:val="28"/>
          <w:lang w:val="zh-CN" w:eastAsia="zh-CN"/>
        </w:rPr>
        <w:fldChar w:fldCharType="end"/>
      </w:r>
      <w:r>
        <w:rPr>
          <w:rStyle w:val="1035"/>
          <w:rFonts w:hint="eastAsia" w:ascii="宋体" w:hAnsi="宋体" w:eastAsia="宋体" w:cs="宋体"/>
          <w:color w:val="auto"/>
          <w:sz w:val="28"/>
          <w:szCs w:val="28"/>
          <w:lang w:val="zh-CN" w:eastAsia="zh-CN"/>
        </w:rPr>
        <w:fldChar w:fldCharType="begin"/>
      </w:r>
      <w:r>
        <w:rPr>
          <w:rStyle w:val="1035"/>
          <w:rFonts w:hint="eastAsia" w:ascii="宋体" w:hAnsi="宋体" w:eastAsia="宋体" w:cs="宋体"/>
          <w:color w:val="auto"/>
          <w:sz w:val="28"/>
          <w:szCs w:val="28"/>
          <w:lang w:val="zh-CN" w:eastAsia="zh-CN"/>
        </w:rPr>
        <w:instrText xml:space="preserve"> HYPERLINK "https://www.acrel-energy.cn/hyxw/2236" \t "https://chat.deepseek.com/a/chat/s/_blank" </w:instrText>
      </w:r>
      <w:r>
        <w:rPr>
          <w:rStyle w:val="1035"/>
          <w:rFonts w:hint="eastAsia" w:ascii="宋体" w:hAnsi="宋体" w:eastAsia="宋体" w:cs="宋体"/>
          <w:color w:val="auto"/>
          <w:sz w:val="28"/>
          <w:szCs w:val="28"/>
          <w:lang w:val="zh-CN" w:eastAsia="zh-CN"/>
        </w:rPr>
        <w:fldChar w:fldCharType="separate"/>
      </w:r>
      <w:r>
        <w:rPr>
          <w:rStyle w:val="1035"/>
          <w:rFonts w:hint="eastAsia" w:ascii="宋体" w:hAnsi="宋体" w:eastAsia="宋体" w:cs="宋体"/>
          <w:color w:val="auto"/>
          <w:sz w:val="28"/>
          <w:szCs w:val="28"/>
          <w:lang w:val="zh-CN" w:eastAsia="zh-CN"/>
        </w:rPr>
        <w:fldChar w:fldCharType="end"/>
      </w:r>
      <w:r/>
    </w:p>
    <w:p>
      <w:pPr>
        <w:ind w:firstLine="560"/>
        <w:jc w:val="left"/>
        <w:keepLines w:val="0"/>
        <w:keepNext w:val="0"/>
        <w:pageBreakBefore w:val="0"/>
        <w:spacing w:line="500" w:lineRule="exact"/>
        <w:widowControl w:val="off"/>
        <w:rPr>
          <w:rStyle w:val="1035"/>
          <w:rFonts w:hint="eastAsia" w:ascii="宋体" w:hAnsi="宋体" w:eastAsia="宋体" w:cs="宋体"/>
          <w:color w:val="auto"/>
          <w:sz w:val="28"/>
          <w:szCs w:val="28"/>
          <w:lang w:val="zh-CN" w:eastAsia="zh-CN"/>
        </w:rPr>
      </w:pPr>
      <w:r>
        <w:rPr>
          <w:rStyle w:val="1035"/>
          <w:rFonts w:hint="eastAsia" w:ascii="宋体" w:hAnsi="宋体" w:eastAsia="宋体" w:cs="宋体"/>
          <w:color w:val="auto"/>
          <w:sz w:val="28"/>
          <w:szCs w:val="28"/>
          <w:lang w:val="zh-CN" w:eastAsia="zh-CN"/>
        </w:rPr>
        <w:t xml:space="preserve">一期建设目标：完成平台整体架构搭建、14个功能模块基础版本部署、数据采集与监测系统建设，实现从“可视”到“可析”的跨越，所有模块均须预留二期扩展接口。</w:t>
      </w:r>
      <w:r/>
    </w:p>
    <w:p>
      <w:pPr>
        <w:ind w:firstLine="562"/>
        <w:jc w:val="left"/>
        <w:keepLines w:val="0"/>
        <w:keepNext w:val="0"/>
        <w:pageBreakBefore w:val="0"/>
        <w:spacing w:line="500" w:lineRule="exact"/>
        <w:widowControl w:val="off"/>
        <w:rPr>
          <w:rStyle w:val="1035"/>
          <w:rFonts w:hint="default" w:ascii="宋体" w:hAnsi="宋体" w:eastAsia="宋体" w:cs="宋体"/>
          <w:b/>
          <w:bCs/>
          <w:color w:val="auto"/>
          <w:sz w:val="28"/>
          <w:szCs w:val="28"/>
          <w:lang w:val="en-US" w:eastAsia="zh-CN"/>
        </w:rPr>
      </w:pPr>
      <w:r>
        <w:rPr>
          <w:rStyle w:val="1035"/>
          <w:rFonts w:hint="eastAsia" w:ascii="宋体" w:hAnsi="宋体" w:eastAsia="宋体" w:cs="宋体"/>
          <w:b/>
          <w:bCs/>
          <w:color w:val="auto"/>
          <w:sz w:val="28"/>
          <w:szCs w:val="28"/>
          <w:lang w:val="zh-CN"/>
        </w:rPr>
        <w:t xml:space="preserve">（</w:t>
      </w:r>
      <w:r>
        <w:rPr>
          <w:rStyle w:val="1035"/>
          <w:rFonts w:hint="eastAsia" w:ascii="宋体" w:hAnsi="宋体" w:eastAsia="宋体" w:cs="宋体"/>
          <w:b/>
          <w:bCs/>
          <w:color w:val="auto"/>
          <w:sz w:val="28"/>
          <w:szCs w:val="28"/>
          <w:lang w:val="zh-CN" w:eastAsia="zh-CN"/>
        </w:rPr>
        <w:t xml:space="preserve">二</w:t>
      </w:r>
      <w:r>
        <w:rPr>
          <w:rStyle w:val="1035"/>
          <w:rFonts w:hint="eastAsia" w:ascii="宋体" w:hAnsi="宋体" w:eastAsia="宋体" w:cs="宋体"/>
          <w:b/>
          <w:bCs/>
          <w:color w:val="auto"/>
          <w:sz w:val="28"/>
          <w:szCs w:val="28"/>
          <w:lang w:val="zh-CN"/>
        </w:rPr>
        <w:t xml:space="preserve">） </w:t>
      </w:r>
      <w:r>
        <w:rPr>
          <w:rStyle w:val="1035"/>
          <w:rFonts w:hint="eastAsia" w:ascii="宋体" w:hAnsi="宋体" w:cs="宋体"/>
          <w:b/>
          <w:bCs/>
          <w:color w:val="auto"/>
          <w:sz w:val="28"/>
          <w:szCs w:val="28"/>
          <w:lang w:val="en-US" w:eastAsia="zh-CN"/>
        </w:rPr>
        <w:t xml:space="preserve">建设内容</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2.1平台架构建设</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（1）构建“园区—子园区—企业—设备”四级聚合的数据流转架构，支持自下而上的数据汇总与自上而下指令下发。</w:t>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（2）采用多租户SaaS或私有化部署，由投标人根据项目实际推荐最优方案。</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平台须遵循工信部六层架构标准（基础设施层、数据采集层、数据架构层、模型组件层、业务应用层、互动展示层），其中模型组件层须内置能效对标模型、园区碳排放核算模型、产品碳足迹核算模型（符合GB/T 24067标准）等核心算法组件</w:t>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"https://news.solarbe.com/202604/28/50022382.html" \t "https://chat.deepseek.com/a/chat/s/_blank"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2.2数据采集与监测系统</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（1）建设覆盖电、热、气、油、新能源等多品类能源的IoT感知网络，支持Modbus、OPC UA、MQTT等主流协议。</w:t>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（2）部署边缘计算网关集群（支持断点续传，存储空间≥8GB），实现：电量15分钟级采集；实时监测数据1小时上传；日统计数据次日上报；数据采集覆盖率≥95%。</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（3）数据安全：采用区块链存证技术实现数据不可篡改，数据传输采用SSL加密协议，数据存储期限不少于10年。</w:t>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2.3核心功能模块</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以下14个功能模块均须完成基础版本部署。功能要求依据工信部《工业企业和园区数字化能碳管理中心建设指南》制定。</w:t>
      </w:r>
      <w:r/>
    </w:p>
    <w:tbl>
      <w:tblPr>
        <w:tblStyle w:val="784"/>
        <w:tblW w:w="5170" w:type="pct"/>
        <w:tblInd w:w="-129" w:type="dxa"/>
        <w:tblLayout w:type="fixed"/>
        <w:tblCellMar>
          <w:left w:w="17" w:type="dxa"/>
          <w:top w:w="17" w:type="dxa"/>
          <w:right w:w="17" w:type="dxa"/>
          <w:bottom w:w="17" w:type="dxa"/>
        </w:tblCellMar>
        <w:tblLook w:val="04A0" w:firstRow="1" w:lastRow="0" w:firstColumn="1" w:lastColumn="0" w:noHBand="0" w:noVBand="1"/>
      </w:tblPr>
      <w:tblGrid>
        <w:gridCol w:w="565"/>
        <w:gridCol w:w="1813"/>
        <w:gridCol w:w="6854"/>
      </w:tblGrid>
      <w:tr>
        <w:trPr>
          <w:trHeight w:val="570"/>
          <w:tblHeade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bidi="ar"/>
              </w:rPr>
              <w:t xml:space="preserve">功能模块</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3712"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bidi="ar"/>
              </w:rPr>
              <w:t xml:space="preserve">一期建设核心内容</w:t>
            </w:r>
            <w:r/>
          </w:p>
        </w:tc>
      </w:tr>
      <w:tr>
        <w:trPr>
          <w:trHeight w:val="744"/>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大屏模块</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①全域能碳态势大屏基础版；②能碳运营总览大屏；③三大子园区能碳监控中心基础版；④三维数字孪生可视化展示框架</w:t>
            </w:r>
            <w:r/>
          </w:p>
        </w:tc>
      </w:tr>
      <w:tr>
        <w:trPr>
          <w:trHeight w:val="1121"/>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能耗查询</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①全品类能源（煤炭、石油、天然气、电力/含各类新能源、热力、氢、氨等）实时监测查询；②多维度历史查询（时/日/月）；③能耗报表生成与导出</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能源消费量和强度计算</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①依据GB/T 2589计算能源消费量（四级计量）；②单位产品/产值综合能耗计算；③碳排放强度计算</w:t>
            </w:r>
            <w:r/>
          </w:p>
        </w:tc>
      </w:tr>
      <w:tr>
        <w:trPr>
          <w:trHeight w:val="782"/>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ind w:firstLine="0"/>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能源消费分析与用能策略推荐</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ind w:firstLine="0"/>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①用能结构、成本、能效分析；②能耗趋势分析；③异常诊断；④自动生成日报/月报/年报及用能策略推荐</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能效对标系统</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①主要工序、重点产品和设备的能效对标（对照国家现行单位产品能耗限额标准、设备能效标准）；②对标报告生成</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能流分析系统</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绘制园区综合能流图（桑基图）/能源平衡表，识别重点能耗环节</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能效平衡与优化</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运用AI技术实现能源供需平衡分析，优化工艺设备运行参数</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用能与碳排放预算管理</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①年度预算编制；②用能和碳排放分析预测；③预算执行动态跟踪与预警</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碳排放核算系统</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①排放因子法自动核算（范围一、二）；②碳排放来源追踪、趋势分析、超排预警；③内置基础碳排放因子库（兼容CPCD权威排放因子数据库）；④核算报告自动生成</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"https://www.ttbz.org.cn/upload/file/20251121/6389934095858615109881051.pdf" \l "3#3" \t "https://chat.deepseek.com/a/chat/s/_blank"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fldChar w:fldCharType="end"/>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产品碳足迹核算</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①系统框架搭建；②基础数据结构设计；③预留LCA软件对接接口；④符合GB/T 24067量化要求</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"https://www.ttbz.org.cn/upload/file/20251121/6389934095858615109881051.pdf" \l "3#3" \t "https://chat.deepseek.com/a/chat/s/_blank"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"https://gxt.hunan.gov.cn/gxt/hnjnjc/jnjczcfg/jnjcgjzc/202503/t20250318_33615835.html" \t "https://chat.deepseek.com/a/chat/s/_blank"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fldChar w:fldCharType="end"/>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11</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供应链碳管理</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①系统框架搭建；②基础数据模型设计；③预留上游供应商数据采集接口</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碳核查支撑系统</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①碳排放数据基础台账管理；②活动数据基础管理；③核查材料汇集导出</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13</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碳资产管理</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①碳资产（碳配额、CCER、绿证）框架搭建；②碳配额基础台账管理；③配额测算与预警</w:t>
            </w:r>
            <w:r/>
          </w:p>
        </w:tc>
      </w:tr>
      <w:tr>
        <w:trPr/>
        <w:tc>
          <w:tcPr>
            <w:tcBorders>
              <w:top w:val="single" w:color="auto" w:sz="4" w:space="0"/>
              <w:left w:val="single" w:color="auto" w:sz="4" w:space="0"/>
              <w:bottom w:val="single" w:color="auto" w:sz="4" w:space="0"/>
              <w:right w:val="single" w:color="auto" w:sz="4" w:space="0"/>
            </w:tcBorders>
            <w:tcMar>
              <w:left w:w="0" w:type="dxa"/>
              <w:top w:w="120" w:type="dxa"/>
              <w:right w:w="192" w:type="dxa"/>
              <w:bottom w:w="120" w:type="dxa"/>
            </w:tcMar>
            <w:tcW w:w="306" w:type="pct"/>
            <w:vAlign w:val="center"/>
            <w:textDirection w:val="lrTb"/>
            <w:noWrap w:val="false"/>
          </w:tcPr>
          <w:p>
            <w:pPr>
              <w:jc w:val="center"/>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14</w:t>
            </w:r>
            <w:r/>
          </w:p>
        </w:tc>
        <w:tc>
          <w:tcPr>
            <w:tcBorders>
              <w:top w:val="single" w:color="auto" w:sz="4" w:space="0"/>
              <w:left w:val="single" w:color="auto" w:sz="4" w:space="0"/>
              <w:bottom w:val="single" w:color="auto" w:sz="4" w:space="0"/>
              <w:right w:val="single" w:color="auto" w:sz="4" w:space="0"/>
            </w:tcBorders>
            <w:tcMar>
              <w:left w:w="192" w:type="dxa"/>
              <w:top w:w="120" w:type="dxa"/>
              <w:right w:w="192" w:type="dxa"/>
              <w:bottom w:w="120" w:type="dxa"/>
            </w:tcMar>
            <w:tcW w:w="981"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系统集成与基础平台</w:t>
            </w:r>
            <w:r/>
          </w:p>
        </w:tc>
        <w:tc>
          <w:tcPr>
            <w:tcBorders>
              <w:top w:val="single" w:color="auto" w:sz="4" w:space="0"/>
              <w:left w:val="single" w:color="auto" w:sz="4" w:space="0"/>
              <w:bottom w:val="single" w:color="auto" w:sz="4" w:space="0"/>
              <w:right w:val="single" w:color="auto" w:sz="4" w:space="0"/>
            </w:tcBorders>
            <w:tcMar>
              <w:left w:w="192" w:type="dxa"/>
              <w:top w:w="120" w:type="dxa"/>
              <w:right w:w="0" w:type="dxa"/>
              <w:bottom w:w="120" w:type="dxa"/>
            </w:tcMar>
            <w:tcW w:w="3712" w:type="pct"/>
            <w:vAlign w:val="center"/>
            <w:textDirection w:val="lrTb"/>
            <w:noWrap w:val="false"/>
          </w:tcPr>
          <w:p>
            <w:pPr>
              <w:jc w:val="left"/>
              <w:keepLines w:val="0"/>
              <w:keepNext w:val="0"/>
              <w:pageBreakBefore w:val="0"/>
              <w:spacing w:line="320" w:lineRule="exact"/>
              <w:widowControl/>
              <w:rPr>
                <w:rStyle w:val="783"/>
                <w:rFonts w:hint="eastAsia" w:ascii="仿宋" w:hAnsi="仿宋" w:eastAsia="仿宋" w:cs="仿宋"/>
                <w:color w:val="auto"/>
                <w:sz w:val="24"/>
                <w:szCs w:val="24"/>
              </w:rPr>
            </w:pPr>
            <w:r>
              <w:rPr>
                <w:rStyle w:val="783"/>
                <w:rFonts w:hint="eastAsia" w:ascii="仿宋" w:hAnsi="仿宋" w:eastAsia="仿宋" w:cs="仿宋"/>
                <w:color w:val="auto"/>
                <w:sz w:val="24"/>
                <w:szCs w:val="24"/>
              </w:rPr>
              <w:t xml:space="preserve">①整体架构搭建；②采集接口开发；③用户三级权限管理；④系统部署；⑤省市平台对接通道；⑥移动端与企业端门户框架</w:t>
            </w:r>
            <w:r/>
          </w:p>
        </w:tc>
      </w:tr>
    </w:tbl>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2.4展示层建设</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（1）园区全域能碳态势一张图：采用三维数字孪生技术，展示全域能碳态势、零碳指标管控、能碳运营总览、多元绿能供给、企业零碳服务、环抱式港池、渔港经济区的能耗、碳排放及清洁能源占比。</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（2）零碳指标管控看板：聚焦碳排放强度、能耗强度、非化石能源消费占比、石油消费总量等核心指标。</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（3）能碳运营总览：展示异常能耗、碳排放超标、设备故障等告警信息，支持穿透下钻到具体楼宇/设备。</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（4）多元绿能供给监测：风、光、氢、储多能监测与动态预测。</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2.5系统对接要求</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（1）纵向对接省、市级平台：JSON格式+HTTPS传输+ CA数字证书认证，满足三级数据穿透要求。</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（2）横向联通电力交易与碳市场系统。</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（3）平台应支持与园区ERP、MES等管理系统数据交互。</w:t>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2.6三端协同</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（1）PC端大屏：指挥大厅一屏统览。</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（2）移动端：随时掌握动态，快速响应预警。</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（3）企业端门户：独立租户自主管理。</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（三）技术要求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3.1性能要求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平台可用性须不低于99.5%（年故障时间不超过44小时），一般界面响应时间不超过2秒，组合查询响应时间不超过5秒，数据采集覆盖率不低于95%，碳排放核算误差不超过±3%，碳核算自动化率不低于90%，平均故障修复时间（MTTR）不超过30分钟。</w:t>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3.2安全要求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（1）操作系统安全等级≥GB/T20272—2019第三级。</w:t>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（2）网络安全等级保护≥GB/T22239—2019第二级。</w:t>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（3）具备数据安全保护措施，保证数据在传输过程中的保密性、完整性。</w:t>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（4）采用数据加密隔离与区块链存证，建立数据信任机制。</w:t>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"https://news.solarbe.com/202604/28/50022382.html" \t "https://chat.deepseek.com/a/chat/s/_blank"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3.3兼容性与可扩展性</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（1）平台应支持接入园区内各类能源设备、生产设备、环境监测设备数据。</w:t>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"https://www.ttbz.org.cn/upload/file/20251024/6389691877597748661542185.docx" \l "1#1" \t "https://chat.deepseek.com/a/chat/s/_blank"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end"/>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（2）预留标准化API接口，采用模块化设计，适应未来规模扩张与技术升级。</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（四）项目交付要求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4.1交付期限：合同签订之日起90天内完成建设并上线运行。</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4.2交付成果：</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文档类成果：建设深化方案、需求规格书、系统概要设计、系统详细设计、系统测试报告、项目工作总结、项目技术总结、系统部署手册、用户手册、系统维护手册、软件程序包等文档类成果各提供电子文件1份。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系统类成果：在指定服务器上完成系统成果的安装部署，并完成调试，达到竣工验收要求。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4.3知识产权：本项目形成的软件成果知识产权归采购人所有，成交供应商须提供完整的源代码及相关技术文档。</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4.4培训要求：成交供应商须对采购人指定的技术人员进行不少于30人天的系统操作和维护培训。</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4.5 云服务要求：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成交供应商须承担本项目系统上线运行后的首年云服务费（包括但不限于云服务器ECS、数据库、存储、网络带宽、安全防护等云资源租赁及基础运维费用）。该费用已包含在项目总报价中，采购人不再另行支付。服务期满后，相关费用的续缴及标准由双方另行协商确定。</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（五）质保与售后服务要求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5.1快速响应服务系统投入试运行后，中标人应提供7×24的售后故障处理服务，做到1小时内响应，并在1个工作日内排除故障。如果故障在检修8小时后仍无法排除，中标人应在2个工作日内提供采用备份系统进行修复供采购人使用。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5.2定期跟踪服务中标人应定期跟踪和回访使用情况，及时了解存在的问题，并随时给予解决。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5.3热线服务中标人应提供7×24的技术咨询服务。提供热线电话或E-mail、传真等途径，随时回答与项目有关的技术问题，并在24小时内提出解决方案。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5.4运行维护服务提供最终验收后1年运维服务，包括系统运行保障、功能维护、数据配置等日常系统运维工作。</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（六）交付与验收要求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6.1验收依据：以采购文件、响应文件、合同约定内容及国家相关标准规范为依据。</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6.2验收程序：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（1）成交供应商完成系统部署后提交初验申请。</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（2）采购人组织初验，初验合格后进入试运行阶段。</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（3）试运行期不少于30天，试运行无重大缺陷后组织终验。</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（4）终验合格后签署最终验收报告。</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6.3验收标准：功能完整实现采购需求所要求的所有功能模块；性能指标达到技术要求规定的全部指标；文档资料齐全、规范；培训任务完成。</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服务地点</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江苏启东吕四港经济开发区，具体地点由采购人指定。</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、报价费用说明：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本项目为交钥匙项目，投标报价包含所有开发、实施、调试、安装、</w:t>
      </w:r>
      <w:r>
        <w:rPr>
          <w:rFonts w:hint="eastAsia" w:ascii="宋体" w:hAnsi="宋体" w:eastAsia="宋体" w:cs="宋体"/>
          <w:color w:val="auto"/>
          <w:sz w:val="28"/>
          <w:szCs w:val="28"/>
          <w:highlight w:val="none"/>
          <w:lang w:val="en-US" w:eastAsia="zh-CN"/>
        </w:rPr>
        <w:t xml:space="preserve">云服务费、</w:t>
      </w:r>
      <w:r>
        <w:rPr>
          <w:rFonts w:hint="eastAsia" w:ascii="宋体" w:hAnsi="宋体" w:eastAsia="宋体" w:cs="宋体"/>
          <w:b/>
          <w:bCs/>
          <w:color w:val="auto"/>
          <w:sz w:val="28"/>
          <w:szCs w:val="28"/>
          <w:highlight w:val="none"/>
          <w:lang w:val="en-US" w:eastAsia="zh-CN"/>
        </w:rPr>
        <w:t xml:space="preserve">招标代理费（计费标准为：以中标金额为基数，按国家计委《招标代理服务收费管理暂行办法》【计价格（2002）1980号】规定的收费标准×70%计算）</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eastAsia="zh-CN"/>
        </w:rPr>
        <w:t xml:space="preserve">运维服务及验收等项目交付使用所产生一切费用，均由中标人实施完成。</w:t>
      </w:r>
      <w:r/>
    </w:p>
    <w:p>
      <w:pPr>
        <w:contextualSpacing/>
        <w:ind w:firstLine="560"/>
        <w:keepLines w:val="0"/>
        <w:keepNext w:val="0"/>
        <w:pageBreakBefore w:val="0"/>
        <w:spacing w:line="500" w:lineRule="exact"/>
        <w:widowControl w:val="off"/>
        <w:rPr>
          <w:rStyle w:val="1035"/>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rPr>
        <w:t xml:space="preserve">本项目的招标代理费由成交供应商在领取中标通知书前支付，此费用由供应商综合考虑在报价中，不单独立项。</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1.系统</w:t>
      </w:r>
      <w:r>
        <w:rPr>
          <w:rFonts w:hint="eastAsia" w:ascii="宋体" w:hAnsi="宋体" w:eastAsia="宋体" w:cs="宋体"/>
          <w:color w:val="auto"/>
          <w:sz w:val="28"/>
          <w:szCs w:val="28"/>
          <w:lang w:val="zh-CN"/>
        </w:rPr>
        <w:t xml:space="preserve">整体架构搭建</w:t>
      </w:r>
      <w:r>
        <w:rPr>
          <w:rFonts w:hint="eastAsia" w:ascii="宋体" w:hAnsi="宋体" w:eastAsia="宋体" w:cs="宋体"/>
          <w:color w:val="auto"/>
          <w:sz w:val="28"/>
          <w:szCs w:val="28"/>
        </w:rPr>
        <w:t xml:space="preserve">完成</w:t>
      </w:r>
      <w:r>
        <w:rPr>
          <w:rFonts w:hint="eastAsia" w:ascii="宋体" w:hAnsi="宋体" w:eastAsia="宋体" w:cs="宋体"/>
          <w:color w:val="auto"/>
          <w:sz w:val="28"/>
          <w:szCs w:val="28"/>
          <w:lang w:val="zh-CN"/>
        </w:rPr>
        <w:t xml:space="preserve">、14个功能模块基础版本部署及数据采集与监测系统上线，并通过初步验收后，支付合同总价的</w:t>
      </w:r>
      <w:r>
        <w:rPr>
          <w:rFonts w:hint="eastAsia" w:ascii="宋体" w:hAnsi="宋体" w:eastAsia="宋体" w:cs="宋体"/>
          <w:color w:val="auto"/>
          <w:sz w:val="28"/>
          <w:szCs w:val="28"/>
        </w:rPr>
        <w:t xml:space="preserve">50</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zh-CN"/>
        </w:rPr>
        <w:t xml:space="preserve">系统上线试运行不少于30天，且通过最终验收，并完成全部交付文档与培训任务后，支付合同总价的</w:t>
      </w:r>
      <w:r>
        <w:rPr>
          <w:rFonts w:hint="eastAsia" w:ascii="宋体" w:hAnsi="宋体" w:eastAsia="宋体" w:cs="宋体"/>
          <w:color w:val="auto"/>
          <w:sz w:val="28"/>
          <w:szCs w:val="28"/>
          <w:lang w:val="en-US" w:eastAsia="zh-CN"/>
        </w:rPr>
        <w:t xml:space="preserve">40</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余款自最终验收合格之日起一年后一次性付清</w:t>
      </w:r>
      <w:r>
        <w:rPr>
          <w:rFonts w:hint="eastAsia" w:ascii="宋体" w:hAnsi="宋体" w:eastAsia="宋体" w:cs="宋体"/>
          <w:color w:val="auto"/>
          <w:sz w:val="28"/>
          <w:szCs w:val="28"/>
          <w:lang w:val="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1.本项目成交后的履约保证金为项目成交价的</w:t>
      </w: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yellow"/>
        </w:rPr>
        <w:br/>
      </w:r>
      <w:r>
        <w:rPr>
          <w:rFonts w:hint="eastAsia" w:ascii="宋体" w:hAnsi="宋体" w:eastAsia="宋体" w:cs="宋体"/>
          <w:color w:val="auto"/>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u w:val="single"/>
        </w:rPr>
        <w:t xml:space="preserve">每日0.05%</w:t>
      </w:r>
      <w:r>
        <w:rPr>
          <w:rFonts w:hint="eastAsia" w:ascii="宋体" w:hAnsi="宋体" w:eastAsia="宋体" w:cs="宋体"/>
          <w:color w:val="auto"/>
          <w:sz w:val="28"/>
          <w:szCs w:val="28"/>
        </w:rPr>
        <w:t xml:space="preserve">支付违约金。</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    3.发生以下情况的，履约保证金不予退还或部分退还：</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演示讲解</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须进行演示讲解，演示讲解方式为视频录制，供应商需按照磋商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响应文件的组成部分。演示视频未提供或者无法打开的视为未实质性响应。</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本项目（不接受）进口产品参与</w:t>
      </w:r>
      <w:r>
        <w:rPr>
          <w:rFonts w:hint="eastAsia" w:ascii="宋体" w:hAnsi="宋体" w:cs="宋体"/>
          <w:b/>
          <w:bCs/>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、合同条款</w:t>
      </w:r>
      <w:r/>
    </w:p>
    <w:p>
      <w:pPr>
        <w:jc w:val="left"/>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江苏</w:t>
      </w:r>
      <w:r>
        <w:rPr>
          <w:rFonts w:hint="eastAsia" w:ascii="宋体" w:hAnsi="宋体" w:eastAsia="宋体" w:cs="宋体"/>
          <w:color w:val="auto"/>
          <w:sz w:val="24"/>
          <w:szCs w:val="24"/>
          <w:u w:val="single"/>
          <w:lang w:val="en-US" w:eastAsia="zh-CN" w:bidi="ar-SA"/>
        </w:rPr>
        <w:t xml:space="preserve">启东吕四港经济开发区管理委员会 </w:t>
      </w:r>
      <w:r/>
    </w:p>
    <w:p>
      <w:pPr>
        <w:pStyle w:val="789"/>
        <w:keepLines w:val="0"/>
        <w:keepNext w:val="0"/>
        <w:pageBreakBefore w:val="0"/>
        <w:spacing w:after="0" w:line="48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eastAsia="zh-CN"/>
        </w:rPr>
        <w:t xml:space="preserve">乙</w:t>
      </w:r>
      <w:r>
        <w:rPr>
          <w:rFonts w:hint="eastAsia" w:ascii="宋体" w:hAnsi="宋体" w:eastAsia="宋体" w:cs="宋体"/>
          <w:color w:val="auto"/>
          <w:sz w:val="24"/>
          <w:szCs w:val="24"/>
        </w:rPr>
        <w:t xml:space="preserve">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成交供应商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p>
    <w:p>
      <w:pPr>
        <w:ind w:firstLine="555"/>
        <w:keepLines w:val="0"/>
        <w:keepNext w:val="0"/>
        <w:pageBreakBefore w:val="0"/>
        <w:spacing w:line="480" w:lineRule="exact"/>
        <w:widowControl w:val="off"/>
        <w:rPr>
          <w:rFonts w:hint="eastAsia" w:ascii="宋体" w:hAnsi="宋体" w:eastAsia="宋体" w:cs="宋体"/>
          <w:b w:val="0"/>
          <w:bCs w:val="0"/>
          <w:color w:val="auto"/>
          <w:sz w:val="24"/>
          <w:szCs w:val="24"/>
          <w:lang w:eastAsia="zh-CN"/>
        </w:rPr>
      </w:pPr>
      <w:r>
        <w:rPr>
          <w:rFonts w:hint="eastAsia" w:ascii="宋体" w:hAnsi="宋体" w:cs="宋体"/>
          <w:color w:val="auto"/>
          <w:sz w:val="24"/>
          <w:szCs w:val="24"/>
          <w:u w:val="single"/>
          <w:lang w:val="en-US" w:eastAsia="zh-CN" w:bidi="ar-SA"/>
        </w:rPr>
        <w:t xml:space="preserve">江苏启东吕四港经济开发区零碳园区智慧能碳管理平台建设(一期)项目</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方式进行采购。经</w:t>
      </w:r>
      <w:r>
        <w:rPr>
          <w:rFonts w:hint="eastAsia" w:ascii="宋体" w:hAnsi="宋体" w:cs="宋体"/>
          <w:color w:val="auto"/>
          <w:sz w:val="24"/>
          <w:szCs w:val="24"/>
          <w:highlight w:val="none"/>
          <w:lang w:val="en-US" w:eastAsia="zh-CN"/>
        </w:rPr>
        <w:t xml:space="preserve">磋商小组评定，</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。甲、乙双方根据《中华人民共和国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中华人民共和国政府采购法</w:t>
      </w:r>
      <w:r>
        <w:rPr>
          <w:rFonts w:hint="eastAsia" w:ascii="宋体" w:hAnsi="宋体" w:eastAsia="宋体" w:cs="宋体"/>
          <w:color w:val="auto"/>
          <w:sz w:val="24"/>
          <w:szCs w:val="24"/>
          <w:highlight w:val="none"/>
        </w:rPr>
        <w:t xml:space="preserve">》和其他法律、法规的规定，并按照公正、平等、自愿、诚实信用的原则，同意按照以下条款和条件，签署本合同</w:t>
      </w:r>
      <w:r>
        <w:rPr>
          <w:rFonts w:hint="eastAsia" w:ascii="宋体" w:hAnsi="宋体" w:eastAsia="宋体" w:cs="宋体"/>
          <w:b w:val="0"/>
          <w:bCs w:val="0"/>
          <w:color w:val="auto"/>
          <w:sz w:val="24"/>
          <w:szCs w:val="24"/>
          <w:lang w:eastAsia="zh-CN"/>
        </w:rPr>
        <w:t xml:space="preserve">。</w:t>
      </w:r>
      <w:r/>
    </w:p>
    <w:p>
      <w:pPr>
        <w:numPr>
          <w:ilvl w:val="0"/>
          <w:numId w:val="1"/>
        </w:numPr>
        <w:ind w:left="-62" w:firstLine="482"/>
        <w:spacing w:line="480" w:lineRule="exact"/>
        <w:rPr>
          <w:rFonts w:hint="eastAsia" w:ascii="宋体" w:hAnsi="宋体" w:eastAsia="宋体" w:cs="宋体"/>
          <w:color w:val="auto"/>
          <w:sz w:val="24"/>
          <w:szCs w:val="24"/>
          <w:highlight w:val="none"/>
        </w:rPr>
      </w:pPr>
      <w:r>
        <w:rPr>
          <w:rFonts w:hint="eastAsia" w:ascii="宋体" w:hAnsi="宋体" w:cs="宋体"/>
          <w:b/>
          <w:bCs/>
          <w:sz w:val="24"/>
          <w:lang w:val="en-US" w:eastAsia="zh-CN"/>
        </w:rPr>
        <w:t xml:space="preserve">项目内容</w:t>
      </w:r>
      <w:r/>
    </w:p>
    <w:p>
      <w:pPr>
        <w:ind w:firstLine="555"/>
        <w:keepLines w:val="0"/>
        <w:keepNext w:val="0"/>
        <w:pageBreakBefore w:val="0"/>
        <w:spacing w:line="480" w:lineRule="exact"/>
        <w:widowControl w:val="off"/>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 xml:space="preserve">1.项目名称：江苏启东吕四港经济开发区零碳园区智慧能碳管理平台建设(一期)项目。</w:t>
      </w:r>
      <w:r/>
    </w:p>
    <w:p>
      <w:pPr>
        <w:ind w:firstLine="555"/>
        <w:keepLines w:val="0"/>
        <w:keepNext w:val="0"/>
        <w:pageBreakBefore w:val="0"/>
        <w:spacing w:line="480" w:lineRule="exact"/>
        <w:widowControl w:val="off"/>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 xml:space="preserve">2.</w:t>
      </w:r>
      <w:r>
        <w:rPr>
          <w:rFonts w:hint="default" w:ascii="宋体" w:hAnsi="宋体" w:eastAsia="宋体" w:cs="宋体"/>
          <w:color w:val="auto"/>
          <w:sz w:val="24"/>
          <w:szCs w:val="24"/>
          <w:u w:val="none"/>
          <w:lang w:val="en-US" w:eastAsia="zh-CN" w:bidi="ar-SA"/>
        </w:rPr>
        <w:t xml:space="preserve">项目内容：详见</w:t>
      </w:r>
      <w:r>
        <w:rPr>
          <w:rFonts w:hint="eastAsia" w:ascii="宋体" w:hAnsi="宋体" w:eastAsia="宋体" w:cs="宋体"/>
          <w:color w:val="auto"/>
          <w:sz w:val="24"/>
          <w:szCs w:val="24"/>
          <w:u w:val="none"/>
          <w:lang w:val="en-US" w:eastAsia="zh-CN" w:bidi="ar-SA"/>
        </w:rPr>
        <w:t xml:space="preserve">磋商文件、</w:t>
      </w:r>
      <w:r>
        <w:rPr>
          <w:rFonts w:hint="default" w:ascii="宋体" w:hAnsi="宋体" w:eastAsia="宋体" w:cs="宋体"/>
          <w:color w:val="auto"/>
          <w:sz w:val="24"/>
          <w:szCs w:val="24"/>
          <w:u w:val="none"/>
          <w:lang w:val="en-US" w:eastAsia="zh-CN" w:bidi="ar-SA"/>
        </w:rPr>
        <w:t xml:space="preserve">乙方响应文件（含磋商过程中的澄清、承诺文件）及本合同附件。</w:t>
      </w:r>
      <w:r/>
    </w:p>
    <w:p>
      <w:pPr>
        <w:ind w:left="420"/>
        <w:spacing w:line="480" w:lineRule="exact"/>
        <w:rPr>
          <w:rFonts w:hint="eastAsia" w:ascii="宋体" w:hAnsi="宋体" w:eastAsia="宋体" w:cs="宋体"/>
          <w:b/>
          <w:bCs/>
          <w:sz w:val="24"/>
        </w:rPr>
      </w:pPr>
      <w:r>
        <w:rPr>
          <w:rFonts w:hint="eastAsia" w:ascii="宋体" w:hAnsi="宋体" w:eastAsia="宋体" w:cs="宋体"/>
          <w:b/>
          <w:bCs/>
          <w:sz w:val="24"/>
        </w:rPr>
        <w:t xml:space="preserve">第二条 合同金额</w:t>
      </w:r>
      <w:r/>
    </w:p>
    <w:p>
      <w:pPr>
        <w:pStyle w:val="789"/>
        <w:ind w:left="0" w:firstLine="420"/>
        <w:keepLines w:val="0"/>
        <w:keepNext w:val="0"/>
        <w:pageBreakBefore w:val="0"/>
        <w:spacing w:after="0" w:line="480" w:lineRule="exact"/>
        <w:widowControl w:val="off"/>
        <w:rPr>
          <w:rFonts w:ascii="宋体" w:hAnsi="宋体" w:eastAsia="宋体" w:cs="宋体"/>
          <w:szCs w:val="24"/>
        </w:rPr>
      </w:pPr>
      <w:r>
        <w:rPr>
          <w:rFonts w:hint="eastAsia" w:ascii="宋体" w:hAnsi="宋体" w:cs="宋体"/>
          <w:szCs w:val="24"/>
          <w:lang w:val="en-US" w:eastAsia="zh-CN"/>
        </w:rPr>
        <w:t xml:space="preserve">1.</w:t>
      </w:r>
      <w:r>
        <w:rPr>
          <w:rFonts w:hint="eastAsia" w:ascii="宋体" w:hAnsi="宋体" w:eastAsia="宋体" w:cs="宋体"/>
          <w:szCs w:val="24"/>
        </w:rPr>
        <w:t xml:space="preserve">人民币（大写）：</w:t>
      </w:r>
      <w:r>
        <w:rPr>
          <w:rFonts w:hint="eastAsia" w:ascii="宋体" w:hAnsi="宋体" w:eastAsia="宋体" w:cs="宋体"/>
          <w:szCs w:val="24"/>
          <w:u w:val="single"/>
        </w:rPr>
        <w:t xml:space="preserve"> </w:t>
      </w:r>
      <w:r>
        <w:rPr>
          <w:rFonts w:hint="eastAsia" w:ascii="宋体" w:hAnsi="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；（小写）：</w:t>
      </w:r>
      <w:r>
        <w:rPr>
          <w:rFonts w:hint="eastAsia" w:ascii="宋体" w:hAnsi="宋体" w:eastAsia="宋体" w:cs="宋体"/>
          <w:szCs w:val="24"/>
          <w:u w:val="single"/>
        </w:rPr>
        <w:t xml:space="preserve">          </w:t>
      </w:r>
      <w:r>
        <w:rPr>
          <w:rFonts w:hint="eastAsia" w:ascii="宋体" w:hAnsi="宋体" w:eastAsia="宋体" w:cs="宋体"/>
          <w:szCs w:val="24"/>
        </w:rPr>
        <w:t xml:space="preserve">元。</w:t>
      </w:r>
      <w:r/>
    </w:p>
    <w:p>
      <w:pPr>
        <w:ind w:left="0" w:firstLine="480"/>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cs="宋体"/>
          <w:sz w:val="24"/>
        </w:rPr>
        <w:t xml:space="preserve">本项目采用固定总价合同，为交钥匙工程，合同价中应包括完成本项目所确定的全部建设内容所发生的</w:t>
      </w:r>
      <w:r>
        <w:rPr>
          <w:rFonts w:hint="eastAsia" w:ascii="宋体" w:hAnsi="宋体" w:eastAsia="宋体" w:cs="宋体"/>
          <w:sz w:val="24"/>
        </w:rPr>
        <w:t xml:space="preserve">全部费用，包括但不限于</w:t>
      </w:r>
      <w:r>
        <w:rPr>
          <w:rFonts w:hint="eastAsia" w:ascii="宋体" w:hAnsi="宋体" w:eastAsia="宋体" w:cs="宋体"/>
          <w:sz w:val="24"/>
          <w:lang w:val="zh-CN"/>
        </w:rPr>
        <w:t xml:space="preserve">所有开发、实施、调试、安装、</w:t>
      </w:r>
      <w:r>
        <w:rPr>
          <w:rFonts w:hint="eastAsia" w:ascii="宋体" w:hAnsi="宋体" w:eastAsia="宋体" w:cs="宋体"/>
          <w:sz w:val="24"/>
        </w:rPr>
        <w:t xml:space="preserve">云服务费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招标代理费、</w:t>
      </w:r>
      <w:r>
        <w:rPr>
          <w:rFonts w:hint="eastAsia" w:ascii="宋体" w:hAnsi="宋体" w:eastAsia="宋体" w:cs="宋体"/>
          <w:sz w:val="24"/>
          <w:lang w:val="zh-CN"/>
        </w:rPr>
        <w:t xml:space="preserve">运维服务及验收等项目交付使用所产生一切费用</w:t>
      </w:r>
      <w:r>
        <w:rPr>
          <w:rFonts w:hint="eastAsia" w:ascii="宋体" w:hAnsi="宋体" w:eastAsia="宋体" w:cs="宋体"/>
          <w:sz w:val="24"/>
        </w:rPr>
        <w:t xml:space="preserve">，</w:t>
      </w:r>
      <w:r>
        <w:rPr>
          <w:rFonts w:hint="eastAsia" w:ascii="宋体" w:hAnsi="宋体" w:cs="宋体"/>
          <w:sz w:val="24"/>
        </w:rPr>
        <w:t xml:space="preserve">供方不再支</w:t>
      </w:r>
      <w:r>
        <w:rPr>
          <w:rFonts w:hint="eastAsia" w:ascii="宋体" w:hAnsi="宋体" w:eastAsia="宋体" w:cs="宋体"/>
          <w:sz w:val="24"/>
          <w:lang w:val="en-US" w:eastAsia="zh-CN"/>
        </w:rPr>
        <w:t xml:space="preserve">付任何其他费用。</w:t>
      </w:r>
      <w:r/>
    </w:p>
    <w:p>
      <w:pPr>
        <w:ind w:left="0" w:firstLine="480"/>
        <w:keepLines w:val="0"/>
        <w:keepNext w:val="0"/>
        <w:pageBreakBefore w:val="0"/>
        <w:spacing w:line="48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除甲方书面提出新增需求并经双方另行签订补充协议外，乙方不得以任何理由要求增加合同价款。乙方为完成“交钥匙工程”所必需的一切工作，无论是否在本合同中逐项列明，均视为已包含在合同总价中，甲方不再另行支付。</w:t>
      </w:r>
      <w:r/>
    </w:p>
    <w:p>
      <w:pPr>
        <w:ind w:left="420"/>
        <w:spacing w:line="480" w:lineRule="exact"/>
        <w:rPr>
          <w:rFonts w:ascii="宋体" w:hAnsi="宋体" w:cs="宋体"/>
          <w:b/>
          <w:bCs/>
          <w:sz w:val="24"/>
        </w:rPr>
      </w:pPr>
      <w:r>
        <w:rPr>
          <w:rFonts w:hint="eastAsia" w:ascii="宋体" w:hAnsi="宋体" w:cs="宋体"/>
          <w:b/>
          <w:bCs/>
          <w:sz w:val="24"/>
        </w:rPr>
        <w:t xml:space="preserve">第三条 项目交付要求</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交付期限：合同签订之日起</w:t>
      </w:r>
      <w:r>
        <w:rPr>
          <w:rFonts w:hint="eastAsia" w:ascii="宋体" w:hAnsi="宋体" w:eastAsia="宋体" w:cs="宋体"/>
          <w:sz w:val="24"/>
          <w:lang w:val="en-US" w:eastAsia="zh-CN"/>
        </w:rPr>
        <w:t xml:space="preserve">90</w:t>
      </w:r>
      <w:r>
        <w:rPr>
          <w:rFonts w:hint="eastAsia" w:ascii="宋体" w:hAnsi="宋体" w:eastAsia="宋体" w:cs="宋体"/>
          <w:sz w:val="24"/>
        </w:rPr>
        <w:t xml:space="preserve">天内完成建设并上线运行。</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交付成果：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文档类成果：建设深化方案、需求规格书、系统概要设计、系统详细设计、系统测试报告、项目工作总结、项目技术总结、系统部署手册、用户手册、系统维护手册、软件程序包等文档类成果各提供电子文件1份。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系统类成果：在指定服务器上完成系统成果的安装部署，并完成调试，达到竣工验收要求。</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知识产权：本项目形成的软件成果知识产权归</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所有，</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须提供完整的源代码及相关技术文档。</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培训要求：</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须对</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指定的技术人员进行不少于30人天的系统操作和维护培训。</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第四条 </w:t>
      </w:r>
      <w:r>
        <w:rPr>
          <w:rFonts w:hint="eastAsia" w:ascii="宋体" w:hAnsi="宋体" w:cs="宋体"/>
          <w:b/>
          <w:bCs/>
          <w:sz w:val="24"/>
          <w:lang w:val="en-US" w:eastAsia="zh-CN"/>
        </w:rPr>
        <w:t xml:space="preserve">云服务</w:t>
      </w:r>
      <w:r>
        <w:rPr>
          <w:rFonts w:hint="eastAsia" w:ascii="宋体" w:hAnsi="宋体" w:cs="宋体"/>
          <w:b/>
          <w:bCs/>
          <w:sz w:val="24"/>
        </w:rPr>
        <w:t xml:space="preserve">要求</w:t>
      </w:r>
      <w:r/>
    </w:p>
    <w:p>
      <w:pPr>
        <w:ind w:firstLine="480"/>
        <w:jc w:val="left"/>
        <w:spacing w:line="5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1.乙方</w:t>
      </w:r>
      <w:r>
        <w:rPr>
          <w:rFonts w:hint="eastAsia" w:ascii="宋体" w:hAnsi="宋体" w:eastAsia="宋体" w:cs="宋体"/>
          <w:sz w:val="24"/>
        </w:rPr>
        <w:t xml:space="preserve">须承担本项目系统上线运行后的首年云服务费（包括但不限于云服务器ECS、数据库、存储、网络带宽、安全防护等云资源租赁及基础运维费用）。该费</w:t>
      </w:r>
      <w:r>
        <w:rPr>
          <w:rFonts w:hint="eastAsia" w:ascii="宋体" w:hAnsi="宋体" w:eastAsia="宋体" w:cs="宋体"/>
          <w:sz w:val="24"/>
          <w:lang w:val="en-US" w:eastAsia="zh-CN"/>
        </w:rPr>
        <w:t xml:space="preserve">用已包含在项目总报价中，甲方不再另行支付。</w:t>
      </w:r>
      <w:r/>
    </w:p>
    <w:p>
      <w:pPr>
        <w:ind w:firstLine="480"/>
        <w:jc w:val="left"/>
        <w:spacing w:line="5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2.首年服务期自系统</w:t>
      </w:r>
      <w:r>
        <w:rPr>
          <w:rFonts w:hint="default" w:ascii="宋体" w:hAnsi="宋体" w:eastAsia="宋体" w:cs="宋体"/>
          <w:sz w:val="24"/>
          <w:lang w:val="en-US" w:eastAsia="zh-CN"/>
        </w:rPr>
        <w:t xml:space="preserve">最终验收合格之日起计算。服务期满后，相关费用的续缴及标准由双方另行协商确定。</w:t>
      </w:r>
      <w:r/>
    </w:p>
    <w:p>
      <w:pPr>
        <w:ind w:firstLine="482"/>
        <w:spacing w:line="480" w:lineRule="exact"/>
        <w:rPr>
          <w:rFonts w:hint="eastAsia" w:ascii="宋体" w:hAnsi="宋体" w:eastAsia="宋体" w:cs="宋体"/>
          <w:b/>
          <w:bCs/>
          <w:sz w:val="24"/>
          <w:lang w:val="en-US" w:eastAsia="zh-CN"/>
        </w:rPr>
      </w:pPr>
      <w:r>
        <w:rPr>
          <w:rFonts w:hint="eastAsia" w:ascii="宋体" w:hAnsi="宋体" w:cs="宋体"/>
          <w:b/>
          <w:bCs/>
          <w:sz w:val="24"/>
        </w:rPr>
        <w:t xml:space="preserve">第五条 </w:t>
      </w:r>
      <w:r>
        <w:rPr>
          <w:rFonts w:hint="eastAsia" w:ascii="宋体" w:hAnsi="宋体" w:cs="宋体"/>
          <w:b/>
          <w:bCs/>
          <w:sz w:val="24"/>
          <w:lang w:val="en-US" w:eastAsia="zh-CN"/>
        </w:rPr>
        <w:t xml:space="preserve">质保</w:t>
      </w:r>
      <w:r>
        <w:rPr>
          <w:rFonts w:hint="eastAsia" w:ascii="宋体" w:hAnsi="宋体" w:cs="宋体"/>
          <w:b/>
          <w:bCs/>
          <w:sz w:val="24"/>
        </w:rPr>
        <w:t xml:space="preserve">与售后服务</w:t>
      </w:r>
      <w:r>
        <w:rPr>
          <w:rFonts w:hint="eastAsia" w:ascii="宋体" w:hAnsi="宋体" w:cs="宋体"/>
          <w:b/>
          <w:bCs/>
          <w:sz w:val="24"/>
          <w:lang w:val="en-US" w:eastAsia="zh-CN"/>
        </w:rPr>
        <w:t xml:space="preserve">要求</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快速响应服务系统投入试运行后，</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应提供7×24的售后故障处理服务，做到1小时内响应，并在1个工作日内排除故障。如果故障在检修8小时后仍无法排除，</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应在2个工作日内提供采用备份系统进行修复供</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使用。 </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定期跟踪服务</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应定期跟踪和回访使用情况，及时了解存在的问题，并随时给予解决。 </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热线服务</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应提供7×24的技术咨询服务。提供热线电话或E-mail、传真等途径，随时回答与项目有关的技术问题，并在24小时内提出解决方案。 </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运行维护服务提供最终验收后</w:t>
      </w:r>
      <w:r>
        <w:rPr>
          <w:rFonts w:hint="eastAsia" w:ascii="宋体" w:hAnsi="宋体" w:eastAsia="宋体" w:cs="宋体"/>
          <w:sz w:val="24"/>
          <w:lang w:val="en-US" w:eastAsia="zh-CN"/>
        </w:rPr>
        <w:t xml:space="preserve">1</w:t>
      </w:r>
      <w:r>
        <w:rPr>
          <w:rFonts w:hint="eastAsia" w:ascii="宋体" w:hAnsi="宋体" w:eastAsia="宋体" w:cs="宋体"/>
          <w:sz w:val="24"/>
        </w:rPr>
        <w:t xml:space="preserve">年运维服务，包括系统运行保障、功能维护、数据配置等日常系统运维工作。</w:t>
      </w:r>
      <w:r/>
    </w:p>
    <w:p>
      <w:pPr>
        <w:ind w:firstLine="482"/>
        <w:spacing w:line="480" w:lineRule="exact"/>
        <w:rPr>
          <w:rFonts w:ascii="宋体" w:hAnsi="宋体" w:cs="宋体"/>
          <w:b/>
          <w:bCs/>
          <w:sz w:val="24"/>
        </w:rPr>
      </w:pPr>
      <w:r>
        <w:rPr>
          <w:rFonts w:hint="eastAsia" w:ascii="宋体" w:hAnsi="宋体" w:cs="宋体"/>
          <w:b/>
          <w:bCs/>
          <w:sz w:val="24"/>
        </w:rPr>
        <w:t xml:space="preserve">第六条 交付与验收要求</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验收依据：以采购文件、响应文件、合同约定内容及国家相关标准规范为依据。</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验收程序：</w:t>
      </w:r>
      <w:r/>
    </w:p>
    <w:p>
      <w:pPr>
        <w:ind w:firstLine="54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w:t>
      </w:r>
      <w:r>
        <w:rPr>
          <w:rFonts w:hint="eastAsia" w:ascii="宋体" w:hAnsi="宋体" w:eastAsia="宋体" w:cs="宋体"/>
          <w:sz w:val="24"/>
        </w:rPr>
        <w:t xml:space="preserve">）</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完成系统部署后提交初验申请。</w:t>
      </w:r>
      <w:r/>
    </w:p>
    <w:p>
      <w:pPr>
        <w:ind w:firstLine="54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组织初验，初验合格后进入试运行阶段。</w:t>
      </w:r>
      <w:r/>
    </w:p>
    <w:p>
      <w:pPr>
        <w:ind w:firstLine="54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）试运行期不少于30天，试运行无重大缺陷后组织终验。</w:t>
      </w:r>
      <w:r/>
    </w:p>
    <w:p>
      <w:pPr>
        <w:ind w:firstLine="54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）终验合格后签署最终验收报告。</w:t>
      </w:r>
      <w:r/>
    </w:p>
    <w:p>
      <w:pPr>
        <w:ind w:firstLine="54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验收标准：功能完整实现采购需求所要求的所有功能模块；性能指标达到技术要求规定的全部指标；文档资料齐全、规范；培训任务完成。</w:t>
      </w:r>
      <w:r/>
    </w:p>
    <w:p>
      <w:pPr>
        <w:ind w:firstLine="540"/>
        <w:spacing w:line="480" w:lineRule="exact"/>
        <w:rPr>
          <w:rFonts w:ascii="宋体" w:hAnsi="宋体" w:cs="宋体"/>
          <w:sz w:val="24"/>
        </w:rPr>
      </w:pPr>
      <w:r>
        <w:rPr>
          <w:rFonts w:hint="eastAsia" w:ascii="宋体" w:hAnsi="宋体" w:cs="宋体"/>
          <w:b/>
          <w:bCs/>
          <w:sz w:val="24"/>
        </w:rPr>
        <w:t xml:space="preserve">第七条 结算方式和期限</w:t>
      </w:r>
      <w:r/>
    </w:p>
    <w:p>
      <w:pPr>
        <w:ind w:firstLine="540"/>
        <w:spacing w:line="480" w:lineRule="exact"/>
        <w:rPr>
          <w:rFonts w:hint="eastAsia" w:ascii="宋体" w:hAnsi="宋体" w:eastAsia="宋体" w:cs="宋体"/>
          <w:color w:val="auto"/>
          <w:sz w:val="24"/>
          <w:lang w:val="zh-CN"/>
        </w:rPr>
      </w:pPr>
      <w:r>
        <w:rPr>
          <w:rFonts w:hint="eastAsia" w:ascii="宋体" w:hAnsi="宋体" w:eastAsia="宋体" w:cs="宋体"/>
          <w:color w:val="auto"/>
          <w:sz w:val="24"/>
        </w:rPr>
        <w:t xml:space="preserve">1.系统</w:t>
      </w:r>
      <w:r>
        <w:rPr>
          <w:rFonts w:hint="eastAsia" w:ascii="宋体" w:hAnsi="宋体" w:eastAsia="宋体" w:cs="宋体"/>
          <w:color w:val="auto"/>
          <w:sz w:val="24"/>
          <w:lang w:val="zh-CN"/>
        </w:rPr>
        <w:t xml:space="preserve">整体架构搭建</w:t>
      </w:r>
      <w:r>
        <w:rPr>
          <w:rFonts w:hint="eastAsia" w:ascii="宋体" w:hAnsi="宋体" w:eastAsia="宋体" w:cs="宋体"/>
          <w:color w:val="auto"/>
          <w:sz w:val="24"/>
        </w:rPr>
        <w:t xml:space="preserve">完成</w:t>
      </w:r>
      <w:r>
        <w:rPr>
          <w:rFonts w:hint="eastAsia" w:ascii="宋体" w:hAnsi="宋体" w:eastAsia="宋体" w:cs="宋体"/>
          <w:color w:val="auto"/>
          <w:sz w:val="24"/>
          <w:lang w:val="zh-CN"/>
        </w:rPr>
        <w:t xml:space="preserve">、14个功能模块基础版本部署及数据采集与监测系统上线，并通过初步验收后，支付合同总价的</w:t>
      </w:r>
      <w:r>
        <w:rPr>
          <w:rFonts w:hint="eastAsia" w:ascii="宋体" w:hAnsi="宋体" w:eastAsia="宋体" w:cs="宋体"/>
          <w:color w:val="auto"/>
          <w:sz w:val="24"/>
        </w:rPr>
        <w:t xml:space="preserve">50</w:t>
      </w:r>
      <w:r>
        <w:rPr>
          <w:rFonts w:hint="eastAsia" w:ascii="宋体" w:hAnsi="宋体" w:eastAsia="宋体" w:cs="宋体"/>
          <w:color w:val="auto"/>
          <w:sz w:val="24"/>
          <w:lang w:val="zh-CN"/>
        </w:rPr>
        <w:t xml:space="preserve">%；</w:t>
      </w:r>
      <w:r/>
    </w:p>
    <w:p>
      <w:pPr>
        <w:ind w:firstLine="540"/>
        <w:spacing w:line="480" w:lineRule="exact"/>
        <w:rPr>
          <w:rFonts w:hint="eastAsia" w:ascii="宋体" w:hAnsi="宋体" w:eastAsia="宋体" w:cs="宋体"/>
          <w:color w:val="auto"/>
          <w:sz w:val="24"/>
          <w:lang w:val="zh-CN"/>
        </w:rPr>
      </w:pP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系统上线试运行不少于30天，且通过最终验收，并完成全部交付文档与培训任务后，支付合同总价的</w:t>
      </w: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w:t>
      </w:r>
      <w:r/>
    </w:p>
    <w:p>
      <w:pPr>
        <w:ind w:firstLine="540"/>
        <w:spacing w:line="480" w:lineRule="exact"/>
        <w:rPr>
          <w:rFonts w:hint="eastAsia" w:ascii="宋体" w:hAnsi="宋体" w:eastAsia="宋体" w:cs="宋体"/>
          <w:color w:val="auto"/>
          <w:sz w:val="24"/>
          <w:lang w:val="zh-CN"/>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余款自最终验收合格之日起一年后一次性付清</w:t>
      </w:r>
      <w:r>
        <w:rPr>
          <w:rFonts w:hint="eastAsia" w:ascii="宋体" w:hAnsi="宋体" w:eastAsia="宋体" w:cs="宋体"/>
          <w:color w:val="auto"/>
          <w:sz w:val="24"/>
          <w:lang w:val="zh-CN"/>
        </w:rPr>
        <w:t xml:space="preserve">。</w:t>
      </w:r>
      <w:r/>
    </w:p>
    <w:p>
      <w:pPr>
        <w:ind w:firstLine="540"/>
        <w:spacing w:line="480" w:lineRule="exact"/>
        <w:rPr>
          <w:rFonts w:ascii="宋体" w:hAnsi="宋体" w:cs="宋体"/>
          <w:b/>
          <w:bCs/>
          <w:sz w:val="24"/>
        </w:rPr>
      </w:pPr>
      <w:r>
        <w:rPr>
          <w:rFonts w:hint="eastAsia" w:ascii="宋体" w:hAnsi="宋体" w:cs="宋体"/>
          <w:b/>
          <w:bCs/>
          <w:sz w:val="24"/>
        </w:rPr>
        <w:t xml:space="preserve">第</w:t>
      </w:r>
      <w:r>
        <w:rPr>
          <w:rFonts w:hint="eastAsia" w:ascii="宋体" w:hAnsi="宋体" w:cs="宋体"/>
          <w:b/>
          <w:bCs/>
          <w:sz w:val="24"/>
          <w:lang w:val="en-US" w:eastAsia="zh-CN"/>
        </w:rPr>
        <w:t xml:space="preserve">八</w:t>
      </w:r>
      <w:r>
        <w:rPr>
          <w:rFonts w:hint="eastAsia" w:ascii="宋体" w:hAnsi="宋体" w:cs="宋体"/>
          <w:b/>
          <w:bCs/>
          <w:sz w:val="24"/>
        </w:rPr>
        <w:t xml:space="preserve">条 履约保证金</w:t>
      </w:r>
      <w:r/>
    </w:p>
    <w:p>
      <w:pPr>
        <w:ind w:firstLine="540"/>
        <w:spacing w:line="480" w:lineRule="exact"/>
        <w:rPr>
          <w:rFonts w:ascii="宋体" w:hAnsi="宋体" w:cs="宋体"/>
          <w:sz w:val="24"/>
        </w:rPr>
      </w:pPr>
      <w:r>
        <w:rPr>
          <w:rFonts w:hint="eastAsia" w:ascii="宋体" w:hAnsi="宋体" w:cs="宋体"/>
          <w:sz w:val="24"/>
        </w:rPr>
        <w:t xml:space="preserve">1.本项目成交后的履约保证金为项目成交价的10%（</w:t>
      </w:r>
      <w:r>
        <w:rPr>
          <w:rFonts w:hint="eastAsia" w:ascii="宋体" w:hAnsi="宋体" w:cs="宋体"/>
          <w:sz w:val="24"/>
          <w:u w:val="single"/>
        </w:rPr>
        <w:t xml:space="preserve">       </w:t>
      </w:r>
      <w:r>
        <w:rPr>
          <w:rFonts w:hint="eastAsia" w:ascii="宋体" w:hAnsi="宋体" w:cs="宋体"/>
          <w:sz w:val="24"/>
        </w:rPr>
        <w:t xml:space="preserve">元），供方的履约保证金须在成交通知书发出之日起至合同签订前汇入需方账户（应当以数字人民币、支票、汇票或者金融机构、担保机构出具的保函等非现金形式提交），供方凭成交通知书与需方签订合同。超期或未有协商，则视为自动放弃成交资格。</w:t>
      </w:r>
      <w:r/>
    </w:p>
    <w:p>
      <w:pPr>
        <w:ind w:firstLine="540"/>
        <w:spacing w:line="480" w:lineRule="exact"/>
        <w:rPr>
          <w:rFonts w:ascii="宋体" w:hAnsi="宋体" w:cs="宋体"/>
          <w:sz w:val="24"/>
        </w:rPr>
      </w:pPr>
      <w:r>
        <w:rPr>
          <w:rFonts w:hint="eastAsia" w:ascii="宋体" w:hAnsi="宋体" w:cs="宋体"/>
          <w:sz w:val="24"/>
        </w:rPr>
        <w:t xml:space="preserve">2.供方全部履约合同义务，经需方验收合格无质量、进度等问题的，需方在验收合格后一次性退还履约保证金，需方若逾期退还履约保证金的，按照逾期部分的每日0.05%支付违约金。</w:t>
      </w:r>
      <w:r/>
    </w:p>
    <w:p>
      <w:pPr>
        <w:ind w:firstLine="540"/>
        <w:spacing w:line="48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480" w:lineRule="exact"/>
        <w:rPr>
          <w:rFonts w:ascii="宋体" w:hAnsi="宋体" w:cs="宋体"/>
          <w:sz w:val="24"/>
        </w:rPr>
      </w:pPr>
      <w:r>
        <w:rPr>
          <w:rFonts w:hint="eastAsia" w:ascii="宋体" w:hAnsi="宋体" w:cs="宋体"/>
          <w:sz w:val="24"/>
        </w:rPr>
        <w:t xml:space="preserve">a.签订合同后，供方不履行合同义务的，需方有权全额扣除履约保证金，全额不予退还，同时需方亦有权终止合同，供方还须承担相应的法律赔偿责任。</w:t>
      </w:r>
      <w:r/>
    </w:p>
    <w:p>
      <w:pPr>
        <w:ind w:firstLine="480"/>
        <w:spacing w:line="480" w:lineRule="exact"/>
        <w:rPr>
          <w:rFonts w:ascii="宋体" w:hAnsi="宋体" w:cs="宋体"/>
          <w:sz w:val="24"/>
        </w:rPr>
      </w:pPr>
      <w:r>
        <w:rPr>
          <w:rFonts w:hint="eastAsia" w:ascii="宋体" w:hAnsi="宋体" w:cs="宋体"/>
          <w:sz w:val="24"/>
        </w:rPr>
        <w:t xml:space="preserve">b.供方在履约过程中发生违约行为，给需方造成损失的，需方有权在供方缴纳的履约保证金中予以扣款，以弥补需方经济损失，不足的部分供方另外补齐。</w:t>
      </w:r>
      <w:r/>
    </w:p>
    <w:p>
      <w:pPr>
        <w:ind w:firstLine="482"/>
        <w:jc w:val="left"/>
        <w:spacing w:line="480" w:lineRule="exact"/>
        <w:rPr>
          <w:rFonts w:hint="default" w:ascii="宋体" w:hAnsi="宋体" w:eastAsia="宋体" w:cs="宋体"/>
          <w:sz w:val="24"/>
          <w:lang w:val="en-US" w:eastAsia="zh-CN"/>
        </w:rPr>
      </w:pPr>
      <w:r>
        <w:rPr>
          <w:rFonts w:hint="eastAsia" w:ascii="宋体" w:hAnsi="宋体" w:cs="宋体"/>
          <w:b/>
          <w:bCs/>
          <w:sz w:val="24"/>
        </w:rPr>
        <w:t xml:space="preserve">第</w:t>
      </w:r>
      <w:r>
        <w:rPr>
          <w:rFonts w:hint="eastAsia" w:ascii="宋体" w:hAnsi="宋体" w:cs="宋体"/>
          <w:b/>
          <w:bCs/>
          <w:sz w:val="24"/>
          <w:lang w:val="en-US" w:eastAsia="zh-CN"/>
        </w:rPr>
        <w:t xml:space="preserve">九</w:t>
      </w:r>
      <w:r>
        <w:rPr>
          <w:rFonts w:hint="eastAsia" w:ascii="宋体" w:hAnsi="宋体" w:cs="宋体"/>
          <w:b/>
          <w:bCs/>
          <w:sz w:val="24"/>
        </w:rPr>
        <w:t xml:space="preserve">条 </w:t>
      </w:r>
      <w:r>
        <w:rPr>
          <w:rFonts w:hint="eastAsia" w:ascii="宋体" w:hAnsi="宋体" w:cs="宋体"/>
          <w:b/>
          <w:bCs/>
          <w:sz w:val="24"/>
          <w:lang w:val="en-US" w:eastAsia="zh-CN"/>
        </w:rPr>
        <w:t xml:space="preserve">违约责任</w:t>
      </w:r>
      <w:r/>
    </w:p>
    <w:p>
      <w:pPr>
        <w:ind w:firstLine="54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rPr>
          <w:rFonts w:hint="default" w:ascii="宋体" w:hAnsi="宋体" w:eastAsia="宋体" w:cs="宋体"/>
          <w:sz w:val="24"/>
          <w:lang w:val="en-US" w:eastAsia="zh-CN"/>
        </w:rPr>
        <w:t xml:space="preserve">因乙方自身原因导致项目未能在合同约定的交付期限内完成并上线运行的</w:t>
      </w:r>
      <w:r>
        <w:rPr>
          <w:rFonts w:hint="eastAsia" w:ascii="宋体" w:hAnsi="宋体" w:eastAsia="宋体" w:cs="宋体"/>
          <w:sz w:val="24"/>
          <w:lang w:val="en-US" w:eastAsia="zh-CN"/>
        </w:rPr>
        <w:t xml:space="preserve">，</w:t>
      </w:r>
      <w:r>
        <w:rPr>
          <w:rFonts w:hint="default" w:ascii="宋体" w:hAnsi="宋体" w:eastAsia="宋体" w:cs="宋体"/>
          <w:sz w:val="24"/>
          <w:lang w:val="en-US" w:eastAsia="zh-CN"/>
        </w:rPr>
        <w:t xml:space="preserve">每逾期一日，乙方应向甲方支付合同总价万分之五的违约金；逾期超过30日的，甲方有权单方解除合同，履约保证金不予退还，乙方还应赔偿因此给甲方造成的全部损失。</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2.</w:t>
      </w:r>
      <w:r>
        <w:rPr>
          <w:rFonts w:hint="default" w:ascii="宋体" w:hAnsi="宋体" w:eastAsia="宋体" w:cs="宋体"/>
          <w:sz w:val="24"/>
          <w:lang w:val="en-US" w:eastAsia="zh-CN"/>
        </w:rPr>
        <w:t xml:space="preserve">系统功能、性能不符合合同约定的，甲方有权要求乙方在指定期限内整改。经整改后仍不符合要求的，甲方有权解除合同，乙方退还甲方已支付的全部款项，履约保证金不予退还，乙方还应赔偿因此给甲方造成的全部损失。</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3.</w:t>
      </w:r>
      <w:r>
        <w:rPr>
          <w:rFonts w:hint="default" w:ascii="宋体" w:hAnsi="宋体" w:eastAsia="宋体" w:cs="宋体"/>
          <w:sz w:val="24"/>
          <w:lang w:val="en-US" w:eastAsia="zh-CN"/>
        </w:rPr>
        <w:t xml:space="preserve">乙方保证其提供的软件产品及服务不侵犯任何第三方的知识产权。如因此产生任何第三方索赔，由乙方承担全部责任并赔偿甲方因此遭受的全部损失。</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4.</w:t>
      </w:r>
      <w:r>
        <w:rPr>
          <w:rFonts w:hint="default" w:ascii="宋体" w:hAnsi="宋体" w:eastAsia="宋体" w:cs="宋体"/>
          <w:sz w:val="24"/>
          <w:lang w:val="en-US" w:eastAsia="zh-CN"/>
        </w:rPr>
        <w:t xml:space="preserve">因乙方原因（包括但不限于系统漏洞、操作失误、安全措施不当等）导致甲方数据泄露或丢失的，乙方应承担全部法律及赔偿责任。</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5.</w:t>
      </w:r>
      <w:r>
        <w:rPr>
          <w:rFonts w:hint="default" w:ascii="宋体" w:hAnsi="宋体" w:eastAsia="宋体" w:cs="宋体"/>
          <w:sz w:val="24"/>
          <w:lang w:val="en-US" w:eastAsia="zh-CN"/>
        </w:rPr>
        <w:t xml:space="preserve">除因乙方故意或重大过失导致的情形外，乙方在本合同项下承担的累计赔偿总额不超过本合同总价款。</w:t>
      </w:r>
      <w:r/>
    </w:p>
    <w:p>
      <w:pPr>
        <w:ind w:firstLine="482"/>
        <w:jc w:val="left"/>
        <w:spacing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第十条 </w:t>
      </w:r>
      <w:r>
        <w:rPr>
          <w:rFonts w:hint="default" w:ascii="宋体" w:hAnsi="宋体" w:eastAsia="宋体" w:cs="宋体"/>
          <w:b/>
          <w:bCs/>
          <w:sz w:val="24"/>
          <w:lang w:val="en-US" w:eastAsia="zh-CN"/>
        </w:rPr>
        <w:t xml:space="preserve">其他约定事项</w:t>
      </w:r>
      <w:r/>
    </w:p>
    <w:p>
      <w:pPr>
        <w:ind w:firstLine="54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1.甲、乙双方如在本合同履行过程中对质量问题发生争议，以质量技术监督部门或有权鉴定部门的质量鉴定结果为准，由此产生的一切费用由责任方承担。</w:t>
      </w:r>
      <w:r/>
    </w:p>
    <w:p>
      <w:pPr>
        <w:ind w:firstLine="54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rPr>
          <w:rFonts w:hint="default" w:ascii="宋体" w:hAnsi="宋体" w:eastAsia="宋体" w:cs="宋体"/>
          <w:sz w:val="24"/>
          <w:lang w:val="en-US" w:eastAsia="zh-CN"/>
        </w:rPr>
        <w:t xml:space="preserve">如乙方不履行本合同所规定的保修或售后服务，甲方有权另行聘请其他单位进行维修及后续服务，所支出的合理费用在乙方的履约保证金中扣付或甲方直接向乙方索赔。不足部分甲方有权继续向乙方追偿。</w:t>
      </w:r>
      <w:r/>
    </w:p>
    <w:p>
      <w:pPr>
        <w:ind w:firstLine="54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default" w:ascii="宋体" w:hAnsi="宋体" w:eastAsia="宋体" w:cs="宋体"/>
          <w:sz w:val="24"/>
          <w:lang w:val="en-US" w:eastAsia="zh-CN"/>
        </w:rPr>
        <w:t xml:space="preserve">乙方对甲方提供的货物或服务有欺诈行为的，依照《中华人民共和国消费者权益保护法》的规定承担损害赔偿责任。</w:t>
      </w:r>
      <w:r/>
    </w:p>
    <w:p>
      <w:pPr>
        <w:ind w:firstLine="54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rPr>
          <w:rFonts w:hint="default" w:ascii="宋体" w:hAnsi="宋体" w:eastAsia="宋体" w:cs="宋体"/>
          <w:sz w:val="24"/>
          <w:lang w:val="en-US" w:eastAsia="zh-CN"/>
        </w:rPr>
        <w:t xml:space="preserve">保密义务：乙方应对在合同履行过程中知悉的甲方商业秘密、技术秘密及其他未公开信息予以严格保密，未经甲方书面同意，不得向任何第三方披露或用于本合同以外的其他用途。本保密义务不因合同终止或解除而失效。</w:t>
      </w:r>
      <w:r/>
    </w:p>
    <w:p>
      <w:pPr>
        <w:ind w:firstLine="54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rPr>
          <w:rFonts w:hint="default" w:ascii="宋体" w:hAnsi="宋体" w:eastAsia="宋体" w:cs="宋体"/>
          <w:sz w:val="24"/>
          <w:lang w:val="en-US" w:eastAsia="zh-CN"/>
        </w:rPr>
        <w:t xml:space="preserve">禁止转包/分包：未经甲方书面同意，乙方不得将本合同项下的义务转包或分包给任何第三方。经甲方同意的分包，乙方就分包项目向甲方承担全部责任。</w:t>
      </w:r>
      <w:r/>
    </w:p>
    <w:p>
      <w:pPr>
        <w:ind w:firstLine="482"/>
        <w:jc w:val="left"/>
        <w:spacing w:line="480" w:lineRule="exact"/>
        <w:rPr>
          <w:rFonts w:ascii="宋体" w:hAnsi="宋体" w:cs="宋体"/>
          <w:b/>
          <w:bCs/>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一</w:t>
      </w:r>
      <w:r>
        <w:rPr>
          <w:rFonts w:hint="eastAsia" w:ascii="宋体" w:hAnsi="宋体" w:cs="宋体"/>
          <w:b/>
          <w:bCs/>
          <w:sz w:val="24"/>
        </w:rPr>
        <w:t xml:space="preserve">条 解决合同争议的方式</w:t>
      </w:r>
      <w:r/>
    </w:p>
    <w:p>
      <w:pPr>
        <w:ind w:firstLine="480"/>
        <w:jc w:val="left"/>
        <w:spacing w:line="480" w:lineRule="exact"/>
        <w:rPr>
          <w:rFonts w:ascii="宋体" w:hAnsi="宋体" w:cs="宋体"/>
          <w:sz w:val="24"/>
        </w:rPr>
      </w:pPr>
      <w:r>
        <w:rPr>
          <w:rFonts w:hint="eastAsia" w:ascii="宋体" w:hAnsi="宋体" w:cs="宋体"/>
          <w:sz w:val="24"/>
        </w:rPr>
        <w:t xml:space="preserve">本合同履行过程中如发生争议，供、需双方应协商解决，如协商不成，则任何一方均可向</w:t>
      </w:r>
      <w:r>
        <w:rPr>
          <w:rFonts w:hint="eastAsia" w:ascii="宋体" w:hAnsi="宋体" w:cs="宋体"/>
          <w:sz w:val="24"/>
          <w:u w:val="single"/>
        </w:rPr>
        <w:t xml:space="preserve">  启东市  </w:t>
      </w:r>
      <w:r>
        <w:rPr>
          <w:rFonts w:hint="eastAsia" w:ascii="宋体" w:hAnsi="宋体" w:cs="宋体"/>
          <w:sz w:val="24"/>
        </w:rPr>
        <w:t xml:space="preserve">人民法院提起诉讼。</w:t>
      </w:r>
      <w:r/>
    </w:p>
    <w:p>
      <w:pPr>
        <w:ind w:firstLine="482"/>
        <w:jc w:val="left"/>
        <w:spacing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第十二条 </w:t>
      </w:r>
      <w:r>
        <w:rPr>
          <w:rFonts w:hint="default" w:ascii="宋体" w:hAnsi="宋体" w:eastAsia="宋体" w:cs="宋体"/>
          <w:b/>
          <w:bCs/>
          <w:sz w:val="24"/>
          <w:lang w:val="en-US" w:eastAsia="zh-CN"/>
        </w:rPr>
        <w:t xml:space="preserve">合同生效及其他</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1.</w:t>
      </w:r>
      <w:r>
        <w:rPr>
          <w:rFonts w:hint="default" w:ascii="宋体" w:hAnsi="宋体" w:eastAsia="宋体" w:cs="宋体"/>
          <w:sz w:val="24"/>
          <w:lang w:val="en-US" w:eastAsia="zh-CN"/>
        </w:rPr>
        <w:t xml:space="preserve">本合同由甲、乙双方签字并加盖公章（同时加盖骑缝章）后生效。</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2.</w:t>
      </w:r>
      <w:r>
        <w:rPr>
          <w:rFonts w:hint="default" w:ascii="宋体" w:hAnsi="宋体" w:eastAsia="宋体" w:cs="宋体"/>
          <w:sz w:val="24"/>
          <w:lang w:val="en-US" w:eastAsia="zh-CN"/>
        </w:rPr>
        <w:t xml:space="preserve">合同一式陆份，甲方执叁份，乙方执叁份，每份具有同等法律效力。</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3.</w:t>
      </w:r>
      <w:r>
        <w:rPr>
          <w:rFonts w:hint="default" w:ascii="宋体" w:hAnsi="宋体" w:eastAsia="宋体" w:cs="宋体"/>
          <w:sz w:val="24"/>
          <w:lang w:val="en-US" w:eastAsia="zh-CN"/>
        </w:rPr>
        <w:t xml:space="preserve">磋商文件、乙方的响应文件及磋商过程中有关澄清、承诺文件均为本合同不可分割的组成部分，与本合同具有同等法律效力。如各部分内容存在不一致的，以有利于甲方的解释为准。</w:t>
      </w:r>
      <w:r/>
    </w:p>
    <w:p>
      <w:pPr>
        <w:ind w:firstLine="54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4.</w:t>
      </w:r>
      <w:r>
        <w:rPr>
          <w:rFonts w:hint="default" w:ascii="宋体" w:hAnsi="宋体" w:eastAsia="宋体" w:cs="宋体"/>
          <w:sz w:val="24"/>
          <w:lang w:val="en-US" w:eastAsia="zh-CN"/>
        </w:rPr>
        <w:t xml:space="preserve">本合同未尽事宜，双方可另行签订补充协议，补充协议与本合同具有同等法律效力。补充协议内容与本合同不一致的，以补充协议为准。</w:t>
      </w:r>
      <w:r/>
    </w:p>
    <w:p>
      <w:pPr>
        <w:spacing w:line="500" w:lineRule="exact"/>
        <w:rPr>
          <w:rFonts w:ascii="宋体" w:hAnsi="宋体" w:cs="宋体"/>
          <w:sz w:val="24"/>
        </w:rPr>
      </w:pPr>
      <w:r>
        <w:rPr>
          <w:rFonts w:ascii="宋体" w:hAnsi="宋体" w:cs="宋体"/>
          <w:sz w:val="24"/>
        </w:rPr>
      </w:r>
      <w:r/>
    </w:p>
    <w:p>
      <w:pPr>
        <w:ind w:firstLine="720"/>
        <w:spacing w:line="500" w:lineRule="exact"/>
        <w:rPr>
          <w:rFonts w:ascii="宋体" w:hAnsi="宋体" w:cs="宋体"/>
          <w:sz w:val="24"/>
        </w:rPr>
      </w:pPr>
      <w:r>
        <w:rPr>
          <w:rFonts w:hint="eastAsia" w:ascii="宋体" w:hAnsi="宋体" w:cs="宋体"/>
          <w:sz w:val="24"/>
        </w:rPr>
        <w:t xml:space="preserve">供方（盖章）：                          需方（盖章）：            </w:t>
      </w:r>
      <w:r/>
    </w:p>
    <w:p>
      <w:pPr>
        <w:spacing w:line="500" w:lineRule="exact"/>
        <w:rPr>
          <w:rFonts w:ascii="宋体" w:hAnsi="宋体" w:cs="宋体"/>
          <w:sz w:val="24"/>
        </w:rPr>
      </w:pPr>
      <w:r>
        <w:rPr>
          <w:rFonts w:hint="eastAsia" w:ascii="宋体" w:hAnsi="宋体" w:cs="宋体"/>
          <w:sz w:val="24"/>
        </w:rPr>
        <w:t xml:space="preserve">      法定代表人或                            法定代表人或             </w:t>
      </w:r>
      <w:r/>
    </w:p>
    <w:p>
      <w:pPr>
        <w:ind w:firstLine="720"/>
        <w:spacing w:line="500" w:lineRule="exact"/>
        <w:rPr>
          <w:rFonts w:ascii="宋体" w:hAnsi="宋体" w:cs="宋体"/>
          <w:sz w:val="24"/>
        </w:rPr>
      </w:pPr>
      <w:r>
        <w:rPr>
          <w:rFonts w:hint="eastAsia" w:ascii="宋体" w:hAnsi="宋体" w:cs="宋体"/>
          <w:sz w:val="24"/>
        </w:rPr>
        <w:t xml:space="preserve">委托代理人（签字或盖章）：              委托代理人（签字或盖章）：            </w:t>
      </w:r>
      <w:r/>
    </w:p>
    <w:p>
      <w:pPr>
        <w:ind w:firstLine="720"/>
        <w:spacing w:line="500" w:lineRule="exact"/>
        <w:rPr>
          <w:rFonts w:ascii="宋体" w:hAnsi="宋体" w:cs="宋体"/>
          <w:sz w:val="24"/>
        </w:rPr>
      </w:pPr>
      <w:r>
        <w:rPr>
          <w:rFonts w:hint="eastAsia" w:ascii="宋体" w:hAnsi="宋体" w:cs="宋体"/>
          <w:sz w:val="24"/>
        </w:rPr>
        <w:t xml:space="preserve">联系电话：                              联系电话：              </w:t>
      </w:r>
      <w:r/>
    </w:p>
    <w:p>
      <w:pPr>
        <w:ind w:firstLine="720"/>
        <w:spacing w:line="500" w:lineRule="exact"/>
        <w:rPr>
          <w:rFonts w:ascii="宋体" w:hAnsi="宋体" w:cs="宋体"/>
          <w:sz w:val="24"/>
        </w:rPr>
      </w:pPr>
      <w:r>
        <w:rPr>
          <w:rFonts w:hint="eastAsia" w:ascii="宋体" w:hAnsi="宋体" w:cs="宋体"/>
          <w:sz w:val="24"/>
        </w:rPr>
        <w:t xml:space="preserve">开户银行：                              开户银行：</w:t>
      </w:r>
      <w:r/>
    </w:p>
    <w:p>
      <w:pPr>
        <w:ind w:firstLine="720"/>
        <w:spacing w:line="500" w:lineRule="exact"/>
        <w:rPr>
          <w:rFonts w:ascii="宋体" w:hAnsi="宋体" w:cs="宋体"/>
          <w:sz w:val="24"/>
        </w:rPr>
      </w:pPr>
      <w:r>
        <w:rPr>
          <w:rFonts w:hint="eastAsia" w:ascii="宋体" w:hAnsi="宋体" w:cs="宋体"/>
          <w:sz w:val="24"/>
        </w:rPr>
        <w:t xml:space="preserve">银行账号：                              银行账号：</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99" w:name="_GoBack"/>
      <w:r/>
      <w:bookmarkEnd w:id="99"/>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784"/>
        <w:tblpPr w:horzAnchor="page" w:tblpX="1462" w:vertAnchor="text" w:tblpY="426" w:leftFromText="180" w:topFromText="0" w:rightFromText="180" w:bottomFromText="0"/>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038"/>
        <w:gridCol w:w="646"/>
        <w:gridCol w:w="6813"/>
      </w:tblGrid>
      <w:tr>
        <w:trPr>
          <w:trHeight w:val="502"/>
          <w:tblHeader/>
        </w:trPr>
        <w:tc>
          <w:tcPr>
            <w:tcW w:w="398" w:type="pct"/>
            <w:vAlign w:val="center"/>
            <w:textDirection w:val="lrTb"/>
            <w:noWrap w:val="false"/>
          </w:tcPr>
          <w:p>
            <w:pPr>
              <w:jc w:val="center"/>
              <w:spacing w:line="320" w:lineRule="exact"/>
              <w:tabs>
                <w:tab w:val="left" w:pos="358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562" w:type="pct"/>
            <w:vAlign w:val="center"/>
            <w:textDirection w:val="lrTb"/>
            <w:noWrap w:val="false"/>
          </w:tcPr>
          <w:p>
            <w:pPr>
              <w:jc w:val="center"/>
              <w:spacing w:line="320" w:lineRule="exact"/>
              <w:tabs>
                <w:tab w:val="left" w:pos="358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内容</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满分</w:t>
            </w:r>
            <w:r/>
          </w:p>
        </w:tc>
        <w:tc>
          <w:tcPr>
            <w:tcW w:w="3689" w:type="pct"/>
            <w:vAlign w:val="center"/>
            <w:textDirection w:val="lrTb"/>
            <w:noWrap w:val="false"/>
          </w:tcPr>
          <w:p>
            <w:pPr>
              <w:ind w:firstLine="405"/>
              <w:jc w:val="center"/>
              <w:spacing w:line="320" w:lineRule="exact"/>
              <w:tabs>
                <w:tab w:val="left" w:pos="358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评分说明</w:t>
            </w:r>
            <w:r/>
          </w:p>
        </w:tc>
      </w:tr>
      <w:tr>
        <w:trPr>
          <w:trHeight w:val="20"/>
          <w:tblHeader/>
        </w:trPr>
        <w:tc>
          <w:tcPr>
            <w:tcW w:w="398"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562"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现状分析</w:t>
            </w:r>
            <w:r>
              <w:rPr>
                <w:rFonts w:hint="eastAsia" w:ascii="宋体" w:hAnsi="宋体" w:eastAsia="宋体" w:cs="宋体"/>
                <w:color w:val="auto"/>
                <w:sz w:val="21"/>
                <w:szCs w:val="21"/>
                <w:lang w:val="en-US" w:eastAsia="zh-CN"/>
              </w:rPr>
              <w:t xml:space="preserve">方案评审</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投标人根据国家相关政策与本项目采购需求，提供针对性现状和需求分析方案，内容包括但不限于:①园区基本情况、能源消费及碳排放数据模型与指标体系的建设方案、②拟接入平台企业信息管理模型与数据采集方案、③园区网络运行监测与数据传输架构设计、④园区机房设备部署适配方案、⑤在线监测系统企业数据接入与接口设计方案。</w:t>
            </w:r>
            <w:r/>
          </w:p>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方案内容完整、清晰详实、科学合理、完全符合项目特点及规范要求、针对性强的，得10分；方案内容完整，但存在内容前后不一致、计算逻辑错误、功能参数错误、技术方案模糊笼统或内容与本项目无关等情形之一的，得7分；方案内容有缺漏项的，得3分；未提供方案的，或者提供的方案与本项目完全无关的，得0分。</w:t>
            </w:r>
            <w:r/>
          </w:p>
        </w:tc>
      </w:tr>
      <w:tr>
        <w:trPr>
          <w:trHeight w:val="20"/>
          <w:tblHeader/>
        </w:trPr>
        <w:tc>
          <w:tcPr>
            <w:tcW w:w="398"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562"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整体设计方案</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投标人根据国家相关政策与本项目采购需求，提出针对性软件设计方案，功能应内容包括但不限于:①能耗监测模块、②碳排放管理模块、③碳资产管理模块、④碳分析与优化模块、⑤碳足迹与供应链模块、⑥碳信用与绿色金融、⑦多元绿能供给模块、⑧能效提升与优化模块、⑨绿色产业管理模块</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⑩基础支撑模块。</w:t>
            </w:r>
            <w:r/>
          </w:p>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方案内容完整，各功能模块设计清晰详实、科学合理，技术架构先进，完全符合项目特点及规范要求，与园区实际需求契合度高的，得12分；方案内容完整，但各功能模块设计深度不足、技术方案描述较为笼统，或部分内容与项目实际需求契合度一般的，得9分；方案内容有缺漏项的，得5分；未提供方案的，或者提供的方案与本项目完全无关的，得0分。</w:t>
            </w:r>
            <w:r/>
          </w:p>
        </w:tc>
      </w:tr>
      <w:tr>
        <w:trPr>
          <w:trHeight w:val="20"/>
          <w:tblHeader/>
        </w:trPr>
        <w:tc>
          <w:tcPr>
            <w:shd w:val="clear" w:color="auto" w:fill="auto"/>
            <w:tcW w:w="398"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w:t>
            </w:r>
            <w:r/>
          </w:p>
        </w:tc>
        <w:tc>
          <w:tcPr>
            <w:shd w:val="clear" w:color="auto" w:fill="auto"/>
            <w:tcW w:w="562"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项目实施方案</w:t>
            </w:r>
            <w:r/>
          </w:p>
        </w:tc>
        <w:tc>
          <w:tcPr>
            <w:shd w:val="clear" w:color="auto" w:fill="auto"/>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9</w:t>
            </w:r>
            <w:r/>
          </w:p>
        </w:tc>
        <w:tc>
          <w:tcPr>
            <w:shd w:val="clear" w:color="auto" w:fill="auto"/>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投标人根据采购需求，提供针对性的项目实施方案，内容包括但不限于:①项目进度安排、②质量保证措施、③集成方案等。</w:t>
            </w:r>
            <w:r/>
          </w:p>
          <w:p>
            <w:pPr>
              <w:jc w:val="left"/>
              <w:spacing w:line="320" w:lineRule="exact"/>
              <w:tabs>
                <w:tab w:val="left" w:pos="3585" w:leader="none"/>
              </w:tabs>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项目实施方案内容完整，进度安排科学合理、关键节点清晰、工期保障措施得力，质量保证体系完善、标准明确、管控手段有效，集成方案技术路线可行、接口设计合理、与园区现有系统及省市平台对接方案详实，完全符合项目特点和采购需求的，得9分；项目实施方案内容完整，但进度安排、质量保证措施或集成方案中存在部分内容描述不够具体、深度不足或针对性一般的，得6分；项目实施方案有缺漏项的，得3分；未提供实施方案的，或者提供的方案与本项目完全无关的，本项不得分。</w:t>
            </w:r>
            <w:r/>
          </w:p>
        </w:tc>
      </w:tr>
      <w:tr>
        <w:trPr>
          <w:trHeight w:val="20"/>
          <w:tblHeader/>
        </w:trPr>
        <w:tc>
          <w:tcPr>
            <w:tcW w:w="398"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562"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培训方案</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投标人根据采购需求，提供针对性的项目培训方案，内容包括但不限于:培训内容、培训课程、培训方式等。</w:t>
            </w:r>
            <w:r/>
          </w:p>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培训方案内容完整，培训内容全面覆盖平台各功能模块的操作与管理，培训课程设置合理、层次分明，培训方式多样灵活的，得5分；培训方案内容完整，但培训内容、课程设置或培训方式存在部分内容描述不够具体或针对性一般的，得3分；培训方案有缺漏项的，得1分；未提供培训方案的，或者提供的方案与本项目完全无关的，本项不得分。</w:t>
            </w:r>
            <w:r/>
          </w:p>
        </w:tc>
      </w:tr>
      <w:tr>
        <w:trPr>
          <w:trHeight w:val="20"/>
          <w:tblHeader/>
        </w:trPr>
        <w:tc>
          <w:tcPr>
            <w:tcW w:w="398"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562"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系统演示</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展示全域能碳态势、零碳指标管控、能碳运营总览、多元绿能供给、企业零碳服务、环抱式港池、渔港经济区的能耗、碳排放及清洁能源占比。</w:t>
            </w:r>
            <w:r/>
          </w:p>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能耗和碳排放监测管理，演示通过电子地图与能耗、碳排放数据联动，实现园区级和企业级页面动态展示并支持查看单个企业基本信息，以及演示排放因子管理功能，支持设置多来源碳排放因子及搜索、编辑、删除、新增操作。</w:t>
            </w:r>
            <w:r/>
          </w:p>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3.碳分析与优化，演示碳分析与优化模块是平台的智能决策层，基于能源监测和碳排放数据，运用AI算法和可视化技术实现碳流追踪、能效对标、减排潜力识别和排放趋势预测。</w:t>
            </w:r>
            <w:r/>
          </w:p>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 xml:space="preserve">4.能效提升与优化，演示通过响应思维导图“能源消费分析与用能策略推荐”和“能效平衡与优化”两项核心功能要求，通过AI驱动的用能分析、能效对标、负荷预测和优化调度，帮助园区企业降低能源成本、提升能源利用效率。模块覆盖能耗查询、能源消费量和强度计算、能源消费分析、能效对标、能流分析、能效平衡与优化、用能与碳排放预算管理等功能域。</w:t>
            </w:r>
            <w:r/>
          </w:p>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以上4项演示内容全部满足的，得12分；有一项不满足或不完整的，得8分；有两项及以上不满足或不完整的，得6分；未提供演示或演示内容与本项目完全无关的，得0分</w:t>
            </w:r>
            <w:r/>
          </w:p>
        </w:tc>
      </w:tr>
      <w:tr>
        <w:trPr>
          <w:trHeight w:val="1315"/>
          <w:tblHeader/>
        </w:trPr>
        <w:tc>
          <w:tcPr>
            <w:tcW w:w="398"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562"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2022年1月1日至投标截止日止</w:t>
            </w:r>
            <w:r>
              <w:rPr>
                <w:rFonts w:hint="eastAsia" w:ascii="宋体" w:hAnsi="宋体" w:eastAsia="宋体" w:cs="宋体"/>
                <w:color w:val="auto"/>
                <w:sz w:val="21"/>
                <w:szCs w:val="21"/>
              </w:rPr>
              <w:t xml:space="preserve">（时间以合同签订日期为准）</w:t>
            </w:r>
            <w:r>
              <w:rPr>
                <w:rFonts w:hint="eastAsia" w:ascii="宋体" w:hAnsi="宋体" w:eastAsia="宋体" w:cs="宋体"/>
                <w:color w:val="auto"/>
                <w:sz w:val="21"/>
                <w:szCs w:val="21"/>
                <w:lang w:bidi="ar"/>
              </w:rPr>
              <w:t xml:space="preserve">，投标人具有能源监测、能耗监测、碳排放监测等领域软件开发类似业绩，每提供以上任意一个合同得3分，此项最多计9分。</w:t>
            </w:r>
            <w:r/>
          </w:p>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b/>
                <w:bCs/>
                <w:color w:val="auto"/>
                <w:sz w:val="21"/>
                <w:szCs w:val="21"/>
              </w:rPr>
              <w:t xml:space="preserve">提供项目合同扫描件并加盖投标人公章。</w:t>
            </w:r>
            <w:r/>
          </w:p>
        </w:tc>
      </w:tr>
      <w:tr>
        <w:trPr>
          <w:trHeight w:val="20"/>
          <w:tblHeader/>
        </w:trPr>
        <w:tc>
          <w:tcPr>
            <w:tcW w:w="398" w:type="pct"/>
            <w:vAlign w:val="center"/>
            <w:vMerge w:val="restart"/>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562" w:type="pct"/>
            <w:vAlign w:val="center"/>
            <w:vMerge w:val="restart"/>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项目配备技术人员</w:t>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 xml:space="preserve">拟派项目负责人具有电力或能源专业高级</w:t>
            </w:r>
            <w:r>
              <w:rPr>
                <w:rFonts w:hint="eastAsia" w:ascii="宋体" w:hAnsi="宋体" w:eastAsia="宋体" w:cs="宋体"/>
                <w:color w:val="auto"/>
                <w:sz w:val="21"/>
                <w:szCs w:val="21"/>
                <w:lang w:val="en-US" w:eastAsia="zh-CN" w:bidi="ar"/>
              </w:rPr>
              <w:t xml:space="preserve">及以上</w:t>
            </w:r>
            <w:r>
              <w:rPr>
                <w:rFonts w:hint="eastAsia" w:ascii="宋体" w:hAnsi="宋体" w:eastAsia="宋体" w:cs="宋体"/>
                <w:color w:val="auto"/>
                <w:sz w:val="21"/>
                <w:szCs w:val="21"/>
                <w:lang w:eastAsia="zh-CN" w:bidi="ar"/>
              </w:rPr>
              <w:t xml:space="preserve">职称的得5分，具有同专业中级职称的得3分，具有同专业初级（助理）职称的得1分。</w:t>
            </w:r>
            <w:r/>
          </w:p>
        </w:tc>
      </w:tr>
      <w:tr>
        <w:trPr>
          <w:trHeight w:val="20"/>
          <w:tblHeader/>
        </w:trPr>
        <w:tc>
          <w:tcPr>
            <w:tcW w:w="398" w:type="pct"/>
            <w:vAlign w:val="center"/>
            <w:vMerge w:val="continue"/>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62" w:type="pct"/>
            <w:vAlign w:val="center"/>
            <w:vMerge w:val="continue"/>
            <w:textDirection w:val="lrTb"/>
            <w:noWrap w:val="false"/>
          </w:tcPr>
          <w:p>
            <w:pPr>
              <w:jc w:val="left"/>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0" w:type="pct"/>
            <w:vAlign w:val="center"/>
            <w:textDirection w:val="lrTb"/>
            <w:noWrap w:val="false"/>
          </w:tcPr>
          <w:p>
            <w:pPr>
              <w:jc w:val="center"/>
              <w:spacing w:line="320" w:lineRule="exact"/>
              <w:tabs>
                <w:tab w:val="left" w:pos="358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3689" w:type="pct"/>
            <w:vAlign w:val="center"/>
            <w:textDirection w:val="lrTb"/>
            <w:noWrap w:val="false"/>
          </w:tcPr>
          <w:p>
            <w:pPr>
              <w:jc w:val="left"/>
              <w:spacing w:line="320" w:lineRule="exact"/>
              <w:tabs>
                <w:tab w:val="left" w:pos="3585" w:leader="none"/>
              </w:tabs>
              <w:rPr>
                <w:rFonts w:hint="eastAsia" w:ascii="宋体" w:hAnsi="宋体" w:eastAsia="宋体" w:cs="宋体"/>
                <w:b/>
                <w:bCs/>
                <w:color w:val="auto"/>
                <w:sz w:val="21"/>
                <w:szCs w:val="21"/>
                <w:lang w:bidi="ar"/>
              </w:rPr>
            </w:pPr>
            <w:r>
              <w:rPr>
                <w:rFonts w:hint="eastAsia" w:ascii="宋体" w:hAnsi="宋体" w:eastAsia="宋体" w:cs="宋体"/>
                <w:color w:val="auto"/>
                <w:sz w:val="21"/>
                <w:szCs w:val="21"/>
              </w:rPr>
              <w:t xml:space="preserve">拟投入项目团队人员(项目负责人除外)：具备计算机技术、信息安全、能源电力相关专业高级及以上职称的得2分，具备</w:t>
            </w:r>
            <w:r>
              <w:rPr>
                <w:rFonts w:hint="eastAsia" w:ascii="宋体" w:hAnsi="宋体" w:eastAsia="宋体" w:cs="宋体"/>
                <w:color w:val="auto"/>
                <w:sz w:val="21"/>
                <w:szCs w:val="21"/>
                <w:lang w:bidi="ar"/>
              </w:rPr>
              <w:t xml:space="preserve">同专业</w:t>
            </w:r>
            <w:r>
              <w:rPr>
                <w:rFonts w:hint="eastAsia" w:ascii="宋体" w:hAnsi="宋体" w:eastAsia="宋体" w:cs="宋体"/>
                <w:color w:val="auto"/>
                <w:sz w:val="21"/>
                <w:szCs w:val="21"/>
              </w:rPr>
              <w:t xml:space="preserve">中级职称的得1分，具备</w:t>
            </w:r>
            <w:r>
              <w:rPr>
                <w:rFonts w:hint="eastAsia" w:ascii="宋体" w:hAnsi="宋体" w:eastAsia="宋体" w:cs="宋体"/>
                <w:color w:val="auto"/>
                <w:sz w:val="21"/>
                <w:szCs w:val="21"/>
                <w:lang w:bidi="ar"/>
              </w:rPr>
              <w:t xml:space="preserve">同专业</w:t>
            </w:r>
            <w:r>
              <w:rPr>
                <w:rFonts w:hint="eastAsia" w:ascii="宋体" w:hAnsi="宋体" w:eastAsia="宋体" w:cs="宋体"/>
                <w:color w:val="auto"/>
                <w:sz w:val="21"/>
                <w:szCs w:val="21"/>
              </w:rPr>
              <w:t xml:space="preserve">初级</w:t>
            </w:r>
            <w:r>
              <w:rPr>
                <w:rFonts w:hint="eastAsia" w:ascii="宋体" w:hAnsi="宋体" w:eastAsia="宋体" w:cs="宋体"/>
                <w:color w:val="auto"/>
                <w:sz w:val="21"/>
                <w:szCs w:val="21"/>
                <w:lang w:bidi="ar"/>
              </w:rPr>
              <w:t xml:space="preserve">（助理）</w:t>
            </w:r>
            <w:r>
              <w:rPr>
                <w:rFonts w:hint="eastAsia" w:ascii="宋体" w:hAnsi="宋体" w:eastAsia="宋体" w:cs="宋体"/>
                <w:color w:val="auto"/>
                <w:sz w:val="21"/>
                <w:szCs w:val="21"/>
              </w:rPr>
              <w:t xml:space="preserve">职称的得0.5分，本项最多计8分。</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rPr>
        <w:t xml:space="preserve">响应人符合《中华人民共和国政府采购法》第二十二条规定条件的声明函</w:t>
      </w:r>
      <w:r>
        <w:rPr>
          <w:rFonts w:hint="eastAsia" w:ascii="宋体" w:hAnsi="宋体" w:eastAsia="宋体" w:cs="宋体"/>
          <w:color w:val="auto"/>
          <w:sz w:val="28"/>
          <w:szCs w:val="28"/>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供应商信用承诺书（格式见附件</w:t>
      </w: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磋商响应函（格式见附件</w:t>
      </w: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6.</w:t>
      </w:r>
      <w:r>
        <w:rPr>
          <w:rFonts w:hint="eastAsia" w:ascii="宋体" w:hAnsi="宋体" w:eastAsia="宋体" w:cs="宋体"/>
          <w:bCs/>
          <w:color w:val="auto"/>
          <w:sz w:val="28"/>
          <w:szCs w:val="28"/>
          <w:lang w:val="zh-CN"/>
        </w:rPr>
        <w:t xml:space="preserve">商务部分正负偏离表（格式见附件6）、技术部分正负偏离表（格式见附件7）</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zh-CN"/>
        </w:rPr>
      </w:pPr>
      <w:r>
        <w:rPr>
          <w:rFonts w:hint="eastAsia" w:ascii="宋体" w:hAnsi="宋体" w:eastAsia="宋体" w:cs="宋体"/>
          <w:bCs/>
          <w:color w:val="auto"/>
          <w:sz w:val="28"/>
          <w:szCs w:val="28"/>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cs="宋体"/>
          <w:bCs/>
          <w:color w:val="auto"/>
          <w:sz w:val="28"/>
          <w:szCs w:val="28"/>
          <w:lang w:val="en-US" w:eastAsia="zh-CN"/>
        </w:rPr>
        <w:t xml:space="preserve">7</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rPr>
        <w:t xml:space="preserve">磋商报价表</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lang w:val="zh-CN"/>
        </w:rPr>
        <w:t xml:space="preserve">格式见</w:t>
      </w:r>
      <w:r>
        <w:rPr>
          <w:rFonts w:hint="eastAsia" w:ascii="宋体" w:hAnsi="宋体" w:eastAsia="宋体" w:cs="宋体"/>
          <w:color w:val="auto"/>
          <w:sz w:val="28"/>
          <w:szCs w:val="28"/>
        </w:rPr>
        <w:t xml:space="preserve">“苏采云”</w:t>
      </w:r>
      <w:r>
        <w:rPr>
          <w:rFonts w:hint="eastAsia" w:ascii="宋体" w:hAnsi="宋体" w:eastAsia="宋体" w:cs="宋体"/>
          <w:color w:val="auto"/>
          <w:sz w:val="28"/>
          <w:szCs w:val="28"/>
          <w:lang w:val="zh-CN"/>
        </w:rPr>
        <w:t xml:space="preserve">系统内电子投标（响应）文件中</w:t>
      </w:r>
      <w:r>
        <w:rPr>
          <w:rFonts w:hint="eastAsia" w:ascii="宋体" w:hAnsi="宋体" w:cs="宋体"/>
          <w:color w:val="auto"/>
          <w:sz w:val="28"/>
          <w:szCs w:val="28"/>
          <w:lang w:val="en-US" w:eastAsia="zh-CN"/>
        </w:rPr>
        <w:t xml:space="preserve">表示</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lang w:val="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1</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w:t>
      </w:r>
      <w:r>
        <w:rPr>
          <w:rFonts w:hint="eastAsia" w:ascii="宋体" w:hAnsi="宋体" w:eastAsia="宋体" w:cs="宋体"/>
          <w:bCs/>
          <w:color w:val="auto"/>
          <w:sz w:val="28"/>
          <w:szCs w:val="28"/>
        </w:rPr>
        <w:t xml:space="preserve">监狱和戒毒企业证明材料（格式见附件11）。</w:t>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jc w:val="left"/>
        <w:widowControl/>
        <w:rPr>
          <w:rFonts w:hint="eastAsia" w:ascii="宋体" w:hAnsi="宋体" w:eastAsia="宋体" w:cs="宋体"/>
          <w:b/>
          <w:bCs/>
          <w:color w:val="auto"/>
          <w:sz w:val="32"/>
          <w:szCs w:val="32"/>
          <w:lang w:val="zh-CN"/>
        </w:rPr>
      </w:pPr>
      <w:r>
        <w:rPr>
          <w:rFonts w:eastAsia="方正黑体_GBK"/>
          <w:color w:val="auto"/>
          <w:sz w:val="32"/>
          <w:szCs w:val="32"/>
          <w:lang w:val="zh-CN"/>
        </w:rPr>
        <w:br w:type="page" w:clear="all"/>
      </w:r>
      <w:r>
        <w:rPr>
          <w:rFonts w:hint="eastAsia" w:ascii="宋体" w:hAnsi="宋体" w:eastAsia="宋体" w:cs="宋体"/>
          <w:b/>
          <w:bCs/>
          <w:color w:val="auto"/>
          <w:sz w:val="32"/>
          <w:szCs w:val="32"/>
          <w:lang w:val="zh-CN"/>
        </w:rPr>
        <w:t xml:space="preserve">附件1</w:t>
      </w:r>
      <w:r/>
    </w:p>
    <w:p>
      <w:pPr>
        <w:jc w:val="center"/>
        <w:rPr>
          <w:rFonts w:hint="eastAsia" w:ascii="宋体" w:hAnsi="宋体" w:eastAsia="宋体" w:cs="宋体"/>
          <w:b/>
          <w:bCs w:val="0"/>
          <w:color w:val="auto"/>
          <w:spacing w:val="-6"/>
          <w:sz w:val="30"/>
          <w:szCs w:val="30"/>
        </w:rPr>
      </w:pPr>
      <w:r>
        <w:rPr>
          <w:rFonts w:hint="eastAsia" w:ascii="宋体" w:hAnsi="宋体" w:eastAsia="宋体" w:cs="宋体"/>
          <w:b/>
          <w:bCs w:val="0"/>
          <w:color w:val="auto"/>
          <w:spacing w:val="-6"/>
          <w:sz w:val="30"/>
          <w:szCs w:val="30"/>
        </w:rPr>
        <w:t xml:space="preserve">响应人符合《中华人民共和国政府采购法》第二十二条规定条件的</w:t>
      </w:r>
      <w:r/>
    </w:p>
    <w:p>
      <w:pPr>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声明函</w:t>
      </w:r>
      <w:r/>
    </w:p>
    <w:p>
      <w:pPr>
        <w:ind w:firstLine="482"/>
        <w:spacing w:line="520" w:lineRule="exact"/>
        <w:rPr>
          <w:rFonts w:ascii="宋体" w:hAnsi="宋体"/>
          <w:b/>
          <w:bCs/>
          <w:color w:val="auto"/>
          <w:sz w:val="24"/>
          <w:szCs w:val="21"/>
        </w:rPr>
      </w:pPr>
      <w:r>
        <w:rPr>
          <w:rFonts w:ascii="宋体" w:hAnsi="宋体"/>
          <w:b/>
          <w:bCs/>
          <w:color w:val="auto"/>
          <w:sz w:val="24"/>
          <w:szCs w:val="21"/>
        </w:rPr>
      </w:r>
      <w:r/>
    </w:p>
    <w:p>
      <w:pPr>
        <w:spacing w:line="520" w:lineRule="exact"/>
        <w:rPr>
          <w:rFonts w:eastAsia="仿宋"/>
          <w:b/>
          <w:bCs/>
          <w:color w:val="auto"/>
          <w:sz w:val="28"/>
          <w:szCs w:val="28"/>
        </w:rPr>
      </w:pPr>
      <w:r>
        <w:rPr>
          <w:rFonts w:eastAsia="仿宋"/>
          <w:bCs/>
          <w:color w:val="auto"/>
          <w:sz w:val="28"/>
          <w:szCs w:val="28"/>
        </w:rPr>
        <w:t xml:space="preserve">我单位参加</w:t>
      </w:r>
      <w:r>
        <w:rPr>
          <w:rFonts w:eastAsia="仿宋"/>
          <w:color w:val="auto"/>
          <w:sz w:val="28"/>
          <w:szCs w:val="28"/>
          <w:u w:val="single"/>
        </w:rPr>
        <w:t xml:space="preserve">               </w:t>
      </w:r>
      <w:r>
        <w:rPr>
          <w:rFonts w:hint="eastAsia" w:eastAsia="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 xml:space="preserve">（项目名称）</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 xml:space="preserve">）响应</w:t>
      </w:r>
      <w:r>
        <w:rPr>
          <w:rFonts w:eastAsia="仿宋"/>
          <w:bCs/>
          <w:color w:val="auto"/>
          <w:sz w:val="28"/>
          <w:szCs w:val="28"/>
        </w:rPr>
        <w:t xml:space="preserve">活动。针对《中华人民共和国政府采购法》第二十二条规定做出如下声明：</w:t>
      </w:r>
      <w:r/>
    </w:p>
    <w:p>
      <w:pPr>
        <w:ind w:firstLine="482"/>
        <w:spacing w:line="520" w:lineRule="exact"/>
        <w:rPr>
          <w:rFonts w:eastAsia="仿宋"/>
          <w:color w:val="auto"/>
          <w:sz w:val="28"/>
          <w:szCs w:val="28"/>
        </w:rPr>
      </w:pPr>
      <w:r>
        <w:rPr>
          <w:rFonts w:eastAsia="仿宋"/>
          <w:bCs/>
          <w:color w:val="auto"/>
          <w:sz w:val="28"/>
          <w:szCs w:val="28"/>
        </w:rPr>
        <w:t xml:space="preserve">1.我单位具有独立承担民事责任的能力；</w:t>
      </w:r>
      <w:r/>
    </w:p>
    <w:p>
      <w:pPr>
        <w:ind w:firstLine="482"/>
        <w:spacing w:line="520" w:lineRule="exact"/>
        <w:rPr>
          <w:rFonts w:eastAsia="仿宋"/>
          <w:color w:val="auto"/>
          <w:sz w:val="28"/>
          <w:szCs w:val="28"/>
        </w:rPr>
      </w:pPr>
      <w:r>
        <w:rPr>
          <w:rFonts w:eastAsia="仿宋"/>
          <w:color w:val="auto"/>
          <w:sz w:val="28"/>
          <w:szCs w:val="28"/>
        </w:rPr>
        <w:t xml:space="preserve">2.我单位具有良好的商业信誉和健全的财务会计制度；</w:t>
      </w:r>
      <w:r/>
    </w:p>
    <w:p>
      <w:pPr>
        <w:ind w:firstLine="482"/>
        <w:spacing w:line="520" w:lineRule="exact"/>
        <w:rPr>
          <w:rFonts w:eastAsia="仿宋"/>
          <w:color w:val="auto"/>
          <w:sz w:val="28"/>
          <w:szCs w:val="28"/>
        </w:rPr>
      </w:pPr>
      <w:r>
        <w:rPr>
          <w:rFonts w:eastAsia="仿宋"/>
          <w:color w:val="auto"/>
          <w:sz w:val="28"/>
          <w:szCs w:val="28"/>
        </w:rPr>
        <w:t xml:space="preserve">3.我单位具有履行合同所必需的设备和专业技术能力；</w:t>
      </w:r>
      <w:r/>
    </w:p>
    <w:p>
      <w:pPr>
        <w:ind w:firstLine="482"/>
        <w:spacing w:line="520" w:lineRule="exact"/>
        <w:rPr>
          <w:rFonts w:eastAsia="仿宋"/>
          <w:color w:val="auto"/>
          <w:sz w:val="28"/>
          <w:szCs w:val="28"/>
        </w:rPr>
      </w:pPr>
      <w:r>
        <w:rPr>
          <w:rFonts w:eastAsia="仿宋"/>
          <w:color w:val="auto"/>
          <w:sz w:val="28"/>
          <w:szCs w:val="28"/>
        </w:rPr>
        <w:t xml:space="preserve">4.我单位有依法缴纳税收和社会保障资金的良好记录；</w:t>
      </w:r>
      <w:r/>
    </w:p>
    <w:p>
      <w:pPr>
        <w:ind w:firstLine="482"/>
        <w:spacing w:line="520" w:lineRule="exact"/>
        <w:rPr>
          <w:rFonts w:eastAsia="仿宋"/>
          <w:color w:val="auto"/>
          <w:sz w:val="28"/>
          <w:szCs w:val="28"/>
        </w:rPr>
      </w:pPr>
      <w:r>
        <w:rPr>
          <w:rFonts w:eastAsia="仿宋"/>
          <w:color w:val="auto"/>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rPr>
      </w:pPr>
      <w:r>
        <w:rPr>
          <w:rFonts w:eastAsia="仿宋"/>
          <w:color w:val="auto"/>
          <w:sz w:val="28"/>
          <w:szCs w:val="28"/>
        </w:rPr>
        <w:t xml:space="preserve">6.我单位满足法律、行政法规规定的其他条件。</w:t>
      </w:r>
      <w:r/>
    </w:p>
    <w:p>
      <w:pPr>
        <w:spacing w:line="500" w:lineRule="exact"/>
        <w:rPr>
          <w:rFonts w:eastAsia="仿宋"/>
          <w:bCs/>
          <w:color w:val="auto"/>
          <w:sz w:val="28"/>
          <w:szCs w:val="28"/>
        </w:rPr>
      </w:pPr>
      <w:r>
        <w:rPr>
          <w:rFonts w:eastAsia="仿宋"/>
          <w:bCs/>
          <w:color w:val="auto"/>
          <w:sz w:val="28"/>
          <w:szCs w:val="28"/>
        </w:rPr>
      </w:r>
      <w:r/>
    </w:p>
    <w:p>
      <w:pPr>
        <w:spacing w:line="500" w:lineRule="exact"/>
        <w:rPr>
          <w:rFonts w:eastAsia="仿宋"/>
          <w:bCs/>
          <w:color w:val="auto"/>
          <w:sz w:val="28"/>
          <w:szCs w:val="28"/>
        </w:rPr>
      </w:pPr>
      <w:r>
        <w:rPr>
          <w:rFonts w:eastAsia="仿宋"/>
          <w:bCs/>
          <w:color w:val="auto"/>
          <w:sz w:val="28"/>
          <w:szCs w:val="28"/>
        </w:rPr>
      </w:r>
      <w:r/>
    </w:p>
    <w:p>
      <w:pPr>
        <w:jc w:val="center"/>
        <w:spacing w:line="460" w:lineRule="exact"/>
        <w:rPr>
          <w:rFonts w:eastAsia="仿宋"/>
          <w:bCs/>
          <w:color w:val="auto"/>
          <w:sz w:val="28"/>
          <w:szCs w:val="28"/>
        </w:rPr>
      </w:pPr>
      <w:r>
        <w:rPr>
          <w:rFonts w:eastAsia="仿宋"/>
          <w:bCs/>
          <w:color w:val="auto"/>
          <w:sz w:val="28"/>
          <w:szCs w:val="28"/>
        </w:rPr>
        <w:t xml:space="preserve"> 承诺人名称（</w:t>
      </w:r>
      <w:r>
        <w:rPr>
          <w:rFonts w:hint="eastAsia" w:eastAsia="仿宋"/>
          <w:bCs/>
          <w:color w:val="auto"/>
          <w:sz w:val="28"/>
          <w:szCs w:val="28"/>
        </w:rPr>
        <w:t xml:space="preserve">加盖</w:t>
      </w:r>
      <w:r>
        <w:rPr>
          <w:rFonts w:eastAsia="仿宋"/>
          <w:bCs/>
          <w:color w:val="auto"/>
          <w:sz w:val="28"/>
          <w:szCs w:val="28"/>
        </w:rPr>
        <w:t xml:space="preserve">公章）：</w:t>
      </w:r>
      <w:r>
        <w:rPr>
          <w:rFonts w:eastAsia="仿宋"/>
          <w:color w:val="auto"/>
          <w:sz w:val="28"/>
          <w:szCs w:val="28"/>
          <w:u w:val="single"/>
        </w:rPr>
        <w:t xml:space="preserve">                   </w:t>
      </w:r>
      <w:r/>
    </w:p>
    <w:p>
      <w:pPr>
        <w:jc w:val="right"/>
        <w:spacing w:line="460" w:lineRule="exact"/>
        <w:rPr>
          <w:rFonts w:eastAsia="仿宋"/>
          <w:bCs/>
          <w:color w:val="auto"/>
          <w:sz w:val="28"/>
          <w:szCs w:val="28"/>
        </w:rPr>
      </w:pPr>
      <w:r>
        <w:rPr>
          <w:rFonts w:eastAsia="仿宋"/>
          <w:bCs/>
          <w:color w:val="auto"/>
          <w:sz w:val="28"/>
          <w:szCs w:val="28"/>
        </w:rPr>
        <w:t xml:space="preserve">    </w:t>
      </w:r>
      <w:r/>
    </w:p>
    <w:p>
      <w:pPr>
        <w:jc w:val="right"/>
        <w:spacing w:line="460" w:lineRule="exact"/>
        <w:rPr>
          <w:rFonts w:eastAsia="仿宋"/>
          <w:bCs/>
          <w:color w:val="auto"/>
          <w:sz w:val="28"/>
          <w:szCs w:val="28"/>
        </w:rPr>
      </w:pPr>
      <w:r>
        <w:rPr>
          <w:rFonts w:eastAsia="仿宋"/>
          <w:bCs/>
          <w:color w:val="auto"/>
          <w:sz w:val="28"/>
          <w:szCs w:val="28"/>
        </w:rPr>
        <w:t xml:space="preserve">                                日期：</w:t>
      </w:r>
      <w:r>
        <w:rPr>
          <w:rFonts w:eastAsia="仿宋"/>
          <w:bCs/>
          <w:color w:val="auto"/>
          <w:sz w:val="28"/>
          <w:szCs w:val="28"/>
          <w:u w:val="single"/>
        </w:rPr>
        <w:t xml:space="preserve">        </w:t>
      </w:r>
      <w:r>
        <w:rPr>
          <w:rFonts w:eastAsia="仿宋"/>
          <w:bCs/>
          <w:color w:val="auto"/>
          <w:sz w:val="28"/>
          <w:szCs w:val="28"/>
        </w:rPr>
        <w:t xml:space="preserve">年</w:t>
      </w:r>
      <w:r>
        <w:rPr>
          <w:rFonts w:eastAsia="仿宋"/>
          <w:bCs/>
          <w:color w:val="auto"/>
          <w:sz w:val="28"/>
          <w:szCs w:val="28"/>
          <w:u w:val="single"/>
        </w:rPr>
        <w:t xml:space="preserve">    </w:t>
      </w:r>
      <w:r>
        <w:rPr>
          <w:rFonts w:eastAsia="仿宋"/>
          <w:bCs/>
          <w:color w:val="auto"/>
          <w:sz w:val="28"/>
          <w:szCs w:val="28"/>
        </w:rPr>
        <w:t xml:space="preserve">月</w:t>
      </w:r>
      <w:r>
        <w:rPr>
          <w:rFonts w:eastAsia="仿宋"/>
          <w:bCs/>
          <w:color w:val="auto"/>
          <w:sz w:val="28"/>
          <w:szCs w:val="28"/>
          <w:u w:val="single"/>
        </w:rPr>
        <w:t xml:space="preserve">    </w:t>
      </w:r>
      <w:r>
        <w:rPr>
          <w:rFonts w:eastAsia="仿宋"/>
          <w:bCs/>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eastAsia="方正黑体_GBK"/>
          <w:color w:val="auto"/>
          <w:sz w:val="32"/>
          <w:szCs w:val="32"/>
          <w:lang w:val="zh-CN"/>
        </w:rPr>
      </w:pPr>
      <w:r>
        <w:rPr>
          <w:rFonts w:eastAsia="方正黑体_GBK"/>
          <w:color w:val="auto"/>
          <w:sz w:val="32"/>
          <w:szCs w:val="32"/>
          <w:lang w:val="zh-CN"/>
        </w:rPr>
      </w:r>
      <w:r/>
    </w:p>
    <w:p>
      <w:pPr>
        <w:contextualSpacing/>
        <w:spacing w:line="400" w:lineRule="exact"/>
        <w:rPr>
          <w:rFonts w:eastAsia="方正黑体_GBK"/>
          <w:color w:val="auto"/>
          <w:sz w:val="32"/>
          <w:szCs w:val="32"/>
          <w:lang w:val="zh-CN"/>
        </w:rPr>
      </w:pPr>
      <w:r>
        <w:rPr>
          <w:rFonts w:eastAsia="方正黑体_GBK"/>
          <w:color w:val="auto"/>
          <w:sz w:val="32"/>
          <w:szCs w:val="32"/>
          <w:lang w:val="zh-CN"/>
        </w:rPr>
      </w:r>
      <w:r/>
    </w:p>
    <w:p>
      <w:pPr>
        <w:jc w:val="left"/>
        <w:rPr>
          <w:rFonts w:eastAsia="方正黑体_GBK"/>
          <w:color w:val="auto"/>
          <w:sz w:val="32"/>
          <w:szCs w:val="32"/>
          <w:lang w:val="zh-CN"/>
        </w:rPr>
      </w:pPr>
      <w:r>
        <w:rPr>
          <w:rFonts w:hint="eastAsia" w:ascii="宋体" w:hAnsi="宋体" w:eastAsia="宋体" w:cs="宋体"/>
          <w:b/>
          <w:bCs w:val="0"/>
          <w:color w:val="auto"/>
          <w:sz w:val="32"/>
          <w:szCs w:val="32"/>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先生/女士，身份证号码：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，现任我单位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本证明用于参加</w:t>
      </w:r>
      <w:r>
        <w:rPr>
          <w:rFonts w:hint="eastAsia" w:ascii="仿宋" w:hAnsi="仿宋" w:eastAsia="仿宋" w:cs="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 xml:space="preserve">（项目名称）</w:t>
      </w:r>
      <w:r>
        <w:rPr>
          <w:rFonts w:eastAsia="仿宋"/>
          <w:bCs/>
          <w:color w:val="auto"/>
          <w:sz w:val="28"/>
          <w:szCs w:val="28"/>
          <w:u w:val="single"/>
        </w:rPr>
        <w:t xml:space="preserve"> </w:t>
      </w:r>
      <w:r>
        <w:rPr>
          <w:rFonts w:eastAsia="仿宋"/>
          <w:bCs/>
          <w:color w:val="auto"/>
          <w:sz w:val="28"/>
          <w:szCs w:val="28"/>
        </w:rPr>
        <w:t xml:space="preserve">（</w:t>
      </w:r>
      <w:r>
        <w:rPr>
          <w:rFonts w:hint="eastAsia" w:ascii="仿宋" w:hAnsi="仿宋" w:eastAsia="仿宋" w:cs="仿宋"/>
          <w:color w:val="auto"/>
          <w:sz w:val="28"/>
          <w:szCs w:val="28"/>
          <w:u w:val="single"/>
        </w:rPr>
        <w:t xml:space="preserve">项目编号：                    </w:t>
      </w:r>
      <w:r>
        <w:rPr>
          <w:rFonts w:eastAsia="仿宋"/>
          <w:bCs/>
          <w:color w:val="auto"/>
          <w:sz w:val="28"/>
          <w:szCs w:val="28"/>
        </w:rPr>
        <w:t xml:space="preserve">）</w:t>
      </w:r>
      <w:r>
        <w:rPr>
          <w:rFonts w:hint="eastAsia" w:ascii="仿宋" w:hAnsi="仿宋" w:eastAsia="仿宋" w:cs="仿宋"/>
          <w:bCs/>
          <w:color w:val="auto"/>
          <w:sz w:val="28"/>
          <w:szCs w:val="28"/>
        </w:rPr>
        <w:t xml:space="preserve">投标活动。</w:t>
      </w:r>
      <w:r/>
    </w:p>
    <w:p>
      <w:pPr>
        <w:ind w:firstLine="48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left="3255" w:firstLine="280"/>
        <w:spacing w:line="480" w:lineRule="auto"/>
        <w:rPr>
          <w:rFonts w:ascii="仿宋" w:hAnsi="仿宋" w:eastAsia="仿宋" w:cs="仿宋"/>
          <w:color w:val="auto"/>
          <w:sz w:val="28"/>
          <w:szCs w:val="28"/>
        </w:rPr>
      </w:pPr>
      <w:r>
        <w:rPr>
          <w:rFonts w:ascii="仿宋" w:hAnsi="仿宋" w:eastAsia="仿宋" w:cs="仿宋"/>
          <w:color w:val="auto"/>
          <w:sz w:val="28"/>
          <w:szCs w:val="28"/>
        </w:rPr>
      </w:r>
      <w:r/>
    </w:p>
    <w:p>
      <w:pPr>
        <w:ind w:left="3255" w:firstLine="280"/>
        <w:jc w:val="left"/>
        <w:spacing w:line="48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单位名称（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left="3255" w:firstLine="280"/>
        <w:jc w:val="left"/>
        <w:spacing w:line="48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jc w:val="left"/>
        <w:spacing w:line="480" w:lineRule="auto"/>
        <w:rPr>
          <w:rFonts w:ascii="仿宋" w:hAnsi="仿宋" w:eastAsia="仿宋" w:cs="仿宋"/>
          <w:color w:val="auto"/>
          <w:sz w:val="28"/>
          <w:szCs w:val="28"/>
        </w:rPr>
      </w:pPr>
      <w:r>
        <w:rPr>
          <w:rFonts w:ascii="仿宋" w:hAnsi="仿宋" w:eastAsia="仿宋" w:cs="仿宋"/>
          <w:color w:val="auto"/>
          <w:sz w:val="28"/>
          <w:szCs w:val="28"/>
        </w:rPr>
      </w:r>
      <w:r/>
    </w:p>
    <w:p>
      <w:pPr>
        <w:spacing w:line="360" w:lineRule="auto"/>
        <w:widowControl/>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360" w:lineRule="auto"/>
        <w:widowControl/>
        <w:rPr>
          <w:rFonts w:ascii="仿宋" w:hAnsi="仿宋" w:eastAsia="仿宋" w:cs="仿宋"/>
          <w:b/>
          <w:bCs/>
          <w:color w:val="auto"/>
          <w:sz w:val="28"/>
          <w:szCs w:val="28"/>
        </w:rPr>
      </w:pPr>
      <w:r>
        <w:rPr>
          <w:rFonts w:hint="eastAsia" w:ascii="仿宋" w:hAnsi="仿宋" w:eastAsia="仿宋" w:cs="仿宋"/>
          <w:b/>
          <w:color w:val="auto"/>
          <w:sz w:val="28"/>
          <w:szCs w:val="28"/>
        </w:rPr>
        <w:t xml:space="preserve">附：法定代表人的身份证</w:t>
      </w:r>
      <w:r>
        <w:rPr>
          <w:rFonts w:hint="eastAsia" w:ascii="仿宋" w:hAnsi="仿宋" w:eastAsia="仿宋" w:cs="仿宋"/>
          <w:b/>
          <w:color w:val="auto"/>
          <w:sz w:val="28"/>
          <w:szCs w:val="28"/>
          <w:lang w:val="en-US" w:eastAsia="zh-CN"/>
        </w:rPr>
        <w:t xml:space="preserve">正反面</w:t>
      </w:r>
      <w:r>
        <w:rPr>
          <w:rFonts w:hint="eastAsia" w:ascii="仿宋" w:hAnsi="仿宋" w:eastAsia="仿宋" w:cs="仿宋"/>
          <w:b/>
          <w:color w:val="auto"/>
          <w:sz w:val="28"/>
          <w:szCs w:val="28"/>
        </w:rPr>
        <w:t xml:space="preserve">复印件加盖单位公章</w:t>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（授权单位名称）的法定代表人，现委托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（姓名）（身份证号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）为我方代理人，以我方名义全权处理与</w:t>
      </w:r>
      <w:r>
        <w:rPr>
          <w:rFonts w:hint="eastAsia" w:ascii="仿宋" w:hAnsi="仿宋" w:eastAsia="仿宋" w:cs="仿宋"/>
          <w:color w:val="auto"/>
          <w:sz w:val="28"/>
          <w:szCs w:val="28"/>
          <w:u w:val="single"/>
        </w:rPr>
        <w:t xml:space="preserve">                       （项目名称）</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本授权书于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ascii="仿宋" w:hAnsi="仿宋" w:eastAsia="仿宋" w:cs="仿宋"/>
          <w:color w:val="auto"/>
          <w:sz w:val="28"/>
          <w:szCs w:val="28"/>
        </w:rPr>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代理人（被授权人）签字：</w:t>
      </w:r>
      <w:r>
        <w:rPr>
          <w:rFonts w:hint="eastAsia" w:ascii="仿宋" w:hAnsi="仿宋" w:eastAsia="仿宋" w:cs="仿宋"/>
          <w:color w:val="auto"/>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授权单位名称（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授权单位法定代表人（签字或盖章）：</w:t>
      </w:r>
      <w:r>
        <w:rPr>
          <w:rFonts w:hint="eastAsia" w:ascii="仿宋" w:hAnsi="仿宋" w:eastAsia="仿宋" w:cs="仿宋"/>
          <w:color w:val="auto"/>
          <w:sz w:val="28"/>
          <w:szCs w:val="28"/>
          <w:u w:val="single"/>
        </w:rPr>
        <w:t xml:space="preserve">                  </w:t>
      </w:r>
      <w:r/>
    </w:p>
    <w:p>
      <w:pPr>
        <w:jc w:val="righ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contextualSpacing/>
        <w:ind w:firstLine="3897"/>
        <w:spacing w:line="400" w:lineRule="exact"/>
        <w:rPr>
          <w:rFonts w:ascii="宋体" w:hAnsi="宋体" w:cs="宋体"/>
          <w:b/>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contextualSpacing/>
        <w:ind w:firstLine="540"/>
        <w:spacing w:line="400" w:lineRule="exact"/>
        <w:rPr>
          <w:rFonts w:ascii="仿宋" w:hAnsi="仿宋" w:eastAsia="仿宋" w:cs="仿宋"/>
          <w:b/>
          <w:color w:val="auto"/>
          <w:sz w:val="28"/>
          <w:szCs w:val="28"/>
        </w:rPr>
      </w:pPr>
      <w:r>
        <w:rPr>
          <w:rFonts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附：代理人（被授权人）身份证</w:t>
      </w:r>
      <w:r>
        <w:rPr>
          <w:rFonts w:hint="eastAsia" w:ascii="仿宋" w:hAnsi="仿宋" w:eastAsia="仿宋" w:cs="仿宋"/>
          <w:b/>
          <w:color w:val="auto"/>
          <w:sz w:val="28"/>
          <w:szCs w:val="28"/>
          <w:lang w:val="en-US" w:eastAsia="zh-CN"/>
        </w:rPr>
        <w:t xml:space="preserve">正反面</w:t>
      </w:r>
      <w:r>
        <w:rPr>
          <w:rFonts w:hint="eastAsia" w:ascii="仿宋" w:hAnsi="仿宋" w:eastAsia="仿宋" w:cs="仿宋"/>
          <w:b/>
          <w:color w:val="auto"/>
          <w:sz w:val="28"/>
          <w:szCs w:val="28"/>
        </w:rPr>
        <w:t xml:space="preserve">复印件加盖单位公章</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供应商信用承诺书</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lang w:val="zh-CN"/>
        </w:rPr>
      </w:pPr>
      <w:r>
        <w:rPr>
          <w:rFonts w:hint="eastAsia" w:ascii="仿宋" w:hAnsi="仿宋" w:eastAsia="仿宋" w:cs="仿宋"/>
          <w:b/>
          <w:color w:val="auto"/>
          <w:sz w:val="28"/>
          <w:szCs w:val="28"/>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280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bidi="ar"/>
        </w:rPr>
        <w:t xml:space="preserve">响应</w:t>
      </w:r>
      <w:r>
        <w:rPr>
          <w:rFonts w:hint="eastAsia" w:ascii="仿宋" w:hAnsi="仿宋" w:eastAsia="仿宋" w:cs="仿宋"/>
          <w:color w:val="auto"/>
          <w:sz w:val="28"/>
          <w:szCs w:val="28"/>
          <w:lang w:val="zh-CN" w:bidi="ar"/>
        </w:rPr>
        <w:t xml:space="preserve">供应商名称（</w:t>
      </w:r>
      <w:r>
        <w:rPr>
          <w:rFonts w:hint="eastAsia" w:eastAsia="仿宋"/>
          <w:bCs/>
          <w:color w:val="auto"/>
          <w:sz w:val="28"/>
          <w:szCs w:val="28"/>
        </w:rPr>
        <w:t xml:space="preserve">加盖</w:t>
      </w:r>
      <w:r>
        <w:rPr>
          <w:rFonts w:hint="eastAsia" w:ascii="仿宋" w:hAnsi="仿宋" w:eastAsia="仿宋" w:cs="仿宋"/>
          <w:color w:val="auto"/>
          <w:sz w:val="28"/>
          <w:szCs w:val="28"/>
          <w:lang w:val="zh-CN" w:bidi="ar"/>
        </w:rPr>
        <w:t xml:space="preserve">公章）：</w:t>
      </w:r>
      <w:r>
        <w:rPr>
          <w:rFonts w:hint="eastAsia" w:ascii="仿宋" w:hAnsi="仿宋" w:eastAsia="仿宋" w:cs="仿宋"/>
          <w:color w:val="auto"/>
          <w:sz w:val="28"/>
          <w:szCs w:val="28"/>
          <w:u w:val="single"/>
        </w:rPr>
        <w:t xml:space="preserve">                </w:t>
      </w:r>
      <w:r/>
    </w:p>
    <w:p>
      <w:pPr>
        <w:ind w:firstLine="280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 xml:space="preserve">法定代表人（签字或盖章）：</w:t>
      </w:r>
      <w:r>
        <w:rPr>
          <w:rFonts w:hint="eastAsia" w:ascii="仿宋" w:hAnsi="仿宋" w:eastAsia="仿宋" w:cs="仿宋"/>
          <w:color w:val="auto"/>
          <w:sz w:val="28"/>
          <w:szCs w:val="28"/>
          <w:u w:val="single"/>
        </w:rPr>
        <w:t xml:space="preserve">                    </w:t>
      </w:r>
      <w:r/>
    </w:p>
    <w:p>
      <w:pPr>
        <w:ind w:firstLine="308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 xml:space="preserve">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日</w:t>
      </w:r>
      <w:r/>
    </w:p>
    <w:p>
      <w:pPr>
        <w:contextualSpacing/>
        <w:spacing w:line="300" w:lineRule="auto"/>
        <w:rPr>
          <w:rFonts w:ascii="仿宋_GB2312" w:hAnsi="宋体" w:eastAsia="仿宋_GB2312"/>
          <w:color w:val="auto"/>
          <w:sz w:val="28"/>
          <w:szCs w:val="28"/>
        </w:rPr>
      </w:pPr>
      <w:r>
        <w:rPr>
          <w:rFonts w:ascii="仿宋_GB2312" w:hAnsi="宋体" w:eastAsia="仿宋_GB2312"/>
          <w:color w:val="auto"/>
          <w:sz w:val="28"/>
          <w:szCs w:val="28"/>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 xml:space="preserve">磋商响应函</w:t>
      </w:r>
      <w:r/>
    </w:p>
    <w:p>
      <w:pPr>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（采购人名称）</w:t>
      </w:r>
      <w:r/>
    </w:p>
    <w:p>
      <w:pPr>
        <w:ind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根据贵方项目编号为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的磋商文件，我方正式提交磋商响应函，并宣布同意如下内容：</w:t>
      </w:r>
      <w:r/>
    </w:p>
    <w:p>
      <w:pPr>
        <w:ind w:firstLine="560"/>
        <w:jc w:val="left"/>
        <w:spacing w:line="480" w:lineRule="exact"/>
        <w:rPr>
          <w:rFonts w:eastAsia="仿宋"/>
          <w:color w:val="auto"/>
          <w:sz w:val="28"/>
          <w:szCs w:val="28"/>
        </w:rPr>
      </w:pPr>
      <w:r>
        <w:rPr>
          <w:rFonts w:eastAsia="仿宋"/>
          <w:color w:val="auto"/>
          <w:sz w:val="28"/>
          <w:szCs w:val="28"/>
        </w:rPr>
        <w:t xml:space="preserve">1.按</w:t>
      </w:r>
      <w:r>
        <w:rPr>
          <w:rFonts w:hint="eastAsia" w:eastAsia="仿宋"/>
          <w:color w:val="auto"/>
          <w:sz w:val="28"/>
          <w:szCs w:val="28"/>
        </w:rPr>
        <w:t xml:space="preserve">磋商</w:t>
      </w:r>
      <w:r>
        <w:rPr>
          <w:rFonts w:eastAsia="仿宋"/>
          <w:color w:val="auto"/>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rPr>
      </w:pPr>
      <w:r>
        <w:rPr>
          <w:rFonts w:eastAsia="仿宋"/>
          <w:color w:val="auto"/>
          <w:sz w:val="28"/>
          <w:szCs w:val="28"/>
        </w:rPr>
        <w:t xml:space="preserve">2.我们完全理解贵方不一定将合同授予最低报价的</w:t>
      </w:r>
      <w:r>
        <w:rPr>
          <w:rFonts w:hint="eastAsia" w:eastAsia="仿宋"/>
          <w:color w:val="auto"/>
          <w:sz w:val="28"/>
          <w:szCs w:val="28"/>
        </w:rPr>
        <w:t xml:space="preserve">供应商</w:t>
      </w:r>
      <w:r>
        <w:rPr>
          <w:rFonts w:eastAsia="仿宋"/>
          <w:color w:val="auto"/>
          <w:sz w:val="28"/>
          <w:szCs w:val="28"/>
        </w:rPr>
        <w:t xml:space="preserve">。</w:t>
      </w:r>
      <w:r/>
    </w:p>
    <w:p>
      <w:pPr>
        <w:ind w:firstLine="560"/>
        <w:jc w:val="left"/>
        <w:spacing w:line="480" w:lineRule="exact"/>
        <w:rPr>
          <w:rFonts w:eastAsia="仿宋"/>
          <w:color w:val="auto"/>
          <w:sz w:val="28"/>
          <w:szCs w:val="28"/>
        </w:rPr>
      </w:pPr>
      <w:r>
        <w:rPr>
          <w:rFonts w:eastAsia="仿宋"/>
          <w:color w:val="auto"/>
          <w:sz w:val="28"/>
          <w:szCs w:val="28"/>
        </w:rPr>
        <w:t xml:space="preserve">3.我们已详细审核全部</w:t>
      </w:r>
      <w:r>
        <w:rPr>
          <w:rFonts w:hint="eastAsia" w:eastAsia="仿宋"/>
          <w:color w:val="auto"/>
          <w:sz w:val="28"/>
          <w:szCs w:val="28"/>
        </w:rPr>
        <w:t xml:space="preserve">磋商</w:t>
      </w:r>
      <w:r>
        <w:rPr>
          <w:rFonts w:eastAsia="仿宋"/>
          <w:color w:val="auto"/>
          <w:sz w:val="28"/>
          <w:szCs w:val="28"/>
        </w:rPr>
        <w:t xml:space="preserve">文件及其有效补充文件，我们知道必须放弃提出含糊不清或误解问题的权利。</w:t>
      </w:r>
      <w:r/>
    </w:p>
    <w:p>
      <w:pPr>
        <w:ind w:firstLine="480"/>
        <w:jc w:val="left"/>
        <w:spacing w:line="480" w:lineRule="exact"/>
        <w:rPr>
          <w:rFonts w:eastAsia="仿宋"/>
          <w:color w:val="auto"/>
          <w:sz w:val="28"/>
          <w:szCs w:val="28"/>
        </w:rPr>
      </w:pPr>
      <w:r>
        <w:rPr>
          <w:rFonts w:eastAsia="仿宋"/>
          <w:color w:val="auto"/>
          <w:sz w:val="28"/>
          <w:szCs w:val="28"/>
        </w:rPr>
        <w:t xml:space="preserve">4.我们同意从规定的开标日期起遵循本</w:t>
      </w:r>
      <w:r>
        <w:rPr>
          <w:rFonts w:hint="eastAsia" w:eastAsia="仿宋"/>
          <w:color w:val="auto"/>
          <w:sz w:val="28"/>
          <w:szCs w:val="28"/>
        </w:rPr>
        <w:t xml:space="preserve">响应</w:t>
      </w:r>
      <w:r>
        <w:rPr>
          <w:rFonts w:eastAsia="仿宋"/>
          <w:color w:val="auto"/>
          <w:sz w:val="28"/>
          <w:szCs w:val="28"/>
        </w:rPr>
        <w:t xml:space="preserve">文件，并在规定的投标有效期期满之前均具有约束力。</w:t>
      </w:r>
      <w:r/>
    </w:p>
    <w:p>
      <w:pPr>
        <w:ind w:firstLine="480"/>
        <w:jc w:val="left"/>
        <w:spacing w:line="480" w:lineRule="exact"/>
        <w:rPr>
          <w:rFonts w:eastAsia="仿宋"/>
          <w:color w:val="auto"/>
          <w:sz w:val="28"/>
          <w:szCs w:val="28"/>
        </w:rPr>
      </w:pPr>
      <w:r>
        <w:rPr>
          <w:rFonts w:eastAsia="仿宋"/>
          <w:color w:val="auto"/>
          <w:sz w:val="28"/>
          <w:szCs w:val="28"/>
        </w:rPr>
        <w:t xml:space="preserve">5.同意向贵方提供贵方可能另外要求的与</w:t>
      </w:r>
      <w:r>
        <w:rPr>
          <w:rFonts w:hint="eastAsia" w:eastAsia="仿宋"/>
          <w:color w:val="auto"/>
          <w:sz w:val="28"/>
          <w:szCs w:val="28"/>
        </w:rPr>
        <w:t xml:space="preserve">磋商</w:t>
      </w:r>
      <w:r>
        <w:rPr>
          <w:rFonts w:eastAsia="仿宋"/>
          <w:color w:val="auto"/>
          <w:sz w:val="28"/>
          <w:szCs w:val="28"/>
        </w:rPr>
        <w:t xml:space="preserve">有关的任何证据或资料，并保证我方已提供和将要提供的文件是真实的、准确的。</w:t>
      </w:r>
      <w:r/>
    </w:p>
    <w:p>
      <w:pPr>
        <w:ind w:firstLine="480"/>
        <w:jc w:val="left"/>
        <w:spacing w:line="480" w:lineRule="exact"/>
        <w:rPr>
          <w:rFonts w:eastAsia="仿宋"/>
          <w:color w:val="auto"/>
          <w:sz w:val="28"/>
          <w:szCs w:val="28"/>
        </w:rPr>
      </w:pPr>
      <w:r>
        <w:rPr>
          <w:rFonts w:eastAsia="仿宋"/>
          <w:color w:val="auto"/>
          <w:sz w:val="28"/>
          <w:szCs w:val="28"/>
        </w:rPr>
        <w:t xml:space="preserve">6.一旦我方</w:t>
      </w:r>
      <w:r>
        <w:rPr>
          <w:rFonts w:hint="eastAsia" w:eastAsia="仿宋"/>
          <w:color w:val="auto"/>
          <w:sz w:val="28"/>
          <w:szCs w:val="28"/>
        </w:rPr>
        <w:t xml:space="preserve">成交</w:t>
      </w:r>
      <w:r>
        <w:rPr>
          <w:rFonts w:eastAsia="仿宋"/>
          <w:color w:val="auto"/>
          <w:sz w:val="28"/>
          <w:szCs w:val="28"/>
        </w:rPr>
        <w:t xml:space="preserve">，我方将根据</w:t>
      </w:r>
      <w:r>
        <w:rPr>
          <w:rFonts w:hint="eastAsia" w:eastAsia="仿宋"/>
          <w:color w:val="auto"/>
          <w:sz w:val="28"/>
          <w:szCs w:val="28"/>
        </w:rPr>
        <w:t xml:space="preserve">磋商</w:t>
      </w:r>
      <w:r>
        <w:rPr>
          <w:rFonts w:eastAsia="仿宋"/>
          <w:color w:val="auto"/>
          <w:sz w:val="28"/>
          <w:szCs w:val="28"/>
        </w:rPr>
        <w:t xml:space="preserve">文件的规定，严格履行合同的责任和义务，并保证在</w:t>
      </w:r>
      <w:r>
        <w:rPr>
          <w:rFonts w:hint="eastAsia" w:eastAsia="仿宋"/>
          <w:color w:val="auto"/>
          <w:sz w:val="28"/>
          <w:szCs w:val="28"/>
        </w:rPr>
        <w:t xml:space="preserve">磋商</w:t>
      </w:r>
      <w:r>
        <w:rPr>
          <w:rFonts w:eastAsia="仿宋"/>
          <w:color w:val="auto"/>
          <w:sz w:val="28"/>
          <w:szCs w:val="28"/>
        </w:rPr>
        <w:t xml:space="preserve">文件规定的时间内完成项目，交付买方验收、使用。</w:t>
      </w:r>
      <w:r/>
    </w:p>
    <w:p>
      <w:pPr>
        <w:ind w:firstLine="560"/>
        <w:jc w:val="left"/>
        <w:spacing w:line="480" w:lineRule="exact"/>
        <w:rPr>
          <w:rFonts w:eastAsia="仿宋"/>
          <w:color w:val="auto"/>
          <w:sz w:val="28"/>
          <w:szCs w:val="28"/>
        </w:rPr>
      </w:pPr>
      <w:r>
        <w:rPr>
          <w:rFonts w:eastAsia="仿宋"/>
          <w:color w:val="auto"/>
          <w:sz w:val="28"/>
          <w:szCs w:val="28"/>
        </w:rPr>
        <w:t xml:space="preserve">7.与本</w:t>
      </w:r>
      <w:r>
        <w:rPr>
          <w:rFonts w:hint="eastAsia" w:eastAsia="仿宋"/>
          <w:color w:val="auto"/>
          <w:sz w:val="28"/>
          <w:szCs w:val="28"/>
        </w:rPr>
        <w:t xml:space="preserve">次磋商</w:t>
      </w:r>
      <w:r>
        <w:rPr>
          <w:rFonts w:eastAsia="仿宋"/>
          <w:color w:val="auto"/>
          <w:sz w:val="28"/>
          <w:szCs w:val="28"/>
        </w:rPr>
        <w:t xml:space="preserve">有关的正式通讯地址为：</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          址：</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邮          编：</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          话：</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  子  邮  箱：</w:t>
      </w:r>
      <w:r>
        <w:rPr>
          <w:rFonts w:hint="eastAsia" w:ascii="仿宋" w:hAnsi="仿宋" w:eastAsia="仿宋" w:cs="仿宋"/>
          <w:color w:val="auto"/>
          <w:sz w:val="28"/>
          <w:szCs w:val="28"/>
          <w:u w:val="single"/>
        </w:rPr>
        <w:t xml:space="preserve">                  </w:t>
      </w:r>
      <w:r/>
    </w:p>
    <w:p>
      <w:pP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right="181" w:firstLine="98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供应商名称（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商务部分正负偏离表</w:t>
      </w:r>
      <w:r/>
    </w:p>
    <w:p>
      <w:pPr>
        <w:spacing w:line="520" w:lineRule="exact"/>
        <w:rPr>
          <w:rFonts w:eastAsia="仿宋"/>
          <w:bCs/>
          <w:color w:val="auto"/>
          <w:sz w:val="28"/>
          <w:szCs w:val="28"/>
          <w:u w:val="single"/>
        </w:rPr>
      </w:pPr>
      <w:r>
        <w:rPr>
          <w:rFonts w:eastAsia="仿宋"/>
          <w:bCs/>
          <w:color w:val="auto"/>
          <w:sz w:val="28"/>
          <w:szCs w:val="28"/>
        </w:rPr>
        <w:t xml:space="preserve">项目编号：</w:t>
      </w:r>
      <w:r>
        <w:rPr>
          <w:rFonts w:eastAsia="仿宋"/>
          <w:bCs/>
          <w:color w:val="auto"/>
          <w:sz w:val="28"/>
          <w:szCs w:val="28"/>
          <w:u w:val="single"/>
        </w:rPr>
        <w:t xml:space="preserve">      </w:t>
      </w:r>
      <w:r>
        <w:rPr>
          <w:rFonts w:hint="eastAsia" w:eastAsia="仿宋"/>
          <w:bCs/>
          <w:color w:val="auto"/>
          <w:sz w:val="28"/>
          <w:szCs w:val="28"/>
          <w:u w:val="single"/>
        </w:rPr>
        <w:t xml:space="preserve">   </w:t>
      </w:r>
      <w:r>
        <w:rPr>
          <w:rFonts w:eastAsia="仿宋"/>
          <w:bCs/>
          <w:color w:val="auto"/>
          <w:sz w:val="28"/>
          <w:szCs w:val="28"/>
          <w:u w:val="single"/>
        </w:rPr>
        <w:t xml:space="preserve">       </w:t>
      </w:r>
      <w:r/>
    </w:p>
    <w:p>
      <w:pPr>
        <w:ind w:firstLine="560"/>
        <w:jc w:val="center"/>
        <w:spacing w:line="520" w:lineRule="exact"/>
        <w:rPr>
          <w:rFonts w:eastAsia="仿宋"/>
          <w:color w:val="auto"/>
          <w:sz w:val="28"/>
          <w:szCs w:val="28"/>
        </w:rPr>
      </w:pPr>
      <w:r>
        <w:rPr>
          <w:rFonts w:eastAsia="仿宋"/>
          <w:color w:val="auto"/>
          <w:sz w:val="28"/>
          <w:szCs w:val="28"/>
        </w:rPr>
        <w:t xml:space="preserve">（由</w:t>
      </w:r>
      <w:r>
        <w:rPr>
          <w:rFonts w:hint="eastAsia" w:eastAsia="仿宋"/>
          <w:color w:val="auto"/>
          <w:sz w:val="28"/>
          <w:szCs w:val="28"/>
        </w:rPr>
        <w:t xml:space="preserve">供应商</w:t>
      </w:r>
      <w:r>
        <w:rPr>
          <w:rFonts w:eastAsia="仿宋"/>
          <w:color w:val="auto"/>
          <w:sz w:val="28"/>
          <w:szCs w:val="28"/>
        </w:rPr>
        <w:t xml:space="preserve">据实填写，表格不够自行添加）</w:t>
      </w:r>
      <w:r/>
    </w:p>
    <w:tbl>
      <w:tblPr>
        <w:tblStyle w:val="78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磋商</w:t>
            </w:r>
            <w:r>
              <w:rPr>
                <w:rFonts w:eastAsia="黑体"/>
                <w:color w:val="auto"/>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响应</w:t>
            </w:r>
            <w:r>
              <w:rPr>
                <w:rFonts w:eastAsia="黑体"/>
                <w:color w:val="auto"/>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rPr>
            </w:pPr>
            <w:r>
              <w:rPr>
                <w:rFonts w:eastAsia="黑体"/>
                <w:color w:val="auto"/>
                <w:sz w:val="24"/>
              </w:rPr>
            </w:r>
            <w:r/>
          </w:p>
          <w:p>
            <w:pPr>
              <w:jc w:val="center"/>
              <w:spacing w:line="340" w:lineRule="exact"/>
              <w:rPr>
                <w:rFonts w:eastAsia="黑体"/>
                <w:color w:val="auto"/>
                <w:sz w:val="24"/>
              </w:rPr>
            </w:pPr>
            <w:r>
              <w:rPr>
                <w:rFonts w:eastAsia="黑体"/>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bl>
    <w:p>
      <w:pPr>
        <w:contextualSpacing/>
        <w:spacing w:line="300" w:lineRule="auto"/>
        <w:rPr>
          <w:rFonts w:eastAsia="仿宋"/>
          <w:b/>
          <w:bCs/>
          <w:color w:val="auto"/>
          <w:sz w:val="28"/>
          <w:szCs w:val="28"/>
        </w:rPr>
      </w:pPr>
      <w:r>
        <w:rPr>
          <w:rFonts w:eastAsia="仿宋"/>
          <w:b/>
          <w:bCs/>
          <w:color w:val="auto"/>
          <w:sz w:val="28"/>
          <w:szCs w:val="28"/>
        </w:rPr>
        <w:t xml:space="preserve">注：</w:t>
      </w:r>
      <w:r/>
    </w:p>
    <w:p>
      <w:pPr>
        <w:contextualSpacing/>
        <w:ind w:firstLine="560"/>
        <w:spacing w:line="300" w:lineRule="auto"/>
        <w:rPr>
          <w:rFonts w:eastAsia="仿宋"/>
          <w:color w:val="auto"/>
          <w:sz w:val="28"/>
          <w:szCs w:val="28"/>
        </w:rPr>
      </w:pPr>
      <w:r>
        <w:rPr>
          <w:rFonts w:eastAsia="仿宋"/>
          <w:color w:val="auto"/>
          <w:sz w:val="28"/>
          <w:szCs w:val="28"/>
        </w:rPr>
        <w:t xml:space="preserve">1.未说明偏离的，将被认为响应</w:t>
      </w:r>
      <w:r>
        <w:rPr>
          <w:rFonts w:hint="eastAsia" w:eastAsia="仿宋"/>
          <w:color w:val="auto"/>
          <w:sz w:val="28"/>
          <w:szCs w:val="28"/>
        </w:rPr>
        <w:t xml:space="preserve">磋商</w:t>
      </w:r>
      <w:r>
        <w:rPr>
          <w:rFonts w:eastAsia="仿宋"/>
          <w:color w:val="auto"/>
          <w:sz w:val="28"/>
          <w:szCs w:val="28"/>
        </w:rPr>
        <w:t xml:space="preserve">文件的规定，但该表不作为</w:t>
      </w:r>
      <w:r>
        <w:rPr>
          <w:rFonts w:hint="eastAsia" w:eastAsia="仿宋"/>
          <w:color w:val="auto"/>
          <w:sz w:val="28"/>
          <w:szCs w:val="28"/>
        </w:rPr>
        <w:t xml:space="preserve">供应商</w:t>
      </w:r>
      <w:r>
        <w:rPr>
          <w:rFonts w:eastAsia="仿宋"/>
          <w:color w:val="auto"/>
          <w:sz w:val="28"/>
          <w:szCs w:val="28"/>
        </w:rPr>
        <w:t xml:space="preserve">对所</w:t>
      </w:r>
      <w:r>
        <w:rPr>
          <w:rFonts w:hint="eastAsia" w:eastAsia="仿宋"/>
          <w:color w:val="auto"/>
          <w:sz w:val="28"/>
          <w:szCs w:val="28"/>
        </w:rPr>
        <w:t xml:space="preserve">响应</w:t>
      </w:r>
      <w:r>
        <w:rPr>
          <w:rFonts w:eastAsia="仿宋"/>
          <w:color w:val="auto"/>
          <w:sz w:val="28"/>
          <w:szCs w:val="28"/>
        </w:rPr>
        <w:t xml:space="preserve">内容关于商务部分等详细描述和说明的替代。</w:t>
      </w:r>
      <w:r/>
    </w:p>
    <w:p>
      <w:pPr>
        <w:contextualSpacing/>
        <w:ind w:firstLine="560"/>
        <w:spacing w:line="300" w:lineRule="auto"/>
        <w:rPr>
          <w:rFonts w:eastAsia="仿宋"/>
          <w:color w:val="auto"/>
          <w:sz w:val="28"/>
          <w:szCs w:val="28"/>
        </w:rPr>
      </w:pPr>
      <w:r>
        <w:rPr>
          <w:rFonts w:eastAsia="仿宋"/>
          <w:color w:val="auto"/>
          <w:sz w:val="28"/>
          <w:szCs w:val="28"/>
        </w:rPr>
        <w:t xml:space="preserve">2.如有偏离的，在“偏离说明”一栏选择“正偏离</w:t>
      </w:r>
      <w:r>
        <w:rPr>
          <w:rFonts w:hint="eastAsia" w:eastAsia="仿宋"/>
          <w:color w:val="auto"/>
          <w:sz w:val="28"/>
          <w:szCs w:val="28"/>
        </w:rPr>
        <w:t xml:space="preserve">”“</w:t>
      </w:r>
      <w:r>
        <w:rPr>
          <w:rFonts w:eastAsia="仿宋"/>
          <w:color w:val="auto"/>
          <w:sz w:val="28"/>
          <w:szCs w:val="28"/>
        </w:rPr>
        <w:t xml:space="preserve">负偏离”进行填写。正偏离、负偏离的确认和负偏离的是否响应</w:t>
      </w:r>
      <w:r>
        <w:rPr>
          <w:rFonts w:hint="eastAsia" w:eastAsia="仿宋"/>
          <w:color w:val="auto"/>
          <w:sz w:val="28"/>
          <w:szCs w:val="28"/>
        </w:rPr>
        <w:t xml:space="preserve">磋商</w:t>
      </w:r>
      <w:r>
        <w:rPr>
          <w:rFonts w:eastAsia="仿宋"/>
          <w:color w:val="auto"/>
          <w:sz w:val="28"/>
          <w:szCs w:val="28"/>
        </w:rPr>
        <w:t xml:space="preserve">文件，由</w:t>
      </w:r>
      <w:r>
        <w:rPr>
          <w:rFonts w:hint="eastAsia" w:eastAsia="仿宋"/>
          <w:color w:val="auto"/>
          <w:sz w:val="28"/>
          <w:szCs w:val="28"/>
        </w:rPr>
        <w:t xml:space="preserve">磋商小组</w:t>
      </w:r>
      <w:r>
        <w:rPr>
          <w:rFonts w:eastAsia="仿宋"/>
          <w:color w:val="auto"/>
          <w:sz w:val="28"/>
          <w:szCs w:val="28"/>
        </w:rPr>
        <w:t xml:space="preserve">认定。</w:t>
      </w:r>
      <w:r/>
    </w:p>
    <w:p>
      <w:pPr>
        <w:contextualSpacing/>
        <w:ind w:firstLine="560"/>
        <w:spacing w:line="300" w:lineRule="auto"/>
        <w:rPr>
          <w:rFonts w:eastAsia="仿宋"/>
          <w:bCs/>
          <w:color w:val="auto"/>
          <w:sz w:val="28"/>
          <w:szCs w:val="28"/>
        </w:rPr>
      </w:pPr>
      <w:r>
        <w:rPr>
          <w:rFonts w:eastAsia="仿宋"/>
          <w:bCs/>
          <w:color w:val="auto"/>
          <w:sz w:val="28"/>
          <w:szCs w:val="28"/>
        </w:rPr>
        <w:t xml:space="preserve">3.</w:t>
      </w:r>
      <w:r>
        <w:rPr>
          <w:rFonts w:hint="eastAsia" w:eastAsia="仿宋"/>
          <w:bCs/>
          <w:color w:val="auto"/>
          <w:sz w:val="28"/>
          <w:szCs w:val="28"/>
        </w:rPr>
        <w:t xml:space="preserve">供应商</w:t>
      </w:r>
      <w:r>
        <w:rPr>
          <w:rFonts w:eastAsia="仿宋"/>
          <w:bCs/>
          <w:color w:val="auto"/>
          <w:sz w:val="28"/>
          <w:szCs w:val="28"/>
        </w:rPr>
        <w:t xml:space="preserve">若提供其他增值服务，可以在表中自行据实填写。</w:t>
      </w:r>
      <w:r/>
    </w:p>
    <w:p>
      <w:pPr>
        <w:contextualSpacing/>
        <w:ind w:firstLine="540"/>
        <w:spacing w:line="400" w:lineRule="exact"/>
        <w:rPr>
          <w:rFonts w:eastAsia="仿宋"/>
          <w:b/>
          <w:color w:val="auto"/>
          <w:sz w:val="28"/>
          <w:szCs w:val="28"/>
        </w:rPr>
      </w:pPr>
      <w:r>
        <w:rPr>
          <w:rFonts w:eastAsia="仿宋"/>
          <w:b/>
          <w:color w:val="auto"/>
          <w:sz w:val="28"/>
          <w:szCs w:val="28"/>
        </w:rPr>
      </w:r>
      <w:r/>
    </w:p>
    <w:p>
      <w:pPr>
        <w:contextualSpacing/>
        <w:ind w:firstLine="540"/>
        <w:spacing w:line="400" w:lineRule="exact"/>
        <w:rPr>
          <w:rFonts w:eastAsia="仿宋"/>
          <w:b/>
          <w:color w:val="auto"/>
          <w:sz w:val="28"/>
          <w:szCs w:val="28"/>
        </w:rPr>
      </w:pPr>
      <w:r>
        <w:rPr>
          <w:rFonts w:eastAsia="仿宋"/>
          <w:b/>
          <w:color w:val="auto"/>
          <w:sz w:val="28"/>
          <w:szCs w:val="28"/>
        </w:rPr>
      </w:r>
      <w:r/>
    </w:p>
    <w:p>
      <w:pPr>
        <w:contextualSpacing/>
        <w:ind w:firstLine="560"/>
        <w:spacing w:line="300" w:lineRule="auto"/>
        <w:rPr>
          <w:rFonts w:eastAsia="仿宋"/>
          <w:color w:val="auto"/>
          <w:sz w:val="28"/>
          <w:szCs w:val="28"/>
        </w:rPr>
      </w:pPr>
      <w:r>
        <w:rPr>
          <w:rFonts w:eastAsia="仿宋"/>
          <w:color w:val="auto"/>
          <w:sz w:val="28"/>
          <w:szCs w:val="28"/>
        </w:rPr>
      </w:r>
      <w:r/>
    </w:p>
    <w:p>
      <w:pPr>
        <w:contextualSpacing/>
        <w:ind w:firstLine="3080"/>
        <w:spacing w:line="300" w:lineRule="auto"/>
        <w:rPr>
          <w:rFonts w:eastAsia="仿宋"/>
          <w:color w:val="auto"/>
          <w:sz w:val="28"/>
          <w:szCs w:val="28"/>
        </w:rPr>
      </w:pPr>
      <w:r>
        <w:rPr>
          <w:rFonts w:hint="eastAsia" w:eastAsia="仿宋"/>
          <w:color w:val="auto"/>
          <w:sz w:val="28"/>
          <w:szCs w:val="28"/>
        </w:rPr>
        <w:t xml:space="preserve">供应商</w:t>
      </w:r>
      <w:r>
        <w:rPr>
          <w:rFonts w:eastAsia="仿宋"/>
          <w:color w:val="auto"/>
          <w:sz w:val="28"/>
          <w:szCs w:val="28"/>
        </w:rPr>
        <w:t xml:space="preserve">名称（</w:t>
      </w:r>
      <w:r>
        <w:rPr>
          <w:rFonts w:hint="eastAsia" w:eastAsia="仿宋"/>
          <w:bCs/>
          <w:color w:val="auto"/>
          <w:sz w:val="28"/>
          <w:szCs w:val="28"/>
        </w:rPr>
        <w:t xml:space="preserve">加盖</w:t>
      </w:r>
      <w:r>
        <w:rPr>
          <w:rFonts w:eastAsia="仿宋"/>
          <w:color w:val="auto"/>
          <w:sz w:val="28"/>
          <w:szCs w:val="28"/>
        </w:rPr>
        <w:t xml:space="preserve">公章）：</w:t>
      </w:r>
      <w:r>
        <w:rPr>
          <w:rFonts w:eastAsia="仿宋"/>
          <w:color w:val="auto"/>
          <w:sz w:val="28"/>
          <w:szCs w:val="28"/>
          <w:u w:val="single"/>
        </w:rPr>
        <w:t xml:space="preserve">                  </w:t>
      </w:r>
      <w:r/>
    </w:p>
    <w:p>
      <w:pPr>
        <w:contextualSpacing/>
        <w:ind w:firstLine="3080"/>
        <w:spacing w:line="300" w:lineRule="auto"/>
        <w:rPr>
          <w:rFonts w:eastAsia="仿宋"/>
          <w:color w:val="auto"/>
          <w:sz w:val="28"/>
          <w:szCs w:val="28"/>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contextualSpacing/>
        <w:ind w:firstLine="480"/>
        <w:spacing w:line="300" w:lineRule="auto"/>
        <w:rPr>
          <w:color w:val="auto"/>
          <w:sz w:val="24"/>
        </w:rPr>
      </w:pPr>
      <w:r>
        <w:rPr>
          <w:color w:val="auto"/>
          <w:sz w:val="24"/>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技术部分正负偏离表</w:t>
      </w:r>
      <w:r/>
    </w:p>
    <w:p>
      <w:pPr>
        <w:spacing w:line="520" w:lineRule="exact"/>
        <w:rPr>
          <w:rFonts w:eastAsia="仿宋"/>
          <w:color w:val="auto"/>
          <w:sz w:val="28"/>
          <w:szCs w:val="28"/>
        </w:rPr>
      </w:pPr>
      <w:r>
        <w:rPr>
          <w:rFonts w:eastAsia="仿宋"/>
          <w:bCs/>
          <w:color w:val="auto"/>
          <w:sz w:val="28"/>
          <w:szCs w:val="28"/>
        </w:rPr>
        <w:t xml:space="preserve">项目</w:t>
      </w:r>
      <w:r>
        <w:rPr>
          <w:rFonts w:hint="eastAsia" w:eastAsia="仿宋"/>
          <w:bCs/>
          <w:color w:val="auto"/>
          <w:sz w:val="28"/>
          <w:szCs w:val="28"/>
        </w:rPr>
        <w:t xml:space="preserve">编号：</w:t>
      </w:r>
      <w:r>
        <w:rPr>
          <w:rFonts w:eastAsia="仿宋"/>
          <w:color w:val="auto"/>
          <w:sz w:val="28"/>
          <w:szCs w:val="28"/>
          <w:u w:val="single"/>
        </w:rPr>
        <w:t xml:space="preserve">                    </w:t>
      </w:r>
      <w:r/>
    </w:p>
    <w:p>
      <w:pPr>
        <w:ind w:firstLine="560"/>
        <w:jc w:val="center"/>
        <w:spacing w:line="520" w:lineRule="exact"/>
        <w:rPr>
          <w:rFonts w:eastAsia="仿宋"/>
          <w:color w:val="auto"/>
          <w:sz w:val="28"/>
          <w:szCs w:val="28"/>
        </w:rPr>
      </w:pPr>
      <w:r>
        <w:rPr>
          <w:rFonts w:eastAsia="仿宋"/>
          <w:color w:val="auto"/>
          <w:sz w:val="28"/>
          <w:szCs w:val="28"/>
        </w:rPr>
        <w:t xml:space="preserve">（由</w:t>
      </w:r>
      <w:r>
        <w:rPr>
          <w:rFonts w:hint="eastAsia" w:eastAsia="仿宋"/>
          <w:color w:val="auto"/>
          <w:sz w:val="28"/>
          <w:szCs w:val="28"/>
        </w:rPr>
        <w:t xml:space="preserve">供应商</w:t>
      </w:r>
      <w:r>
        <w:rPr>
          <w:rFonts w:eastAsia="仿宋"/>
          <w:color w:val="auto"/>
          <w:sz w:val="28"/>
          <w:szCs w:val="28"/>
        </w:rPr>
        <w:t xml:space="preserve">据实填写，表格不够自行添加）</w:t>
      </w:r>
      <w:r/>
    </w:p>
    <w:tbl>
      <w:tblPr>
        <w:tblStyle w:val="78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磋商</w:t>
            </w:r>
            <w:r>
              <w:rPr>
                <w:rFonts w:eastAsia="黑体"/>
                <w:color w:val="auto"/>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响应</w:t>
            </w:r>
            <w:r>
              <w:rPr>
                <w:rFonts w:eastAsia="黑体"/>
                <w:color w:val="auto"/>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rPr>
            </w:pPr>
            <w:r>
              <w:rPr>
                <w:rFonts w:eastAsia="黑体"/>
                <w:color w:val="auto"/>
                <w:sz w:val="24"/>
              </w:rPr>
            </w:r>
            <w:r/>
          </w:p>
          <w:p>
            <w:pPr>
              <w:jc w:val="center"/>
              <w:spacing w:line="340" w:lineRule="exact"/>
              <w:rPr>
                <w:rFonts w:eastAsia="黑体"/>
                <w:color w:val="auto"/>
                <w:sz w:val="24"/>
              </w:rPr>
            </w:pPr>
            <w:r>
              <w:rPr>
                <w:rFonts w:eastAsia="黑体"/>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bl>
    <w:p>
      <w:pPr>
        <w:contextualSpacing/>
        <w:spacing w:line="300" w:lineRule="auto"/>
        <w:rPr>
          <w:rFonts w:eastAsia="仿宋"/>
          <w:b/>
          <w:bCs/>
          <w:color w:val="auto"/>
          <w:sz w:val="28"/>
          <w:szCs w:val="28"/>
        </w:rPr>
      </w:pPr>
      <w:r>
        <w:rPr>
          <w:rFonts w:eastAsia="仿宋"/>
          <w:b/>
          <w:bCs/>
          <w:color w:val="auto"/>
          <w:sz w:val="28"/>
          <w:szCs w:val="28"/>
        </w:rPr>
        <w:t xml:space="preserve">注：</w:t>
      </w:r>
      <w:r/>
    </w:p>
    <w:p>
      <w:pPr>
        <w:contextualSpacing/>
        <w:ind w:firstLine="560"/>
        <w:spacing w:line="300" w:lineRule="auto"/>
        <w:rPr>
          <w:rFonts w:eastAsia="仿宋"/>
          <w:color w:val="auto"/>
          <w:sz w:val="28"/>
          <w:szCs w:val="28"/>
        </w:rPr>
      </w:pPr>
      <w:r>
        <w:rPr>
          <w:rFonts w:eastAsia="仿宋"/>
          <w:color w:val="auto"/>
          <w:sz w:val="28"/>
          <w:szCs w:val="28"/>
        </w:rPr>
        <w:t xml:space="preserve">1.未说明偏离的，将被认为响应</w:t>
      </w:r>
      <w:r>
        <w:rPr>
          <w:rFonts w:hint="eastAsia" w:eastAsia="仿宋"/>
          <w:color w:val="auto"/>
          <w:sz w:val="28"/>
          <w:szCs w:val="28"/>
        </w:rPr>
        <w:t xml:space="preserve">磋商</w:t>
      </w:r>
      <w:r>
        <w:rPr>
          <w:rFonts w:eastAsia="仿宋"/>
          <w:color w:val="auto"/>
          <w:sz w:val="28"/>
          <w:szCs w:val="28"/>
        </w:rPr>
        <w:t xml:space="preserve">文件的规定，但该表不作为</w:t>
      </w:r>
      <w:r>
        <w:rPr>
          <w:rFonts w:hint="eastAsia" w:eastAsia="仿宋"/>
          <w:color w:val="auto"/>
          <w:sz w:val="28"/>
          <w:szCs w:val="28"/>
        </w:rPr>
        <w:t xml:space="preserve">供应商</w:t>
      </w:r>
      <w:r>
        <w:rPr>
          <w:rFonts w:eastAsia="仿宋"/>
          <w:color w:val="auto"/>
          <w:sz w:val="28"/>
          <w:szCs w:val="28"/>
        </w:rPr>
        <w:t xml:space="preserve">对所</w:t>
      </w:r>
      <w:r>
        <w:rPr>
          <w:rFonts w:hint="eastAsia" w:eastAsia="仿宋"/>
          <w:color w:val="auto"/>
          <w:sz w:val="28"/>
          <w:szCs w:val="28"/>
        </w:rPr>
        <w:t xml:space="preserve">响应</w:t>
      </w:r>
      <w:r>
        <w:rPr>
          <w:rFonts w:eastAsia="仿宋"/>
          <w:color w:val="auto"/>
          <w:sz w:val="28"/>
          <w:szCs w:val="28"/>
        </w:rPr>
        <w:t xml:space="preserve">内容关于技术部分等详细描述和说明的替代。</w:t>
      </w:r>
      <w:r/>
    </w:p>
    <w:p>
      <w:pPr>
        <w:contextualSpacing/>
        <w:ind w:firstLine="560"/>
        <w:spacing w:line="300" w:lineRule="auto"/>
        <w:rPr>
          <w:rFonts w:eastAsia="仿宋"/>
          <w:color w:val="auto"/>
          <w:sz w:val="28"/>
          <w:szCs w:val="28"/>
        </w:rPr>
      </w:pPr>
      <w:r>
        <w:rPr>
          <w:rFonts w:eastAsia="仿宋"/>
          <w:color w:val="auto"/>
          <w:sz w:val="28"/>
          <w:szCs w:val="28"/>
        </w:rPr>
        <w:t xml:space="preserve">2. 如有偏离的，在“偏离说明”一栏选择“正偏离</w:t>
      </w:r>
      <w:r>
        <w:rPr>
          <w:rFonts w:hint="eastAsia" w:eastAsia="仿宋"/>
          <w:color w:val="auto"/>
          <w:sz w:val="28"/>
          <w:szCs w:val="28"/>
        </w:rPr>
        <w:t xml:space="preserve">”“</w:t>
      </w:r>
      <w:r>
        <w:rPr>
          <w:rFonts w:eastAsia="仿宋"/>
          <w:color w:val="auto"/>
          <w:sz w:val="28"/>
          <w:szCs w:val="28"/>
        </w:rPr>
        <w:t xml:space="preserve">负偏离”进行填写。正偏离、负偏离的确认和负偏离的是否响应</w:t>
      </w:r>
      <w:r>
        <w:rPr>
          <w:rFonts w:hint="eastAsia" w:eastAsia="仿宋"/>
          <w:color w:val="auto"/>
          <w:sz w:val="28"/>
          <w:szCs w:val="28"/>
        </w:rPr>
        <w:t xml:space="preserve">磋商</w:t>
      </w:r>
      <w:r>
        <w:rPr>
          <w:rFonts w:eastAsia="仿宋"/>
          <w:color w:val="auto"/>
          <w:sz w:val="28"/>
          <w:szCs w:val="28"/>
        </w:rPr>
        <w:t xml:space="preserve">文件，由</w:t>
      </w:r>
      <w:r>
        <w:rPr>
          <w:rFonts w:hint="eastAsia" w:eastAsia="仿宋"/>
          <w:color w:val="auto"/>
          <w:sz w:val="28"/>
          <w:szCs w:val="28"/>
        </w:rPr>
        <w:t xml:space="preserve">磋商小组</w:t>
      </w:r>
      <w:r>
        <w:rPr>
          <w:rFonts w:eastAsia="仿宋"/>
          <w:color w:val="auto"/>
          <w:sz w:val="28"/>
          <w:szCs w:val="28"/>
        </w:rPr>
        <w:t xml:space="preserve">认定。</w:t>
      </w:r>
      <w:r/>
    </w:p>
    <w:p>
      <w:pPr>
        <w:contextualSpacing/>
        <w:ind w:firstLine="560"/>
        <w:spacing w:line="300" w:lineRule="auto"/>
        <w:rPr>
          <w:rFonts w:eastAsia="仿宋"/>
          <w:color w:val="auto"/>
          <w:sz w:val="28"/>
          <w:szCs w:val="28"/>
        </w:rPr>
      </w:pPr>
      <w:r>
        <w:rPr>
          <w:rFonts w:eastAsia="仿宋"/>
          <w:color w:val="auto"/>
          <w:sz w:val="28"/>
          <w:szCs w:val="28"/>
        </w:rPr>
        <w:t xml:space="preserve">3.</w:t>
      </w:r>
      <w:r>
        <w:rPr>
          <w:rFonts w:hint="eastAsia" w:eastAsia="仿宋"/>
          <w:color w:val="auto"/>
          <w:sz w:val="28"/>
          <w:szCs w:val="28"/>
        </w:rPr>
        <w:t xml:space="preserve">供应商</w:t>
      </w:r>
      <w:r>
        <w:rPr>
          <w:rFonts w:eastAsia="仿宋"/>
          <w:color w:val="auto"/>
          <w:sz w:val="28"/>
          <w:szCs w:val="28"/>
        </w:rPr>
        <w:t xml:space="preserve">若提供其他增值服务，可以在表中自行据实填写。</w:t>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3080"/>
        <w:spacing w:line="300" w:lineRule="auto"/>
        <w:rPr>
          <w:rFonts w:eastAsia="仿宋"/>
          <w:color w:val="auto"/>
          <w:sz w:val="28"/>
          <w:szCs w:val="28"/>
        </w:rPr>
      </w:pPr>
      <w:r>
        <w:rPr>
          <w:rFonts w:hint="eastAsia" w:eastAsia="仿宋"/>
          <w:color w:val="auto"/>
          <w:sz w:val="28"/>
          <w:szCs w:val="28"/>
        </w:rPr>
        <w:t xml:space="preserve">供应商</w:t>
      </w:r>
      <w:r>
        <w:rPr>
          <w:rFonts w:eastAsia="仿宋"/>
          <w:color w:val="auto"/>
          <w:sz w:val="28"/>
          <w:szCs w:val="28"/>
        </w:rPr>
        <w:t xml:space="preserve">名称（</w:t>
      </w:r>
      <w:r>
        <w:rPr>
          <w:rFonts w:hint="eastAsia" w:eastAsia="仿宋"/>
          <w:bCs/>
          <w:color w:val="auto"/>
          <w:sz w:val="28"/>
          <w:szCs w:val="28"/>
        </w:rPr>
        <w:t xml:space="preserve">加盖</w:t>
      </w:r>
      <w:r>
        <w:rPr>
          <w:rFonts w:eastAsia="仿宋"/>
          <w:color w:val="auto"/>
          <w:sz w:val="28"/>
          <w:szCs w:val="28"/>
        </w:rPr>
        <w:t xml:space="preserve">公章）：</w:t>
      </w:r>
      <w:r>
        <w:rPr>
          <w:rFonts w:eastAsia="仿宋"/>
          <w:color w:val="auto"/>
          <w:sz w:val="28"/>
          <w:szCs w:val="28"/>
          <w:u w:val="single"/>
        </w:rPr>
        <w:t xml:space="preserve">                  </w:t>
      </w:r>
      <w:r/>
    </w:p>
    <w:p>
      <w:pPr>
        <w:contextualSpacing/>
        <w:ind w:firstLine="3080"/>
        <w:spacing w:line="300" w:lineRule="auto"/>
        <w:rPr>
          <w:rFonts w:eastAsia="方正黑体_GBK"/>
          <w:color w:val="auto"/>
          <w:sz w:val="32"/>
          <w:szCs w:val="32"/>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jc w:val="left"/>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left"/>
        <w:widowControl/>
        <w:rPr>
          <w:b/>
          <w:color w:val="auto"/>
          <w:sz w:val="32"/>
          <w:szCs w:val="32"/>
        </w:rPr>
      </w:pPr>
      <w:r>
        <w:rPr>
          <w:rFonts w:hint="eastAsia" w:ascii="宋体" w:hAnsi="宋体" w:eastAsia="宋体" w:cs="宋体"/>
          <w:b/>
          <w:bCs/>
          <w:color w:val="auto"/>
          <w:sz w:val="32"/>
          <w:szCs w:val="32"/>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分项报价明细表（服务类）</w:t>
      </w:r>
      <w:r/>
    </w:p>
    <w:p>
      <w:pPr>
        <w:keepLines w:val="0"/>
        <w:keepNext w:val="0"/>
        <w:pageBreakBefore w:val="0"/>
        <w:spacing w:line="500" w:lineRule="exact"/>
        <w:widowControl w:val="off"/>
        <w:rPr>
          <w:rFonts w:eastAsia="仿宋_GB2312"/>
          <w:color w:val="auto"/>
          <w:sz w:val="28"/>
          <w:szCs w:val="28"/>
          <w:highlight w:val="yellow"/>
        </w:rPr>
      </w:pPr>
      <w:r>
        <w:rPr>
          <w:rFonts w:eastAsia="仿宋"/>
          <w:bCs/>
          <w:color w:val="auto"/>
          <w:sz w:val="28"/>
          <w:szCs w:val="28"/>
        </w:rPr>
        <w:t xml:space="preserve">项目编号：</w:t>
      </w:r>
      <w:r>
        <w:rPr>
          <w:rFonts w:eastAsia="仿宋"/>
          <w:color w:val="auto"/>
          <w:sz w:val="28"/>
          <w:szCs w:val="28"/>
          <w:u w:val="single"/>
        </w:rPr>
        <w:t xml:space="preserve">                      </w:t>
      </w:r>
      <w:r/>
    </w:p>
    <w:p>
      <w:pPr>
        <w:keepLines w:val="0"/>
        <w:keepNext w:val="0"/>
        <w:pageBreakBefore w:val="0"/>
        <w:spacing w:line="500" w:lineRule="exact"/>
        <w:widowControl w:val="off"/>
        <w:rPr>
          <w:rFonts w:eastAsia="仿宋_GB2312"/>
          <w:color w:val="auto"/>
          <w:sz w:val="28"/>
          <w:szCs w:val="28"/>
        </w:rPr>
      </w:pPr>
      <w:r>
        <w:rPr>
          <w:rFonts w:hint="eastAsia" w:eastAsia="仿宋_GB2312"/>
          <w:color w:val="auto"/>
          <w:sz w:val="28"/>
          <w:szCs w:val="28"/>
        </w:rPr>
        <w:t xml:space="preserve">供应商</w:t>
      </w:r>
      <w:r>
        <w:rPr>
          <w:rFonts w:eastAsia="仿宋_GB2312"/>
          <w:color w:val="auto"/>
          <w:sz w:val="28"/>
          <w:szCs w:val="28"/>
        </w:rPr>
        <w:t xml:space="preserve">名称（</w:t>
      </w:r>
      <w:r>
        <w:rPr>
          <w:rFonts w:hint="eastAsia" w:eastAsia="仿宋"/>
          <w:bCs/>
          <w:color w:val="auto"/>
          <w:sz w:val="28"/>
          <w:szCs w:val="28"/>
        </w:rPr>
        <w:t xml:space="preserve">加盖公章</w:t>
      </w:r>
      <w:r>
        <w:rPr>
          <w:rFonts w:eastAsia="仿宋_GB2312"/>
          <w:color w:val="auto"/>
          <w:sz w:val="28"/>
          <w:szCs w:val="28"/>
        </w:rPr>
        <w:t xml:space="preserve">）：                            年  月  日</w:t>
      </w:r>
      <w:r/>
    </w:p>
    <w:tbl>
      <w:tblPr>
        <w:tblStyle w:val="784"/>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1162"/>
        <w:gridCol w:w="1404"/>
      </w:tblGrid>
      <w:tr>
        <w:trPr>
          <w:cantSplit/>
          <w:jc w:val="center"/>
          <w:trHeight w:val="624" w:hRule="exact"/>
        </w:trPr>
        <w:tc>
          <w:tcPr>
            <w:tcW w:w="971" w:type="dxa"/>
            <w:vAlign w:val="center"/>
            <w:textDirection w:val="lrTb"/>
            <w:noWrap w:val="false"/>
          </w:tcPr>
          <w:p>
            <w:pPr>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序号</w:t>
            </w:r>
            <w:r/>
          </w:p>
        </w:tc>
        <w:tc>
          <w:tcPr>
            <w:tcW w:w="1321" w:type="dxa"/>
            <w:vAlign w:val="center"/>
            <w:textDirection w:val="lrTb"/>
            <w:noWrap w:val="false"/>
          </w:tcPr>
          <w:p>
            <w:pPr>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名称</w:t>
            </w:r>
            <w:r/>
          </w:p>
        </w:tc>
        <w:tc>
          <w:tcPr>
            <w:tcW w:w="1417" w:type="dxa"/>
            <w:vAlign w:val="center"/>
            <w:textDirection w:val="lrTb"/>
            <w:noWrap w:val="false"/>
          </w:tcPr>
          <w:p>
            <w:pPr>
              <w:jc w:val="center"/>
              <w:spacing w:line="360" w:lineRule="auto"/>
              <w:rPr>
                <w:rFonts w:hint="eastAsia" w:ascii="黑体" w:hAnsi="黑体" w:eastAsia="黑体" w:cs="黑体"/>
                <w:bCs/>
                <w:color w:val="000000"/>
                <w:szCs w:val="21"/>
                <w:highlight w:val="none"/>
                <w:lang w:eastAsia="zh-CN"/>
              </w:rPr>
            </w:pPr>
            <w:r>
              <w:rPr>
                <w:rFonts w:hint="eastAsia" w:ascii="黑体" w:hAnsi="黑体" w:eastAsia="黑体" w:cs="黑体"/>
                <w:bCs/>
                <w:color w:val="000000"/>
                <w:szCs w:val="21"/>
                <w:highlight w:val="none"/>
              </w:rPr>
              <w:t xml:space="preserve">服务</w:t>
            </w:r>
            <w:r>
              <w:rPr>
                <w:rFonts w:hint="eastAsia" w:ascii="黑体" w:hAnsi="黑体" w:eastAsia="黑体" w:cs="黑体"/>
                <w:bCs/>
                <w:color w:val="000000"/>
                <w:szCs w:val="21"/>
                <w:highlight w:val="none"/>
                <w:lang w:val="en-US" w:eastAsia="zh-CN"/>
              </w:rPr>
              <w:t xml:space="preserve">内容</w:t>
            </w:r>
            <w:r/>
          </w:p>
        </w:tc>
        <w:tc>
          <w:tcPr>
            <w:tcW w:w="1418" w:type="dxa"/>
            <w:vAlign w:val="center"/>
            <w:textDirection w:val="lrTb"/>
            <w:noWrap w:val="false"/>
          </w:tcPr>
          <w:p>
            <w:pPr>
              <w:jc w:val="center"/>
              <w:spacing w:line="360" w:lineRule="auto"/>
              <w:rPr>
                <w:rFonts w:hint="eastAsia" w:ascii="黑体" w:hAnsi="黑体" w:eastAsia="黑体" w:cs="黑体"/>
                <w:bCs/>
                <w:color w:val="000000"/>
                <w:szCs w:val="21"/>
                <w:highlight w:val="none"/>
                <w:lang w:eastAsia="zh-CN"/>
              </w:rPr>
            </w:pPr>
            <w:r>
              <w:rPr>
                <w:rFonts w:hint="eastAsia" w:ascii="黑体" w:hAnsi="黑体" w:eastAsia="黑体" w:cs="黑体"/>
                <w:bCs/>
                <w:color w:val="000000"/>
                <w:szCs w:val="21"/>
                <w:highlight w:val="none"/>
              </w:rPr>
              <w:t xml:space="preserve">服务</w:t>
            </w:r>
            <w:r>
              <w:rPr>
                <w:rFonts w:hint="eastAsia" w:ascii="黑体" w:hAnsi="黑体" w:eastAsia="黑体" w:cs="黑体"/>
                <w:bCs/>
                <w:color w:val="000000"/>
                <w:szCs w:val="21"/>
                <w:highlight w:val="none"/>
                <w:lang w:val="en-US" w:eastAsia="zh-CN"/>
              </w:rPr>
              <w:t xml:space="preserve">周期</w:t>
            </w:r>
            <w:r/>
          </w:p>
        </w:tc>
        <w:tc>
          <w:tcPr>
            <w:tcW w:w="1275" w:type="dxa"/>
            <w:vAlign w:val="center"/>
            <w:textDirection w:val="lrTb"/>
            <w:noWrap w:val="false"/>
          </w:tcPr>
          <w:p>
            <w:pPr>
              <w:jc w:val="center"/>
              <w:spacing w:line="360" w:lineRule="auto"/>
              <w:rPr>
                <w:rFonts w:hint="eastAsia" w:ascii="黑体" w:hAnsi="黑体" w:eastAsia="黑体" w:cs="黑体"/>
                <w:bCs/>
                <w:color w:val="000000"/>
                <w:szCs w:val="21"/>
                <w:highlight w:val="none"/>
                <w:lang w:val="en-US" w:eastAsia="zh-CN"/>
              </w:rPr>
            </w:pPr>
            <w:r>
              <w:rPr>
                <w:rFonts w:hint="eastAsia" w:ascii="黑体" w:hAnsi="黑体" w:eastAsia="黑体" w:cs="黑体"/>
                <w:bCs/>
                <w:color w:val="000000"/>
                <w:szCs w:val="21"/>
                <w:highlight w:val="none"/>
                <w:lang w:val="en-US" w:eastAsia="zh-CN"/>
              </w:rPr>
              <w:t xml:space="preserve">数量</w:t>
            </w:r>
            <w:r/>
          </w:p>
        </w:tc>
        <w:tc>
          <w:tcPr>
            <w:tcW w:w="1276" w:type="dxa"/>
            <w:vAlign w:val="center"/>
            <w:textDirection w:val="lrTb"/>
            <w:noWrap w:val="false"/>
          </w:tcPr>
          <w:p>
            <w:pPr>
              <w:jc w:val="center"/>
              <w:spacing w:line="360" w:lineRule="auto"/>
              <w:rPr>
                <w:rFonts w:hint="eastAsia" w:ascii="黑体" w:hAnsi="黑体" w:eastAsia="黑体" w:cs="黑体"/>
                <w:bCs/>
                <w:color w:val="000000"/>
                <w:szCs w:val="21"/>
                <w:highlight w:val="none"/>
                <w:lang w:val="en-US" w:eastAsia="zh-CN"/>
              </w:rPr>
            </w:pPr>
            <w:r>
              <w:rPr>
                <w:rFonts w:hint="eastAsia" w:ascii="黑体" w:hAnsi="黑体" w:eastAsia="黑体" w:cs="黑体"/>
                <w:bCs/>
                <w:color w:val="000000"/>
                <w:szCs w:val="21"/>
                <w:highlight w:val="none"/>
                <w:lang w:val="en-US" w:eastAsia="zh-CN"/>
              </w:rPr>
              <w:t xml:space="preserve">单位</w:t>
            </w:r>
            <w:r/>
          </w:p>
        </w:tc>
        <w:tc>
          <w:tcPr>
            <w:tcW w:w="1162" w:type="dxa"/>
            <w:vAlign w:val="center"/>
            <w:textDirection w:val="lrTb"/>
            <w:noWrap w:val="false"/>
          </w:tcPr>
          <w:p>
            <w:pPr>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金额</w:t>
            </w:r>
            <w:r/>
          </w:p>
        </w:tc>
        <w:tc>
          <w:tcPr>
            <w:tcW w:w="1404" w:type="dxa"/>
            <w:vAlign w:val="center"/>
            <w:textDirection w:val="lrTb"/>
            <w:noWrap w:val="false"/>
          </w:tcPr>
          <w:p>
            <w:pPr>
              <w:ind w:firstLine="105"/>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eastAsia="仿宋_GB2312"/>
                <w:color w:val="000000"/>
                <w:szCs w:val="21"/>
                <w:highlight w:val="none"/>
              </w:rPr>
            </w:pPr>
            <w:r>
              <w:rPr>
                <w:rFonts w:eastAsia="仿宋_GB2312"/>
                <w:color w:val="000000"/>
                <w:szCs w:val="21"/>
                <w:highlight w:val="none"/>
              </w:rPr>
              <w:t xml:space="preserve">1</w:t>
            </w:r>
            <w:r/>
          </w:p>
        </w:tc>
        <w:tc>
          <w:tcPr>
            <w:tcW w:w="1321"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7"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8"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5"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6"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162"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04"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r>
      <w:tr>
        <w:trPr>
          <w:cantSplit/>
          <w:jc w:val="center"/>
          <w:trHeight w:val="502"/>
        </w:trPr>
        <w:tc>
          <w:tcPr>
            <w:tcW w:w="971" w:type="dxa"/>
            <w:vAlign w:val="center"/>
            <w:textDirection w:val="lrTb"/>
            <w:noWrap w:val="false"/>
          </w:tcPr>
          <w:p>
            <w:pPr>
              <w:jc w:val="center"/>
              <w:spacing w:line="360" w:lineRule="auto"/>
              <w:rPr>
                <w:rFonts w:eastAsia="仿宋_GB2312"/>
                <w:color w:val="000000"/>
                <w:szCs w:val="21"/>
                <w:highlight w:val="none"/>
              </w:rPr>
            </w:pPr>
            <w:r>
              <w:rPr>
                <w:rFonts w:eastAsia="仿宋_GB2312"/>
                <w:color w:val="000000"/>
                <w:szCs w:val="21"/>
                <w:highlight w:val="none"/>
              </w:rPr>
              <w:t xml:space="preserve">2</w:t>
            </w:r>
            <w:r/>
          </w:p>
        </w:tc>
        <w:tc>
          <w:tcPr>
            <w:tcW w:w="1321"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7"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8"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5"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6"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162"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04"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highlight w:val="none"/>
              </w:rPr>
            </w:pPr>
            <w:r>
              <w:rPr>
                <w:rFonts w:eastAsia="仿宋_GB2312"/>
                <w:color w:val="000000"/>
                <w:szCs w:val="21"/>
                <w:highlight w:val="none"/>
              </w:rPr>
              <w:t xml:space="preserve">3</w:t>
            </w:r>
            <w:r/>
          </w:p>
        </w:tc>
        <w:tc>
          <w:tcPr>
            <w:tcW w:w="1321"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7"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8"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5"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6"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162"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04"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highlight w:val="none"/>
              </w:rPr>
            </w:pPr>
            <w:r>
              <w:rPr>
                <w:rFonts w:eastAsia="仿宋_GB2312"/>
                <w:color w:val="000000"/>
                <w:szCs w:val="21"/>
                <w:highlight w:val="none"/>
              </w:rPr>
              <w:t xml:space="preserve">4</w:t>
            </w:r>
            <w:r/>
          </w:p>
        </w:tc>
        <w:tc>
          <w:tcPr>
            <w:tcW w:w="1321"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7"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8"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5"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6"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162"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04"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321"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7"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18"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5"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276"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162"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c>
          <w:tcPr>
            <w:tcW w:w="1404" w:type="dxa"/>
            <w:vAlign w:val="center"/>
            <w:textDirection w:val="lrTb"/>
            <w:noWrap w:val="false"/>
          </w:tcPr>
          <w:p>
            <w:pPr>
              <w:jc w:val="center"/>
              <w:spacing w:line="360" w:lineRule="auto"/>
              <w:rPr>
                <w:rFonts w:eastAsia="仿宋_GB2312"/>
                <w:color w:val="000000"/>
                <w:sz w:val="24"/>
                <w:highlight w:val="none"/>
              </w:rPr>
            </w:pPr>
            <w:r>
              <w:rPr>
                <w:rFonts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合计</w:t>
            </w:r>
            <w:r/>
          </w:p>
        </w:tc>
        <w:tc>
          <w:tcPr>
            <w:gridSpan w:val="5"/>
            <w:tcW w:w="6707" w:type="dxa"/>
            <w:vAlign w:val="center"/>
            <w:textDirection w:val="lrTb"/>
            <w:noWrap w:val="false"/>
          </w:tcPr>
          <w:p>
            <w:pPr>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 xml:space="preserve">人民币（大写）：</w:t>
            </w:r>
            <w:r/>
          </w:p>
        </w:tc>
        <w:tc>
          <w:tcPr>
            <w:gridSpan w:val="2"/>
            <w:tcW w:w="2566" w:type="dxa"/>
            <w:vAlign w:val="center"/>
            <w:textDirection w:val="lrTb"/>
            <w:noWrap w:val="false"/>
          </w:tcPr>
          <w:p>
            <w:pPr>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 xml:space="preserve">（小写）：¥</w:t>
            </w:r>
            <w:r/>
          </w:p>
        </w:tc>
      </w:tr>
    </w:tbl>
    <w:p>
      <w:pPr>
        <w:spacing w:line="360" w:lineRule="auto"/>
        <w:rPr>
          <w:rFonts w:eastAsia="仿宋"/>
          <w:b/>
          <w:color w:val="auto"/>
          <w:sz w:val="24"/>
          <w:lang w:val="zh-CN"/>
        </w:rPr>
      </w:pPr>
      <w:r>
        <w:rPr>
          <w:rFonts w:eastAsia="仿宋"/>
          <w:b/>
          <w:color w:val="auto"/>
          <w:sz w:val="24"/>
          <w:lang w:val="zh-CN"/>
        </w:rPr>
        <w:t xml:space="preserve">注：1.供应商须按实填写</w:t>
      </w:r>
      <w:r>
        <w:rPr>
          <w:rFonts w:hint="eastAsia" w:eastAsia="仿宋"/>
          <w:b/>
          <w:color w:val="auto"/>
          <w:sz w:val="24"/>
          <w:lang w:val="zh-CN"/>
        </w:rPr>
        <w:t xml:space="preserve">分项报价</w:t>
      </w:r>
      <w:r>
        <w:rPr>
          <w:rFonts w:eastAsia="仿宋"/>
          <w:b/>
          <w:color w:val="auto"/>
          <w:sz w:val="24"/>
          <w:lang w:val="zh-CN"/>
        </w:rPr>
        <w:t xml:space="preserve">明细表中的各项内容，且本表各分项报价合计应当与磋商报价表报价合计相等</w:t>
      </w:r>
      <w:r>
        <w:rPr>
          <w:rFonts w:hint="eastAsia" w:eastAsia="仿宋"/>
          <w:b/>
          <w:color w:val="auto"/>
          <w:sz w:val="24"/>
          <w:lang w:val="zh-CN"/>
        </w:rPr>
        <w:t xml:space="preserve">，</w:t>
      </w:r>
      <w:r>
        <w:rPr>
          <w:rFonts w:eastAsia="仿宋"/>
          <w:b/>
          <w:color w:val="auto"/>
          <w:sz w:val="24"/>
          <w:lang w:val="zh-CN"/>
        </w:rPr>
        <w:t xml:space="preserve">请各供应商务必按照以上要求填报。</w:t>
      </w:r>
      <w:r/>
    </w:p>
    <w:p>
      <w:pPr>
        <w:ind w:firstLine="482"/>
        <w:spacing w:line="360" w:lineRule="auto"/>
        <w:rPr>
          <w:rFonts w:eastAsia="仿宋"/>
          <w:b/>
          <w:color w:val="auto"/>
          <w:sz w:val="24"/>
          <w:lang w:val="zh-CN"/>
        </w:rPr>
      </w:pPr>
      <w:r>
        <w:rPr>
          <w:rFonts w:eastAsia="仿宋"/>
          <w:b/>
          <w:color w:val="auto"/>
          <w:sz w:val="24"/>
          <w:lang w:val="zh-CN"/>
        </w:rPr>
        <w:t xml:space="preserve">2.主要标的信息将随中标（成交）结果公告进行公示。内容不实的，属于提供虚假材料谋取中标、成交，依照《中华人民共和国政府采购法》等国家有关规定追究相应责任。</w:t>
      </w:r>
      <w:r/>
    </w:p>
    <w:p>
      <w:pPr>
        <w:ind w:firstLine="482"/>
        <w:spacing w:line="300" w:lineRule="auto"/>
        <w:rPr>
          <w:b/>
          <w:color w:val="auto"/>
          <w:sz w:val="24"/>
          <w:lang w:val="zh-CN"/>
        </w:rPr>
        <w:outlineLvl w:val="0"/>
      </w:pPr>
      <w:r>
        <w:rPr>
          <w:b/>
          <w:color w:val="auto"/>
          <w:sz w:val="24"/>
          <w:lang w:val="zh-CN"/>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spacing w:line="300" w:lineRule="auto"/>
        <w:rPr>
          <w:rFonts w:eastAsia="方正黑体_GBK"/>
          <w:color w:val="auto"/>
          <w:sz w:val="32"/>
          <w:szCs w:val="32"/>
        </w:rPr>
        <w:outlineLvl w:val="0"/>
      </w:pPr>
      <w:r>
        <w:rPr>
          <w:rFonts w:eastAsia="方正黑体_GBK"/>
          <w:color w:val="auto"/>
          <w:sz w:val="32"/>
          <w:szCs w:val="32"/>
        </w:rPr>
      </w:r>
      <w:r/>
    </w:p>
    <w:p>
      <w:pPr>
        <w:jc w:val="left"/>
        <w:widowControl/>
        <w:rPr>
          <w:rFonts w:ascii="Times New Roman" w:hAnsi="Times New Roman" w:cs="Times New Roman"/>
          <w:b/>
          <w:bCs/>
          <w:color w:val="auto"/>
        </w:rPr>
      </w:pPr>
      <w:r>
        <w:rPr>
          <w:rFonts w:eastAsia="方正黑体_GBK"/>
          <w:color w:val="auto"/>
          <w:sz w:val="32"/>
          <w:szCs w:val="32"/>
        </w:rPr>
        <w:br w:type="page" w:clear="all"/>
      </w:r>
      <w:r>
        <w:rPr>
          <w:rFonts w:hint="eastAsia" w:ascii="宋体" w:hAnsi="宋体" w:eastAsia="宋体" w:cs="宋体"/>
          <w:b/>
          <w:bCs/>
          <w:color w:val="auto"/>
          <w:sz w:val="32"/>
          <w:szCs w:val="32"/>
        </w:rPr>
        <w:t xml:space="preserve">附件9</w:t>
      </w:r>
      <w:r/>
    </w:p>
    <w:p>
      <w:pPr>
        <w:jc w:val="center"/>
        <w:spacing w:line="400" w:lineRule="exact"/>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 xml:space="preserve">中小微企业声明函（服务类项目）</w:t>
      </w:r>
      <w:r/>
    </w:p>
    <w:p>
      <w:pPr>
        <w:ind w:firstLine="360"/>
        <w:jc w:val="center"/>
        <w:spacing w:line="380" w:lineRule="exact"/>
        <w:rPr>
          <w:color w:val="auto"/>
          <w:sz w:val="24"/>
        </w:rPr>
      </w:pPr>
      <w:r>
        <w:rPr>
          <w:color w:val="auto"/>
          <w:sz w:val="24"/>
        </w:rPr>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w:t>
      </w:r>
      <w:r>
        <w:rPr>
          <w:rFonts w:hint="eastAsia" w:eastAsia="仿宋"/>
          <w:color w:val="auto"/>
          <w:sz w:val="24"/>
        </w:rPr>
        <w:t xml:space="preserve">〔2020〕46号</w:t>
      </w:r>
      <w:r>
        <w:rPr>
          <w:rFonts w:hint="eastAsia" w:ascii="仿宋" w:hAnsi="仿宋" w:eastAsia="仿宋" w:cs="仿宋"/>
          <w:color w:val="auto"/>
          <w:sz w:val="24"/>
        </w:rPr>
        <w:t xml:space="preserve">）的规定，本公司（联合体）参加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采购编号为</w:t>
      </w:r>
      <w:r>
        <w:rPr>
          <w:rFonts w:hint="eastAsia" w:ascii="仿宋" w:hAnsi="仿宋" w:eastAsia="仿宋" w:cs="仿宋"/>
          <w:color w:val="auto"/>
          <w:sz w:val="24"/>
          <w:u w:val="single"/>
        </w:rPr>
        <w:t xml:space="preserve">（采购编号）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rPr>
      </w:pPr>
      <w:r>
        <w:rPr>
          <w:rFonts w:hint="eastAsia" w:eastAsia="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（供应商填写磋商文件中明确的所属行业）</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rPr>
      </w:pPr>
      <w:r>
        <w:rPr>
          <w:rFonts w:hint="eastAsia" w:eastAsia="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（供应商填写磋商文件中明确的所属行业）</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万元，属于</w:t>
      </w:r>
      <w:r>
        <w:rPr>
          <w:rFonts w:hint="eastAsia" w:ascii="仿宋" w:hAnsi="仿宋" w:eastAsia="仿宋" w:cs="仿宋"/>
          <w:color w:val="auto"/>
          <w:sz w:val="24"/>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w:t>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lang w:eastAsia="zh-CN"/>
        </w:rPr>
      </w:pPr>
      <w:r>
        <w:rPr>
          <w:rFonts w:hint="eastAsia" w:ascii="仿宋" w:hAnsi="仿宋" w:eastAsia="仿宋" w:cs="仿宋"/>
          <w:color w:val="auto"/>
          <w:sz w:val="24"/>
        </w:rPr>
        <w:t xml:space="preserve">本企业对上述声明内容的真实性负责。如有虚假，将依法承担相应责任</w:t>
      </w:r>
      <w:r>
        <w:rPr>
          <w:rFonts w:hint="eastAsia" w:ascii="仿宋" w:hAnsi="仿宋" w:eastAsia="仿宋" w:cs="仿宋"/>
          <w:color w:val="auto"/>
          <w:sz w:val="24"/>
          <w:lang w:eastAsia="zh-CN"/>
        </w:rPr>
        <w:t xml:space="preserve">。</w:t>
      </w:r>
      <w:r/>
    </w:p>
    <w:p>
      <w:pPr>
        <w:ind w:firstLine="360"/>
        <w:spacing w:line="380" w:lineRule="exact"/>
        <w:rPr>
          <w:rFonts w:ascii="仿宋" w:hAnsi="仿宋" w:eastAsia="仿宋" w:cs="仿宋"/>
          <w:color w:val="auto"/>
          <w:sz w:val="24"/>
        </w:rPr>
      </w:pPr>
      <w:r>
        <w:rPr>
          <w:rFonts w:hint="eastAsia" w:ascii="仿宋" w:hAnsi="仿宋" w:eastAsia="仿宋" w:cs="仿宋"/>
          <w:color w:val="auto"/>
          <w:sz w:val="24"/>
        </w:rPr>
        <w:t xml:space="preserve"> </w:t>
      </w:r>
      <w:r/>
    </w:p>
    <w:p>
      <w:pPr>
        <w:pStyle w:val="810"/>
        <w:ind w:right="180" w:firstLine="360"/>
        <w:jc w:val="center"/>
        <w:keepLines w:val="0"/>
        <w:keepNext w:val="0"/>
        <w:pageBreakBefore w:val="0"/>
        <w:spacing w:before="0" w:beforeAutospacing="0" w:after="0" w:afterAutospacing="0" w:line="500" w:lineRule="exact"/>
        <w:rPr>
          <w:rFonts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rPr>
      </w:pPr>
      <w:r>
        <w:rPr>
          <w:rFonts w:hint="eastAsia" w:ascii="仿宋" w:hAnsi="仿宋" w:eastAsia="仿宋" w:cs="仿宋"/>
          <w:color w:val="auto"/>
          <w:shd w:val="clear" w:color="auto" w:fill="ffffff"/>
        </w:rPr>
        <w:t xml:space="preserve">           </w:t>
      </w:r>
      <w:r>
        <w:rPr>
          <w:rFonts w:hint="eastAsia" w:ascii="仿宋" w:hAnsi="仿宋" w:eastAsia="仿宋" w:cs="仿宋"/>
          <w:color w:val="auto"/>
          <w:shd w:val="clear" w:color="auto" w:fill="ffffff"/>
          <w:lang w:val="en-US" w:eastAsia="zh-CN"/>
        </w:rPr>
        <w:t xml:space="preserve">    </w:t>
      </w:r>
      <w:r>
        <w:rPr>
          <w:rFonts w:hint="eastAsia" w:ascii="仿宋" w:hAnsi="仿宋" w:eastAsia="仿宋" w:cs="仿宋"/>
          <w:color w:val="auto"/>
          <w:shd w:val="clear" w:color="auto" w:fill="ffffff"/>
        </w:rPr>
        <w:t xml:space="preserve"> </w:t>
      </w:r>
      <w:r>
        <w:rPr>
          <w:rFonts w:eastAsia="仿宋"/>
          <w:color w:val="auto"/>
          <w:sz w:val="24"/>
        </w:rPr>
        <w:t xml:space="preserve">日期：</w:t>
      </w:r>
      <w:r>
        <w:rPr>
          <w:rFonts w:eastAsia="仿宋"/>
          <w:color w:val="auto"/>
          <w:sz w:val="24"/>
          <w:u w:val="single"/>
        </w:rPr>
        <w:t xml:space="preserve">       </w:t>
      </w:r>
      <w:r>
        <w:rPr>
          <w:rFonts w:eastAsia="仿宋"/>
          <w:color w:val="auto"/>
          <w:sz w:val="24"/>
        </w:rPr>
        <w:t xml:space="preserve">年</w:t>
      </w:r>
      <w:r>
        <w:rPr>
          <w:rFonts w:eastAsia="仿宋"/>
          <w:color w:val="auto"/>
          <w:sz w:val="24"/>
          <w:u w:val="single"/>
        </w:rPr>
        <w:t xml:space="preserve">   </w:t>
      </w:r>
      <w:r>
        <w:rPr>
          <w:rFonts w:eastAsia="仿宋"/>
          <w:color w:val="auto"/>
          <w:sz w:val="24"/>
        </w:rPr>
        <w:t xml:space="preserve">月</w:t>
      </w:r>
      <w:r>
        <w:rPr>
          <w:rFonts w:eastAsia="仿宋"/>
          <w:color w:val="auto"/>
          <w:sz w:val="24"/>
          <w:u w:val="single"/>
        </w:rPr>
        <w:t xml:space="preserve">    </w:t>
      </w:r>
      <w:r>
        <w:rPr>
          <w:rFonts w:eastAsia="仿宋"/>
          <w:color w:val="auto"/>
          <w:sz w:val="24"/>
        </w:rPr>
        <w:t xml:space="preserve">日</w:t>
      </w:r>
      <w:r/>
    </w:p>
    <w:p>
      <w:pPr>
        <w:pStyle w:val="810"/>
        <w:ind w:firstLine="480"/>
        <w:jc w:val="both"/>
        <w:spacing w:before="0" w:beforeAutospacing="0" w:after="0" w:afterAutospacing="0" w:line="380" w:lineRule="exact"/>
        <w:widowControl w:val="off"/>
        <w:rPr>
          <w:rFonts w:ascii="仿宋" w:hAnsi="仿宋" w:eastAsia="仿宋" w:cs="仿宋"/>
          <w:color w:val="auto"/>
        </w:rPr>
      </w:pPr>
      <w:r>
        <w:rPr>
          <w:rFonts w:ascii="仿宋" w:hAnsi="仿宋" w:eastAsia="仿宋" w:cs="仿宋"/>
          <w:color w:val="auto"/>
        </w:rPr>
      </w:r>
      <w:r/>
    </w:p>
    <w:p>
      <w:pPr>
        <w:pStyle w:val="810"/>
        <w:ind w:firstLine="480"/>
        <w:jc w:val="both"/>
        <w:spacing w:before="0" w:beforeAutospacing="0" w:after="0" w:afterAutospacing="0" w:line="380" w:lineRule="exact"/>
        <w:widowControl w:val="off"/>
        <w:rPr>
          <w:rFonts w:ascii="仿宋" w:hAnsi="仿宋" w:eastAsia="仿宋" w:cs="仿宋"/>
          <w:color w:val="auto"/>
        </w:rPr>
      </w:pPr>
      <w:r>
        <w:rPr>
          <w:rFonts w:hint="eastAsia" w:ascii="仿宋" w:hAnsi="仿宋" w:eastAsia="仿宋" w:cs="仿宋"/>
          <w:color w:val="auto"/>
        </w:rPr>
        <w:t xml:space="preserve">备注：</w:t>
      </w:r>
      <w:r/>
    </w:p>
    <w:p>
      <w:pPr>
        <w:pStyle w:val="810"/>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1.</w:t>
      </w:r>
      <w:r>
        <w:rPr>
          <w:rFonts w:hint="eastAsia" w:ascii="仿宋" w:hAnsi="仿宋" w:eastAsia="仿宋" w:cs="仿宋"/>
          <w:color w:val="auto"/>
        </w:rPr>
        <w:t xml:space="preserve">从业人员、营业收入、资产总额填报上一年度数据，无上一年度数据的新成立企业可不填报。</w:t>
      </w:r>
      <w:r/>
    </w:p>
    <w:p>
      <w:pPr>
        <w:pStyle w:val="810"/>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2.</w:t>
      </w:r>
      <w:r>
        <w:rPr>
          <w:rFonts w:hint="eastAsia" w:ascii="仿宋" w:hAnsi="仿宋" w:eastAsia="仿宋" w:cs="仿宋"/>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810"/>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3.</w:t>
      </w:r>
      <w:r>
        <w:rPr>
          <w:rFonts w:hint="eastAsia" w:ascii="仿宋" w:hAnsi="仿宋" w:eastAsia="仿宋" w:cs="仿宋"/>
          <w:color w:val="auto"/>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附件10</w:t>
      </w:r>
      <w:r/>
    </w:p>
    <w:p>
      <w:pPr>
        <w:jc w:val="center"/>
        <w:spacing w:line="400" w:lineRule="exact"/>
        <w:rPr>
          <w:rFonts w:hint="eastAsia" w:ascii="宋体" w:hAnsi="宋体" w:eastAsia="宋体" w:cs="宋体"/>
          <w:b/>
          <w:bCs w:val="0"/>
          <w:color w:val="auto"/>
        </w:rPr>
      </w:pPr>
      <w:r>
        <w:rPr>
          <w:rFonts w:hint="eastAsia" w:ascii="宋体" w:hAnsi="宋体" w:eastAsia="宋体" w:cs="宋体"/>
          <w:b/>
          <w:bCs w:val="0"/>
          <w:color w:val="auto"/>
          <w:sz w:val="30"/>
          <w:szCs w:val="30"/>
        </w:rPr>
        <w:t xml:space="preserve">残疾人福利性单位声明函</w:t>
      </w:r>
      <w:r/>
    </w:p>
    <w:p>
      <w:pPr>
        <w:pStyle w:val="810"/>
        <w:ind w:firstLine="482"/>
        <w:jc w:val="both"/>
        <w:spacing w:before="0" w:beforeAutospacing="0" w:after="0" w:afterAutospacing="0" w:line="400" w:lineRule="exact"/>
        <w:rPr>
          <w:rFonts w:ascii="仿宋" w:hAnsi="仿宋" w:eastAsia="仿宋" w:cs="仿宋"/>
          <w:color w:val="auto"/>
          <w:sz w:val="28"/>
          <w:szCs w:val="28"/>
        </w:rPr>
      </w:pPr>
      <w:r>
        <w:rPr>
          <w:rFonts w:ascii="仿宋" w:hAnsi="仿宋" w:eastAsia="仿宋" w:cs="仿宋"/>
          <w:color w:val="auto"/>
          <w:sz w:val="28"/>
          <w:szCs w:val="28"/>
        </w:rPr>
      </w:r>
      <w:r/>
    </w:p>
    <w:p>
      <w:pPr>
        <w:pStyle w:val="810"/>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rPr>
        <w:t xml:space="preserve">财库〔2017〕141号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项目（项目名称）采购活动由本单位提供服务。</w:t>
      </w:r>
      <w:r/>
    </w:p>
    <w:p>
      <w:pPr>
        <w:pStyle w:val="810"/>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81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备注：</w:t>
      </w:r>
      <w:r/>
    </w:p>
    <w:p>
      <w:pPr>
        <w:pStyle w:val="81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1.专门面向中小微型企业采购的项目，供应商为残疾人福利性单位并提供服务的必须提供此声明函，否则将不能通过资格审查。</w:t>
      </w:r>
      <w:r/>
    </w:p>
    <w:p>
      <w:pPr>
        <w:pStyle w:val="81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2.非专门面向中小微型企业采购的项目，供应商如不提供此声明函，价格将不做相应扣除。</w:t>
      </w:r>
      <w:r/>
    </w:p>
    <w:p>
      <w:pPr>
        <w:pStyle w:val="81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3.中标/成交供应商为残疾人福利性单位的，此声明函将随中标/成交结果同时公告，接受社会监督。</w:t>
      </w:r>
      <w:r/>
    </w:p>
    <w:p>
      <w:pPr>
        <w:pStyle w:val="810"/>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10"/>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供应商全称（加盖CA电子公章）：</w:t>
      </w:r>
      <w:r/>
    </w:p>
    <w:p>
      <w:pPr>
        <w:contextualSpacing/>
        <w:ind w:firstLine="2240"/>
        <w:spacing w:line="300" w:lineRule="auto"/>
        <w:rPr>
          <w:rFonts w:eastAsia="方正黑体_GBK"/>
          <w:color w:val="auto"/>
          <w:sz w:val="32"/>
          <w:szCs w:val="32"/>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附件11</w:t>
      </w:r>
      <w:r/>
    </w:p>
    <w:p>
      <w:pPr>
        <w:jc w:val="center"/>
        <w:spacing w:line="40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监狱和戒毒企业证明材料</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498"/>
        <w:spacing w:line="4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（格式自拟）</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660"/>
        <w:spacing w:line="420" w:lineRule="exact"/>
        <w:rPr>
          <w:rFonts w:eastAsia="仿宋"/>
          <w:color w:val="auto"/>
          <w:sz w:val="28"/>
          <w:szCs w:val="28"/>
        </w:rPr>
      </w:pPr>
      <w:r>
        <w:rPr>
          <w:rFonts w:eastAsia="仿宋"/>
          <w:color w:val="auto"/>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lang w:bidi="zh-CN"/>
        </w:rPr>
        <w:outlineLvl w:val="0"/>
      </w:pPr>
      <w:r>
        <w:rPr>
          <w:rFonts w:eastAsia="仿宋"/>
          <w:color w:val="auto"/>
          <w:sz w:val="28"/>
          <w:szCs w:val="28"/>
          <w:lang w:bidi="zh-CN"/>
        </w:rPr>
        <w:t xml:space="preserve">注：1.供应商如不提供此声明函，价格将不做相应扣除。</w:t>
      </w:r>
      <w:r/>
    </w:p>
    <w:p>
      <w:pPr>
        <w:ind w:firstLine="560"/>
        <w:spacing w:line="300" w:lineRule="auto"/>
        <w:rPr>
          <w:rFonts w:eastAsia="仿宋"/>
          <w:color w:val="auto"/>
          <w:sz w:val="28"/>
          <w:szCs w:val="28"/>
        </w:rPr>
        <w:outlineLvl w:val="0"/>
      </w:pPr>
      <w:r>
        <w:rPr>
          <w:rFonts w:eastAsia="仿宋"/>
          <w:color w:val="auto"/>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附件12</w:t>
      </w:r>
      <w:r/>
    </w:p>
    <w:p>
      <w:pPr>
        <w:jc w:val="center"/>
        <w:rPr>
          <w:rFonts w:ascii="方正小标宋简体" w:hAnsi="方正小标宋简体" w:eastAsia="方正小标宋简体" w:cs="方正小标宋简体"/>
          <w:b/>
          <w:bCs w:val="0"/>
          <w:color w:val="auto"/>
          <w:sz w:val="44"/>
          <w:szCs w:val="44"/>
        </w:rPr>
      </w:pPr>
      <w:r>
        <w:rPr>
          <w:rFonts w:hint="eastAsia" w:ascii="宋体" w:hAnsi="宋体" w:eastAsia="宋体" w:cs="宋体"/>
          <w:b/>
          <w:bCs w:val="0"/>
          <w:color w:val="auto"/>
          <w:sz w:val="44"/>
          <w:szCs w:val="44"/>
        </w:rPr>
        <w:t xml:space="preserve">质疑函范本</w:t>
      </w:r>
      <w:r/>
    </w:p>
    <w:p>
      <w:pPr>
        <w:spacing w:line="560" w:lineRule="exact"/>
        <w:rPr>
          <w:rFonts w:eastAsia="黑体"/>
          <w:bCs/>
          <w:color w:val="auto"/>
          <w:sz w:val="32"/>
          <w:szCs w:val="32"/>
        </w:rPr>
      </w:pPr>
      <w:r>
        <w:rPr>
          <w:rFonts w:eastAsia="黑体"/>
          <w:bCs/>
          <w:color w:val="auto"/>
          <w:sz w:val="32"/>
          <w:szCs w:val="32"/>
        </w:rPr>
        <w:t xml:space="preserve">一、质疑供应商基本信息</w:t>
      </w:r>
      <w:r/>
    </w:p>
    <w:p>
      <w:pPr>
        <w:spacing w:line="560" w:lineRule="exact"/>
        <w:rPr>
          <w:rFonts w:eastAsia="仿宋"/>
          <w:color w:val="auto"/>
          <w:sz w:val="32"/>
          <w:szCs w:val="32"/>
          <w:u w:val="single"/>
        </w:rPr>
      </w:pPr>
      <w:r>
        <w:rPr>
          <w:rFonts w:eastAsia="仿宋"/>
          <w:color w:val="auto"/>
          <w:sz w:val="32"/>
          <w:szCs w:val="32"/>
        </w:rPr>
        <w:t xml:space="preserve">质疑供应商：</w:t>
      </w:r>
      <w:r/>
    </w:p>
    <w:p>
      <w:pPr>
        <w:spacing w:line="560" w:lineRule="exact"/>
        <w:rPr>
          <w:rFonts w:eastAsia="仿宋"/>
          <w:color w:val="auto"/>
          <w:sz w:val="32"/>
          <w:szCs w:val="32"/>
        </w:rPr>
      </w:pPr>
      <w:r>
        <w:rPr>
          <w:rFonts w:eastAsia="仿宋"/>
          <w:color w:val="auto"/>
          <w:sz w:val="32"/>
          <w:szCs w:val="32"/>
        </w:rPr>
        <w:t xml:space="preserve">地址：邮编：</w:t>
      </w:r>
      <w:r/>
    </w:p>
    <w:p>
      <w:pPr>
        <w:spacing w:line="560" w:lineRule="exact"/>
        <w:rPr>
          <w:rFonts w:eastAsia="仿宋"/>
          <w:color w:val="auto"/>
          <w:sz w:val="32"/>
          <w:szCs w:val="32"/>
        </w:rPr>
      </w:pPr>
      <w:r>
        <w:rPr>
          <w:rFonts w:eastAsia="仿宋"/>
          <w:color w:val="auto"/>
          <w:sz w:val="32"/>
          <w:szCs w:val="32"/>
        </w:rPr>
        <w:t xml:space="preserve">联系人：联系电话：</w:t>
      </w:r>
      <w:r/>
    </w:p>
    <w:p>
      <w:pPr>
        <w:spacing w:line="560" w:lineRule="exact"/>
        <w:rPr>
          <w:rFonts w:eastAsia="仿宋"/>
          <w:color w:val="auto"/>
          <w:sz w:val="32"/>
          <w:szCs w:val="32"/>
          <w:u w:val="single"/>
        </w:rPr>
      </w:pPr>
      <w:r>
        <w:rPr>
          <w:rFonts w:eastAsia="仿宋"/>
          <w:color w:val="auto"/>
          <w:sz w:val="32"/>
          <w:szCs w:val="32"/>
        </w:rPr>
        <w:t xml:space="preserve">授权代表：</w:t>
      </w:r>
      <w:r/>
    </w:p>
    <w:p>
      <w:pPr>
        <w:spacing w:line="560" w:lineRule="exact"/>
        <w:rPr>
          <w:rFonts w:eastAsia="仿宋"/>
          <w:color w:val="auto"/>
          <w:sz w:val="32"/>
          <w:szCs w:val="32"/>
        </w:rPr>
      </w:pPr>
      <w:r>
        <w:rPr>
          <w:rFonts w:eastAsia="仿宋"/>
          <w:color w:val="auto"/>
          <w:sz w:val="32"/>
          <w:szCs w:val="32"/>
        </w:rPr>
        <w:t xml:space="preserve">联系电话：</w:t>
      </w:r>
      <w:r/>
    </w:p>
    <w:p>
      <w:pPr>
        <w:spacing w:line="560" w:lineRule="exact"/>
        <w:rPr>
          <w:rFonts w:eastAsia="仿宋"/>
          <w:color w:val="auto"/>
          <w:sz w:val="32"/>
          <w:szCs w:val="32"/>
        </w:rPr>
      </w:pPr>
      <w:r>
        <w:rPr>
          <w:rFonts w:eastAsia="仿宋"/>
          <w:color w:val="auto"/>
          <w:sz w:val="32"/>
          <w:szCs w:val="32"/>
        </w:rPr>
        <w:t xml:space="preserve">地址：邮编：</w:t>
      </w:r>
      <w:r/>
    </w:p>
    <w:p>
      <w:pPr>
        <w:spacing w:line="560" w:lineRule="exact"/>
        <w:rPr>
          <w:rFonts w:eastAsia="黑体"/>
          <w:bCs/>
          <w:color w:val="auto"/>
          <w:sz w:val="32"/>
          <w:szCs w:val="32"/>
        </w:rPr>
      </w:pPr>
      <w:r>
        <w:rPr>
          <w:rFonts w:eastAsia="黑体"/>
          <w:bCs/>
          <w:color w:val="auto"/>
          <w:sz w:val="32"/>
          <w:szCs w:val="32"/>
        </w:rPr>
        <w:t xml:space="preserve">二、质疑项目基本情况</w:t>
      </w:r>
      <w:r/>
    </w:p>
    <w:p>
      <w:pPr>
        <w:spacing w:line="560" w:lineRule="exact"/>
        <w:rPr>
          <w:rFonts w:eastAsia="仿宋"/>
          <w:color w:val="auto"/>
          <w:sz w:val="32"/>
          <w:szCs w:val="32"/>
        </w:rPr>
      </w:pPr>
      <w:r>
        <w:rPr>
          <w:rFonts w:eastAsia="仿宋"/>
          <w:color w:val="auto"/>
          <w:sz w:val="32"/>
          <w:szCs w:val="32"/>
        </w:rPr>
        <w:t xml:space="preserve">质疑项目的名称：</w:t>
      </w:r>
      <w:r/>
    </w:p>
    <w:p>
      <w:pPr>
        <w:spacing w:line="560" w:lineRule="exact"/>
        <w:rPr>
          <w:rFonts w:eastAsia="仿宋"/>
          <w:color w:val="auto"/>
          <w:sz w:val="32"/>
          <w:szCs w:val="32"/>
        </w:rPr>
      </w:pPr>
      <w:r>
        <w:rPr>
          <w:rFonts w:eastAsia="仿宋"/>
          <w:color w:val="auto"/>
          <w:sz w:val="32"/>
          <w:szCs w:val="32"/>
        </w:rPr>
        <w:t xml:space="preserve">质疑项目的编号：包号：</w:t>
      </w:r>
      <w:r/>
    </w:p>
    <w:p>
      <w:pPr>
        <w:spacing w:line="560" w:lineRule="exact"/>
        <w:rPr>
          <w:rFonts w:eastAsia="仿宋"/>
          <w:color w:val="auto"/>
          <w:sz w:val="32"/>
          <w:szCs w:val="32"/>
        </w:rPr>
      </w:pPr>
      <w:r>
        <w:rPr>
          <w:rFonts w:eastAsia="仿宋"/>
          <w:color w:val="auto"/>
          <w:sz w:val="32"/>
          <w:szCs w:val="32"/>
        </w:rPr>
        <w:t xml:space="preserve">采购人名称：</w:t>
      </w:r>
      <w:r/>
    </w:p>
    <w:p>
      <w:pPr>
        <w:spacing w:line="560" w:lineRule="exact"/>
        <w:rPr>
          <w:rFonts w:eastAsia="仿宋"/>
          <w:color w:val="auto"/>
          <w:sz w:val="32"/>
          <w:szCs w:val="32"/>
        </w:rPr>
      </w:pPr>
      <w:r>
        <w:rPr>
          <w:rFonts w:eastAsia="仿宋"/>
          <w:color w:val="auto"/>
          <w:sz w:val="32"/>
          <w:szCs w:val="32"/>
        </w:rPr>
        <w:t xml:space="preserve">采购文件获取日期：</w:t>
      </w:r>
      <w:r/>
    </w:p>
    <w:p>
      <w:pPr>
        <w:spacing w:line="560" w:lineRule="exact"/>
        <w:rPr>
          <w:rFonts w:eastAsia="黑体"/>
          <w:bCs/>
          <w:color w:val="auto"/>
          <w:sz w:val="32"/>
          <w:szCs w:val="32"/>
        </w:rPr>
      </w:pPr>
      <w:r>
        <w:rPr>
          <w:rFonts w:eastAsia="黑体"/>
          <w:bCs/>
          <w:color w:val="auto"/>
          <w:sz w:val="32"/>
          <w:szCs w:val="32"/>
        </w:rPr>
        <w:t xml:space="preserve">三、质疑事项具体内容</w:t>
      </w:r>
      <w:r/>
    </w:p>
    <w:p>
      <w:pPr>
        <w:spacing w:line="560" w:lineRule="exact"/>
        <w:rPr>
          <w:rFonts w:eastAsia="仿宋"/>
          <w:color w:val="auto"/>
          <w:sz w:val="32"/>
          <w:szCs w:val="32"/>
        </w:rPr>
      </w:pPr>
      <w:r>
        <w:rPr>
          <w:rFonts w:eastAsia="仿宋"/>
          <w:color w:val="auto"/>
          <w:sz w:val="32"/>
          <w:szCs w:val="32"/>
        </w:rPr>
        <w:t xml:space="preserve">质疑事项1：</w:t>
      </w:r>
      <w:r/>
    </w:p>
    <w:p>
      <w:pPr>
        <w:spacing w:line="560" w:lineRule="exact"/>
        <w:rPr>
          <w:rFonts w:eastAsia="仿宋"/>
          <w:color w:val="auto"/>
          <w:sz w:val="32"/>
          <w:szCs w:val="32"/>
        </w:rPr>
      </w:pPr>
      <w:r>
        <w:rPr>
          <w:rFonts w:eastAsia="仿宋"/>
          <w:color w:val="auto"/>
          <w:sz w:val="32"/>
          <w:szCs w:val="32"/>
        </w:rPr>
        <w:t xml:space="preserve">事实依据：</w:t>
      </w:r>
      <w:r/>
    </w:p>
    <w:p>
      <w:pPr>
        <w:spacing w:line="560" w:lineRule="exact"/>
        <w:rPr>
          <w:rFonts w:eastAsia="仿宋"/>
          <w:color w:val="auto"/>
          <w:sz w:val="32"/>
          <w:szCs w:val="32"/>
        </w:rPr>
      </w:pPr>
      <w:r>
        <w:rPr>
          <w:rFonts w:eastAsia="仿宋"/>
          <w:color w:val="auto"/>
          <w:sz w:val="32"/>
          <w:szCs w:val="32"/>
        </w:rPr>
      </w:r>
      <w:r/>
    </w:p>
    <w:p>
      <w:pPr>
        <w:spacing w:line="560" w:lineRule="exact"/>
        <w:rPr>
          <w:rFonts w:eastAsia="仿宋"/>
          <w:color w:val="auto"/>
          <w:sz w:val="32"/>
          <w:szCs w:val="32"/>
        </w:rPr>
      </w:pPr>
      <w:r>
        <w:rPr>
          <w:rFonts w:eastAsia="仿宋"/>
          <w:color w:val="auto"/>
          <w:sz w:val="32"/>
          <w:szCs w:val="32"/>
        </w:rPr>
        <w:t xml:space="preserve">法律依据：</w:t>
      </w:r>
      <w:r/>
    </w:p>
    <w:p>
      <w:pPr>
        <w:spacing w:line="560" w:lineRule="exact"/>
        <w:rPr>
          <w:rFonts w:eastAsia="仿宋"/>
          <w:color w:val="auto"/>
          <w:sz w:val="32"/>
          <w:szCs w:val="32"/>
        </w:rPr>
      </w:pPr>
      <w:r>
        <w:rPr>
          <w:rFonts w:eastAsia="仿宋"/>
          <w:color w:val="auto"/>
          <w:sz w:val="32"/>
          <w:szCs w:val="32"/>
        </w:rPr>
      </w:r>
      <w:r/>
    </w:p>
    <w:p>
      <w:pPr>
        <w:spacing w:line="560" w:lineRule="exact"/>
        <w:rPr>
          <w:rFonts w:eastAsia="仿宋"/>
          <w:color w:val="auto"/>
          <w:sz w:val="32"/>
          <w:szCs w:val="32"/>
        </w:rPr>
      </w:pPr>
      <w:r>
        <w:rPr>
          <w:rFonts w:eastAsia="仿宋"/>
          <w:color w:val="auto"/>
          <w:sz w:val="32"/>
          <w:szCs w:val="32"/>
        </w:rPr>
        <w:t xml:space="preserve">质疑事项2</w:t>
      </w:r>
      <w:r/>
    </w:p>
    <w:p>
      <w:pPr>
        <w:spacing w:line="560" w:lineRule="exact"/>
        <w:rPr>
          <w:rFonts w:eastAsia="仿宋"/>
          <w:color w:val="auto"/>
          <w:sz w:val="32"/>
          <w:szCs w:val="32"/>
        </w:rPr>
      </w:pPr>
      <w:r>
        <w:rPr>
          <w:rFonts w:eastAsia="仿宋"/>
          <w:color w:val="auto"/>
          <w:sz w:val="32"/>
          <w:szCs w:val="32"/>
        </w:rPr>
        <w:t xml:space="preserve">……</w:t>
      </w:r>
      <w:r/>
    </w:p>
    <w:p>
      <w:pPr>
        <w:spacing w:line="560" w:lineRule="exact"/>
        <w:rPr>
          <w:rFonts w:eastAsia="黑体"/>
          <w:bCs/>
          <w:color w:val="auto"/>
          <w:sz w:val="32"/>
          <w:szCs w:val="32"/>
        </w:rPr>
      </w:pPr>
      <w:r>
        <w:rPr>
          <w:rFonts w:eastAsia="黑体"/>
          <w:bCs/>
          <w:color w:val="auto"/>
          <w:sz w:val="32"/>
          <w:szCs w:val="32"/>
        </w:rPr>
        <w:t xml:space="preserve">四、与质疑事项相关的质疑请求</w:t>
      </w:r>
      <w:r/>
    </w:p>
    <w:p>
      <w:pPr>
        <w:spacing w:line="560" w:lineRule="exact"/>
        <w:rPr>
          <w:rFonts w:eastAsia="仿宋"/>
          <w:color w:val="auto"/>
          <w:sz w:val="32"/>
          <w:szCs w:val="32"/>
        </w:rPr>
      </w:pPr>
      <w:r>
        <w:rPr>
          <w:rFonts w:eastAsia="仿宋"/>
          <w:color w:val="auto"/>
          <w:sz w:val="32"/>
          <w:szCs w:val="32"/>
        </w:rPr>
        <w:t xml:space="preserve">请求：</w:t>
      </w:r>
      <w:r/>
    </w:p>
    <w:p>
      <w:pPr>
        <w:spacing w:line="560" w:lineRule="exact"/>
        <w:rPr>
          <w:rFonts w:eastAsia="仿宋"/>
          <w:color w:val="auto"/>
          <w:sz w:val="32"/>
          <w:szCs w:val="32"/>
        </w:rPr>
      </w:pPr>
      <w:r>
        <w:rPr>
          <w:rFonts w:eastAsia="仿宋"/>
          <w:color w:val="auto"/>
          <w:sz w:val="32"/>
          <w:szCs w:val="32"/>
        </w:rPr>
        <w:t xml:space="preserve">签字（签章）：                   公章：                      </w:t>
      </w:r>
      <w:r/>
    </w:p>
    <w:p>
      <w:pPr>
        <w:spacing w:line="560" w:lineRule="exact"/>
        <w:rPr>
          <w:rFonts w:eastAsia="仿宋"/>
          <w:color w:val="auto"/>
          <w:sz w:val="32"/>
          <w:szCs w:val="32"/>
        </w:rPr>
      </w:pPr>
      <w:r>
        <w:rPr>
          <w:rFonts w:eastAsia="仿宋"/>
          <w:color w:val="auto"/>
          <w:sz w:val="32"/>
          <w:szCs w:val="32"/>
        </w:rPr>
        <w:t xml:space="preserve">日期：</w:t>
      </w:r>
      <w:r/>
    </w:p>
    <w:p>
      <w:pPr>
        <w:spacing w:line="560" w:lineRule="exact"/>
        <w:rPr>
          <w:rFonts w:eastAsia="黑体"/>
          <w:b/>
          <w:color w:val="auto"/>
          <w:sz w:val="32"/>
          <w:szCs w:val="32"/>
        </w:rPr>
      </w:pPr>
      <w:r>
        <w:rPr>
          <w:rFonts w:eastAsia="黑体"/>
          <w:b/>
          <w:color w:val="auto"/>
          <w:sz w:val="32"/>
          <w:szCs w:val="32"/>
        </w:rPr>
      </w:r>
      <w:r/>
    </w:p>
    <w:p>
      <w:pPr>
        <w:spacing w:line="560" w:lineRule="exact"/>
        <w:rPr>
          <w:rFonts w:eastAsia="黑体"/>
          <w:bCs/>
          <w:color w:val="auto"/>
          <w:sz w:val="32"/>
          <w:szCs w:val="32"/>
        </w:rPr>
      </w:pPr>
      <w:r>
        <w:rPr>
          <w:rFonts w:eastAsia="黑体"/>
          <w:bCs/>
          <w:color w:val="auto"/>
          <w:sz w:val="32"/>
          <w:szCs w:val="32"/>
        </w:rPr>
        <w:t xml:space="preserve">质疑函制作说明：</w:t>
      </w:r>
      <w:r/>
    </w:p>
    <w:p>
      <w:pPr>
        <w:ind w:firstLine="640"/>
        <w:spacing w:line="560" w:lineRule="exact"/>
        <w:rPr>
          <w:rFonts w:eastAsia="仿宋"/>
          <w:color w:val="auto"/>
          <w:sz w:val="32"/>
          <w:szCs w:val="32"/>
        </w:rPr>
      </w:pPr>
      <w:r>
        <w:rPr>
          <w:rFonts w:eastAsia="仿宋"/>
          <w:color w:val="auto"/>
          <w:sz w:val="32"/>
          <w:szCs w:val="32"/>
        </w:rPr>
        <w:t xml:space="preserve">1.供应商提出质疑时，应提交质疑函和必要的证明材料。</w:t>
      </w:r>
      <w:r/>
    </w:p>
    <w:p>
      <w:pPr>
        <w:ind w:firstLine="640"/>
        <w:spacing w:line="560" w:lineRule="exact"/>
        <w:rPr>
          <w:rFonts w:eastAsia="仿宋"/>
          <w:color w:val="auto"/>
          <w:sz w:val="32"/>
          <w:szCs w:val="32"/>
        </w:rPr>
      </w:pPr>
      <w:r>
        <w:rPr>
          <w:rFonts w:eastAsia="仿宋"/>
          <w:color w:val="auto"/>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rPr>
      </w:pPr>
      <w:r>
        <w:rPr>
          <w:rFonts w:eastAsia="仿宋"/>
          <w:color w:val="auto"/>
          <w:sz w:val="32"/>
          <w:szCs w:val="32"/>
        </w:rPr>
        <w:t xml:space="preserve">3.质疑供应商若对项目的某一分包进行质疑，质疑函中应列明具体分包号。</w:t>
      </w:r>
      <w:r/>
    </w:p>
    <w:p>
      <w:pPr>
        <w:ind w:firstLine="640"/>
        <w:spacing w:line="560" w:lineRule="exact"/>
        <w:rPr>
          <w:rFonts w:eastAsia="仿宋"/>
          <w:color w:val="auto"/>
          <w:sz w:val="32"/>
          <w:szCs w:val="32"/>
        </w:rPr>
      </w:pPr>
      <w:r>
        <w:rPr>
          <w:rFonts w:eastAsia="仿宋"/>
          <w:color w:val="auto"/>
          <w:sz w:val="32"/>
          <w:szCs w:val="32"/>
        </w:rPr>
        <w:t xml:space="preserve">4.质疑函的质疑事项应具体、明确，并有必要的事实依据和法律依据。</w:t>
      </w:r>
      <w:r/>
    </w:p>
    <w:p>
      <w:pPr>
        <w:ind w:firstLine="640"/>
        <w:spacing w:line="560" w:lineRule="exact"/>
        <w:rPr>
          <w:rFonts w:eastAsia="仿宋"/>
          <w:color w:val="auto"/>
          <w:sz w:val="32"/>
          <w:szCs w:val="32"/>
        </w:rPr>
      </w:pPr>
      <w:r>
        <w:rPr>
          <w:rFonts w:eastAsia="仿宋"/>
          <w:color w:val="auto"/>
          <w:sz w:val="32"/>
          <w:szCs w:val="32"/>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10"/>
      <w:headerReference w:type="even" r:id="rId11"/>
      <w:footerReference w:type="default" r:id="rId14"/>
      <w:footerReference w:type="even" r:id="rId15"/>
      <w:footerReference w:type="first" r:id="rId16"/>
      <w:footnotePr/>
      <w:endnotePr/>
      <w:type w:val="nextPage"/>
      <w:pgSz w:w="11907" w:h="16839" w:orient="portrait"/>
      <w:pgMar w:top="1587"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楷体_GB2312">
    <w:panose1 w:val="02010609060101010101"/>
  </w:font>
  <w:font w:name="Calibri">
    <w:panose1 w:val="020F0502020204030204"/>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Malgun Gothic">
    <w:panose1 w:val="020B05030200000200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799"/>
          <w:jc w:val="center"/>
        </w:pPr>
        <w:r>
          <w:rPr>
            <w:rFonts w:hint="eastAsia"/>
            <w:lang w:eastAsia="zh-CN"/>
          </w:rPr>
          <w:t xml:space="preserve">     </w:t>
        </w:r>
        <w:r/>
      </w:p>
    </w:sdtContent>
  </w:sdt>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43</w:t>
                    </w:r>
                    <w:r>
                      <w:fldChar w:fldCharType="end"/>
                    </w:r>
                    <w:r/>
                  </w:p>
                </w:txbxContent>
              </v:textbox>
            </v:shape>
          </w:pict>
        </mc:Fallback>
      </mc:AlternateContent>
    </w:r>
    <w:sdt>
      <w:sdtPr>
        <w15:appearance w15:val="boundingBox"/>
        <w:id w:val="147461765"/>
        <w:showingPlcHdr w:val="true"/>
        <w:docPartObj>
          <w:docPartGallery w:val="autotext"/>
        </w:docPartObj>
        <w:rPr/>
      </w:sdtPr>
      <w:sdtContent>
        <w:r>
          <w:rPr>
            <w:rFonts w:hint="eastAsia"/>
            <w:lang w:eastAsia="zh-CN"/>
          </w:rPr>
          <w:t xml:space="preserve">     </w:t>
        </w:r>
      </w:sdtContent>
    </w:sdt>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ind w:left="-62"/>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name w:val="Heading 1"/>
    <w:basedOn w:val="778"/>
    <w:next w:val="778"/>
    <w:link w:val="996"/>
    <w:uiPriority w:val="0"/>
    <w:qFormat/>
    <w:pPr>
      <w:keepLines/>
      <w:keepNext/>
      <w:spacing w:before="340" w:after="330" w:line="578" w:lineRule="auto"/>
      <w:outlineLvl w:val="0"/>
    </w:pPr>
    <w:rPr>
      <w:b/>
      <w:bCs/>
      <w:sz w:val="44"/>
      <w:szCs w:val="44"/>
    </w:rPr>
  </w:style>
  <w:style w:type="paragraph" w:styleId="780">
    <w:name w:val="Heading 2"/>
    <w:basedOn w:val="778"/>
    <w:next w:val="778"/>
    <w:link w:val="997"/>
    <w:uiPriority w:val="0"/>
    <w:qFormat/>
    <w:pPr>
      <w:keepLines/>
      <w:keepNext/>
      <w:spacing w:before="260" w:after="260" w:line="416" w:lineRule="auto"/>
      <w:outlineLvl w:val="1"/>
    </w:pPr>
    <w:rPr>
      <w:rFonts w:ascii="Arial" w:hAnsi="Arial" w:eastAsia="黑体"/>
      <w:b/>
      <w:bCs/>
      <w:sz w:val="32"/>
      <w:szCs w:val="32"/>
    </w:rPr>
  </w:style>
  <w:style w:type="paragraph" w:styleId="781">
    <w:name w:val="Heading 3"/>
    <w:basedOn w:val="778"/>
    <w:next w:val="778"/>
    <w:link w:val="998"/>
    <w:uiPriority w:val="0"/>
    <w:qFormat/>
    <w:pPr>
      <w:keepLines/>
      <w:keepNext/>
      <w:spacing w:before="260" w:after="260" w:line="416" w:lineRule="auto"/>
      <w:outlineLvl w:val="2"/>
    </w:pPr>
    <w:rPr>
      <w:b/>
      <w:bCs/>
      <w:sz w:val="32"/>
      <w:szCs w:val="32"/>
    </w:rPr>
  </w:style>
  <w:style w:type="paragraph" w:styleId="782">
    <w:name w:val="Heading 4"/>
    <w:basedOn w:val="778"/>
    <w:next w:val="778"/>
    <w:link w:val="999"/>
    <w:uiPriority w:val="0"/>
    <w:qFormat/>
    <w:pPr>
      <w:jc w:val="center"/>
      <w:keepNext/>
      <w:outlineLvl w:val="3"/>
    </w:pPr>
    <w:rPr>
      <w:rFonts w:eastAsia="新宋体"/>
      <w:sz w:val="30"/>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8"/>
    <w:next w:val="778"/>
    <w:uiPriority w:val="39"/>
    <w:unhideWhenUsed/>
    <w:qFormat/>
    <w:pPr>
      <w:ind w:left="1701"/>
      <w:spacing w:after="57"/>
    </w:pPr>
  </w:style>
  <w:style w:type="paragraph" w:styleId="786">
    <w:name w:val="Normal Indent"/>
    <w:basedOn w:val="778"/>
    <w:link w:val="1000"/>
    <w:uiPriority w:val="0"/>
    <w:qFormat/>
    <w:pPr>
      <w:ind w:firstLine="420"/>
    </w:pPr>
    <w:rPr>
      <w:szCs w:val="20"/>
    </w:rPr>
  </w:style>
  <w:style w:type="paragraph" w:styleId="787">
    <w:name w:val="Document Map"/>
    <w:basedOn w:val="778"/>
    <w:link w:val="1001"/>
    <w:uiPriority w:val="0"/>
    <w:semiHidden/>
    <w:qFormat/>
    <w:pPr>
      <w:shd w:val="clear" w:color="auto" w:fill="000080"/>
    </w:pPr>
  </w:style>
  <w:style w:type="paragraph" w:styleId="788">
    <w:name w:val="annotation text"/>
    <w:basedOn w:val="778"/>
    <w:uiPriority w:val="0"/>
    <w:qFormat/>
    <w:pPr>
      <w:jc w:val="left"/>
    </w:pPr>
  </w:style>
  <w:style w:type="paragraph" w:styleId="789">
    <w:name w:val="Body Text"/>
    <w:basedOn w:val="778"/>
    <w:next w:val="778"/>
    <w:uiPriority w:val="0"/>
    <w:qFormat/>
    <w:pPr>
      <w:spacing w:after="120"/>
    </w:pPr>
    <w:rPr>
      <w:szCs w:val="20"/>
    </w:rPr>
  </w:style>
  <w:style w:type="paragraph" w:styleId="790">
    <w:name w:val="Body Text Indent"/>
    <w:basedOn w:val="778"/>
    <w:next w:val="791"/>
    <w:link w:val="1002"/>
    <w:uiPriority w:val="0"/>
    <w:qFormat/>
    <w:pPr>
      <w:ind w:left="420"/>
      <w:spacing w:after="120"/>
    </w:pPr>
  </w:style>
  <w:style w:type="paragraph" w:styleId="791">
    <w:name w:val="envelope return"/>
    <w:basedOn w:val="778"/>
    <w:uiPriority w:val="0"/>
    <w:qFormat/>
    <w:rPr>
      <w:rFonts w:ascii="Arial" w:hAnsi="Arial"/>
    </w:rPr>
  </w:style>
  <w:style w:type="paragraph" w:styleId="792">
    <w:name w:val="toc 5"/>
    <w:basedOn w:val="778"/>
    <w:next w:val="778"/>
    <w:uiPriority w:val="39"/>
    <w:unhideWhenUsed/>
    <w:qFormat/>
    <w:pPr>
      <w:ind w:left="1134"/>
      <w:spacing w:after="57"/>
    </w:pPr>
  </w:style>
  <w:style w:type="paragraph" w:styleId="793">
    <w:name w:val="toc 3"/>
    <w:basedOn w:val="778"/>
    <w:next w:val="778"/>
    <w:uiPriority w:val="39"/>
    <w:unhideWhenUsed/>
    <w:qFormat/>
    <w:pPr>
      <w:ind w:left="567"/>
      <w:spacing w:after="57"/>
    </w:pPr>
  </w:style>
  <w:style w:type="paragraph" w:styleId="794">
    <w:name w:val="Plain Text"/>
    <w:basedOn w:val="778"/>
    <w:link w:val="1037"/>
    <w:uiPriority w:val="0"/>
    <w:qFormat/>
    <w:rPr>
      <w:rFonts w:ascii="宋体" w:hAnsi="Courier New"/>
      <w:szCs w:val="20"/>
    </w:rPr>
  </w:style>
  <w:style w:type="paragraph" w:styleId="795">
    <w:name w:val="toc 8"/>
    <w:basedOn w:val="778"/>
    <w:next w:val="778"/>
    <w:uiPriority w:val="39"/>
    <w:unhideWhenUsed/>
    <w:qFormat/>
    <w:pPr>
      <w:ind w:left="1984"/>
      <w:spacing w:after="57"/>
    </w:pPr>
  </w:style>
  <w:style w:type="paragraph" w:styleId="796">
    <w:name w:val="Date"/>
    <w:basedOn w:val="778"/>
    <w:next w:val="778"/>
    <w:link w:val="1003"/>
    <w:uiPriority w:val="0"/>
    <w:qFormat/>
    <w:pPr>
      <w:ind w:left="100"/>
    </w:pPr>
  </w:style>
  <w:style w:type="paragraph" w:styleId="797">
    <w:name w:val="endnote text"/>
    <w:basedOn w:val="778"/>
    <w:link w:val="994"/>
    <w:uiPriority w:val="99"/>
    <w:semiHidden/>
    <w:unhideWhenUsed/>
    <w:qFormat/>
    <w:rPr>
      <w:sz w:val="20"/>
    </w:rPr>
  </w:style>
  <w:style w:type="paragraph" w:styleId="798">
    <w:name w:val="Balloon Text"/>
    <w:basedOn w:val="778"/>
    <w:link w:val="1004"/>
    <w:uiPriority w:val="0"/>
    <w:semiHidden/>
    <w:qFormat/>
    <w:rPr>
      <w:sz w:val="18"/>
      <w:szCs w:val="18"/>
    </w:rPr>
  </w:style>
  <w:style w:type="paragraph" w:styleId="799">
    <w:name w:val="Footer"/>
    <w:basedOn w:val="778"/>
    <w:link w:val="1005"/>
    <w:uiPriority w:val="99"/>
    <w:qFormat/>
    <w:pPr>
      <w:jc w:val="left"/>
      <w:tabs>
        <w:tab w:val="center" w:pos="4153" w:leader="none"/>
        <w:tab w:val="right" w:pos="8306" w:leader="none"/>
      </w:tabs>
    </w:pPr>
    <w:rPr>
      <w:sz w:val="18"/>
      <w:szCs w:val="18"/>
    </w:rPr>
  </w:style>
  <w:style w:type="paragraph" w:styleId="800">
    <w:name w:val="Header"/>
    <w:basedOn w:val="778"/>
    <w:link w:val="1006"/>
    <w:uiPriority w:val="0"/>
    <w:qFormat/>
    <w:pPr>
      <w:jc w:val="center"/>
      <w:tabs>
        <w:tab w:val="center" w:pos="4153" w:leader="none"/>
        <w:tab w:val="right" w:pos="8306" w:leader="none"/>
      </w:tabs>
      <w:pBdr>
        <w:bottom w:val="single" w:color="000000" w:sz="6" w:space="1"/>
      </w:pBdr>
    </w:pPr>
    <w:rPr>
      <w:sz w:val="18"/>
      <w:szCs w:val="18"/>
    </w:rPr>
  </w:style>
  <w:style w:type="paragraph" w:styleId="801">
    <w:name w:val="toc 1"/>
    <w:basedOn w:val="778"/>
    <w:next w:val="778"/>
    <w:uiPriority w:val="39"/>
    <w:unhideWhenUsed/>
    <w:qFormat/>
    <w:pPr>
      <w:spacing w:after="57"/>
    </w:pPr>
  </w:style>
  <w:style w:type="paragraph" w:styleId="802">
    <w:name w:val="toc 4"/>
    <w:basedOn w:val="778"/>
    <w:next w:val="778"/>
    <w:uiPriority w:val="39"/>
    <w:unhideWhenUsed/>
    <w:qFormat/>
    <w:pPr>
      <w:ind w:left="850"/>
      <w:spacing w:after="57"/>
    </w:pPr>
  </w:style>
  <w:style w:type="paragraph" w:styleId="803">
    <w:name w:val="Subtitle"/>
    <w:basedOn w:val="778"/>
    <w:next w:val="778"/>
    <w:link w:val="857"/>
    <w:uiPriority w:val="11"/>
    <w:qFormat/>
    <w:pPr>
      <w:spacing w:before="200" w:after="200"/>
    </w:pPr>
    <w:rPr>
      <w:sz w:val="24"/>
    </w:rPr>
  </w:style>
  <w:style w:type="paragraph" w:styleId="804">
    <w:name w:val="footnote text"/>
    <w:basedOn w:val="778"/>
    <w:link w:val="993"/>
    <w:uiPriority w:val="99"/>
    <w:semiHidden/>
    <w:unhideWhenUsed/>
    <w:qFormat/>
    <w:pPr>
      <w:spacing w:after="40"/>
    </w:pPr>
    <w:rPr>
      <w:sz w:val="18"/>
    </w:rPr>
  </w:style>
  <w:style w:type="paragraph" w:styleId="805">
    <w:name w:val="toc 6"/>
    <w:basedOn w:val="778"/>
    <w:next w:val="778"/>
    <w:uiPriority w:val="39"/>
    <w:unhideWhenUsed/>
    <w:qFormat/>
    <w:pPr>
      <w:ind w:left="1417"/>
      <w:spacing w:after="57"/>
    </w:pPr>
  </w:style>
  <w:style w:type="paragraph" w:styleId="806">
    <w:name w:val="Body Text Indent 3"/>
    <w:basedOn w:val="778"/>
    <w:link w:val="1007"/>
    <w:uiPriority w:val="0"/>
    <w:qFormat/>
    <w:pPr>
      <w:ind w:firstLine="539"/>
      <w:spacing w:line="520" w:lineRule="exact"/>
    </w:pPr>
    <w:rPr>
      <w:rFonts w:ascii="宋体"/>
      <w:b/>
      <w:spacing w:val="6"/>
      <w:sz w:val="28"/>
    </w:rPr>
  </w:style>
  <w:style w:type="paragraph" w:styleId="807">
    <w:name w:val="table of figures"/>
    <w:basedOn w:val="778"/>
    <w:next w:val="778"/>
    <w:uiPriority w:val="99"/>
    <w:unhideWhenUsed/>
    <w:qFormat/>
  </w:style>
  <w:style w:type="paragraph" w:styleId="808">
    <w:name w:val="toc 2"/>
    <w:basedOn w:val="778"/>
    <w:next w:val="778"/>
    <w:uiPriority w:val="39"/>
    <w:unhideWhenUsed/>
    <w:qFormat/>
    <w:pPr>
      <w:ind w:left="283"/>
      <w:spacing w:after="57"/>
    </w:pPr>
  </w:style>
  <w:style w:type="paragraph" w:styleId="809">
    <w:name w:val="toc 9"/>
    <w:basedOn w:val="778"/>
    <w:next w:val="778"/>
    <w:uiPriority w:val="39"/>
    <w:unhideWhenUsed/>
    <w:qFormat/>
    <w:pPr>
      <w:ind w:left="2268"/>
      <w:spacing w:after="57"/>
    </w:pPr>
  </w:style>
  <w:style w:type="paragraph" w:styleId="810">
    <w:name w:val="Normal (Web)"/>
    <w:basedOn w:val="778"/>
    <w:uiPriority w:val="99"/>
    <w:unhideWhenUsed/>
    <w:qFormat/>
    <w:pPr>
      <w:jc w:val="left"/>
      <w:spacing w:before="100" w:beforeAutospacing="1" w:after="100" w:afterAutospacing="1"/>
      <w:widowControl/>
    </w:pPr>
    <w:rPr>
      <w:rFonts w:ascii="宋体" w:hAnsi="宋体" w:cs="宋体"/>
      <w:sz w:val="24"/>
    </w:rPr>
  </w:style>
  <w:style w:type="paragraph" w:styleId="811">
    <w:name w:val="Title"/>
    <w:basedOn w:val="778"/>
    <w:next w:val="778"/>
    <w:link w:val="856"/>
    <w:uiPriority w:val="10"/>
    <w:qFormat/>
    <w:pPr>
      <w:contextualSpacing/>
      <w:spacing w:before="300" w:after="200"/>
    </w:pPr>
    <w:rPr>
      <w:sz w:val="48"/>
      <w:szCs w:val="48"/>
    </w:rPr>
  </w:style>
  <w:style w:type="paragraph" w:styleId="812">
    <w:name w:val="Body Text First Indent 2"/>
    <w:basedOn w:val="790"/>
    <w:uiPriority w:val="99"/>
    <w:unhideWhenUsed/>
    <w:qFormat/>
    <w:pPr>
      <w:ind w:firstLine="200"/>
    </w:pPr>
  </w:style>
  <w:style w:type="table" w:styleId="813">
    <w:name w:val="Table Grid"/>
    <w:basedOn w:val="784"/>
    <w:uiPriority w:val="0"/>
    <w:qFormat/>
    <w:pPr>
      <w:jc w:val="both"/>
      <w:widowControl w:val="off"/>
    </w:pPr>
    <w:tblPr>
      <w:tblCellMar>
        <w:left w:w="108" w:type="dxa"/>
        <w:top w:w="0" w:type="dxa"/>
        <w:right w:w="108" w:type="dxa"/>
        <w:bottom w:w="0" w:type="dxa"/>
      </w:tblCellMar>
    </w:tblPr>
  </w:style>
  <w:style w:type="character" w:styleId="814">
    <w:name w:val="Strong"/>
    <w:uiPriority w:val="22"/>
    <w:qFormat/>
    <w:rPr>
      <w:b/>
      <w:bCs/>
    </w:rPr>
  </w:style>
  <w:style w:type="character" w:styleId="815">
    <w:name w:val="endnote reference"/>
    <w:uiPriority w:val="99"/>
    <w:semiHidden/>
    <w:unhideWhenUsed/>
    <w:qFormat/>
    <w:rPr>
      <w:vertAlign w:val="superscript"/>
    </w:rPr>
  </w:style>
  <w:style w:type="character" w:styleId="816">
    <w:name w:val="page number"/>
    <w:basedOn w:val="783"/>
    <w:uiPriority w:val="0"/>
    <w:qFormat/>
  </w:style>
  <w:style w:type="character" w:styleId="817">
    <w:name w:val="FollowedHyperlink"/>
    <w:uiPriority w:val="99"/>
    <w:unhideWhenUsed/>
    <w:qFormat/>
    <w:rPr>
      <w:color w:val="800080"/>
      <w:u w:val="none"/>
    </w:rPr>
  </w:style>
  <w:style w:type="character" w:styleId="818">
    <w:name w:val="Emphasis"/>
    <w:uiPriority w:val="0"/>
    <w:qFormat/>
    <w:rPr>
      <w:b/>
      <w:bCs/>
    </w:rPr>
  </w:style>
  <w:style w:type="character" w:styleId="819">
    <w:name w:val="HTML Definition"/>
    <w:uiPriority w:val="99"/>
    <w:unhideWhenUsed/>
    <w:qFormat/>
  </w:style>
  <w:style w:type="character" w:styleId="820">
    <w:name w:val="HTML Typewriter"/>
    <w:uiPriority w:val="99"/>
    <w:unhideWhenUsed/>
    <w:qFormat/>
    <w:rPr>
      <w:rFonts w:ascii="monospace" w:hAnsi="monospace" w:eastAsia="monospace" w:cs="monospace"/>
      <w:sz w:val="20"/>
    </w:rPr>
  </w:style>
  <w:style w:type="character" w:styleId="821">
    <w:name w:val="HTML Acronym"/>
    <w:uiPriority w:val="99"/>
    <w:unhideWhenUsed/>
    <w:qFormat/>
  </w:style>
  <w:style w:type="character" w:styleId="822">
    <w:name w:val="HTML Variable"/>
    <w:uiPriority w:val="99"/>
    <w:unhideWhenUsed/>
    <w:qFormat/>
  </w:style>
  <w:style w:type="character" w:styleId="823">
    <w:name w:val="Hyperlink"/>
    <w:uiPriority w:val="99"/>
    <w:unhideWhenUsed/>
    <w:qFormat/>
    <w:rPr>
      <w:color w:val="0000ff"/>
      <w:u w:val="none"/>
    </w:rPr>
  </w:style>
  <w:style w:type="character" w:styleId="824">
    <w:name w:val="HTML Code"/>
    <w:uiPriority w:val="99"/>
    <w:unhideWhenUsed/>
    <w:qFormat/>
    <w:rPr>
      <w:rFonts w:ascii="monospace" w:hAnsi="monospace" w:eastAsia="monospace" w:cs="monospace"/>
      <w:sz w:val="20"/>
    </w:rPr>
  </w:style>
  <w:style w:type="character" w:styleId="825">
    <w:name w:val="HTML Cite"/>
    <w:uiPriority w:val="99"/>
    <w:unhideWhenUsed/>
    <w:qFormat/>
  </w:style>
  <w:style w:type="character" w:styleId="826">
    <w:name w:val="footnote reference"/>
    <w:uiPriority w:val="99"/>
    <w:unhideWhenUsed/>
    <w:qFormat/>
    <w:rPr>
      <w:vertAlign w:val="superscript"/>
    </w:rPr>
  </w:style>
  <w:style w:type="character" w:styleId="827">
    <w:name w:val="HTML Keyboard"/>
    <w:uiPriority w:val="99"/>
    <w:unhideWhenUsed/>
    <w:qFormat/>
    <w:rPr>
      <w:rFonts w:ascii="monospace" w:hAnsi="monospace" w:eastAsia="monospace" w:cs="monospace"/>
      <w:sz w:val="20"/>
    </w:rPr>
  </w:style>
  <w:style w:type="character" w:styleId="828">
    <w:name w:val="HTML Sample"/>
    <w:uiPriority w:val="99"/>
    <w:unhideWhenUsed/>
    <w:qFormat/>
    <w:rPr>
      <w:rFonts w:ascii="monospace" w:hAnsi="monospace" w:eastAsia="monospace" w:cs="monospace"/>
    </w:rPr>
  </w:style>
  <w:style w:type="character" w:styleId="829" w:customStyle="1">
    <w:name w:val="Title Char"/>
    <w:basedOn w:val="783"/>
    <w:uiPriority w:val="10"/>
    <w:qFormat/>
    <w:rPr>
      <w:sz w:val="48"/>
      <w:szCs w:val="48"/>
    </w:rPr>
  </w:style>
  <w:style w:type="character" w:styleId="830" w:customStyle="1">
    <w:name w:val="Subtitle Char"/>
    <w:basedOn w:val="783"/>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36" w:customStyle="1">
    <w:name w:val="Heading 1"/>
    <w:basedOn w:val="778"/>
    <w:next w:val="778"/>
    <w:link w:val="837"/>
    <w:uiPriority w:val="9"/>
    <w:qFormat/>
    <w:pPr>
      <w:keepLines/>
      <w:keepNext/>
      <w:spacing w:before="480" w:after="200"/>
      <w:outlineLvl w:val="0"/>
    </w:pPr>
    <w:rPr>
      <w:rFonts w:ascii="Arial" w:hAnsi="Arial" w:eastAsia="Arial" w:cs="Arial"/>
      <w:sz w:val="40"/>
      <w:szCs w:val="40"/>
    </w:rPr>
  </w:style>
  <w:style w:type="character" w:styleId="837" w:customStyle="1">
    <w:name w:val="Heading 1 Char"/>
    <w:link w:val="836"/>
    <w:uiPriority w:val="9"/>
    <w:qFormat/>
    <w:rPr>
      <w:rFonts w:ascii="Arial" w:hAnsi="Arial" w:eastAsia="Arial" w:cs="Arial"/>
      <w:sz w:val="40"/>
      <w:szCs w:val="40"/>
    </w:rPr>
  </w:style>
  <w:style w:type="paragraph" w:styleId="838" w:customStyle="1">
    <w:name w:val="Heading 2"/>
    <w:basedOn w:val="778"/>
    <w:next w:val="778"/>
    <w:link w:val="839"/>
    <w:uiPriority w:val="9"/>
    <w:unhideWhenUsed/>
    <w:qFormat/>
    <w:pPr>
      <w:keepLines/>
      <w:keepNext/>
      <w:spacing w:before="360" w:after="200"/>
      <w:outlineLvl w:val="1"/>
    </w:pPr>
    <w:rPr>
      <w:rFonts w:ascii="Arial" w:hAnsi="Arial" w:eastAsia="Arial" w:cs="Arial"/>
      <w:sz w:val="34"/>
    </w:rPr>
  </w:style>
  <w:style w:type="character" w:styleId="839" w:customStyle="1">
    <w:name w:val="Heading 2 Char"/>
    <w:link w:val="838"/>
    <w:uiPriority w:val="9"/>
    <w:qFormat/>
    <w:rPr>
      <w:rFonts w:ascii="Arial" w:hAnsi="Arial" w:eastAsia="Arial" w:cs="Arial"/>
      <w:sz w:val="34"/>
    </w:rPr>
  </w:style>
  <w:style w:type="paragraph" w:styleId="840" w:customStyle="1">
    <w:name w:val="Heading 3"/>
    <w:basedOn w:val="778"/>
    <w:next w:val="778"/>
    <w:link w:val="841"/>
    <w:uiPriority w:val="9"/>
    <w:unhideWhenUsed/>
    <w:qFormat/>
    <w:pPr>
      <w:keepLines/>
      <w:keepNext/>
      <w:spacing w:before="320" w:after="200"/>
      <w:outlineLvl w:val="2"/>
    </w:pPr>
    <w:rPr>
      <w:rFonts w:ascii="Arial" w:hAnsi="Arial" w:eastAsia="Arial" w:cs="Arial"/>
      <w:sz w:val="30"/>
      <w:szCs w:val="30"/>
    </w:rPr>
  </w:style>
  <w:style w:type="character" w:styleId="841" w:customStyle="1">
    <w:name w:val="Heading 3 Char"/>
    <w:link w:val="840"/>
    <w:uiPriority w:val="9"/>
    <w:qFormat/>
    <w:rPr>
      <w:rFonts w:ascii="Arial" w:hAnsi="Arial" w:eastAsia="Arial" w:cs="Arial"/>
      <w:sz w:val="30"/>
      <w:szCs w:val="30"/>
    </w:rPr>
  </w:style>
  <w:style w:type="paragraph" w:styleId="842" w:customStyle="1">
    <w:name w:val="Heading 4"/>
    <w:basedOn w:val="778"/>
    <w:next w:val="778"/>
    <w:link w:val="843"/>
    <w:uiPriority w:val="9"/>
    <w:unhideWhenUsed/>
    <w:qFormat/>
    <w:pPr>
      <w:keepLines/>
      <w:keepNext/>
      <w:spacing w:before="320" w:after="200"/>
      <w:outlineLvl w:val="3"/>
    </w:pPr>
    <w:rPr>
      <w:rFonts w:ascii="Arial" w:hAnsi="Arial" w:eastAsia="Arial" w:cs="Arial"/>
      <w:b/>
      <w:bCs/>
      <w:sz w:val="26"/>
      <w:szCs w:val="26"/>
    </w:rPr>
  </w:style>
  <w:style w:type="character" w:styleId="843" w:customStyle="1">
    <w:name w:val="Heading 4 Char"/>
    <w:link w:val="842"/>
    <w:uiPriority w:val="9"/>
    <w:qFormat/>
    <w:rPr>
      <w:rFonts w:ascii="Arial" w:hAnsi="Arial" w:eastAsia="Arial" w:cs="Arial"/>
      <w:b/>
      <w:bCs/>
      <w:sz w:val="26"/>
      <w:szCs w:val="26"/>
    </w:rPr>
  </w:style>
  <w:style w:type="paragraph" w:styleId="844" w:customStyle="1">
    <w:name w:val="Heading 5"/>
    <w:basedOn w:val="778"/>
    <w:next w:val="778"/>
    <w:link w:val="845"/>
    <w:uiPriority w:val="9"/>
    <w:unhideWhenUsed/>
    <w:qFormat/>
    <w:pPr>
      <w:keepLines/>
      <w:keepNext/>
      <w:spacing w:before="320" w:after="200"/>
      <w:outlineLvl w:val="4"/>
    </w:pPr>
    <w:rPr>
      <w:rFonts w:ascii="Arial" w:hAnsi="Arial" w:eastAsia="Arial" w:cs="Arial"/>
      <w:b/>
      <w:bCs/>
      <w:sz w:val="24"/>
    </w:rPr>
  </w:style>
  <w:style w:type="character" w:styleId="845" w:customStyle="1">
    <w:name w:val="Heading 5 Char"/>
    <w:link w:val="844"/>
    <w:uiPriority w:val="9"/>
    <w:qFormat/>
    <w:rPr>
      <w:rFonts w:ascii="Arial" w:hAnsi="Arial" w:eastAsia="Arial" w:cs="Arial"/>
      <w:b/>
      <w:bCs/>
      <w:sz w:val="24"/>
      <w:szCs w:val="24"/>
    </w:rPr>
  </w:style>
  <w:style w:type="paragraph" w:styleId="846" w:customStyle="1">
    <w:name w:val="Heading 6"/>
    <w:basedOn w:val="778"/>
    <w:next w:val="778"/>
    <w:link w:val="847"/>
    <w:uiPriority w:val="9"/>
    <w:unhideWhenUsed/>
    <w:qFormat/>
    <w:pPr>
      <w:keepLines/>
      <w:keepNext/>
      <w:spacing w:before="320" w:after="200"/>
      <w:outlineLvl w:val="5"/>
    </w:pPr>
    <w:rPr>
      <w:rFonts w:ascii="Arial" w:hAnsi="Arial" w:eastAsia="Arial" w:cs="Arial"/>
      <w:b/>
      <w:bCs/>
      <w:sz w:val="22"/>
      <w:szCs w:val="22"/>
    </w:rPr>
  </w:style>
  <w:style w:type="character" w:styleId="847" w:customStyle="1">
    <w:name w:val="Heading 6 Char"/>
    <w:link w:val="846"/>
    <w:uiPriority w:val="9"/>
    <w:qFormat/>
    <w:rPr>
      <w:rFonts w:ascii="Arial" w:hAnsi="Arial" w:eastAsia="Arial" w:cs="Arial"/>
      <w:b/>
      <w:bCs/>
      <w:sz w:val="22"/>
      <w:szCs w:val="22"/>
    </w:rPr>
  </w:style>
  <w:style w:type="paragraph" w:styleId="848" w:customStyle="1">
    <w:name w:val="Heading 7"/>
    <w:basedOn w:val="778"/>
    <w:next w:val="778"/>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customStyle="1">
    <w:name w:val="Heading 7 Char"/>
    <w:link w:val="848"/>
    <w:uiPriority w:val="9"/>
    <w:qFormat/>
    <w:rPr>
      <w:rFonts w:ascii="Arial" w:hAnsi="Arial" w:eastAsia="Arial" w:cs="Arial"/>
      <w:b/>
      <w:bCs/>
      <w:i/>
      <w:iCs/>
      <w:sz w:val="22"/>
      <w:szCs w:val="22"/>
    </w:rPr>
  </w:style>
  <w:style w:type="paragraph" w:styleId="850" w:customStyle="1">
    <w:name w:val="Heading 8"/>
    <w:basedOn w:val="778"/>
    <w:next w:val="778"/>
    <w:link w:val="851"/>
    <w:uiPriority w:val="9"/>
    <w:unhideWhenUsed/>
    <w:qFormat/>
    <w:pPr>
      <w:keepLines/>
      <w:keepNext/>
      <w:spacing w:before="320" w:after="200"/>
      <w:outlineLvl w:val="7"/>
    </w:pPr>
    <w:rPr>
      <w:rFonts w:ascii="Arial" w:hAnsi="Arial" w:eastAsia="Arial" w:cs="Arial"/>
      <w:i/>
      <w:iCs/>
      <w:sz w:val="22"/>
      <w:szCs w:val="22"/>
    </w:rPr>
  </w:style>
  <w:style w:type="character" w:styleId="851" w:customStyle="1">
    <w:name w:val="Heading 8 Char"/>
    <w:link w:val="850"/>
    <w:uiPriority w:val="9"/>
    <w:qFormat/>
    <w:rPr>
      <w:rFonts w:ascii="Arial" w:hAnsi="Arial" w:eastAsia="Arial" w:cs="Arial"/>
      <w:i/>
      <w:iCs/>
      <w:sz w:val="22"/>
      <w:szCs w:val="22"/>
    </w:rPr>
  </w:style>
  <w:style w:type="paragraph" w:styleId="852" w:customStyle="1">
    <w:name w:val="Heading 9"/>
    <w:basedOn w:val="778"/>
    <w:next w:val="778"/>
    <w:link w:val="853"/>
    <w:uiPriority w:val="9"/>
    <w:unhideWhenUsed/>
    <w:qFormat/>
    <w:pPr>
      <w:keepLines/>
      <w:keepNext/>
      <w:spacing w:before="320" w:after="200"/>
      <w:outlineLvl w:val="8"/>
    </w:pPr>
    <w:rPr>
      <w:rFonts w:ascii="Arial" w:hAnsi="Arial" w:eastAsia="Arial" w:cs="Arial"/>
      <w:i/>
      <w:iCs/>
      <w:szCs w:val="21"/>
    </w:rPr>
  </w:style>
  <w:style w:type="character" w:styleId="853" w:customStyle="1">
    <w:name w:val="Heading 9 Char"/>
    <w:link w:val="852"/>
    <w:uiPriority w:val="9"/>
    <w:qFormat/>
    <w:rPr>
      <w:rFonts w:ascii="Arial" w:hAnsi="Arial" w:eastAsia="Arial" w:cs="Arial"/>
      <w:i/>
      <w:iCs/>
      <w:sz w:val="21"/>
      <w:szCs w:val="21"/>
    </w:rPr>
  </w:style>
  <w:style w:type="paragraph" w:styleId="854">
    <w:name w:val="List Paragraph"/>
    <w:basedOn w:val="778"/>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Char"/>
    <w:link w:val="811"/>
    <w:uiPriority w:val="10"/>
    <w:qFormat/>
    <w:rPr>
      <w:sz w:val="48"/>
      <w:szCs w:val="48"/>
    </w:rPr>
  </w:style>
  <w:style w:type="character" w:styleId="857" w:customStyle="1">
    <w:name w:val="副标题 Char"/>
    <w:link w:val="803"/>
    <w:uiPriority w:val="11"/>
    <w:qFormat/>
    <w:rPr>
      <w:sz w:val="24"/>
      <w:szCs w:val="24"/>
    </w:rPr>
  </w:style>
  <w:style w:type="paragraph" w:styleId="858">
    <w:name w:val="Quote"/>
    <w:basedOn w:val="778"/>
    <w:next w:val="778"/>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78"/>
    <w:next w:val="778"/>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paragraph" w:styleId="862" w:customStyle="1">
    <w:name w:val="Header"/>
    <w:basedOn w:val="778"/>
    <w:link w:val="863"/>
    <w:uiPriority w:val="99"/>
    <w:unhideWhenUsed/>
    <w:qFormat/>
    <w:pPr>
      <w:tabs>
        <w:tab w:val="center" w:pos="7143" w:leader="none"/>
        <w:tab w:val="right" w:pos="14287" w:leader="none"/>
      </w:tabs>
    </w:pPr>
  </w:style>
  <w:style w:type="character" w:styleId="863" w:customStyle="1">
    <w:name w:val="Header Char"/>
    <w:link w:val="862"/>
    <w:uiPriority w:val="99"/>
    <w:qFormat/>
  </w:style>
  <w:style w:type="paragraph" w:styleId="864" w:customStyle="1">
    <w:name w:val="Footer"/>
    <w:basedOn w:val="778"/>
    <w:link w:val="867"/>
    <w:uiPriority w:val="99"/>
    <w:unhideWhenUsed/>
    <w:qFormat/>
    <w:pPr>
      <w:tabs>
        <w:tab w:val="center" w:pos="7143" w:leader="none"/>
        <w:tab w:val="right" w:pos="14287" w:leader="none"/>
      </w:tabs>
    </w:pPr>
  </w:style>
  <w:style w:type="character" w:styleId="865" w:customStyle="1">
    <w:name w:val="Footer Char"/>
    <w:link w:val="864"/>
    <w:uiPriority w:val="99"/>
    <w:qFormat/>
  </w:style>
  <w:style w:type="paragraph" w:styleId="866" w:customStyle="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67" w:customStyle="1">
    <w:name w:val="Caption Char"/>
    <w:link w:val="864"/>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Char"/>
    <w:link w:val="804"/>
    <w:uiPriority w:val="99"/>
    <w:qFormat/>
    <w:rPr>
      <w:sz w:val="18"/>
    </w:rPr>
  </w:style>
  <w:style w:type="character" w:styleId="994" w:customStyle="1">
    <w:name w:val="尾注文本 Char"/>
    <w:link w:val="797"/>
    <w:uiPriority w:val="99"/>
    <w:qFormat/>
    <w:rPr>
      <w:sz w:val="20"/>
    </w:rPr>
  </w:style>
  <w:style w:type="paragraph" w:styleId="995" w:customStyle="1">
    <w:name w:val="TOC Heading"/>
    <w:uiPriority w:val="39"/>
    <w:unhideWhenUsed/>
    <w:qFormat/>
    <w:rPr>
      <w:rFonts w:hint="default" w:ascii="Times New Roman" w:hAnsi="Times New Roman" w:eastAsia="宋体" w:cs="Times New Roman"/>
      <w:lang w:val="en-US" w:eastAsia="zh-CN" w:bidi="ar-SA"/>
    </w:rPr>
  </w:style>
  <w:style w:type="character" w:styleId="996" w:customStyle="1">
    <w:name w:val="标题 1 Char"/>
    <w:link w:val="779"/>
    <w:uiPriority w:val="0"/>
    <w:qFormat/>
    <w:rPr>
      <w:b/>
      <w:bCs/>
      <w:sz w:val="44"/>
      <w:szCs w:val="44"/>
    </w:rPr>
  </w:style>
  <w:style w:type="character" w:styleId="997" w:customStyle="1">
    <w:name w:val="标题 2 Char"/>
    <w:link w:val="780"/>
    <w:uiPriority w:val="0"/>
    <w:qFormat/>
    <w:rPr>
      <w:rFonts w:ascii="Arial" w:hAnsi="Arial" w:eastAsia="黑体"/>
      <w:b/>
      <w:bCs/>
      <w:sz w:val="32"/>
      <w:szCs w:val="32"/>
    </w:rPr>
  </w:style>
  <w:style w:type="character" w:styleId="998" w:customStyle="1">
    <w:name w:val="标题 3 Char"/>
    <w:link w:val="781"/>
    <w:uiPriority w:val="0"/>
    <w:qFormat/>
    <w:rPr>
      <w:b/>
      <w:bCs/>
      <w:sz w:val="32"/>
      <w:szCs w:val="32"/>
    </w:rPr>
  </w:style>
  <w:style w:type="character" w:styleId="999" w:customStyle="1">
    <w:name w:val="标题 4 Char"/>
    <w:link w:val="782"/>
    <w:uiPriority w:val="0"/>
    <w:qFormat/>
    <w:rPr>
      <w:rFonts w:eastAsia="新宋体"/>
      <w:sz w:val="30"/>
      <w:szCs w:val="21"/>
    </w:rPr>
  </w:style>
  <w:style w:type="character" w:styleId="1000" w:customStyle="1">
    <w:name w:val="正文缩进 Char"/>
    <w:link w:val="786"/>
    <w:uiPriority w:val="0"/>
    <w:qFormat/>
    <w:rPr>
      <w:sz w:val="21"/>
    </w:rPr>
  </w:style>
  <w:style w:type="character" w:styleId="1001" w:customStyle="1">
    <w:name w:val="文档结构图 Char"/>
    <w:link w:val="787"/>
    <w:uiPriority w:val="0"/>
    <w:semiHidden/>
    <w:qFormat/>
    <w:rPr>
      <w:sz w:val="21"/>
      <w:szCs w:val="24"/>
      <w:shd w:val="clear" w:color="auto" w:fill="000080"/>
    </w:rPr>
  </w:style>
  <w:style w:type="character" w:styleId="1002" w:customStyle="1">
    <w:name w:val="正文文本缩进 Char"/>
    <w:link w:val="790"/>
    <w:uiPriority w:val="0"/>
    <w:qFormat/>
    <w:rPr>
      <w:sz w:val="21"/>
      <w:szCs w:val="24"/>
    </w:rPr>
  </w:style>
  <w:style w:type="character" w:styleId="1003" w:customStyle="1">
    <w:name w:val="日期 Char"/>
    <w:link w:val="796"/>
    <w:uiPriority w:val="0"/>
    <w:qFormat/>
    <w:rPr>
      <w:sz w:val="21"/>
      <w:szCs w:val="24"/>
    </w:rPr>
  </w:style>
  <w:style w:type="character" w:styleId="1004" w:customStyle="1">
    <w:name w:val="批注框文本 Char"/>
    <w:link w:val="798"/>
    <w:uiPriority w:val="0"/>
    <w:semiHidden/>
    <w:qFormat/>
    <w:rPr>
      <w:sz w:val="18"/>
      <w:szCs w:val="18"/>
    </w:rPr>
  </w:style>
  <w:style w:type="character" w:styleId="1005" w:customStyle="1">
    <w:name w:val="页脚 Char"/>
    <w:link w:val="799"/>
    <w:uiPriority w:val="99"/>
    <w:qFormat/>
    <w:rPr>
      <w:sz w:val="18"/>
      <w:szCs w:val="18"/>
    </w:rPr>
  </w:style>
  <w:style w:type="character" w:styleId="1006" w:customStyle="1">
    <w:name w:val="页眉 Char"/>
    <w:link w:val="800"/>
    <w:uiPriority w:val="0"/>
    <w:qFormat/>
    <w:rPr>
      <w:sz w:val="18"/>
      <w:szCs w:val="18"/>
    </w:rPr>
  </w:style>
  <w:style w:type="character" w:styleId="1007" w:customStyle="1">
    <w:name w:val="正文文本缩进 3 Char"/>
    <w:link w:val="806"/>
    <w:uiPriority w:val="0"/>
    <w:qFormat/>
    <w:rPr>
      <w:rFonts w:ascii="宋体"/>
      <w:b/>
      <w:spacing w:val="6"/>
      <w:sz w:val="28"/>
      <w:szCs w:val="24"/>
    </w:rPr>
  </w:style>
  <w:style w:type="character" w:styleId="1008" w:customStyle="1">
    <w:name w:val="正文缩进2格 Char"/>
    <w:link w:val="1009"/>
    <w:uiPriority w:val="0"/>
    <w:qFormat/>
    <w:rPr>
      <w:rFonts w:ascii="仿宋_GB2312" w:hAnsi="宋体" w:eastAsia="仿宋_GB2312"/>
      <w:sz w:val="31"/>
      <w:szCs w:val="28"/>
    </w:rPr>
  </w:style>
  <w:style w:type="paragraph" w:styleId="1009" w:customStyle="1">
    <w:name w:val="正文缩进2格"/>
    <w:basedOn w:val="778"/>
    <w:link w:val="1008"/>
    <w:uiPriority w:val="0"/>
    <w:qFormat/>
    <w:pPr>
      <w:ind w:firstLine="639"/>
      <w:spacing w:line="600" w:lineRule="exact"/>
    </w:pPr>
    <w:rPr>
      <w:rFonts w:ascii="仿宋_GB2312" w:hAnsi="宋体" w:eastAsia="仿宋_GB2312"/>
      <w:sz w:val="31"/>
      <w:szCs w:val="28"/>
    </w:rPr>
  </w:style>
  <w:style w:type="character" w:styleId="1010" w:customStyle="1">
    <w:name w:val="标题 3.1 Char"/>
    <w:link w:val="1011"/>
    <w:uiPriority w:val="0"/>
    <w:qFormat/>
    <w:rPr>
      <w:rFonts w:ascii="宋体" w:hAnsi="宋体"/>
      <w:b/>
      <w:bCs/>
      <w:color w:val="000000"/>
      <w:sz w:val="32"/>
      <w:szCs w:val="32"/>
    </w:rPr>
  </w:style>
  <w:style w:type="paragraph" w:styleId="1011" w:customStyle="1">
    <w:name w:val="标题 3.1"/>
    <w:basedOn w:val="781"/>
    <w:link w:val="1010"/>
    <w:uiPriority w:val="0"/>
    <w:qFormat/>
    <w:pPr>
      <w:spacing w:line="600" w:lineRule="exact"/>
      <w:tabs>
        <w:tab w:val="left" w:pos="1440" w:leader="none"/>
        <w:tab w:val="left" w:pos="1620" w:leader="none"/>
      </w:tabs>
    </w:pPr>
    <w:rPr>
      <w:rFonts w:ascii="宋体" w:hAnsi="宋体"/>
      <w:color w:val="000000"/>
    </w:rPr>
  </w:style>
  <w:style w:type="paragraph" w:styleId="1012" w:customStyle="1">
    <w:name w:val="Char"/>
    <w:basedOn w:val="778"/>
    <w:uiPriority w:val="0"/>
    <w:qFormat/>
    <w:rPr>
      <w:rFonts w:ascii="Tahoma" w:hAnsi="Tahoma"/>
      <w:sz w:val="24"/>
      <w:szCs w:val="20"/>
    </w:rPr>
  </w:style>
  <w:style w:type="paragraph" w:styleId="1013" w:customStyle="1">
    <w:name w:val="正文缩进4格"/>
    <w:basedOn w:val="1009"/>
    <w:uiPriority w:val="0"/>
    <w:qFormat/>
    <w:pPr>
      <w:ind w:left="2" w:firstLine="538"/>
    </w:pPr>
    <w:rPr>
      <w:color w:val="000000"/>
      <w:sz w:val="28"/>
    </w:rPr>
  </w:style>
  <w:style w:type="paragraph" w:styleId="1014" w:customStyle="1">
    <w:name w:val="Char Char Char Char"/>
    <w:basedOn w:val="778"/>
    <w:uiPriority w:val="0"/>
    <w:qFormat/>
    <w:rPr>
      <w:rFonts w:ascii="Tahoma" w:hAnsi="Tahoma"/>
      <w:sz w:val="24"/>
      <w:szCs w:val="20"/>
    </w:rPr>
  </w:style>
  <w:style w:type="paragraph" w:styleId="1015" w:customStyle="1">
    <w:name w:val="Char1"/>
    <w:basedOn w:val="778"/>
    <w:uiPriority w:val="0"/>
    <w:qFormat/>
    <w:pPr>
      <w:ind w:left="840" w:hanging="420"/>
      <w:tabs>
        <w:tab w:val="left" w:pos="840" w:leader="none"/>
      </w:tabs>
    </w:pPr>
    <w:rPr>
      <w:sz w:val="24"/>
    </w:rPr>
  </w:style>
  <w:style w:type="paragraph" w:styleId="1016" w:customStyle="1">
    <w:name w:val="Char Char1 Char Char Char Char Char Char"/>
    <w:basedOn w:val="778"/>
    <w:uiPriority w:val="0"/>
    <w:qFormat/>
    <w:pPr>
      <w:jc w:val="left"/>
      <w:spacing w:after="160" w:line="240" w:lineRule="exact"/>
      <w:widowControl/>
    </w:pPr>
    <w:rPr>
      <w:rFonts w:ascii="Verdana" w:hAnsi="Verdana" w:eastAsia="仿宋_GB2312"/>
      <w:sz w:val="24"/>
      <w:szCs w:val="20"/>
      <w:lang w:eastAsia="en-US"/>
    </w:rPr>
  </w:style>
  <w:style w:type="paragraph" w:styleId="1017" w:customStyle="1">
    <w:name w:val="msonormalcxspmiddle"/>
    <w:basedOn w:val="778"/>
    <w:uiPriority w:val="0"/>
    <w:qFormat/>
    <w:pPr>
      <w:jc w:val="left"/>
      <w:spacing w:before="100" w:beforeAutospacing="1" w:after="100" w:afterAutospacing="1"/>
      <w:widowControl/>
    </w:pPr>
    <w:rPr>
      <w:rFonts w:ascii="宋体" w:hAnsi="宋体" w:cs="宋体"/>
      <w:sz w:val="24"/>
    </w:rPr>
  </w:style>
  <w:style w:type="paragraph" w:styleId="1018" w:customStyle="1">
    <w:name w:val="Char Char 字元 字元 字元 Char Char Char Char"/>
    <w:basedOn w:val="778"/>
    <w:uiPriority w:val="0"/>
    <w:qFormat/>
    <w:pPr>
      <w:spacing w:line="360" w:lineRule="auto"/>
    </w:pPr>
    <w:rPr>
      <w:sz w:val="24"/>
      <w:szCs w:val="20"/>
    </w:rPr>
  </w:style>
  <w:style w:type="paragraph" w:styleId="1019" w:customStyle="1">
    <w:name w:val="para"/>
    <w:basedOn w:val="778"/>
    <w:uiPriority w:val="0"/>
    <w:qFormat/>
    <w:pPr>
      <w:jc w:val="left"/>
      <w:spacing w:before="100" w:beforeAutospacing="1" w:after="100" w:afterAutospacing="1"/>
      <w:widowControl/>
    </w:pPr>
    <w:rPr>
      <w:rFonts w:ascii="Arial" w:hAnsi="Arial" w:cs="Arial"/>
      <w:sz w:val="18"/>
      <w:szCs w:val="18"/>
    </w:rPr>
  </w:style>
  <w:style w:type="paragraph" w:styleId="1020" w:customStyle="1">
    <w:name w:val="Char2"/>
    <w:basedOn w:val="778"/>
    <w:uiPriority w:val="0"/>
    <w:qFormat/>
    <w:rPr>
      <w:rFonts w:ascii="Tahoma" w:hAnsi="Tahoma"/>
      <w:sz w:val="24"/>
      <w:szCs w:val="20"/>
    </w:rPr>
  </w:style>
  <w:style w:type="paragraph" w:styleId="1021" w:customStyle="1">
    <w:name w:val="msonormalcxsplast"/>
    <w:basedOn w:val="778"/>
    <w:uiPriority w:val="0"/>
    <w:qFormat/>
    <w:pPr>
      <w:jc w:val="left"/>
      <w:spacing w:before="100" w:beforeAutospacing="1" w:after="100" w:afterAutospacing="1"/>
      <w:widowControl/>
    </w:pPr>
    <w:rPr>
      <w:rFonts w:ascii="宋体" w:hAnsi="宋体" w:cs="宋体"/>
      <w:sz w:val="24"/>
    </w:rPr>
  </w:style>
  <w:style w:type="character" w:styleId="1022" w:customStyle="1">
    <w:name w:val="普通正文 Char"/>
    <w:link w:val="1023"/>
    <w:uiPriority w:val="0"/>
    <w:qFormat/>
    <w:rPr>
      <w:rFonts w:ascii="Arial" w:hAnsi="Arial"/>
      <w:sz w:val="24"/>
      <w:szCs w:val="24"/>
    </w:rPr>
  </w:style>
  <w:style w:type="paragraph" w:styleId="1023" w:customStyle="1">
    <w:name w:val="普通正文"/>
    <w:basedOn w:val="778"/>
    <w:link w:val="1022"/>
    <w:uiPriority w:val="0"/>
    <w:qFormat/>
    <w:pPr>
      <w:ind w:left="-2" w:right="120" w:firstLine="480"/>
      <w:jc w:val="center"/>
      <w:spacing w:before="120" w:after="120" w:line="360" w:lineRule="auto"/>
    </w:pPr>
    <w:rPr>
      <w:rFonts w:ascii="Arial" w:hAnsi="Arial"/>
      <w:sz w:val="24"/>
    </w:rPr>
  </w:style>
  <w:style w:type="character" w:styleId="1024" w:customStyle="1">
    <w:name w:val="mini-outputtext1"/>
    <w:uiPriority w:val="0"/>
    <w:qFormat/>
  </w:style>
  <w:style w:type="character" w:styleId="1025" w:customStyle="1">
    <w:name w:val="font31"/>
    <w:uiPriority w:val="0"/>
    <w:qFormat/>
    <w:rPr>
      <w:rFonts w:hint="eastAsia" w:ascii="宋体" w:hAnsi="宋体" w:eastAsia="宋体" w:cs="宋体"/>
      <w:color w:val="000000"/>
      <w:sz w:val="21"/>
      <w:szCs w:val="21"/>
      <w:u w:val="none"/>
    </w:rPr>
  </w:style>
  <w:style w:type="character" w:styleId="1026" w:customStyle="1">
    <w:name w:val="font61"/>
    <w:uiPriority w:val="0"/>
    <w:qFormat/>
    <w:rPr>
      <w:rFonts w:ascii="Times New Roman" w:hAnsi="Times New Roman" w:cs="Times New Roman"/>
      <w:color w:val="000000"/>
      <w:sz w:val="21"/>
      <w:szCs w:val="21"/>
      <w:u w:val="none"/>
    </w:rPr>
  </w:style>
  <w:style w:type="character" w:styleId="1027" w:customStyle="1">
    <w:name w:val="font01"/>
    <w:uiPriority w:val="0"/>
    <w:qFormat/>
    <w:rPr>
      <w:rFonts w:ascii="等线" w:hAnsi="等线" w:eastAsia="等线" w:cs="等线"/>
      <w:color w:val="000000"/>
      <w:sz w:val="22"/>
      <w:szCs w:val="22"/>
      <w:u w:val="none"/>
    </w:rPr>
  </w:style>
  <w:style w:type="character" w:styleId="1028" w:customStyle="1">
    <w:name w:val="font51"/>
    <w:uiPriority w:val="0"/>
    <w:qFormat/>
    <w:rPr>
      <w:rFonts w:ascii="等线" w:hAnsi="等线" w:eastAsia="等线" w:cs="等线"/>
      <w:b/>
      <w:bCs/>
      <w:color w:val="000000"/>
      <w:sz w:val="22"/>
      <w:szCs w:val="22"/>
      <w:u w:val="none"/>
    </w:rPr>
  </w:style>
  <w:style w:type="paragraph" w:styleId="1029" w:customStyle="1">
    <w:name w:val="普通(网站) Char"/>
    <w:basedOn w:val="778"/>
    <w:uiPriority w:val="0"/>
    <w:qFormat/>
    <w:pPr>
      <w:jc w:val="left"/>
      <w:spacing w:before="100" w:beforeAutospacing="1" w:after="100" w:afterAutospacing="1"/>
      <w:widowControl/>
    </w:pPr>
    <w:rPr>
      <w:rFonts w:hint="eastAsia" w:ascii="宋体" w:hAnsi="宋体"/>
      <w:sz w:val="24"/>
    </w:rPr>
  </w:style>
  <w:style w:type="character" w:styleId="1030" w:customStyle="1">
    <w:name w:val="页脚 字符"/>
    <w:uiPriority w:val="99"/>
    <w:qFormat/>
  </w:style>
  <w:style w:type="paragraph" w:styleId="1031"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32" w:customStyle="1">
    <w:name w:val="正文缩进1"/>
    <w:basedOn w:val="1033"/>
    <w:uiPriority w:val="0"/>
    <w:qFormat/>
    <w:pPr>
      <w:ind w:firstLine="420"/>
    </w:pPr>
    <w:rPr>
      <w:sz w:val="20"/>
    </w:rPr>
  </w:style>
  <w:style w:type="paragraph" w:styleId="1033" w:customStyle="1">
    <w:name w:val="正文12"/>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标题 21"/>
    <w:basedOn w:val="1033"/>
    <w:next w:val="1033"/>
    <w:uiPriority w:val="0"/>
    <w:qFormat/>
    <w:pPr>
      <w:keepLines/>
      <w:keepNext/>
      <w:spacing w:before="260" w:after="260" w:line="416" w:lineRule="auto"/>
      <w:outlineLvl w:val="1"/>
    </w:pPr>
    <w:rPr>
      <w:rFonts w:ascii="Arial" w:hAnsi="Arial" w:eastAsia="黑体"/>
      <w:b/>
      <w:bCs/>
      <w:sz w:val="32"/>
      <w:szCs w:val="32"/>
    </w:rPr>
  </w:style>
  <w:style w:type="character" w:styleId="1035" w:customStyle="1">
    <w:name w:val="NormalCharacter"/>
    <w:uiPriority w:val="0"/>
    <w:semiHidden/>
    <w:qFormat/>
  </w:style>
  <w:style w:type="paragraph" w:styleId="1036" w:customStyle="1">
    <w:name w:val="HtmlNormal"/>
    <w:basedOn w:val="778"/>
    <w:uiPriority w:val="0"/>
    <w:qFormat/>
    <w:pPr>
      <w:jc w:val="left"/>
      <w:widowControl/>
    </w:pPr>
    <w:rPr>
      <w:sz w:val="24"/>
      <w:szCs w:val="21"/>
    </w:rPr>
  </w:style>
  <w:style w:type="character" w:styleId="1037" w:customStyle="1">
    <w:name w:val="纯文本 Char"/>
    <w:basedOn w:val="783"/>
    <w:link w:val="794"/>
    <w:uiPriority w:val="0"/>
    <w:qFormat/>
    <w:rPr>
      <w:rFonts w:ascii="宋体" w:hAnsi="Courier New"/>
      <w:sz w:val="21"/>
    </w:rPr>
  </w:style>
  <w:style w:type="paragraph" w:styleId="1038" w:customStyle="1">
    <w:name w:val="表格文字"/>
    <w:basedOn w:val="1039"/>
    <w:next w:val="789"/>
    <w:uiPriority w:val="0"/>
    <w:qFormat/>
  </w:style>
  <w:style w:type="paragraph" w:styleId="1039" w:customStyle="1">
    <w:name w:val="表格文字（两侧对齐）"/>
    <w:basedOn w:val="778"/>
    <w:uiPriority w:val="0"/>
    <w:qFormat/>
    <w:rPr>
      <w:sz w:val="20"/>
    </w:rPr>
  </w:style>
  <w:style w:type="paragraph" w:styleId="1040" w:customStyle="1">
    <w:name w:val="正文文本11"/>
    <w:basedOn w:val="778"/>
    <w:next w:val="778"/>
    <w:uiPriority w:val="0"/>
    <w:qFormat/>
    <w:pPr>
      <w:spacing w:after="120"/>
    </w:pPr>
    <w:rPr>
      <w:rFonts w:ascii="Times New Roman" w:hAnsi="Times New Roman"/>
      <w:szCs w:val="20"/>
    </w:rPr>
  </w:style>
  <w:style w:type="paragraph" w:styleId="1041" w:customStyle="1">
    <w:name w:val="Table Text"/>
    <w:basedOn w:val="778"/>
    <w:uiPriority w:val="0"/>
    <w:semiHidden/>
    <w:qFormat/>
    <w:pPr>
      <w:jc w:val="both"/>
      <w:spacing w:after="0" w:line="240" w:lineRule="auto"/>
      <w:widowControl w:val="off"/>
    </w:pPr>
    <w:rPr>
      <w:rFonts w:ascii="宋体" w:hAnsi="宋体" w:eastAsia="宋体" w:cs="宋体"/>
      <w:sz w:val="28"/>
      <w:szCs w:val="28"/>
    </w:rPr>
  </w:style>
  <w:style w:type="paragraph" w:styleId="1042" w:customStyle="1">
    <w:name w:val="正文首行缩进11"/>
    <w:basedOn w:val="1043"/>
    <w:uiPriority w:val="0"/>
    <w:qFormat/>
    <w:pPr>
      <w:ind w:firstLine="200"/>
      <w:spacing w:line="360" w:lineRule="auto"/>
    </w:pPr>
    <w:rPr>
      <w:rFonts w:ascii="仿宋_GB2312" w:hAnsi="Times New Roman" w:eastAsia="仿宋_GB2312"/>
      <w:sz w:val="30"/>
      <w:szCs w:val="30"/>
    </w:rPr>
  </w:style>
  <w:style w:type="paragraph" w:styleId="1043" w:customStyle="1">
    <w:name w:val="正文文本1"/>
    <w:basedOn w:val="778"/>
    <w:next w:val="778"/>
    <w:uiPriority w:val="0"/>
    <w:qFormat/>
    <w:rPr>
      <w:rFonts w:ascii="楷体_GB2312" w:hAnsi="Arial" w:eastAsia="楷体_GB2312"/>
      <w:sz w:val="28"/>
      <w:szCs w:val="28"/>
    </w:rPr>
  </w:style>
  <w:style w:type="numbering" w:styleId="7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5B47D5-FF1A-494C-9338-4390BA8E9514}"/>
</file>

<file path=customXml/itemProps2.xml><?xml version="1.0" encoding="utf-8"?>
<ds:datastoreItem xmlns:ds="http://schemas.openxmlformats.org/officeDocument/2006/customXml" ds:itemID="{E3D19252-4328-49A6-B828-27EFC084CAF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5</cp:revision>
  <dcterms:created xsi:type="dcterms:W3CDTF">2025-08-28T13:48:00Z</dcterms:created>
  <dcterms:modified xsi:type="dcterms:W3CDTF">2026-08-13T08:22:25Z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eyJoZGlkIjoiM2JiODhkNWFhN2EyOGJiMDEwNGViNDMzNzA4MjE0YWYiLCJ1c2VySWQiOiIzNDU4MTA4NzYifQ==</vt:lpwstr>
  </property>
  <property fmtid="{D5CDD505-2E9C-101B-9397-08002B2CF9AE}" pid="3" name="KSOProductBuildVer">
    <vt:lpwstr>2052-12.1.0.28043</vt:lpwstr>
  </property>
  <property fmtid="{D5CDD505-2E9C-101B-9397-08002B2CF9AE}" pid="4" name="ICV">
    <vt:lpwstr>45B47FE1C80D4181B247C7DBAA4E063F_13</vt:lpwstr>
  </property>
</Properties>
</file>