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苏州市立医院保安服务（道前院区）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8月14日13点30分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JSZC-320500-SZWK-G2026-0201</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苏州市立医院保安服务（道前院区）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499.65</w:t>
      </w:r>
      <w:r>
        <w:rPr>
          <w:rFonts w:hint="eastAsia" w:ascii="宋体" w:hAnsi="宋体" w:cs="宋体"/>
          <w:color w:val="auto"/>
          <w:sz w:val="24"/>
          <w:szCs w:val="24"/>
          <w:highlight w:val="none"/>
        </w:rPr>
        <w:t xml:space="preserve">万元；最高限价：</w:t>
      </w:r>
      <w:r>
        <w:rPr>
          <w:rFonts w:hint="eastAsia" w:ascii="宋体" w:hAnsi="宋体" w:cs="宋体"/>
          <w:color w:val="auto"/>
          <w:sz w:val="24"/>
          <w:szCs w:val="24"/>
          <w:highlight w:val="none"/>
          <w:lang w:val="en-US" w:eastAsia="zh-CN"/>
        </w:rPr>
        <w:t xml:space="preserve">499.4</w:t>
      </w:r>
      <w:r>
        <w:rPr>
          <w:rFonts w:hint="eastAsia" w:ascii="宋体" w:hAnsi="宋体" w:cs="宋体"/>
          <w:color w:val="auto"/>
          <w:sz w:val="24"/>
          <w:szCs w:val="24"/>
          <w:highlight w:val="none"/>
        </w:rPr>
        <w:t xml:space="preserve">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主要包括苏州市立医院（本部）—道前街26号（含院外科室）及苏州市立医院教育培训基地-枫津路40号的保安服务及地面车辆管理服务，主要包括院内车辆、道路交通管理</w:t>
      </w:r>
      <w:bookmarkStart w:id="15" w:name="_GoBack"/>
      <w:r/>
      <w:bookmarkEnd w:id="15"/>
      <w:r>
        <w:rPr>
          <w:rFonts w:hint="eastAsia" w:ascii="宋体" w:hAnsi="宋体"/>
          <w:color w:val="auto"/>
          <w:sz w:val="24"/>
          <w:szCs w:val="24"/>
          <w:highlight w:val="none"/>
        </w:rPr>
        <w:t xml:space="preserve">；院内安保管理；消防安全管理及控烟、处理各类突发情况、协助院方及时稳妥地处置各类医患纠纷等管理内容。</w:t>
      </w:r>
      <w:r>
        <w:rPr>
          <w:rFonts w:hint="eastAsia" w:ascii="宋体" w:hAnsi="宋体" w:cs="宋体"/>
          <w:color w:val="auto"/>
          <w:sz w:val="24"/>
          <w:szCs w:val="24"/>
          <w:highlight w:val="none"/>
        </w:rPr>
        <w:t xml:space="preserve">（具体服务内容详见招标文件）</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苏州市立医院（道前院区）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3.本项目的特定资格要求：投标人具有保安服务许可证。</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5"/>
        <w:ind w:firstLine="480"/>
        <w:spacing w:line="240" w:lineRule="auto"/>
        <w:rPr>
          <w:color w:val="auto"/>
          <w:highlight w:val="none"/>
        </w:rPr>
      </w:pPr>
      <w:r>
        <w:rPr>
          <w:rFonts w:hint="eastAsia"/>
          <w:color w:val="auto"/>
          <w:highlight w:val="none"/>
        </w:rPr>
        <w:t xml:space="preserve">4、售价：无</w:t>
      </w:r>
      <w:r/>
    </w:p>
    <w:p>
      <w:pPr>
        <w:pStyle w:val="745"/>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5"/>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8月14日13点30分</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8月14日13点30分</w:t>
      </w:r>
      <w:r/>
    </w:p>
    <w:p>
      <w:pPr>
        <w:pStyle w:val="745"/>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5"/>
        <w:ind w:firstLine="480"/>
        <w:spacing w:line="240" w:lineRule="auto"/>
        <w:rPr>
          <w:b/>
          <w:bCs/>
          <w:color w:val="auto"/>
          <w:highlight w:val="none"/>
        </w:rPr>
      </w:pPr>
      <w:r>
        <w:rPr>
          <w:rFonts w:hint="eastAsia"/>
          <w:b/>
          <w:bCs/>
          <w:color w:val="auto"/>
          <w:highlight w:val="none"/>
        </w:rPr>
        <w:t xml:space="preserve">五、公告期限</w:t>
      </w:r>
      <w:r/>
    </w:p>
    <w:p>
      <w:pPr>
        <w:pStyle w:val="745"/>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5"/>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5"/>
        <w:ind w:firstLine="480"/>
        <w:spacing w:line="240" w:lineRule="auto"/>
        <w:rPr>
          <w:color w:val="auto"/>
          <w:highlight w:val="none"/>
        </w:rPr>
      </w:pPr>
      <w:r>
        <w:rPr>
          <w:rFonts w:hint="eastAsia"/>
          <w:color w:val="auto"/>
          <w:highlight w:val="none"/>
        </w:rPr>
        <w:t xml:space="preserve">1、采购人信息</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5"/>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5"/>
        <w:ind w:firstLine="480"/>
        <w:spacing w:line="240" w:lineRule="auto"/>
        <w:rPr>
          <w:color w:val="auto"/>
          <w:highlight w:val="none"/>
        </w:rPr>
      </w:pPr>
      <w:r>
        <w:rPr>
          <w:rFonts w:hint="eastAsia"/>
          <w:color w:val="auto"/>
          <w:highlight w:val="none"/>
        </w:rPr>
        <w:t xml:space="preserve">2、采购代理机构信息</w:t>
      </w:r>
      <w:r/>
    </w:p>
    <w:p>
      <w:pPr>
        <w:pStyle w:val="745"/>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5"/>
        <w:ind w:firstLine="480"/>
        <w:spacing w:line="240" w:lineRule="auto"/>
        <w:rPr>
          <w:color w:val="auto"/>
          <w:highlight w:val="none"/>
        </w:rPr>
      </w:pPr>
      <w:r>
        <w:rPr>
          <w:rFonts w:hint="eastAsia"/>
          <w:color w:val="auto"/>
          <w:highlight w:val="none"/>
        </w:rPr>
        <w:t xml:space="preserve">地址：苏州市干将西路1296号1幢17层</w:t>
      </w:r>
      <w:r/>
    </w:p>
    <w:p>
      <w:pPr>
        <w:pStyle w:val="745"/>
        <w:ind w:firstLine="480"/>
        <w:spacing w:line="240" w:lineRule="auto"/>
        <w:rPr>
          <w:color w:val="auto"/>
          <w:highlight w:val="none"/>
        </w:rPr>
      </w:pPr>
      <w:r>
        <w:rPr>
          <w:rFonts w:hint="eastAsia"/>
          <w:color w:val="auto"/>
          <w:highlight w:val="none"/>
        </w:rPr>
        <w:t xml:space="preserve">前台联系方式：0512-69165625</w:t>
      </w:r>
      <w:r/>
    </w:p>
    <w:p>
      <w:pPr>
        <w:pStyle w:val="745"/>
        <w:ind w:firstLine="480"/>
        <w:spacing w:line="240" w:lineRule="auto"/>
        <w:rPr>
          <w:color w:val="auto"/>
          <w:highlight w:val="none"/>
        </w:rPr>
      </w:pPr>
      <w:r>
        <w:rPr>
          <w:rFonts w:hint="eastAsia"/>
          <w:color w:val="auto"/>
          <w:highlight w:val="none"/>
        </w:rPr>
        <w:t xml:space="preserve">3、项目联系方式</w:t>
      </w:r>
      <w:r/>
    </w:p>
    <w:p>
      <w:pPr>
        <w:pStyle w:val="745"/>
        <w:ind w:firstLine="480"/>
        <w:spacing w:line="240" w:lineRule="auto"/>
        <w:rPr>
          <w:color w:val="auto"/>
          <w:highlight w:val="none"/>
        </w:rPr>
      </w:pPr>
      <w:r>
        <w:rPr>
          <w:rFonts w:hint="eastAsia"/>
          <w:color w:val="auto"/>
          <w:highlight w:val="none"/>
        </w:rPr>
        <w:t xml:space="preserve">项目联系人：陈璐佳、李晶晶</w:t>
      </w:r>
      <w:r/>
    </w:p>
    <w:p>
      <w:pPr>
        <w:pStyle w:val="745"/>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JSZC-320500-SZWK-G2026-0201</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保安服务（道前院区）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JSZC-320500-SZWK-G2026-0201</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苏州市立医院保安服务（道前院区）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2026年8月14日13点30分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2026年8月14日13点30分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w:t>
            </w:r>
            <w:r>
              <w:rPr>
                <w:rFonts w:hint="eastAsia" w:ascii="宋体" w:hAnsi="宋体"/>
                <w:color w:val="auto"/>
                <w:szCs w:val="21"/>
                <w:highlight w:val="none"/>
                <w:lang w:val="zh-CN"/>
              </w:rPr>
              <w:t xml:space="preserve">58961.5元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1"/>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苏州市卫康招投标咨询服务有限公司受苏州市立医院委托，对其苏州市立医院保安服务（道前院区）进行国内公开招标采购，欢迎符合招标公告投标资格条件的各公司前来报名参加投标。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1、采购编号：JSZC-320500-SZWK-G2026-0201号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2、采购项目名称：苏州市立医院保安服务（道前院区）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3、采购预算：499.65万元；最高限价：499.4万元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8月14日13点30分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8月14日13点30分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0"/>
        <w:spacing w:line="400" w:lineRule="exact"/>
        <w:outlineLvl w:val="0"/>
      </w:pPr>
      <w:r>
        <w:rPr>
          <w:rFonts w:hint="eastAsia"/>
          <w:lang w:val="en-US" w:eastAsia="zh-CN"/>
        </w:rPr>
        <w:t xml:space="preserve">3.3</w:t>
      </w:r>
      <w:r>
        <w:rPr>
          <w:rFonts w:hint="eastAsia"/>
        </w:rPr>
        <w:t xml:space="preserve">本项目的特定资格要求：投标人具有保安服务许可证。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rFonts w:hint="eastAsia"/>
          <w:b/>
          <w:bCs/>
          <w:color w:val="auto"/>
          <w:szCs w:val="21"/>
          <w:highlight w:val="none"/>
        </w:rPr>
      </w:pPr>
      <w:r>
        <w:rPr>
          <w:rFonts w:hint="eastAsia"/>
          <w:b/>
          <w:bCs/>
          <w:color w:val="auto"/>
          <w:szCs w:val="21"/>
          <w:highlight w:val="none"/>
          <w:lang w:val="en-US" w:eastAsia="zh-CN"/>
        </w:rPr>
        <w:t xml:space="preserve">3.7</w:t>
      </w:r>
      <w:r>
        <w:rPr>
          <w:rFonts w:hint="eastAsia"/>
          <w:b/>
          <w:bCs/>
          <w:color w:val="auto"/>
          <w:szCs w:val="21"/>
          <w:highlight w:val="none"/>
        </w:rPr>
        <w:t xml:space="preserve">保安服务许可证</w:t>
      </w:r>
      <w:r>
        <w:rPr>
          <w:rFonts w:hint="eastAsia"/>
          <w:b/>
          <w:bCs/>
          <w:color w:val="auto"/>
          <w:szCs w:val="21"/>
          <w:highlight w:val="none"/>
          <w:lang w:val="en-US" w:eastAsia="zh-CN"/>
        </w:rPr>
        <w:t xml:space="preserve">复印件。</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JSZC-320500-SZWK-G2026-0201</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6"/>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6"/>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1"/>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5"/>
        <w:gridCol w:w="1795"/>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gridSpan w:val="2"/>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widowControl/>
              <w:rPr>
                <w:rFonts w:hint="default" w:eastAsiaTheme="minorEastAsia"/>
                <w:b/>
                <w:bCs/>
                <w:color w:val="auto"/>
                <w:szCs w:val="21"/>
                <w:highlight w:val="none"/>
                <w:lang w:val="en-US" w:eastAsia="zh-CN"/>
              </w:rPr>
            </w:pPr>
            <w:r>
              <w:rPr>
                <w:rFonts w:hint="eastAsia" w:eastAsiaTheme="minorEastAsia"/>
                <w:b/>
                <w:bCs/>
                <w:color w:val="auto"/>
                <w:szCs w:val="21"/>
                <w:highlight w:val="none"/>
                <w:lang w:val="en-US" w:eastAsia="zh-CN"/>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gridSpan w:val="2"/>
            <w:tcBorders>
              <w:top w:val="none" w:color="000000"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1"/>
        <w:ind w:firstLine="0"/>
        <w:rPr>
          <w:b/>
          <w:color w:val="auto"/>
          <w:sz w:val="21"/>
          <w:szCs w:val="21"/>
          <w:highlight w:val="none"/>
        </w:rPr>
      </w:pPr>
      <w:r>
        <w:rPr>
          <w:b/>
          <w:color w:val="auto"/>
          <w:sz w:val="21"/>
          <w:szCs w:val="21"/>
          <w:highlight w:val="none"/>
        </w:rPr>
      </w:r>
      <w:r/>
    </w:p>
    <w:p>
      <w:pPr>
        <w:pStyle w:val="741"/>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1"/>
        <w:ind w:firstLine="0"/>
        <w:rPr>
          <w:b/>
          <w:color w:val="auto"/>
          <w:sz w:val="21"/>
          <w:szCs w:val="21"/>
          <w:highlight w:val="none"/>
        </w:rPr>
      </w:pPr>
      <w:r>
        <w:rPr>
          <w:b/>
          <w:color w:val="auto"/>
          <w:sz w:val="21"/>
          <w:szCs w:val="21"/>
          <w:highlight w:val="none"/>
        </w:rPr>
      </w:r>
      <w:r/>
    </w:p>
    <w:p>
      <w:pPr>
        <w:pStyle w:val="741"/>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1"/>
        <w:jc w:val="center"/>
        <w:rPr>
          <w:rFonts w:ascii="Times New Roman"/>
          <w:color w:val="auto"/>
          <w:highlight w:val="none"/>
        </w:rPr>
      </w:pPr>
      <w:r>
        <w:rPr>
          <w:rFonts w:ascii="Times New Roman"/>
          <w:color w:val="auto"/>
          <w:highlight w:val="none"/>
        </w:rPr>
      </w:r>
      <w:r/>
    </w:p>
    <w:p>
      <w:pPr>
        <w:pStyle w:val="741"/>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1"/>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1"/>
        <w:ind w:firstLine="0"/>
        <w:spacing w:line="400" w:lineRule="exact"/>
        <w:rPr>
          <w:color w:val="auto"/>
          <w:sz w:val="21"/>
          <w:szCs w:val="21"/>
          <w:highlight w:val="none"/>
        </w:rPr>
      </w:pPr>
      <w:r>
        <w:rPr>
          <w:color w:val="auto"/>
          <w:sz w:val="21"/>
          <w:szCs w:val="21"/>
          <w:highlight w:val="none"/>
        </w:rPr>
      </w:r>
      <w:r/>
    </w:p>
    <w:p>
      <w:pPr>
        <w:pStyle w:val="741"/>
        <w:ind w:firstLine="0"/>
        <w:rPr>
          <w:color w:val="auto"/>
          <w:highlight w:val="none"/>
        </w:rPr>
      </w:pPr>
      <w:r>
        <w:rPr>
          <w:color w:val="auto"/>
          <w:highlight w:val="none"/>
        </w:rPr>
      </w:r>
      <w:r/>
    </w:p>
    <w:p>
      <w:pPr>
        <w:pStyle w:val="741"/>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1"/>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1"/>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1"/>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1"/>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1"/>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苏州市立医院保安服务（道前院区）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JSZC-320500-SZWK-G2026-0201</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苏州市立医院保安服务（道前院区）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（一）服务内容：苏州市立医院（本部）—道前街</w:t>
      </w:r>
      <w:r>
        <w:rPr>
          <w:rFonts w:ascii="宋体" w:hAnsi="宋体"/>
          <w:color w:val="auto"/>
          <w:szCs w:val="21"/>
          <w:highlight w:val="none"/>
        </w:rPr>
        <w:t xml:space="preserve">26</w:t>
      </w:r>
      <w:r>
        <w:rPr>
          <w:rFonts w:hint="eastAsia" w:ascii="宋体" w:hAnsi="宋体"/>
          <w:color w:val="auto"/>
          <w:szCs w:val="21"/>
          <w:highlight w:val="none"/>
        </w:rPr>
        <w:t xml:space="preserve">号（含院外科室）、苏州市立医院（培训基地）—枫津路</w:t>
      </w:r>
      <w:r>
        <w:rPr>
          <w:rFonts w:ascii="宋体" w:hAnsi="宋体"/>
          <w:color w:val="auto"/>
          <w:szCs w:val="21"/>
          <w:highlight w:val="none"/>
        </w:rPr>
        <w:t xml:space="preserve">40</w:t>
      </w:r>
      <w:r>
        <w:rPr>
          <w:rFonts w:hint="eastAsia" w:ascii="宋体" w:hAnsi="宋体"/>
          <w:color w:val="auto"/>
          <w:szCs w:val="21"/>
          <w:highlight w:val="none"/>
        </w:rPr>
        <w:t xml:space="preserve">号的保安服务及地面车辆秩序管理服务，主要包括院内车辆、道路交通管理；院内安保管理；消防安全管理及控烟、处理各类突发情况、协助院方及时稳妥地处置各类医患纠纷等管理内容。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（二）服务人员要求：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、身体健康、体貌端庄，着装整齐，具有良好的品德素质。</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、项目管理人员应具备：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大专及以上学历，具有正规部门颁发的职业资格或技能等级证书，具备相应的管理工作经验，拟派的管理人员须为投标单位的正式员工提供为其缴纳的社保证明复印件。</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、服务人员应具备初中及以上学历，年龄上限：男性不超过</w:t>
      </w:r>
      <w:r>
        <w:rPr>
          <w:rFonts w:ascii="宋体" w:hAnsi="宋体"/>
          <w:color w:val="auto"/>
          <w:szCs w:val="21"/>
          <w:highlight w:val="none"/>
        </w:rPr>
        <w:t xml:space="preserve">55</w:t>
      </w:r>
      <w:r>
        <w:rPr>
          <w:rFonts w:hint="eastAsia" w:ascii="宋体" w:hAnsi="宋体"/>
          <w:color w:val="auto"/>
          <w:szCs w:val="21"/>
          <w:highlight w:val="none"/>
        </w:rPr>
        <w:t xml:space="preserve">周岁。女性不超过</w:t>
      </w:r>
      <w:r>
        <w:rPr>
          <w:rFonts w:ascii="宋体" w:hAnsi="宋体"/>
          <w:color w:val="auto"/>
          <w:szCs w:val="21"/>
          <w:highlight w:val="none"/>
        </w:rPr>
        <w:t xml:space="preserve">50</w:t>
      </w:r>
      <w:r>
        <w:rPr>
          <w:rFonts w:hint="eastAsia" w:ascii="宋体" w:hAnsi="宋体"/>
          <w:color w:val="auto"/>
          <w:szCs w:val="21"/>
          <w:highlight w:val="none"/>
        </w:rPr>
        <w:t xml:space="preserve">周岁。</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、消防监控室值班员均须具备正规部门颁发的“建（构）筑物消防员”或“消防设施操作员”证书。</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、所有人员必须掌握必要的消防灭火技能，定期进行消防演练。</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、人员要求：人员岗位须相对较固定，不得兼职其他岗位。</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、岗位及工作时间等要求：</w:t>
      </w:r>
      <w:r>
        <w:rPr>
          <w:rFonts w:ascii="宋体" w:hAnsi="宋体"/>
          <w:color w:val="auto"/>
          <w:szCs w:val="21"/>
          <w:highlight w:val="none"/>
        </w:rPr>
        <w:t xml:space="preserve"> </w:t>
      </w:r>
      <w:r/>
    </w:p>
    <w:tbl>
      <w:tblPr>
        <w:tblStyle w:val="739"/>
        <w:tblW w:w="8850" w:type="dxa"/>
        <w:tblInd w:w="93" w:type="dxa"/>
        <w:tblLayout w:type="fixed"/>
        <w:tblCellMar>
          <w:left w:w="108" w:type="dxa"/>
          <w:top w:w="0" w:type="dxa"/>
          <w:right w:w="108" w:type="dxa"/>
          <w:bottom w:w="0" w:type="dxa"/>
        </w:tblCellMar>
        <w:tblLook w:val="04A0" w:firstRow="1" w:lastRow="0" w:firstColumn="1" w:lastColumn="0" w:noHBand="0" w:noVBand="1"/>
      </w:tblPr>
      <w:tblGrid>
        <w:gridCol w:w="862"/>
        <w:gridCol w:w="1488"/>
        <w:gridCol w:w="1937"/>
        <w:gridCol w:w="1200"/>
        <w:gridCol w:w="1575"/>
        <w:gridCol w:w="1788"/>
      </w:tblGrid>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楼宇</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时数</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备注</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1号楼</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门诊安检</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w:t>
            </w:r>
            <w:r>
              <w:rPr>
                <w:rFonts w:hint="eastAsia" w:ascii="Times New Roman" w:hAnsi="Times New Roman"/>
                <w:color w:val="auto"/>
                <w:szCs w:val="21"/>
                <w:highlight w:val="none"/>
                <w:lang w:bidi="ar"/>
              </w:rPr>
              <w:t xml:space="preserve">18</w:t>
            </w:r>
            <w:r>
              <w:rPr>
                <w:rFonts w:ascii="Times New Roman" w:hAnsi="Times New Roman"/>
                <w:color w:val="auto"/>
                <w:szCs w:val="21"/>
                <w:highlight w:val="none"/>
                <w:lang w:bidi="ar"/>
              </w:rPr>
              <w:t xml:space="preserve">:00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门诊出口</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8:00-17:00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急诊安检</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B超室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8:00-17:00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2号楼</w:t>
            </w:r>
            <w:r/>
          </w:p>
        </w:tc>
        <w:tc>
          <w:tcPr>
            <w:tcBorders>
              <w:top w:val="single" w:color="000000" w:sz="4" w:space="0"/>
              <w:left w:val="single" w:color="000000" w:sz="4" w:space="0"/>
              <w:bottom w:val="single" w:color="000000" w:sz="4" w:space="0"/>
              <w:right w:val="single" w:color="000000" w:sz="4" w:space="0"/>
            </w:tcBorders>
            <w:tcW w:w="1937"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门诊安检</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8:00-17:00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6号楼</w:t>
            </w:r>
            <w:r/>
          </w:p>
        </w:tc>
        <w:tc>
          <w:tcPr>
            <w:tcBorders>
              <w:top w:val="single" w:color="000000" w:sz="4" w:space="0"/>
              <w:left w:val="single" w:color="000000" w:sz="4" w:space="0"/>
              <w:bottom w:val="single" w:color="000000" w:sz="4" w:space="0"/>
              <w:right w:val="single" w:color="000000" w:sz="4" w:space="0"/>
            </w:tcBorders>
            <w:tcW w:w="1937"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门诊安检</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2楼输液室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8号楼</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住院部大厅</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9号楼</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分娩部</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20病区</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8:00-17:00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12号楼</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周边车辆管理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11号楼</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监控室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9号楼-1层</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电瓶车库</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3-4号楼</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病区驻点</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西门</w:t>
            </w:r>
            <w:r/>
          </w:p>
        </w:tc>
        <w:tc>
          <w:tcPr>
            <w:tcBorders>
              <w:top w:val="single" w:color="000000" w:sz="4" w:space="0"/>
              <w:left w:val="single" w:color="000000" w:sz="4" w:space="0"/>
              <w:bottom w:val="single" w:color="000000" w:sz="4" w:space="0"/>
              <w:right w:val="single" w:color="000000" w:sz="4" w:space="0"/>
            </w:tcBorders>
            <w:tcW w:w="1937"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门卫</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东门</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门卫</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收发室</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收发员</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巡逻岗</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巡逻</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管理员</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hint="eastAsia" w:ascii="Times New Roman" w:hAnsi="Times New Roman"/>
                <w:color w:val="auto"/>
                <w:szCs w:val="21"/>
                <w:highlight w:val="none"/>
                <w:lang w:bidi="ar"/>
              </w:rPr>
              <w:t xml:space="preserve">8</w:t>
            </w:r>
            <w:r>
              <w:rPr>
                <w:rFonts w:ascii="Times New Roman" w:hAnsi="Times New Roman"/>
                <w:color w:val="auto"/>
                <w:szCs w:val="21"/>
                <w:highlight w:val="none"/>
                <w:lang w:bidi="ar"/>
              </w:rPr>
              <w:t xml:space="preserve">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hint="eastAsia" w:ascii="Times New Roman" w:hAnsi="Times New Roman"/>
                <w:color w:val="auto"/>
                <w:szCs w:val="21"/>
                <w:highlight w:val="none"/>
              </w:rPr>
            </w:pPr>
            <w:r>
              <w:rPr>
                <w:rFonts w:hint="eastAsia" w:ascii="Times New Roman" w:hAnsi="Times New Roman"/>
                <w:color w:val="auto"/>
                <w:szCs w:val="21"/>
                <w:highlight w:val="none"/>
                <w:lang w:bidi="ar"/>
              </w:rPr>
              <w:t xml:space="preserve">8:00</w:t>
            </w:r>
            <w:r>
              <w:rPr>
                <w:rFonts w:ascii="Times New Roman" w:hAnsi="Times New Roman"/>
                <w:color w:val="auto"/>
                <w:szCs w:val="21"/>
                <w:highlight w:val="none"/>
                <w:lang w:bidi="ar"/>
              </w:rPr>
              <w:t xml:space="preserve">-17:</w:t>
            </w:r>
            <w:r>
              <w:rPr>
                <w:rFonts w:hint="eastAsia" w:ascii="Times New Roman" w:hAnsi="Times New Roman"/>
                <w:color w:val="auto"/>
                <w:szCs w:val="21"/>
                <w:highlight w:val="none"/>
                <w:lang w:bidi="ar"/>
              </w:rPr>
              <w:t xml:space="preserve">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主管（内勤）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9小时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7:30-17:30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口腔科</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门诊驻点</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6:00-18:00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中心驻点</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488" w:type="dxa"/>
            <w:vAlign w:val="center"/>
            <w:vMerge w:val="restart"/>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教育基地</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监控室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门卫</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巡逻</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488" w:type="dxa"/>
            <w:vAlign w:val="center"/>
            <w:vMerge w:val="continue"/>
            <w:textDirection w:val="lrTb"/>
            <w:noWrap/>
          </w:tcPr>
          <w:p>
            <w:pPr>
              <w:jc w:val="center"/>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巡逻</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12小时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hint="eastAsia" w:ascii="Times New Roman" w:hAnsi="Times New Roman"/>
                <w:color w:val="auto"/>
                <w:szCs w:val="21"/>
                <w:highlight w:val="none"/>
                <w:lang w:bidi="ar"/>
              </w:rPr>
              <w:t xml:space="preserve">18</w:t>
            </w:r>
            <w:r>
              <w:rPr>
                <w:rFonts w:ascii="Times New Roman" w:hAnsi="Times New Roman"/>
                <w:color w:val="auto"/>
                <w:szCs w:val="21"/>
                <w:highlight w:val="none"/>
                <w:lang w:bidi="ar"/>
              </w:rPr>
              <w:t xml:space="preserve">:00-</w:t>
            </w:r>
            <w:r>
              <w:rPr>
                <w:rFonts w:hint="eastAsia" w:ascii="Times New Roman" w:hAnsi="Times New Roman"/>
                <w:color w:val="auto"/>
                <w:szCs w:val="21"/>
                <w:highlight w:val="none"/>
                <w:lang w:bidi="ar"/>
              </w:rPr>
              <w:t xml:space="preserve">6</w:t>
            </w:r>
            <w:r>
              <w:rPr>
                <w:rFonts w:ascii="Times New Roman" w:hAnsi="Times New Roman"/>
                <w:color w:val="auto"/>
                <w:szCs w:val="21"/>
                <w:highlight w:val="none"/>
                <w:lang w:bidi="ar"/>
              </w:rPr>
              <w:t xml:space="preserve">:00</w:t>
            </w:r>
            <w:r/>
          </w:p>
        </w:tc>
      </w:tr>
      <w:tr>
        <w:trPr>
          <w:trHeight w:val="315"/>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南区</w:t>
            </w:r>
            <w:r/>
          </w:p>
        </w:tc>
        <w:tc>
          <w:tcPr>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巡逻</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24小时</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ascii="Times New Roman" w:hAnsi="Times New Roman"/>
                <w:color w:val="auto"/>
                <w:szCs w:val="21"/>
                <w:highlight w:val="none"/>
              </w:rPr>
            </w:pPr>
            <w:r>
              <w:rPr>
                <w:rFonts w:ascii="Times New Roman" w:hAnsi="Times New Roman"/>
                <w:color w:val="auto"/>
                <w:szCs w:val="21"/>
                <w:highlight w:val="none"/>
                <w:lang w:bidi="ar"/>
              </w:rPr>
              <w:t xml:space="preserve">6:00-6:00</w:t>
            </w:r>
            <w:r/>
          </w:p>
        </w:tc>
      </w:tr>
    </w:tbl>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（三）运营管理要求：</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、投标人的现行营运状况要求：具有科学合理的组织架构，严格的管理细则和岗位责任制度。具有提供完善的后勤管理和保障服务的能力，并具有一定的企业规模。</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、投标人应针对本次招标项目特点编写公司中标后拟采取的管理方案、验收标准。包括组织计划、人员安排、时间安排、设备工具的安排等，遇重大、紧急事项的应急措施等。</w:t>
      </w:r>
      <w:r/>
    </w:p>
    <w:p>
      <w:pPr>
        <w:ind w:firstLine="420"/>
        <w:jc w:val="left"/>
        <w:spacing w:line="360" w:lineRule="atLeast"/>
        <w:widowControl/>
        <w:rPr>
          <w:rFonts w:hint="eastAsia"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rPr>
        <w:t xml:space="preserve">、按需求全年</w:t>
      </w:r>
      <w:r>
        <w:rPr>
          <w:rFonts w:ascii="宋体" w:hAnsi="宋体"/>
          <w:bCs/>
          <w:color w:val="auto"/>
          <w:szCs w:val="21"/>
          <w:highlight w:val="none"/>
        </w:rPr>
        <w:t xml:space="preserve">365</w:t>
      </w:r>
      <w:r>
        <w:rPr>
          <w:rFonts w:hint="eastAsia" w:ascii="宋体" w:hAnsi="宋体"/>
          <w:bCs/>
          <w:color w:val="auto"/>
          <w:szCs w:val="21"/>
          <w:highlight w:val="none"/>
        </w:rPr>
        <w:t xml:space="preserve">天</w:t>
      </w:r>
      <w:r>
        <w:rPr>
          <w:rFonts w:ascii="宋体" w:hAnsi="宋体"/>
          <w:bCs/>
          <w:color w:val="auto"/>
          <w:szCs w:val="21"/>
          <w:highlight w:val="none"/>
        </w:rPr>
        <w:t xml:space="preserve">24</w:t>
      </w:r>
      <w:r>
        <w:rPr>
          <w:rFonts w:hint="eastAsia" w:ascii="宋体" w:hAnsi="宋体"/>
          <w:bCs/>
          <w:color w:val="auto"/>
          <w:szCs w:val="21"/>
          <w:highlight w:val="none"/>
        </w:rPr>
        <w:t xml:space="preserve">小时不间断提供服务，包括处理各项突发事件及紧急任务。</w:t>
      </w:r>
      <w:r/>
    </w:p>
    <w:p>
      <w:pPr>
        <w:ind w:firstLine="420"/>
        <w:jc w:val="left"/>
        <w:spacing w:line="360" w:lineRule="atLeast"/>
        <w:widowControl/>
        <w:rPr>
          <w:rFonts w:hint="eastAsia" w:ascii="宋体" w:hAnsi="宋体"/>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、工作过程中因投标人责任所造成的经济损失由投标人按实际金额赔偿。</w:t>
      </w:r>
      <w:r/>
    </w:p>
    <w:p>
      <w:pPr>
        <w:ind w:firstLine="420"/>
        <w:jc w:val="left"/>
        <w:spacing w:line="360" w:lineRule="atLeast"/>
        <w:widowControl/>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、投标人每年应将服务人员所有管理及培训资料交一份给医院保障部，如有需要必须随时提供。</w:t>
      </w:r>
      <w:r/>
    </w:p>
    <w:p>
      <w:pPr>
        <w:ind w:firstLine="420"/>
        <w:jc w:val="left"/>
        <w:spacing w:line="360" w:lineRule="atLeast"/>
        <w:widowControl/>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、中标人有责任配合医院接受上级领导部门的监督、检查，并提供必须的材料。</w:t>
      </w:r>
      <w:r/>
    </w:p>
    <w:p>
      <w:pPr>
        <w:ind w:firstLine="420"/>
        <w:jc w:val="left"/>
        <w:spacing w:line="360" w:lineRule="atLeast"/>
        <w:widowControl/>
        <w:rPr>
          <w:rFonts w:hint="eastAsia" w:ascii="宋体" w:hAnsi="宋体"/>
          <w:bCs/>
          <w:color w:val="auto"/>
          <w:szCs w:val="21"/>
          <w:highlight w:val="none"/>
        </w:rPr>
      </w:pPr>
      <w:r>
        <w:rPr>
          <w:rFonts w:ascii="宋体" w:hAnsi="宋体"/>
          <w:bCs/>
          <w:color w:val="auto"/>
          <w:szCs w:val="21"/>
          <w:highlight w:val="none"/>
        </w:rPr>
        <w:t xml:space="preserve">7</w:t>
      </w:r>
      <w:r>
        <w:rPr>
          <w:rFonts w:hint="eastAsia" w:ascii="宋体" w:hAnsi="宋体"/>
          <w:bCs/>
          <w:color w:val="auto"/>
          <w:szCs w:val="21"/>
          <w:highlight w:val="none"/>
        </w:rPr>
        <w:t xml:space="preserve">、合同终止条款：如出现以下情况之一，本合同将无条件终止：</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（1）将本合同项下的保安服务及车辆管理服务转包或分包他人的；</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（2）员工最低工资低于国家标准；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（3）出现重大责任事故的。</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、考核细则（扣分制）：每月由院方对中标单位按《苏州市立医院（</w:t>
      </w:r>
      <w:r>
        <w:rPr>
          <w:rFonts w:hint="eastAsia" w:ascii="Times New Roman" w:hAnsi="Times New Roman"/>
          <w:color w:val="auto"/>
          <w:szCs w:val="21"/>
          <w:highlight w:val="none"/>
          <w:lang w:val="en-US" w:eastAsia="zh-CN"/>
        </w:rPr>
        <w:t xml:space="preserve">道前院区</w:t>
      </w:r>
      <w:r>
        <w:rPr>
          <w:rFonts w:hint="eastAsia" w:ascii="宋体" w:hAnsi="宋体"/>
          <w:color w:val="auto"/>
          <w:szCs w:val="21"/>
          <w:highlight w:val="none"/>
        </w:rPr>
        <w:t xml:space="preserve">）保安公司服务质量考核细则》进行考核管理考核打分，根据考核打分结果支付服务费用（考核内容详见下表）。对考核中屡次发现问题的人员，采购单位有权随时要求保安公司清退，并及时增补合格保安人员。</w:t>
      </w:r>
      <w:r/>
    </w:p>
    <w:tbl>
      <w:tblPr>
        <w:tblStyle w:val="739"/>
        <w:tblW w:w="8796"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0"/>
        <w:gridCol w:w="4637"/>
        <w:gridCol w:w="1788"/>
        <w:gridCol w:w="921"/>
      </w:tblGrid>
      <w:tr>
        <w:trPr>
          <w:trHeight w:val="1056"/>
        </w:trPr>
        <w:tc>
          <w:tcPr>
            <w:tcMar>
              <w:left w:w="15" w:type="dxa"/>
              <w:top w:w="15" w:type="dxa"/>
              <w:right w:w="15" w:type="dxa"/>
            </w:tcMar>
            <w:tcW w:w="1450" w:type="dxa"/>
            <w:vAlign w:val="center"/>
            <w:textDirection w:val="lrTb"/>
            <w:noWrap w:val="false"/>
          </w:tcPr>
          <w:p>
            <w:pPr>
              <w:jc w:val="center"/>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考核内容</w:t>
            </w:r>
            <w:r/>
          </w:p>
        </w:tc>
        <w:tc>
          <w:tcPr>
            <w:tcMar>
              <w:left w:w="15" w:type="dxa"/>
              <w:top w:w="15" w:type="dxa"/>
              <w:right w:w="15" w:type="dxa"/>
            </w:tcMar>
            <w:tcW w:w="4637" w:type="dxa"/>
            <w:vAlign w:val="center"/>
            <w:textDirection w:val="lrTb"/>
            <w:noWrap w:val="false"/>
          </w:tcPr>
          <w:p>
            <w:pPr>
              <w:jc w:val="center"/>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考核标准</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扣分标准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扣分</w:t>
            </w:r>
            <w:r/>
          </w:p>
        </w:tc>
      </w:tr>
      <w:tr>
        <w:trPr>
          <w:trHeight w:val="340"/>
        </w:trPr>
        <w:tc>
          <w:tcPr>
            <w:tcMar>
              <w:left w:w="15" w:type="dxa"/>
              <w:top w:w="15" w:type="dxa"/>
              <w:right w:w="15" w:type="dxa"/>
            </w:tcMar>
            <w:tcW w:w="1450" w:type="dxa"/>
            <w:vAlign w:val="center"/>
            <w:vMerge w:val="restart"/>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作息出勤</w:t>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、上班迟到或早退超过</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分钟，但不足</w:t>
            </w:r>
            <w:r>
              <w:rPr>
                <w:rFonts w:hint="eastAsia" w:ascii="宋体" w:hAnsi="宋体" w:cs="宋体"/>
                <w:color w:val="auto"/>
                <w:sz w:val="21"/>
                <w:szCs w:val="21"/>
                <w:highlight w:val="none"/>
              </w:rPr>
              <w:t xml:space="preserve">15</w:t>
            </w:r>
            <w:r>
              <w:rPr>
                <w:rFonts w:ascii="宋体" w:hAnsi="宋体" w:cs="宋体"/>
                <w:color w:val="auto"/>
                <w:sz w:val="21"/>
                <w:szCs w:val="21"/>
                <w:highlight w:val="none"/>
              </w:rPr>
              <w:t xml:space="preserve">分钟的；未经项目领导同意擅自休假，或不按规定办理请、销假手续或请假后无特殊情况不按时归队；</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、岗位交接班时不按时接班及接班队员未到而擅自下班的；未经项目领导同意私自调班、顶班的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、无故脱岗、窜岗，尚未造成严重后果；</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restart"/>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行为礼节</w:t>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、员工必须保持衣冠整洁，仪容不整、未按规定要求着装的（如佩戴饰品、穿拖鞋或高跟鞋等）；值班期间作风懒散、精神不振、站姿、坐姿不端正的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、酗酒后上岗或在岗吸烟、睡觉的；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每人每次扣10</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、处理问题时言语不当，或不理睬医院工作人员的；上班期间疏忽职守、滥用职权、态度粗暴、故意刁难，或遭人投诉属实的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3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、在当值场所公开吸烟，对吸烟人员不劝阻的；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、值班期间做与职务无关活动的（如打瞌睡、闲聊、听音乐、看视频、吃零食、打闹等行为）；</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、保安应使用普通话，口齿不清或语言交流障碍的；院卫队人员当值时不按规定着装和</w:t>
            </w:r>
            <w:r>
              <w:rPr>
                <w:rFonts w:hint="eastAsia" w:ascii="宋体" w:hAnsi="宋体" w:cs="宋体"/>
                <w:color w:val="auto"/>
                <w:sz w:val="21"/>
                <w:szCs w:val="21"/>
                <w:highlight w:val="none"/>
              </w:rPr>
              <w:t xml:space="preserve">佩戴标志</w:t>
            </w:r>
            <w:r>
              <w:rPr>
                <w:rFonts w:ascii="宋体" w:hAnsi="宋体" w:cs="宋体"/>
                <w:color w:val="auto"/>
                <w:sz w:val="21"/>
                <w:szCs w:val="21"/>
                <w:highlight w:val="none"/>
              </w:rPr>
              <w:t xml:space="preserve">、警械器具的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restart"/>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执勤纪律</w:t>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、保安人员未有效劝阻吸烟，或未及时提醒禁烟的；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、保安人员非工作需要，进入办公室、值班室并擅自动用或带出办公用品或私人物品的；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每人每次扣3分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、利用执勤工作之便向他人索要财物的；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每人每次扣10分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1004"/>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、执勤中私自扣押物品或证件，捡拾物品不登记、不上交的，擅自处理或挪用的；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、盗窃医院、医护人员或病患财物的，或将医院公共物品或设施占为己有的，情节严重的报公安机关处理；</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每人每次扣10分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、放任商贩进入院区内推销商品或未有效管控的；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ascii="宋体" w:hAnsi="宋体" w:cs="宋体"/>
                <w:color w:val="auto"/>
                <w:sz w:val="21"/>
                <w:szCs w:val="21"/>
                <w:highlight w:val="none"/>
              </w:rPr>
              <w:t xml:space="preserve">、利用职务之便谋取个人利益，有勾结“医托”“黑车”“医闹”等人员而充当内线等行为的；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每人每次扣10分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ascii="宋体" w:hAnsi="宋体" w:cs="宋体"/>
                <w:color w:val="auto"/>
                <w:sz w:val="21"/>
                <w:szCs w:val="21"/>
                <w:highlight w:val="none"/>
              </w:rPr>
              <w:t xml:space="preserve">、将值勤时配备的警具，防暴用品等私自带出工作区域的；损坏或丢失警械装备的（除照价赔偿外）</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ascii="宋体" w:hAnsi="宋体" w:cs="宋体"/>
                <w:color w:val="auto"/>
                <w:sz w:val="21"/>
                <w:szCs w:val="21"/>
                <w:highlight w:val="none"/>
              </w:rPr>
              <w:t xml:space="preserve">、在医院范围内有拉帮结派，打架斗殴、散布谣言、挑拨离间等行为，造成不良影响的；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每人每次扣10分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ascii="宋体" w:hAnsi="宋体" w:cs="宋体"/>
                <w:color w:val="auto"/>
                <w:sz w:val="21"/>
                <w:szCs w:val="21"/>
                <w:highlight w:val="none"/>
              </w:rPr>
              <w:t xml:space="preserve">、处理事件不及时，推诿、扯皮、畏惧等不作为的；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、发生突发事件或紧急情况下，保安人员有消极怠工，临阵脱逃等行为的；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ascii="宋体" w:hAnsi="宋体" w:cs="宋体"/>
                <w:color w:val="auto"/>
                <w:sz w:val="21"/>
                <w:szCs w:val="21"/>
                <w:highlight w:val="none"/>
              </w:rPr>
              <w:t xml:space="preserve">、利用工作便利，帮人挂号、看病、安排住院及手术等非职责活动的，收受病者或家属财物的，作辞退处理；</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每人每次扣3分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ascii="宋体" w:hAnsi="宋体" w:cs="宋体"/>
                <w:color w:val="auto"/>
                <w:sz w:val="21"/>
                <w:szCs w:val="21"/>
                <w:highlight w:val="none"/>
              </w:rPr>
              <w:t xml:space="preserve">、新冠疫情防控常态化，门岗人员未做好疫情防控工作，未履行岗位职责的，如：对来访者不登记、不询问、不检查的；一米线秩序混乱；预检岗位人员无故脱岗等情况；</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每人每次扣6</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ascii="宋体" w:hAnsi="宋体" w:cs="宋体"/>
                <w:color w:val="auto"/>
                <w:sz w:val="21"/>
                <w:szCs w:val="21"/>
                <w:highlight w:val="none"/>
              </w:rPr>
              <w:t xml:space="preserve">、现场不听指挥，不服从管理或工作调配的；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ascii="宋体" w:hAnsi="宋体" w:cs="宋体"/>
                <w:color w:val="auto"/>
                <w:sz w:val="21"/>
                <w:szCs w:val="21"/>
                <w:highlight w:val="none"/>
              </w:rPr>
              <w:t xml:space="preserve">、当班期间，利用通信工具讲与工作无关事情的，或非信号原因故意不接报电台的；紧急呼叫后</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分钟内未到现场的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rPr>
                <w:rFonts w:ascii="宋体" w:hAnsi="宋体" w:cs="宋体"/>
                <w:color w:val="auto"/>
                <w:sz w:val="21"/>
                <w:szCs w:val="21"/>
                <w:highlight w:val="none"/>
              </w:rPr>
              <w:t xml:space="preserve">、对于进入院区内张贴小广告或发放宣传品的人员，未及时发现或未有效驱离的；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ascii="宋体" w:hAnsi="宋体" w:cs="宋体"/>
                <w:color w:val="auto"/>
                <w:sz w:val="21"/>
                <w:szCs w:val="21"/>
                <w:highlight w:val="none"/>
              </w:rPr>
              <w:t xml:space="preserve">、接到火警报告后未能在</w:t>
            </w: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分钟内赶赴现场并有效处置火情的；未按规定巡逻签到、巡逻记录作假或不作记录的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82"/>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rPr>
                <w:rFonts w:ascii="宋体" w:hAnsi="宋体" w:cs="宋体"/>
                <w:color w:val="auto"/>
                <w:sz w:val="21"/>
                <w:szCs w:val="21"/>
                <w:highlight w:val="none"/>
              </w:rPr>
              <w:t xml:space="preserve">、巡查时未能及时发现院内设施设备损坏等可能危及医院安全的隐患，或发现后未及时报告的；因巡查不到位造成案件、事故发生的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972"/>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rPr>
                <w:rFonts w:ascii="宋体" w:hAnsi="宋体" w:cs="宋体"/>
                <w:color w:val="auto"/>
                <w:sz w:val="21"/>
                <w:szCs w:val="21"/>
                <w:highlight w:val="none"/>
              </w:rPr>
              <w:t xml:space="preserve">、当班期间对院区内发生的事故、案件不知情者；</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ascii="宋体" w:hAnsi="宋体" w:cs="宋体"/>
                <w:color w:val="auto"/>
                <w:sz w:val="21"/>
                <w:szCs w:val="21"/>
                <w:highlight w:val="none"/>
              </w:rPr>
              <w:t xml:space="preserve">、重大事件当班队长应书写工作日志，并做好交接班记录，未做到者；</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rPr>
                <w:rFonts w:ascii="宋体" w:hAnsi="宋体" w:cs="宋体"/>
                <w:color w:val="auto"/>
                <w:sz w:val="21"/>
                <w:szCs w:val="21"/>
                <w:highlight w:val="none"/>
              </w:rPr>
              <w:t xml:space="preserve">、巡视中发现吸烟等影响医院安全和秩序的，未能及时劝阻和制止的；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restart"/>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消控守则</w:t>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1、上班时间脱岗小于5分钟的；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2、上班时间脱岗大于5分钟的；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3、上下班人员未进行当面交接的；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4、保安人员将电动车、宠物等带入消控中心，或在消控中心会客的；消控中心环境卫生脏、乱、差的；</w:t>
            </w:r>
            <w:r>
              <w:rPr>
                <w:rFonts w:ascii="宋体" w:hAnsi="宋体" w:cs="宋体"/>
                <w:color w:val="auto"/>
                <w:sz w:val="21"/>
                <w:szCs w:val="21"/>
                <w:highlight w:val="none"/>
              </w:rPr>
              <w:t xml:space="preserve">当值人员反应迟缓，未配合保安、维保人员及时巡检，影响正常工作的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、当值人员工作懈怠，造成案件或医院损失的；</w:t>
            </w:r>
            <w:r>
              <w:rPr>
                <w:rFonts w:hint="eastAsia" w:ascii="宋体" w:hAnsi="宋体" w:cs="宋体"/>
                <w:color w:val="auto"/>
                <w:sz w:val="21"/>
                <w:szCs w:val="21"/>
                <w:highlight w:val="none"/>
              </w:rPr>
              <w:t xml:space="preserve">消控中心人员违规泄露监控视频资料的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6、未按操作规程使用监控设备、消防设施的；（造成损坏部分照价赔偿）</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7、未按规定进行监控视频的登记、调取、保存的；</w:t>
            </w:r>
            <w:r>
              <w:rPr>
                <w:rFonts w:ascii="宋体" w:hAnsi="宋体" w:cs="宋体"/>
                <w:color w:val="auto"/>
                <w:sz w:val="21"/>
                <w:szCs w:val="21"/>
                <w:highlight w:val="none"/>
              </w:rPr>
              <w:t xml:space="preserve">遇到突发事件指挥失当，或调度错误的；未按规定进行视频巡视或未及时调整事发地监控</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ascii="宋体" w:hAnsi="宋体" w:cs="宋体"/>
                <w:color w:val="auto"/>
                <w:sz w:val="21"/>
                <w:szCs w:val="21"/>
                <w:highlight w:val="none"/>
              </w:rPr>
              <w:t xml:space="preserve">、消控室人员未有效处理火灾报警，或现场视频未及时上墙；</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restart"/>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交通停车</w:t>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、因管理人员工作失误造成车辆拥堵的；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2、未按规定巡视，发现违停不及时处理的；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3、未按规定指挥车辆出入或停放，造成通道堵塞的；（造成急救、消防通道堵塞的扣</w:t>
            </w: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分）</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4、机动车违法行驶或停放未及时制止或处置，造成交通事故的；（事故损失视情况赔偿）</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5、特殊车辆在院内未按规定停放，没有询问、劝阻或告知的；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6、熟悉医务人员车牌号码，条件允许的情况下应优先放行；</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w:t>
            </w:r>
            <w:r>
              <w:rPr>
                <w:rFonts w:ascii="宋体" w:hAnsi="宋体" w:cs="宋体"/>
                <w:color w:val="auto"/>
                <w:sz w:val="21"/>
                <w:szCs w:val="21"/>
                <w:highlight w:val="none"/>
              </w:rPr>
              <w:t xml:space="preserve">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998"/>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7、高峰时段未及时安排；</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每10车位扣2分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8、当值期间疏于监管、巡视，造成机动车、非机动车失窃或火灾的；（非机动车照价赔偿）；遇车辆拥堵时未报告、联系及时排堵、分流的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每人每次扣2分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restart"/>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综合管理</w:t>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、新员工入职培训不少于一周。没经培训或培训不到位的；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、项目负责人对下属的违纪行为进行包庇、隐瞒、纵容或知情不报情节轻者</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、在突发事件、紧急情况及重大活动下，保安公司</w:t>
            </w:r>
            <w:r>
              <w:rPr>
                <w:rFonts w:hint="eastAsia" w:ascii="宋体" w:hAnsi="宋体" w:cs="宋体"/>
                <w:color w:val="auto"/>
                <w:sz w:val="21"/>
                <w:szCs w:val="21"/>
                <w:highlight w:val="none"/>
              </w:rPr>
              <w:t xml:space="preserve">应</w:t>
            </w:r>
            <w:r>
              <w:rPr>
                <w:rFonts w:ascii="宋体" w:hAnsi="宋体" w:cs="宋体"/>
                <w:color w:val="auto"/>
                <w:sz w:val="21"/>
                <w:szCs w:val="21"/>
                <w:highlight w:val="none"/>
              </w:rPr>
              <w:t xml:space="preserve">全力配合并抽调人员至现场或项目负责人未在场指挥的；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、保安公司未按规定每半年组织全体保安员进行消防知识培训并举行突发性火灾扑救演练的；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、保安人员及消控室人员未及时发现火灾报警、未能在</w:t>
            </w: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分钟内赶赴现场并有效处置火情的；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、未根据院方要求录用或辞退人员的；未按规定按时上报排班表的；项目部弄虚作假，欺骗或多报人数、工作量的；领导不当或疏于管理造成医院损失的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7、中标方未按合同约定人数上岗，造成缺岗的；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每次扣10分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8、实行“门前三包”，医院各大门口有流动摊点的，秩序混乱的：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9、未按院方要求完成工作的；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10、项目负责人、领班、队长未请假擅自离开岗位的；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4637"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、其他违规违纪违法的。</w:t>
            </w:r>
            <w:r/>
          </w:p>
        </w:tc>
        <w:tc>
          <w:tcPr>
            <w:tcMar>
              <w:left w:w="15" w:type="dxa"/>
              <w:top w:w="15" w:type="dxa"/>
              <w:right w:w="15" w:type="dxa"/>
            </w:tcMar>
            <w:tcW w:w="178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每次扣5分</w:t>
            </w:r>
            <w:r/>
          </w:p>
        </w:tc>
        <w:tc>
          <w:tcPr>
            <w:tcMar>
              <w:left w:w="15" w:type="dxa"/>
              <w:top w:w="15" w:type="dxa"/>
              <w:right w:w="15" w:type="dxa"/>
            </w:tcMar>
            <w:tcW w:w="92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340"/>
        </w:trPr>
        <w:tc>
          <w:tcPr>
            <w:tcMar>
              <w:left w:w="15" w:type="dxa"/>
              <w:top w:w="15" w:type="dxa"/>
              <w:right w:w="15" w:type="dxa"/>
            </w:tcMar>
            <w:tcW w:w="1450" w:type="dxa"/>
            <w:vAlign w:val="center"/>
            <w:vMerge w:val="restart"/>
            <w:textDirection w:val="lrTb"/>
            <w:noWrap/>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具体说明</w:t>
            </w:r>
            <w:r/>
          </w:p>
        </w:tc>
        <w:tc>
          <w:tcPr>
            <w:gridSpan w:val="3"/>
            <w:tcMar>
              <w:left w:w="15" w:type="dxa"/>
              <w:top w:w="15" w:type="dxa"/>
              <w:right w:w="15" w:type="dxa"/>
            </w:tcMar>
            <w:tcW w:w="7346"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本考核细则经双方协商一致，具有合同的法律效力。</w:t>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3"/>
            <w:tcMar>
              <w:left w:w="15" w:type="dxa"/>
              <w:top w:w="15" w:type="dxa"/>
              <w:right w:w="15" w:type="dxa"/>
            </w:tcMar>
            <w:tcW w:w="7346" w:type="dxa"/>
            <w:vAlign w:val="center"/>
            <w:textDirection w:val="lrTb"/>
            <w:noWrap w:val="false"/>
          </w:tcPr>
          <w:p>
            <w:pP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每月考核结果与服务费用挂钩，考核扣0-10分，服务费全额给付；如考核扣11-20分，在10分基础上每多扣1分扣除服务费0.1%；考核扣21-30分；在20分基础上每多扣1分扣除服务费0.2%。（费用扣除分段累进计算）；考核扣除30分以上的无条件终止合同且无须支付任何费用。</w:t>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3"/>
            <w:tcMar>
              <w:left w:w="15" w:type="dxa"/>
              <w:top w:w="15" w:type="dxa"/>
              <w:right w:w="15" w:type="dxa"/>
            </w:tcMar>
            <w:tcW w:w="7346" w:type="dxa"/>
            <w:vAlign w:val="center"/>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、采购单位可根据自身服务管理要求对考核细则进行完善及修改。</w:t>
            </w:r>
            <w:r/>
          </w:p>
        </w:tc>
      </w:tr>
      <w:tr>
        <w:trPr>
          <w:trHeight w:val="340"/>
        </w:trPr>
        <w:tc>
          <w:tcPr>
            <w:tcMar>
              <w:left w:w="15" w:type="dxa"/>
              <w:top w:w="15" w:type="dxa"/>
              <w:right w:w="15" w:type="dxa"/>
            </w:tcMar>
            <w:tcW w:w="1450" w:type="dxa"/>
            <w:vAlign w:val="center"/>
            <w:vMerge w:val="continue"/>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3"/>
            <w:tcMar>
              <w:left w:w="15" w:type="dxa"/>
              <w:top w:w="15" w:type="dxa"/>
              <w:right w:w="15" w:type="dxa"/>
            </w:tcMar>
            <w:tcW w:w="7346" w:type="dxa"/>
            <w:vAlign w:val="center"/>
            <w:textDirection w:val="lrTb"/>
            <w:noWrap w:val="false"/>
          </w:tcPr>
          <w:p>
            <w:pP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本考核细则自服务协议签订起同时生效。</w:t>
            </w:r>
            <w:r/>
          </w:p>
        </w:tc>
      </w:tr>
      <w:tr>
        <w:trPr>
          <w:trHeight w:val="340"/>
        </w:trPr>
        <w:tc>
          <w:tcPr>
            <w:tcMar>
              <w:left w:w="15" w:type="dxa"/>
              <w:top w:w="15" w:type="dxa"/>
              <w:right w:w="15" w:type="dxa"/>
            </w:tcMar>
            <w:tcW w:w="1450"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合计扣分</w:t>
            </w:r>
            <w:r/>
          </w:p>
        </w:tc>
        <w:tc>
          <w:tcPr>
            <w:gridSpan w:val="2"/>
            <w:tcMar>
              <w:left w:w="15" w:type="dxa"/>
              <w:top w:w="15" w:type="dxa"/>
              <w:right w:w="15" w:type="dxa"/>
            </w:tcMar>
            <w:tcW w:w="6425" w:type="dxa"/>
            <w:vAlign w:val="center"/>
            <w:textDirection w:val="lrTb"/>
            <w:noWrap w:val="false"/>
          </w:tcPr>
          <w:p>
            <w:pP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5" w:type="dxa"/>
              <w:top w:w="15" w:type="dxa"/>
              <w:right w:w="15" w:type="dxa"/>
            </w:tcMar>
            <w:tcW w:w="921" w:type="dxa"/>
            <w:vAlign w:val="center"/>
            <w:textDirection w:val="lrTb"/>
            <w:noWrap w:val="false"/>
          </w:tcPr>
          <w:p>
            <w:pP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（1）管理费每个月为一个结算周期，根据考核打分结果支付管理费。考核成绩（</w:t>
      </w:r>
      <w:r>
        <w:rPr>
          <w:rFonts w:hint="eastAsia" w:ascii="宋体" w:hAnsi="宋体"/>
          <w:color w:val="auto"/>
          <w:szCs w:val="21"/>
          <w:highlight w:val="none"/>
        </w:rPr>
        <w:t xml:space="preserve">考核达到80分以上为合格，可以正常付款；考核超过70分低于80分的，责令其整改；整改后低于80分的，按照每减少1分扣除当月度服务费的1%。</w:t>
      </w:r>
      <w:r>
        <w:rPr>
          <w:rFonts w:hint="default" w:ascii="Times New Roman" w:hAnsi="Times New Roman" w:eastAsia="宋体" w:cs="Times New Roman"/>
          <w:color w:val="auto"/>
          <w:szCs w:val="21"/>
          <w:highlight w:val="none"/>
        </w:rPr>
        <w:t xml:space="preserve">）；在每个月的月底在乙方提供合格服务发票后由甲方向乙方支付当月合同价服务费的款项。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（2）如中标人对服务缺陷不予更正，招标人有权另请其他单位更正，所发生的费用在履约保证金中扣除。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（3）采购人支付此项费用外不再承担其他任何费用（包括个人），服务人员的薪金、福利、休假日补贴等由中标人付给，与采购人无关。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（4）确因采购人工作需要，中标人应无条件配合甲方完成一些突击工作。如：安排服务人员（内部）临时加班。</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w:t>
      </w:r>
      <w:r>
        <w:rPr>
          <w:rFonts w:hint="eastAsia" w:ascii="Times New Roman" w:hAnsi="Times New Roman" w:cs="Times New Roman"/>
          <w:color w:val="auto"/>
          <w:szCs w:val="21"/>
          <w:highlight w:val="none"/>
          <w:lang w:eastAsia="zh-CN"/>
        </w:rPr>
        <w:t xml:space="preserve">道前院区</w:t>
      </w:r>
      <w:r>
        <w:rPr>
          <w:rFonts w:hint="default" w:ascii="Times New Roman" w:hAnsi="Times New Roman" w:eastAsia="宋体" w:cs="Times New Roman"/>
          <w:color w:val="auto"/>
          <w:szCs w:val="21"/>
          <w:highlight w:val="none"/>
        </w:rPr>
        <w:t xml:space="preserve">）工作中应当做到文明工作、安全生产，采取必要的安全防范措施，合同期内若发生安全事故由乙方承担，与甲方无关。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w:t>
      </w:r>
      <w:r>
        <w:rPr>
          <w:rFonts w:hint="eastAsia" w:ascii="Times New Roman" w:hAnsi="Times New Roman" w:cs="Times New Roman"/>
          <w:color w:val="auto"/>
          <w:szCs w:val="21"/>
          <w:highlight w:val="none"/>
          <w:lang w:eastAsia="zh-CN"/>
        </w:rPr>
        <w:t xml:space="preserve">道前院区</w:t>
      </w:r>
      <w:r>
        <w:rPr>
          <w:rFonts w:hint="default" w:ascii="Times New Roman" w:hAnsi="Times New Roman" w:eastAsia="宋体" w:cs="Times New Roman"/>
          <w:color w:val="auto"/>
          <w:szCs w:val="21"/>
          <w:highlight w:val="none"/>
        </w:rPr>
        <w:t xml:space="preserve">）人员及其员工。如甲方认为该员工不能胜任本职工作的，必须调整。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合同签订日期：年月日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w:t>
      </w:r>
      <w:r>
        <w:rPr>
          <w:rFonts w:hint="eastAsia" w:ascii="宋体" w:hAnsi="宋体"/>
          <w:b/>
          <w:bCs/>
          <w:color w:val="auto"/>
          <w:szCs w:val="21"/>
          <w:highlight w:val="none"/>
          <w:lang w:val="en-US" w:eastAsia="zh-CN"/>
        </w:rPr>
        <w:t xml:space="preserve">61</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1、整体设想与策划：</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针对本项目特点和需求进行对项目的定位、服务理念、管理思路进行分析比较。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2、服务的重点难点和解决措施：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针对本项目的服务重难点分析及对应的解决措施方案，重难点分析准确，对应的解决措施合理，优于采购项目需求的得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重难点分析较为准确，对应的解决措施较为合理，满足采购项目需求的得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重难点分析不够准确，对应的解决措施不够合理，仅部分满足采购项目需求的得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3、服务管理工作实施方案：10分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包括各岗位安全管理服务方案、院内车辆道路管理方案和门诊高峰期时段安全管理等方案比较。方案合理完善、规范、清晰且可操作性强，完全满足项目需求的得10分；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方案合理性、完善性、规范性、清晰性、可操作性一般，基本满足项目需求的得6分；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方案合理性、完善性、规范性、清晰性、可操作性有缺陷的得2分；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4、消防安全管理方案：</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消防安全管理方案应包含日常消防管理、消控室值守、义务消防队和微型消防站共建等方案措施。提供的消防安全管理方案措施详细合理，优于采购项目需求的得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提供的消防安全管理方案措施较为详细合理，满足采购项目需求的得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提供的消防安全管理方案措施简单，仅部分满足采购项目需求的得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5、项目组织管理方案：7分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管理组织架构合理，内部管理制度比较：包含有针对性的服务标准、详细的管理规章制度、服务人员安全文明规范、服务档案管理制度，服务人员考核制度及标准比较。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方案的合理完善、规范、清晰且可操作性强，整体方案满足项目需求的得7分；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方案合理性、完善性、规范性、清晰性、可操作性一般，基本满足项目需求的得4分；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6、各类应急突发、医患纠纷处置方案及能力比较：8分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包括火警、治安事件、应急疏散及处置医患纠纷等应急突发时的处置预案，及遇各类突发情况时需调用外部增援力量的响应时间、距离远近、投入力量（包括但不限于：参与增援人员及物资的数量及种类等）以及处置经验能力证明的比较等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应急突发、纠纷处置预案合理规范、操作性强、外部增援响应时间与投入力量最优、处置经验（可提供类似经验证明材料）丰富成果显著，得8分；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方案合理性、规范性、可操作性、外部增援响应时间与投入力量、处置经验一般得5分；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方案合理性、规范性、可操作性、外部增援响应时间与投入力量较差、无处置经验的得2分；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7、人员培训及应急突发事件处置的演练支持方案比较：7分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提供人员培训计划方案及应急突发事件处置演练计划方案等(可提供同类项目的培训及应急演练图片及培训记录表图片)。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方案内容清晰、全面，完全符合项目实际需求的得7分；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方案内容基本涵盖项目需求的得4分；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方案内容简单，不完整的得1分；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8、设备、器材的配备情况比较：5分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投标单位拟为本项目所配置的工具、设备的物耗提供齐全、多样化切合实际并优于采购需求的得5分；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工具、设备的物耗提供基本能满足项目实施需要的得3分；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工具、设备的物耗提供单一、仅部分能满足项目需要的得1分；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（三）保安人员配置情况（14分）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1、项目经理情况比较：8分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①具有大专及以上学历，提供学信网截图的得1分。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②系中共党员（提供党支部证明）或退伍军人，提供证明材料得1分。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③具有高级保安员（国家职业资格三级）证书的得1分。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④具有中级（国家职业资格四级）“建（构）筑物消防员”或“消防设施操作员”证书的得1分。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⑤具有应急管理部紧急救援促进中心颁发的应急救援员证书的得1分。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⑥具有政府安监部门（应急管理部门）或其认可的相关培训机构颁发的安全培训合格证书的得1分。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⑦具有同类项目管理3年及以上工作经验并提供服务单位开具的证明材料的得2分。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2、保安队长（2人）：6分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具有大专及以上学历；②具有高级保安员证(国家职业资格三级)及以上证书；③具有中级（国家职业资格四级）“建（构）筑物消防员”或“消防设施操作员”证书；④具有红十字会应急救护培训合格证；每提供满足条件的一人得3分，最高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注：以上国家职业资格证书或技能人才评价证书须提供证书复印件及全国联网查询https://jndj.osta.org.cn/网上查询到的对应工种的清晰完整的截图，及投标人为其缴纳的最近一期社保证明复印件，否则不得分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1、投标人管理体系证书比较：4分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①质量管理体系证书。1分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②环境管理体系证书。1分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③职业健康安全管理体系认证。1分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④保安服务认证证书。1分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2、投标人获得政府管理部门颁发荣誉比较：6分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至今（以证书颁发日期或发文日期为准）获得政府部门颁发的荣誉情况：每个区级的得0.5分，每个市级的得1分，每个省级的得2分，每个国家级的得3分，最高得6分。（投标文件中提供证明材料复印件，同时提供证明材料官方网站查询页面截图，材料提供不全或未提供不得分。）</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项目经验（5分）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年1月1日至今（以合同签订日期为准）在服务期内的或履约完成的同类服务项目业绩，有一份得1分，最高</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分。（投标文件中须提供合同复印件及对应合同期内任意2个结算周期的销售发票资料复印件加盖投标人公章，提供不全不得分。）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JSZC-320500-SZWK-G2026-0201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link w:val="939"/>
    <w:uiPriority w:val="0"/>
    <w:unhideWhenUsed/>
    <w:qFormat/>
    <w:pPr>
      <w:ind w:firstLine="420"/>
      <w:jc w:val="left"/>
    </w:pPr>
    <w:rPr>
      <w:rFonts w:ascii="楷体_GB2312" w:eastAsia="楷体_GB2312"/>
      <w:sz w:val="24"/>
      <w:szCs w:val="20"/>
    </w:rPr>
  </w:style>
  <w:style w:type="paragraph" w:styleId="742">
    <w:name w:val="Caption"/>
    <w:basedOn w:val="728"/>
    <w:next w:val="728"/>
    <w:uiPriority w:val="35"/>
    <w:semiHidden/>
    <w:unhideWhenUsed/>
    <w:qFormat/>
    <w:pPr>
      <w:spacing w:line="276" w:lineRule="auto"/>
    </w:pPr>
    <w:rPr>
      <w:b/>
      <w:bCs/>
      <w:color w:val="4f81bd"/>
      <w:sz w:val="18"/>
      <w:szCs w:val="18"/>
    </w:rPr>
  </w:style>
  <w:style w:type="paragraph" w:styleId="743">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4">
    <w:name w:val="annotation text"/>
    <w:basedOn w:val="728"/>
    <w:link w:val="941"/>
    <w:uiPriority w:val="0"/>
    <w:unhideWhenUsed/>
    <w:qFormat/>
    <w:pPr>
      <w:jc w:val="left"/>
      <w:widowControl/>
    </w:pPr>
    <w:rPr>
      <w:rFonts w:ascii="Times New Roman" w:hAnsi="Times New Roman"/>
      <w:sz w:val="24"/>
      <w:szCs w:val="24"/>
    </w:rPr>
  </w:style>
  <w:style w:type="paragraph" w:styleId="745">
    <w:name w:val="Body Text"/>
    <w:basedOn w:val="728"/>
    <w:link w:val="942"/>
    <w:uiPriority w:val="99"/>
    <w:qFormat/>
    <w:pPr>
      <w:jc w:val="left"/>
      <w:spacing w:line="360" w:lineRule="auto"/>
      <w:widowControl/>
    </w:pPr>
    <w:rPr>
      <w:rFonts w:ascii="Times New Roman" w:hAnsi="Times New Roman"/>
      <w:sz w:val="24"/>
      <w:szCs w:val="20"/>
    </w:rPr>
  </w:style>
  <w:style w:type="paragraph" w:styleId="746">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4"/>
    <w:next w:val="744"/>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1"/>
    <w:uiPriority w:val="0"/>
    <w:qFormat/>
    <w:rPr>
      <w:rFonts w:ascii="楷体_GB2312" w:eastAsia="楷体_GB2312"/>
      <w:sz w:val="24"/>
    </w:rPr>
  </w:style>
  <w:style w:type="character" w:styleId="940" w:customStyle="1">
    <w:name w:val="文档结构图 字符"/>
    <w:link w:val="743"/>
    <w:uiPriority w:val="0"/>
    <w:qFormat/>
    <w:rPr>
      <w:rFonts w:ascii="Times New Roman" w:hAnsi="Times New Roman"/>
      <w:sz w:val="24"/>
      <w:szCs w:val="24"/>
      <w:shd w:val="clear" w:color="auto" w:fill="000080"/>
    </w:rPr>
  </w:style>
  <w:style w:type="character" w:styleId="941" w:customStyle="1">
    <w:name w:val="批注文字 字符1"/>
    <w:link w:val="744"/>
    <w:uiPriority w:val="0"/>
    <w:qFormat/>
    <w:rPr>
      <w:rFonts w:ascii="Times New Roman" w:hAnsi="Times New Roman"/>
      <w:sz w:val="24"/>
      <w:szCs w:val="24"/>
    </w:rPr>
  </w:style>
  <w:style w:type="character" w:styleId="942" w:customStyle="1">
    <w:name w:val="正文文本 字符"/>
    <w:link w:val="745"/>
    <w:uiPriority w:val="99"/>
    <w:qFormat/>
    <w:rPr>
      <w:rFonts w:ascii="Times New Roman" w:hAnsi="Times New Roman"/>
      <w:sz w:val="24"/>
    </w:rPr>
  </w:style>
  <w:style w:type="character" w:styleId="943" w:customStyle="1">
    <w:name w:val="正文文本缩进 字符2"/>
    <w:link w:val="746"/>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6"/>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3"/>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3"/>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3"/>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3"/>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3"/>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3"/>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3"/>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3"/>
    <w:uiPriority w:val="0"/>
    <w:qFormat/>
    <w:pPr>
      <w:spacing w:line="360" w:lineRule="auto"/>
    </w:pPr>
  </w:style>
  <w:style w:type="paragraph" w:styleId="1059" w:customStyle="1">
    <w:name w:val="_Style 26"/>
    <w:basedOn w:val="743"/>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character" w:styleId="1124" w:customStyle="1">
    <w:name w:val="15"/>
    <w:uiPriority w:val="0"/>
    <w:qFormat/>
    <w:rPr>
      <w:rFonts w:hint="eastAsia" w:ascii="宋体" w:hAnsi="宋体" w:eastAsia="宋体"/>
      <w:b/>
      <w:color w:val="000000"/>
      <w:sz w:val="20"/>
      <w:szCs w:val="20"/>
    </w:rPr>
  </w:style>
  <w:style w:type="character" w:styleId="1125" w:customStyle="1">
    <w:name w:val="16"/>
    <w:uiPriority w:val="0"/>
    <w:qFormat/>
    <w:rPr>
      <w:rFonts w:ascii="Calibri" w:hAnsi="Calibri"/>
      <w:b/>
      <w:color w:val="000000"/>
      <w:sz w:val="20"/>
      <w:szCs w:val="20"/>
    </w:rPr>
  </w:style>
  <w:style w:type="character" w:styleId="1126" w:customStyle="1">
    <w:name w:val="17"/>
    <w:uiPriority w:val="0"/>
    <w:qFormat/>
    <w:rPr>
      <w:rFonts w:hint="eastAsia" w:ascii="宋体" w:hAnsi="宋体" w:eastAsia="宋体"/>
      <w:color w:val="000000"/>
      <w:sz w:val="20"/>
      <w:szCs w:val="20"/>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2026-07-23T09:13:04Z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