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1"/>
        <w:rPr>
          <w:color w:val="auto"/>
          <w:highlight w:val="none"/>
        </w:rPr>
      </w:pPr>
      <w:r>
        <w:rPr>
          <w:rFonts w:hint="eastAsia"/>
          <w:color w:val="auto"/>
          <w:highlight w:val="none"/>
        </w:rPr>
        <w:t xml:space="preserve"> </w:t>
      </w:r>
      <w:r/>
    </w:p>
    <w:p>
      <w:pPr>
        <w:ind w:left="660"/>
        <w:rPr>
          <w:rFonts w:ascii="楷体_GB2312" w:eastAsia="楷体_GB2312"/>
          <w:bCs/>
          <w:color w:val="auto"/>
          <w:sz w:val="30"/>
          <w:highlight w:val="none"/>
        </w:rPr>
      </w:pPr>
      <w:r>
        <w:rPr>
          <w:rFonts w:ascii="楷体_GB2312" w:eastAsia="楷体_GB2312"/>
          <w:bCs/>
          <w:color w:val="auto"/>
          <w:sz w:val="30"/>
          <w:highlight w:val="none"/>
        </w:rPr>
      </w:r>
      <w:r/>
    </w:p>
    <w:p>
      <w:pPr>
        <w:jc w:val="center"/>
        <w:rPr>
          <w:rFonts w:ascii="黑体" w:hAnsi="华文中宋" w:eastAsia="黑体"/>
          <w:bCs/>
          <w:color w:val="auto"/>
          <w:spacing w:val="20"/>
          <w:sz w:val="72"/>
          <w:szCs w:val="72"/>
          <w:highlight w:val="none"/>
        </w:rPr>
      </w:pPr>
      <w:r>
        <w:rPr>
          <w:rFonts w:ascii="黑体" w:hAnsi="华文中宋" w:eastAsia="黑体"/>
          <w:bCs/>
          <w:color w:val="auto"/>
          <w:spacing w:val="20"/>
          <w:sz w:val="72"/>
          <w:szCs w:val="72"/>
          <w:highlight w:val="none"/>
        </w:rPr>
      </w:r>
      <w:r/>
    </w:p>
    <w:p>
      <w:pPr>
        <w:jc w:val="left"/>
        <w:tabs>
          <w:tab w:val="left" w:pos="7022" w:leader="none"/>
        </w:tabs>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ab/>
      </w:r>
      <w:r/>
    </w:p>
    <w:p>
      <w:pPr>
        <w:jc w:val="center"/>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无锡市新吴区政府采购</w:t>
      </w:r>
      <w:r/>
    </w:p>
    <w:p>
      <w:pPr>
        <w:jc w:val="center"/>
        <w:tabs>
          <w:tab w:val="left" w:pos="9921" w:leader="none"/>
        </w:tabs>
        <w:rPr>
          <w:rFonts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（全流程电子化）</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rPr>
          <w:rFonts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 xml:space="preserve">公开</w:t>
      </w:r>
      <w:r/>
    </w:p>
    <w:p>
      <w:pPr>
        <w:jc w:val="center"/>
        <w:rPr>
          <w:rFonts w:ascii="黑体" w:hAnsi="华文中宋" w:eastAsia="黑体"/>
          <w:bCs/>
          <w:color w:val="auto"/>
          <w:spacing w:val="20"/>
          <w:sz w:val="52"/>
          <w:szCs w:val="5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-111760</wp:posOffset>
                </wp:positionH>
                <wp:positionV relativeFrom="paragraph">
                  <wp:posOffset>198120</wp:posOffset>
                </wp:positionV>
                <wp:extent cx="1270"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8pt,15.6pt" to="-8.7pt,15.6pt" fillcolor="#FFFFFF" strokecolor="#000000"/>
            </w:pict>
          </mc:Fallback>
        </mc:AlternateContent>
      </w:r>
      <w:r>
        <w:rPr>
          <w:rFonts w:hint="eastAsia" w:ascii="黑体" w:hAnsi="华文中宋" w:eastAsia="黑体"/>
          <w:bCs/>
          <w:color w:val="auto"/>
          <w:spacing w:val="20"/>
          <w:sz w:val="52"/>
          <w:szCs w:val="52"/>
          <w:highlight w:val="none"/>
        </w:rPr>
        <w:t xml:space="preserve">招标文件</w:t>
      </w:r>
      <w:r/>
    </w:p>
    <w:p>
      <w:pPr>
        <w:jc w:val="center"/>
        <w:rPr>
          <w:rFonts w:ascii="黑体" w:hAnsi="华文中宋" w:eastAsia="黑体"/>
          <w:bCs/>
          <w:color w:val="auto"/>
          <w:spacing w:val="20"/>
          <w:sz w:val="52"/>
          <w:szCs w:val="52"/>
          <w:highlight w:val="none"/>
        </w:rPr>
      </w:pPr>
      <w:r>
        <w:rPr>
          <w:rFonts w:ascii="黑体" w:hAnsi="华文中宋" w:eastAsia="黑体"/>
          <w:bCs/>
          <w:color w:val="auto"/>
          <w:spacing w:val="20"/>
          <w:sz w:val="52"/>
          <w:szCs w:val="52"/>
          <w:highlight w:val="none"/>
        </w:rPr>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pStyle w:val="674"/>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pStyle w:val="674"/>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pStyle w:val="674"/>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pStyle w:val="674"/>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pStyle w:val="674"/>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pStyle w:val="674"/>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spacing w:line="360" w:lineRule="auto"/>
        <w:tabs>
          <w:tab w:val="left" w:pos="210" w:leader="none"/>
        </w:tabs>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采购项目编号：</w:t>
      </w:r>
      <w:r>
        <w:rPr>
          <w:rFonts w:hint="eastAsia" w:ascii="黑体" w:hAnsi="华文中宋" w:eastAsia="黑体"/>
          <w:bCs/>
          <w:color w:val="auto"/>
          <w:sz w:val="30"/>
          <w:szCs w:val="30"/>
          <w:highlight w:val="none"/>
          <w:lang w:eastAsia="zh-CN"/>
        </w:rPr>
        <w:t xml:space="preserve">JSZC-320214-BJZC-G2026-0011</w:t>
      </w:r>
      <w:r/>
    </w:p>
    <w:p>
      <w:pPr>
        <w:ind w:firstLine="900"/>
        <w:jc w:val="left"/>
        <w:spacing w:line="360" w:lineRule="auto"/>
        <w:tabs>
          <w:tab w:val="left" w:pos="2940" w:leader="none"/>
        </w:tabs>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采购项目名称：2026-2028年大气挥发性有机物走航监测车全托</w:t>
      </w:r>
      <w:r/>
    </w:p>
    <w:p>
      <w:pPr>
        <w:ind w:firstLine="3081"/>
        <w:jc w:val="left"/>
        <w:spacing w:line="360" w:lineRule="auto"/>
        <w:tabs>
          <w:tab w:val="left" w:pos="2940" w:leader="none"/>
        </w:tabs>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管运维服务</w:t>
      </w:r>
      <w:r>
        <w:rPr>
          <w:rFonts w:hint="eastAsia" w:ascii="黑体" w:hAnsi="华文中宋" w:eastAsia="黑体"/>
          <w:bCs/>
          <w:color w:val="auto"/>
          <w:sz w:val="30"/>
          <w:szCs w:val="30"/>
          <w:highlight w:val="none"/>
        </w:rPr>
        <w:t xml:space="preserve">项目</w:t>
      </w:r>
      <w:r/>
    </w:p>
    <w:p>
      <w:pPr>
        <w:ind w:firstLine="900"/>
        <w:jc w:val="left"/>
        <w:spacing w:line="360" w:lineRule="auto"/>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采购代理机构：北京中昌工程咨询有限公司</w:t>
      </w:r>
      <w:r/>
    </w:p>
    <w:p>
      <w:pPr>
        <w:jc w:val="center"/>
        <w:spacing w:line="360" w:lineRule="auto"/>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二〇二六年</w:t>
      </w:r>
      <w:r>
        <w:rPr>
          <w:rFonts w:hint="eastAsia" w:ascii="黑体" w:hAnsi="华文中宋" w:eastAsia="黑体"/>
          <w:bCs/>
          <w:color w:val="auto"/>
          <w:sz w:val="30"/>
          <w:szCs w:val="30"/>
          <w:highlight w:val="none"/>
        </w:rPr>
        <w:t xml:space="preserve">八</w:t>
      </w:r>
      <w:r>
        <w:rPr>
          <w:rFonts w:hint="eastAsia" w:ascii="黑体" w:hAnsi="华文中宋" w:eastAsia="黑体"/>
          <w:bCs/>
          <w:color w:val="auto"/>
          <w:sz w:val="30"/>
          <w:szCs w:val="30"/>
          <w:highlight w:val="none"/>
        </w:rPr>
        <w:t xml:space="preserve">月</w:t>
      </w:r>
      <w:r/>
    </w:p>
    <w:p>
      <w:pPr>
        <w:jc w:val="center"/>
        <w:rPr>
          <w:rStyle w:val="856"/>
          <w:rFonts w:eastAsia="黑体"/>
          <w:bCs/>
          <w:color w:val="auto"/>
          <w:sz w:val="48"/>
          <w:highlight w:val="none"/>
        </w:rPr>
      </w:pPr>
      <w:r>
        <w:rPr>
          <w:rStyle w:val="856"/>
          <w:rFonts w:eastAsia="黑体"/>
          <w:bCs/>
          <w:color w:val="auto"/>
          <w:sz w:val="48"/>
          <w:highlight w:val="none"/>
        </w:rPr>
        <w:br w:type="page" w:clear="all"/>
      </w:r>
      <w:r>
        <w:rPr>
          <w:rStyle w:val="856"/>
          <w:rFonts w:hint="eastAsia" w:eastAsia="黑体"/>
          <w:bCs/>
          <w:color w:val="auto"/>
          <w:sz w:val="48"/>
          <w:highlight w:val="none"/>
        </w:rPr>
        <w:t xml:space="preserve">目录</w:t>
      </w:r>
      <w:r/>
    </w:p>
    <w:p>
      <w:pPr>
        <w:jc w:val="center"/>
        <w:rPr>
          <w:rFonts w:ascii="宋体" w:hAnsi="宋体" w:cs="宋体"/>
          <w:bCs/>
          <w:color w:val="auto"/>
          <w:sz w:val="30"/>
          <w:highlight w:val="none"/>
        </w:rPr>
      </w:pPr>
      <w:r>
        <w:rPr>
          <w:rFonts w:ascii="宋体" w:hAnsi="宋体" w:cs="宋体"/>
          <w:bCs/>
          <w:color w:val="auto"/>
          <w:sz w:val="30"/>
          <w:highlight w:val="none"/>
        </w:rPr>
      </w:r>
      <w:r/>
    </w:p>
    <w:p>
      <w:pPr>
        <w:pStyle w:val="684"/>
        <w:spacing w:line="360" w:lineRule="auto"/>
        <w:tabs>
          <w:tab w:val="right" w:pos="9746" w:leader="dot"/>
        </w:tabs>
        <w:rPr>
          <w:rFonts w:ascii="宋体" w:hAnsi="宋体" w:cs="宋体"/>
          <w:b/>
          <w:bCs/>
          <w:color w:val="auto"/>
          <w:sz w:val="28"/>
          <w:szCs w:val="28"/>
          <w:highlight w:val="none"/>
        </w:rPr>
      </w:pPr>
      <w:r/>
      <w:bookmarkStart w:id="0" w:name="报价方须知前附表"/>
      <w:r/>
      <w:bookmarkEnd w:id="0"/>
      <w:r>
        <w:rPr>
          <w:rFonts w:hint="eastAsia" w:ascii="宋体" w:hAnsi="宋体" w:cs="宋体"/>
          <w:b/>
          <w:bCs/>
          <w:color w:val="auto"/>
          <w:sz w:val="28"/>
          <w:szCs w:val="28"/>
          <w:highlight w:val="none"/>
        </w:rPr>
        <w:fldChar w:fldCharType="begin"/>
      </w:r>
      <w:r>
        <w:rPr>
          <w:rFonts w:hint="eastAsia" w:ascii="宋体" w:hAnsi="宋体" w:cs="宋体"/>
          <w:b/>
          <w:bCs/>
          <w:color w:val="auto"/>
          <w:sz w:val="28"/>
          <w:szCs w:val="28"/>
          <w:highlight w:val="none"/>
        </w:rPr>
        <w:instrText xml:space="preserve">TOC \o "1-1" \h \u </w:instrText>
      </w:r>
      <w:r>
        <w:rPr>
          <w:rFonts w:hint="eastAsia" w:ascii="宋体" w:hAnsi="宋体" w:cs="宋体"/>
          <w:b/>
          <w:bCs/>
          <w:color w:val="auto"/>
          <w:sz w:val="28"/>
          <w:szCs w:val="28"/>
          <w:highlight w:val="none"/>
        </w:rPr>
        <w:fldChar w:fldCharType="separate"/>
      </w:r>
      <w:r>
        <w:rPr>
          <w:color w:val="auto"/>
          <w:highlight w:val="none"/>
        </w:rPr>
        <w:fldChar w:fldCharType="begin"/>
      </w:r>
      <w:r>
        <w:rPr>
          <w:color w:val="auto"/>
          <w:highlight w:val="none"/>
        </w:rPr>
        <w:instrText xml:space="preserve"> HYPERLINK \l "_Toc25741" </w:instrText>
      </w:r>
      <w:r>
        <w:rPr>
          <w:color w:val="auto"/>
          <w:highlight w:val="none"/>
        </w:rPr>
        <w:fldChar w:fldCharType="separate"/>
      </w:r>
      <w:r>
        <w:rPr>
          <w:rFonts w:hint="eastAsia" w:ascii="宋体" w:hAnsi="宋体" w:cs="宋体"/>
          <w:b/>
          <w:bCs/>
          <w:color w:val="auto"/>
          <w:sz w:val="28"/>
          <w:szCs w:val="28"/>
          <w:highlight w:val="none"/>
        </w:rPr>
        <w:t xml:space="preserve">一.投标邀请函</w:t>
      </w:r>
      <w:r>
        <w:rPr>
          <w:rFonts w:hint="eastAsia" w:ascii="宋体" w:hAnsi="宋体" w:cs="宋体"/>
          <w:b/>
          <w:bCs/>
          <w:color w:val="auto"/>
          <w:sz w:val="28"/>
          <w:szCs w:val="28"/>
          <w:highlight w:val="none"/>
        </w:rPr>
        <w:tab/>
      </w:r>
      <w:r>
        <w:rPr>
          <w:rFonts w:hint="eastAsia" w:ascii="宋体" w:hAnsi="宋体" w:cs="宋体"/>
          <w:b/>
          <w:bCs/>
          <w:color w:val="auto"/>
          <w:sz w:val="28"/>
          <w:szCs w:val="28"/>
          <w:highlight w:val="none"/>
        </w:rPr>
        <w:fldChar w:fldCharType="begin"/>
      </w:r>
      <w:r>
        <w:rPr>
          <w:rFonts w:hint="eastAsia" w:ascii="宋体" w:hAnsi="宋体" w:cs="宋体"/>
          <w:b/>
          <w:bCs/>
          <w:color w:val="auto"/>
          <w:sz w:val="28"/>
          <w:szCs w:val="28"/>
          <w:highlight w:val="none"/>
        </w:rPr>
        <w:instrText xml:space="preserve"> PAGEREF _Toc25741 \h </w:instrText>
      </w:r>
      <w:r>
        <w:rPr>
          <w:rFonts w:hint="eastAsia" w:ascii="宋体" w:hAnsi="宋体" w:cs="宋体"/>
          <w:b/>
          <w:bCs/>
          <w:color w:val="auto"/>
          <w:sz w:val="28"/>
          <w:szCs w:val="28"/>
          <w:highlight w:val="none"/>
        </w:rPr>
        <w:fldChar w:fldCharType="separate"/>
      </w:r>
      <w:r>
        <w:rPr>
          <w:rFonts w:hint="eastAsia" w:ascii="宋体" w:hAnsi="宋体" w:cs="宋体"/>
          <w:b/>
          <w:bCs/>
          <w:color w:val="auto"/>
          <w:sz w:val="28"/>
          <w:szCs w:val="28"/>
          <w:highlight w:val="none"/>
        </w:rPr>
        <w:t xml:space="preserve">3</w:t>
      </w:r>
      <w:r>
        <w:rPr>
          <w:rFonts w:hint="eastAsia" w:ascii="宋体" w:hAnsi="宋体" w:cs="宋体"/>
          <w:b/>
          <w:bCs/>
          <w:color w:val="auto"/>
          <w:sz w:val="28"/>
          <w:szCs w:val="28"/>
          <w:highlight w:val="none"/>
        </w:rPr>
        <w:fldChar w:fldCharType="end"/>
      </w:r>
      <w:r>
        <w:rPr>
          <w:rFonts w:hint="eastAsia" w:ascii="宋体" w:hAnsi="宋体" w:cs="宋体"/>
          <w:b/>
          <w:bCs/>
          <w:color w:val="auto"/>
          <w:sz w:val="28"/>
          <w:szCs w:val="28"/>
          <w:highlight w:val="none"/>
        </w:rPr>
        <w:fldChar w:fldCharType="end"/>
      </w:r>
      <w:r/>
    </w:p>
    <w:p>
      <w:pPr>
        <w:pStyle w:val="684"/>
        <w:spacing w:line="360" w:lineRule="auto"/>
        <w:tabs>
          <w:tab w:val="right" w:pos="9746" w:leader="dot"/>
        </w:tabs>
        <w:rPr>
          <w:rFonts w:ascii="宋体" w:hAnsi="宋体" w:cs="宋体"/>
          <w:b/>
          <w:bCs/>
          <w:color w:val="auto"/>
          <w:sz w:val="28"/>
          <w:szCs w:val="28"/>
          <w:highlight w:val="none"/>
        </w:rPr>
      </w:pPr>
      <w:r>
        <w:rPr>
          <w:color w:val="auto"/>
          <w:highlight w:val="none"/>
        </w:rPr>
        <w:fldChar w:fldCharType="begin"/>
      </w:r>
      <w:r>
        <w:rPr>
          <w:color w:val="auto"/>
          <w:highlight w:val="none"/>
        </w:rPr>
        <w:instrText xml:space="preserve"> HYPERLINK \l "_Toc18269" </w:instrText>
      </w:r>
      <w:r>
        <w:rPr>
          <w:color w:val="auto"/>
          <w:highlight w:val="none"/>
        </w:rPr>
        <w:fldChar w:fldCharType="separate"/>
      </w:r>
      <w:r>
        <w:rPr>
          <w:rFonts w:hint="eastAsia" w:ascii="宋体" w:hAnsi="宋体" w:cs="宋体"/>
          <w:b/>
          <w:bCs/>
          <w:color w:val="auto"/>
          <w:sz w:val="28"/>
          <w:szCs w:val="28"/>
          <w:highlight w:val="none"/>
        </w:rPr>
        <w:t xml:space="preserve">二.投标人须知</w:t>
      </w:r>
      <w:r>
        <w:rPr>
          <w:rFonts w:hint="eastAsia" w:ascii="宋体" w:hAnsi="宋体" w:cs="宋体"/>
          <w:b/>
          <w:bCs/>
          <w:color w:val="auto"/>
          <w:sz w:val="28"/>
          <w:szCs w:val="28"/>
          <w:highlight w:val="none"/>
        </w:rPr>
        <w:tab/>
      </w:r>
      <w:r>
        <w:rPr>
          <w:rFonts w:hint="eastAsia" w:ascii="宋体" w:hAnsi="宋体" w:cs="宋体"/>
          <w:b/>
          <w:bCs/>
          <w:color w:val="auto"/>
          <w:sz w:val="28"/>
          <w:szCs w:val="28"/>
          <w:highlight w:val="none"/>
        </w:rPr>
        <w:fldChar w:fldCharType="begin"/>
      </w:r>
      <w:r>
        <w:rPr>
          <w:rFonts w:hint="eastAsia" w:ascii="宋体" w:hAnsi="宋体" w:cs="宋体"/>
          <w:b/>
          <w:bCs/>
          <w:color w:val="auto"/>
          <w:sz w:val="28"/>
          <w:szCs w:val="28"/>
          <w:highlight w:val="none"/>
        </w:rPr>
        <w:instrText xml:space="preserve"> PAGEREF _Toc18269 \h </w:instrText>
      </w:r>
      <w:r>
        <w:rPr>
          <w:rFonts w:hint="eastAsia" w:ascii="宋体" w:hAnsi="宋体" w:cs="宋体"/>
          <w:b/>
          <w:bCs/>
          <w:color w:val="auto"/>
          <w:sz w:val="28"/>
          <w:szCs w:val="28"/>
          <w:highlight w:val="none"/>
        </w:rPr>
        <w:fldChar w:fldCharType="separate"/>
      </w:r>
      <w:r>
        <w:rPr>
          <w:rFonts w:hint="eastAsia" w:ascii="宋体" w:hAnsi="宋体" w:cs="宋体"/>
          <w:b/>
          <w:bCs/>
          <w:color w:val="auto"/>
          <w:sz w:val="28"/>
          <w:szCs w:val="28"/>
          <w:highlight w:val="none"/>
        </w:rPr>
        <w:t xml:space="preserve">7</w:t>
      </w:r>
      <w:r>
        <w:rPr>
          <w:rFonts w:hint="eastAsia" w:ascii="宋体" w:hAnsi="宋体" w:cs="宋体"/>
          <w:b/>
          <w:bCs/>
          <w:color w:val="auto"/>
          <w:sz w:val="28"/>
          <w:szCs w:val="28"/>
          <w:highlight w:val="none"/>
        </w:rPr>
        <w:fldChar w:fldCharType="end"/>
      </w:r>
      <w:r>
        <w:rPr>
          <w:rFonts w:hint="eastAsia" w:ascii="宋体" w:hAnsi="宋体" w:cs="宋体"/>
          <w:b/>
          <w:bCs/>
          <w:color w:val="auto"/>
          <w:sz w:val="28"/>
          <w:szCs w:val="28"/>
          <w:highlight w:val="none"/>
        </w:rPr>
        <w:fldChar w:fldCharType="end"/>
      </w:r>
      <w:r/>
    </w:p>
    <w:p>
      <w:pPr>
        <w:pStyle w:val="684"/>
        <w:spacing w:line="360" w:lineRule="auto"/>
        <w:tabs>
          <w:tab w:val="right" w:pos="9746" w:leader="dot"/>
        </w:tabs>
        <w:rPr>
          <w:rFonts w:ascii="宋体" w:hAnsi="宋体" w:cs="宋体"/>
          <w:b/>
          <w:bCs/>
          <w:color w:val="auto"/>
          <w:sz w:val="28"/>
          <w:szCs w:val="28"/>
          <w:highlight w:val="none"/>
        </w:rPr>
      </w:pPr>
      <w:r>
        <w:rPr>
          <w:color w:val="auto"/>
          <w:highlight w:val="none"/>
        </w:rPr>
        <w:fldChar w:fldCharType="begin"/>
      </w:r>
      <w:r>
        <w:rPr>
          <w:color w:val="auto"/>
          <w:highlight w:val="none"/>
        </w:rPr>
        <w:instrText xml:space="preserve"> HYPERLINK \l "_Toc5672" </w:instrText>
      </w:r>
      <w:r>
        <w:rPr>
          <w:color w:val="auto"/>
          <w:highlight w:val="none"/>
        </w:rPr>
        <w:fldChar w:fldCharType="separate"/>
      </w:r>
      <w:r>
        <w:rPr>
          <w:rFonts w:hint="eastAsia" w:ascii="宋体" w:hAnsi="宋体" w:cs="宋体"/>
          <w:b/>
          <w:bCs/>
          <w:color w:val="auto"/>
          <w:sz w:val="28"/>
          <w:szCs w:val="28"/>
          <w:highlight w:val="none"/>
        </w:rPr>
        <w:t xml:space="preserve">三.项目技术要求和有关说明</w:t>
      </w:r>
      <w:r>
        <w:rPr>
          <w:rFonts w:hint="eastAsia" w:ascii="宋体" w:hAnsi="宋体" w:cs="宋体"/>
          <w:b/>
          <w:bCs/>
          <w:color w:val="auto"/>
          <w:sz w:val="28"/>
          <w:szCs w:val="28"/>
          <w:highlight w:val="none"/>
        </w:rPr>
        <w:tab/>
      </w:r>
      <w:r>
        <w:rPr>
          <w:rFonts w:hint="eastAsia" w:ascii="宋体" w:hAnsi="宋体" w:cs="宋体"/>
          <w:b/>
          <w:bCs/>
          <w:color w:val="auto"/>
          <w:sz w:val="28"/>
          <w:szCs w:val="28"/>
          <w:highlight w:val="none"/>
        </w:rPr>
        <w:fldChar w:fldCharType="begin"/>
      </w:r>
      <w:r>
        <w:rPr>
          <w:rFonts w:hint="eastAsia" w:ascii="宋体" w:hAnsi="宋体" w:cs="宋体"/>
          <w:b/>
          <w:bCs/>
          <w:color w:val="auto"/>
          <w:sz w:val="28"/>
          <w:szCs w:val="28"/>
          <w:highlight w:val="none"/>
        </w:rPr>
        <w:instrText xml:space="preserve"> PAGEREF _Toc5672 \h </w:instrText>
      </w:r>
      <w:r>
        <w:rPr>
          <w:rFonts w:hint="eastAsia" w:ascii="宋体" w:hAnsi="宋体" w:cs="宋体"/>
          <w:b/>
          <w:bCs/>
          <w:color w:val="auto"/>
          <w:sz w:val="28"/>
          <w:szCs w:val="28"/>
          <w:highlight w:val="none"/>
        </w:rPr>
        <w:fldChar w:fldCharType="separate"/>
      </w:r>
      <w:r>
        <w:rPr>
          <w:rFonts w:hint="eastAsia" w:ascii="宋体" w:hAnsi="宋体" w:cs="宋体"/>
          <w:b/>
          <w:bCs/>
          <w:color w:val="auto"/>
          <w:sz w:val="28"/>
          <w:szCs w:val="28"/>
          <w:highlight w:val="none"/>
        </w:rPr>
        <w:t xml:space="preserve">19</w:t>
      </w:r>
      <w:r>
        <w:rPr>
          <w:rFonts w:hint="eastAsia" w:ascii="宋体" w:hAnsi="宋体" w:cs="宋体"/>
          <w:b/>
          <w:bCs/>
          <w:color w:val="auto"/>
          <w:sz w:val="28"/>
          <w:szCs w:val="28"/>
          <w:highlight w:val="none"/>
        </w:rPr>
        <w:fldChar w:fldCharType="end"/>
      </w:r>
      <w:r>
        <w:rPr>
          <w:rFonts w:hint="eastAsia" w:ascii="宋体" w:hAnsi="宋体" w:cs="宋体"/>
          <w:b/>
          <w:bCs/>
          <w:color w:val="auto"/>
          <w:sz w:val="28"/>
          <w:szCs w:val="28"/>
          <w:highlight w:val="none"/>
        </w:rPr>
        <w:fldChar w:fldCharType="end"/>
      </w:r>
      <w:r/>
    </w:p>
    <w:p>
      <w:pPr>
        <w:pStyle w:val="684"/>
        <w:spacing w:line="360" w:lineRule="auto"/>
        <w:tabs>
          <w:tab w:val="right" w:pos="9746" w:leader="dot"/>
        </w:tabs>
        <w:rPr>
          <w:rFonts w:ascii="宋体" w:hAnsi="宋体" w:cs="宋体"/>
          <w:b/>
          <w:bCs/>
          <w:color w:val="auto"/>
          <w:sz w:val="28"/>
          <w:szCs w:val="28"/>
          <w:highlight w:val="none"/>
        </w:rPr>
      </w:pPr>
      <w:r>
        <w:rPr>
          <w:color w:val="auto"/>
          <w:highlight w:val="none"/>
        </w:rPr>
        <w:fldChar w:fldCharType="begin"/>
      </w:r>
      <w:r>
        <w:rPr>
          <w:color w:val="auto"/>
          <w:highlight w:val="none"/>
        </w:rPr>
        <w:instrText xml:space="preserve"> HYPERLINK \l "_Toc32067" </w:instrText>
      </w:r>
      <w:r>
        <w:rPr>
          <w:color w:val="auto"/>
          <w:highlight w:val="none"/>
        </w:rPr>
        <w:fldChar w:fldCharType="separate"/>
      </w:r>
      <w:r>
        <w:rPr>
          <w:rFonts w:hint="eastAsia" w:ascii="宋体" w:hAnsi="宋体" w:cs="宋体"/>
          <w:b/>
          <w:bCs/>
          <w:color w:val="auto"/>
          <w:sz w:val="28"/>
          <w:szCs w:val="28"/>
          <w:highlight w:val="none"/>
        </w:rPr>
        <w:t xml:space="preserve">四.合同书（格式文本）</w:t>
      </w:r>
      <w:r>
        <w:rPr>
          <w:rFonts w:hint="eastAsia" w:ascii="宋体" w:hAnsi="宋体" w:cs="宋体"/>
          <w:b/>
          <w:bCs/>
          <w:color w:val="auto"/>
          <w:sz w:val="28"/>
          <w:szCs w:val="28"/>
          <w:highlight w:val="none"/>
        </w:rPr>
        <w:tab/>
      </w:r>
      <w:r>
        <w:rPr>
          <w:rFonts w:hint="eastAsia" w:ascii="宋体" w:hAnsi="宋体" w:cs="宋体"/>
          <w:b/>
          <w:bCs/>
          <w:color w:val="auto"/>
          <w:sz w:val="28"/>
          <w:szCs w:val="28"/>
          <w:highlight w:val="none"/>
        </w:rPr>
        <w:fldChar w:fldCharType="begin"/>
      </w:r>
      <w:r>
        <w:rPr>
          <w:rFonts w:hint="eastAsia" w:ascii="宋体" w:hAnsi="宋体" w:cs="宋体"/>
          <w:b/>
          <w:bCs/>
          <w:color w:val="auto"/>
          <w:sz w:val="28"/>
          <w:szCs w:val="28"/>
          <w:highlight w:val="none"/>
        </w:rPr>
        <w:instrText xml:space="preserve"> PAGEREF _Toc32067 \h </w:instrText>
      </w:r>
      <w:r>
        <w:rPr>
          <w:rFonts w:hint="eastAsia" w:ascii="宋体" w:hAnsi="宋体" w:cs="宋体"/>
          <w:b/>
          <w:bCs/>
          <w:color w:val="auto"/>
          <w:sz w:val="28"/>
          <w:szCs w:val="28"/>
          <w:highlight w:val="none"/>
        </w:rPr>
        <w:fldChar w:fldCharType="separate"/>
      </w:r>
      <w:r>
        <w:rPr>
          <w:rFonts w:hint="eastAsia" w:ascii="宋体" w:hAnsi="宋体" w:cs="宋体"/>
          <w:b/>
          <w:bCs/>
          <w:color w:val="auto"/>
          <w:sz w:val="28"/>
          <w:szCs w:val="28"/>
          <w:highlight w:val="none"/>
        </w:rPr>
        <w:t xml:space="preserve">19</w:t>
      </w:r>
      <w:r>
        <w:rPr>
          <w:rFonts w:hint="eastAsia" w:ascii="宋体" w:hAnsi="宋体" w:cs="宋体"/>
          <w:b/>
          <w:bCs/>
          <w:color w:val="auto"/>
          <w:sz w:val="28"/>
          <w:szCs w:val="28"/>
          <w:highlight w:val="none"/>
        </w:rPr>
        <w:fldChar w:fldCharType="end"/>
      </w:r>
      <w:r>
        <w:rPr>
          <w:rFonts w:hint="eastAsia" w:ascii="宋体" w:hAnsi="宋体" w:cs="宋体"/>
          <w:b/>
          <w:bCs/>
          <w:color w:val="auto"/>
          <w:sz w:val="28"/>
          <w:szCs w:val="28"/>
          <w:highlight w:val="none"/>
        </w:rPr>
        <w:fldChar w:fldCharType="end"/>
      </w:r>
      <w:r/>
    </w:p>
    <w:p>
      <w:pPr>
        <w:pStyle w:val="684"/>
        <w:spacing w:line="360" w:lineRule="auto"/>
        <w:tabs>
          <w:tab w:val="right" w:pos="9746" w:leader="dot"/>
        </w:tabs>
        <w:rPr>
          <w:rFonts w:ascii="宋体" w:hAnsi="宋体" w:cs="宋体"/>
          <w:b/>
          <w:bCs/>
          <w:color w:val="auto"/>
          <w:sz w:val="28"/>
          <w:szCs w:val="28"/>
          <w:highlight w:val="none"/>
        </w:rPr>
      </w:pPr>
      <w:r>
        <w:rPr>
          <w:color w:val="auto"/>
          <w:highlight w:val="none"/>
        </w:rPr>
        <w:fldChar w:fldCharType="begin"/>
      </w:r>
      <w:r>
        <w:rPr>
          <w:color w:val="auto"/>
          <w:highlight w:val="none"/>
        </w:rPr>
        <w:instrText xml:space="preserve"> HYPERLINK \l "_Toc25075" </w:instrText>
      </w:r>
      <w:r>
        <w:rPr>
          <w:color w:val="auto"/>
          <w:highlight w:val="none"/>
        </w:rPr>
        <w:fldChar w:fldCharType="separate"/>
      </w:r>
      <w:r>
        <w:rPr>
          <w:rFonts w:hint="eastAsia" w:ascii="宋体" w:hAnsi="宋体" w:cs="宋体"/>
          <w:b/>
          <w:bCs/>
          <w:color w:val="auto"/>
          <w:sz w:val="28"/>
          <w:szCs w:val="28"/>
          <w:highlight w:val="none"/>
          <w:lang w:bidi="ar"/>
        </w:rPr>
        <w:t xml:space="preserve">五.合同条款</w:t>
      </w:r>
      <w:r>
        <w:rPr>
          <w:rFonts w:hint="eastAsia" w:ascii="宋体" w:hAnsi="宋体" w:cs="宋体"/>
          <w:b/>
          <w:bCs/>
          <w:color w:val="auto"/>
          <w:sz w:val="28"/>
          <w:szCs w:val="28"/>
          <w:highlight w:val="none"/>
        </w:rPr>
        <w:tab/>
      </w:r>
      <w:r>
        <w:rPr>
          <w:rFonts w:hint="eastAsia" w:ascii="宋体" w:hAnsi="宋体" w:cs="宋体"/>
          <w:b/>
          <w:bCs/>
          <w:color w:val="auto"/>
          <w:sz w:val="28"/>
          <w:szCs w:val="28"/>
          <w:highlight w:val="none"/>
        </w:rPr>
        <w:fldChar w:fldCharType="begin"/>
      </w:r>
      <w:r>
        <w:rPr>
          <w:rFonts w:hint="eastAsia" w:ascii="宋体" w:hAnsi="宋体" w:cs="宋体"/>
          <w:b/>
          <w:bCs/>
          <w:color w:val="auto"/>
          <w:sz w:val="28"/>
          <w:szCs w:val="28"/>
          <w:highlight w:val="none"/>
        </w:rPr>
        <w:instrText xml:space="preserve"> PAGEREF _Toc25075 \h </w:instrText>
      </w:r>
      <w:r>
        <w:rPr>
          <w:rFonts w:hint="eastAsia" w:ascii="宋体" w:hAnsi="宋体" w:cs="宋体"/>
          <w:b/>
          <w:bCs/>
          <w:color w:val="auto"/>
          <w:sz w:val="28"/>
          <w:szCs w:val="28"/>
          <w:highlight w:val="none"/>
        </w:rPr>
        <w:fldChar w:fldCharType="separate"/>
      </w:r>
      <w:r>
        <w:rPr>
          <w:rFonts w:hint="eastAsia" w:ascii="宋体" w:hAnsi="宋体" w:cs="宋体"/>
          <w:b/>
          <w:bCs/>
          <w:color w:val="auto"/>
          <w:sz w:val="28"/>
          <w:szCs w:val="28"/>
          <w:highlight w:val="none"/>
        </w:rPr>
        <w:t xml:space="preserve">25</w:t>
      </w:r>
      <w:r>
        <w:rPr>
          <w:rFonts w:hint="eastAsia" w:ascii="宋体" w:hAnsi="宋体" w:cs="宋体"/>
          <w:b/>
          <w:bCs/>
          <w:color w:val="auto"/>
          <w:sz w:val="28"/>
          <w:szCs w:val="28"/>
          <w:highlight w:val="none"/>
        </w:rPr>
        <w:fldChar w:fldCharType="end"/>
      </w:r>
      <w:r>
        <w:rPr>
          <w:rFonts w:hint="eastAsia" w:ascii="宋体" w:hAnsi="宋体" w:cs="宋体"/>
          <w:b/>
          <w:bCs/>
          <w:color w:val="auto"/>
          <w:sz w:val="28"/>
          <w:szCs w:val="28"/>
          <w:highlight w:val="none"/>
        </w:rPr>
        <w:fldChar w:fldCharType="end"/>
      </w:r>
      <w:r/>
    </w:p>
    <w:p>
      <w:pPr>
        <w:pStyle w:val="684"/>
        <w:spacing w:line="360" w:lineRule="auto"/>
        <w:tabs>
          <w:tab w:val="right" w:pos="9746" w:leader="dot"/>
        </w:tabs>
        <w:rPr>
          <w:rFonts w:ascii="宋体" w:hAnsi="宋体" w:cs="宋体"/>
          <w:b/>
          <w:bCs/>
          <w:color w:val="auto"/>
          <w:sz w:val="28"/>
          <w:szCs w:val="28"/>
          <w:highlight w:val="none"/>
        </w:rPr>
      </w:pPr>
      <w:r>
        <w:rPr>
          <w:color w:val="auto"/>
          <w:highlight w:val="none"/>
        </w:rPr>
        <w:fldChar w:fldCharType="begin"/>
      </w:r>
      <w:r>
        <w:rPr>
          <w:color w:val="auto"/>
          <w:highlight w:val="none"/>
        </w:rPr>
        <w:instrText xml:space="preserve"> HYPERLINK \l "_Toc26767" </w:instrText>
      </w:r>
      <w:r>
        <w:rPr>
          <w:color w:val="auto"/>
          <w:highlight w:val="none"/>
        </w:rPr>
        <w:fldChar w:fldCharType="separate"/>
      </w:r>
      <w:r>
        <w:rPr>
          <w:rFonts w:hint="eastAsia" w:ascii="宋体" w:hAnsi="宋体" w:cs="宋体"/>
          <w:b/>
          <w:bCs/>
          <w:color w:val="auto"/>
          <w:sz w:val="28"/>
          <w:szCs w:val="28"/>
          <w:highlight w:val="none"/>
        </w:rPr>
        <w:t xml:space="preserve">六.附件</w:t>
      </w:r>
      <w:r>
        <w:rPr>
          <w:rFonts w:hint="eastAsia" w:ascii="宋体" w:hAnsi="宋体" w:cs="宋体"/>
          <w:b/>
          <w:bCs/>
          <w:color w:val="auto"/>
          <w:sz w:val="28"/>
          <w:szCs w:val="28"/>
          <w:highlight w:val="none"/>
        </w:rPr>
        <w:tab/>
      </w:r>
      <w:r>
        <w:rPr>
          <w:rFonts w:hint="eastAsia" w:ascii="宋体" w:hAnsi="宋体" w:cs="宋体"/>
          <w:b/>
          <w:bCs/>
          <w:color w:val="auto"/>
          <w:sz w:val="28"/>
          <w:szCs w:val="28"/>
          <w:highlight w:val="none"/>
        </w:rPr>
        <w:fldChar w:fldCharType="begin"/>
      </w:r>
      <w:r>
        <w:rPr>
          <w:rFonts w:hint="eastAsia" w:ascii="宋体" w:hAnsi="宋体" w:cs="宋体"/>
          <w:b/>
          <w:bCs/>
          <w:color w:val="auto"/>
          <w:sz w:val="28"/>
          <w:szCs w:val="28"/>
          <w:highlight w:val="none"/>
        </w:rPr>
        <w:instrText xml:space="preserve"> PAGEREF _Toc26767 \h </w:instrText>
      </w:r>
      <w:r>
        <w:rPr>
          <w:rFonts w:hint="eastAsia" w:ascii="宋体" w:hAnsi="宋体" w:cs="宋体"/>
          <w:b/>
          <w:bCs/>
          <w:color w:val="auto"/>
          <w:sz w:val="28"/>
          <w:szCs w:val="28"/>
          <w:highlight w:val="none"/>
        </w:rPr>
        <w:fldChar w:fldCharType="separate"/>
      </w:r>
      <w:r>
        <w:rPr>
          <w:rFonts w:hint="eastAsia" w:ascii="宋体" w:hAnsi="宋体" w:cs="宋体"/>
          <w:b/>
          <w:bCs/>
          <w:color w:val="auto"/>
          <w:sz w:val="28"/>
          <w:szCs w:val="28"/>
          <w:highlight w:val="none"/>
        </w:rPr>
        <w:t xml:space="preserve">27</w:t>
      </w:r>
      <w:r>
        <w:rPr>
          <w:rFonts w:hint="eastAsia" w:ascii="宋体" w:hAnsi="宋体" w:cs="宋体"/>
          <w:b/>
          <w:bCs/>
          <w:color w:val="auto"/>
          <w:sz w:val="28"/>
          <w:szCs w:val="28"/>
          <w:highlight w:val="none"/>
        </w:rPr>
        <w:fldChar w:fldCharType="end"/>
      </w:r>
      <w:r>
        <w:rPr>
          <w:rFonts w:hint="eastAsia" w:ascii="宋体" w:hAnsi="宋体" w:cs="宋体"/>
          <w:b/>
          <w:bCs/>
          <w:color w:val="auto"/>
          <w:sz w:val="28"/>
          <w:szCs w:val="28"/>
          <w:highlight w:val="none"/>
        </w:rPr>
        <w:fldChar w:fldCharType="end"/>
      </w:r>
      <w:r/>
    </w:p>
    <w:p>
      <w:pPr>
        <w:spacing w:line="360" w:lineRule="auto"/>
        <w:rPr>
          <w:color w:val="auto"/>
          <w:highlight w:val="none"/>
        </w:rPr>
      </w:pPr>
      <w:r>
        <w:rPr>
          <w:rFonts w:hint="eastAsia" w:ascii="宋体" w:hAnsi="宋体" w:cs="宋体"/>
          <w:b/>
          <w:bCs/>
          <w:color w:val="auto"/>
          <w:sz w:val="28"/>
          <w:szCs w:val="28"/>
          <w:highlight w:val="none"/>
        </w:rPr>
        <w:fldChar w:fldCharType="end"/>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br w:type="page" w:clear="all"/>
      </w:r>
      <w:bookmarkStart w:id="1" w:name="_Toc2656"/>
      <w:r/>
      <w:bookmarkStart w:id="2" w:name="_Toc25741"/>
      <w:r>
        <w:rPr>
          <w:rFonts w:hint="eastAsia" w:ascii="黑体" w:eastAsia="黑体"/>
          <w:bCs/>
          <w:color w:val="auto"/>
          <w:sz w:val="28"/>
          <w:szCs w:val="28"/>
          <w:highlight w:val="none"/>
        </w:rPr>
        <w:t xml:space="preserve">一.投标邀请函</w:t>
      </w:r>
      <w:bookmarkEnd w:id="1"/>
      <w:r/>
      <w:bookmarkEnd w:id="2"/>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北京中昌工程咨询有限公司受无锡市新吴生态环境局委托，对2026-2028年大气挥发性有机物走航监测车全托管运维服务</w:t>
      </w:r>
      <w:r>
        <w:rPr>
          <w:rFonts w:hint="eastAsia" w:ascii="宋体" w:hAnsi="宋体"/>
          <w:bCs/>
          <w:color w:val="auto"/>
          <w:sz w:val="24"/>
          <w:szCs w:val="24"/>
          <w:highlight w:val="none"/>
        </w:rPr>
        <w:t xml:space="preserve">项目</w:t>
      </w:r>
      <w:r>
        <w:rPr>
          <w:rFonts w:hint="eastAsia" w:ascii="宋体" w:hAnsi="宋体"/>
          <w:bCs/>
          <w:color w:val="auto"/>
          <w:sz w:val="24"/>
          <w:szCs w:val="24"/>
          <w:highlight w:val="none"/>
        </w:rPr>
        <w:t xml:space="preserve">进行公开招标采购，欢迎符合相关条件的供应商参加投标并提请注意下列相关事项：</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（一）</w:t>
      </w:r>
      <w:r>
        <w:rPr>
          <w:rFonts w:hint="eastAsia" w:ascii="黑体" w:hAnsi="黑体" w:eastAsia="黑体" w:cs="宋体"/>
          <w:color w:val="auto"/>
          <w:sz w:val="24"/>
          <w:szCs w:val="24"/>
          <w:highlight w:val="none"/>
        </w:rPr>
        <w:t xml:space="preserve">招标项目信息</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1.项目名称：2026-2028年大气挥发性有机物走航监测车全托管运维服务</w:t>
      </w:r>
      <w:r>
        <w:rPr>
          <w:rFonts w:hint="eastAsia" w:ascii="宋体" w:hAnsi="宋体" w:cs="宋体"/>
          <w:color w:val="auto"/>
          <w:sz w:val="24"/>
          <w:szCs w:val="24"/>
          <w:highlight w:val="none"/>
        </w:rPr>
        <w:t xml:space="preserve">项目</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2.项目编号：</w:t>
      </w:r>
      <w:r>
        <w:rPr>
          <w:rFonts w:hint="eastAsia" w:ascii="宋体" w:hAnsi="宋体" w:cs="宋体"/>
          <w:color w:val="auto"/>
          <w:sz w:val="24"/>
          <w:szCs w:val="24"/>
          <w:highlight w:val="none"/>
          <w:lang w:eastAsia="zh-CN"/>
        </w:rPr>
        <w:t xml:space="preserve">JSZC-320214-BJZC-G2026-0011</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3.合同履行期限：两年（具体起始时间根据合同约定）</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4.项目预算：100万元</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5.最高限价：</w:t>
      </w:r>
      <w:r>
        <w:rPr>
          <w:rFonts w:hint="eastAsia" w:ascii="宋体" w:hAnsi="宋体" w:cs="宋体"/>
          <w:color w:val="auto"/>
          <w:sz w:val="24"/>
          <w:szCs w:val="24"/>
          <w:highlight w:val="none"/>
        </w:rPr>
        <w:t xml:space="preserve">100万元</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6.采购方式：公开招标</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7.采购人：无锡市新吴生态环境局</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8.本项目标的所属行业：其他未列明行业</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9.本项目是否专门面向中小企业：是。</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rPr>
          <w:rFonts w:hint="eastAsia" w:ascii="宋体" w:hAnsi="宋体"/>
          <w:color w:val="auto"/>
          <w:sz w:val="24"/>
          <w:szCs w:val="24"/>
          <w:highlight w:val="none"/>
        </w:rPr>
        <w:t xml:space="preserve">本项目不接受联合体投标。</w:t>
      </w:r>
      <w:r/>
    </w:p>
    <w:p>
      <w:pPr>
        <w:ind w:firstLine="480"/>
        <w:jc w:val="left"/>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（二）投标人资格要求</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rPr>
          <w:rFonts w:hint="eastAsia" w:ascii="宋体" w:hAnsi="宋体" w:cs="宋体"/>
          <w:color w:val="auto"/>
          <w:sz w:val="24"/>
          <w:szCs w:val="24"/>
          <w:highlight w:val="none"/>
        </w:rPr>
        <w:t xml:space="preserve">本项目</w:t>
      </w:r>
      <w:r>
        <w:rPr>
          <w:rFonts w:hint="eastAsia" w:ascii="宋体" w:hAnsi="宋体"/>
          <w:color w:val="auto"/>
          <w:sz w:val="24"/>
          <w:szCs w:val="24"/>
          <w:highlight w:val="none"/>
        </w:rPr>
        <w:t xml:space="preserve">专门面向中小企业采购（残疾人福利性单位、监狱企业视同小型、微型企业）。</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3.具备采购人根据招标项目的特殊要求规定的以下特定资质：未被“信用中国”网站列入失信被执行人、重大税收违法案件当事人名单、政府采购严重违法失信行为记录名单。</w:t>
      </w:r>
      <w:r/>
    </w:p>
    <w:p>
      <w:pPr>
        <w:ind w:firstLine="480"/>
        <w:jc w:val="left"/>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（三）供应商主体信息库注册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1.请有意参加本项目采购活动的供应商按以下流程进行操作：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（1）访问“江苏政府采购网”点击“苏采云”进行账号注册，注册完成后需在系统中填写资质信息并提交审核。也可以直接通过http://jszfcg.jsczt.cn/进入注册界面。</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（2）办理“意源”CA数字证书和“方正”电子签章（办理地址：无锡市滨湖区观山路199号12号楼一楼窗口），办理指南链接：http://jsxcmm.com/help/help.html。</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（3）CA驱动下载：</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在“苏采云”账号登录页面，点击“驱动下载”链接中的“政务CA、方正签章控件驱动安装包及安装说明”可以直接下载驱动安装包，安装包中附有驱动安装手册。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技术服务电话：0510-81827781（服务时间：工作日 9:00-11:30，13:00-17:00）</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2.完成苏采云注册的供应商方可在苏采云中进行CA绑定。登录“江苏省政府采购（苏采云）平台”，插入CA后，点击【账号设置】——【绑定CA】。</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color w:val="auto"/>
          <w:highlight w:val="none"/>
        </w:rPr>
        <w:fldChar w:fldCharType="begin"/>
      </w:r>
      <w:r>
        <w:rPr>
          <w:color w:val="auto"/>
          <w:highlight w:val="none"/>
        </w:rPr>
        <w:instrText xml:space="preserve"> HYPERLINK "http://cz.wuxi.gov.cn/doc/2023/10/11/4080287.shtml" \t "_blank" </w:instrText>
      </w:r>
      <w:r>
        <w:rPr>
          <w:color w:val="auto"/>
          <w:highlight w:val="none"/>
        </w:rPr>
        <w:fldChar w:fldCharType="separate"/>
      </w:r>
      <w:r>
        <w:rPr>
          <w:rFonts w:hint="eastAsia" w:ascii="宋体" w:hAnsi="宋体"/>
          <w:color w:val="auto"/>
          <w:sz w:val="24"/>
          <w:szCs w:val="24"/>
          <w:highlight w:val="none"/>
        </w:rPr>
        <w:t xml:space="preserve">“苏采云”系统供应商操作手册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（四）完成项目</w:t>
      </w:r>
      <w:r>
        <w:rPr>
          <w:rFonts w:hint="eastAsia" w:ascii="黑体" w:hAnsi="黑体" w:eastAsia="黑体"/>
          <w:bCs/>
          <w:color w:val="auto"/>
          <w:sz w:val="24"/>
          <w:szCs w:val="24"/>
          <w:highlight w:val="none"/>
        </w:rPr>
        <w:t xml:space="preserve">报名</w:t>
      </w:r>
      <w:r>
        <w:rPr>
          <w:rFonts w:hint="eastAsia" w:ascii="黑体" w:hAnsi="黑体" w:eastAsia="黑体"/>
          <w:bCs/>
          <w:color w:val="auto"/>
          <w:sz w:val="24"/>
          <w:szCs w:val="24"/>
          <w:highlight w:val="none"/>
        </w:rPr>
        <w:t xml:space="preserve">，获取采购文件</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潜在投标供应商可在项目招标公告附件中查看公开招标文件，如确定投标，必须在苏采云平台（http://jszfcg.jsczt.cn/jszc/login）中免费下载公开招标文件（“江苏政府采购网”--“苏采云”或“政府采购客户端（苏采云）”中免费下载文件（“项目参与”——找到需要获取招标文件的项目，点击“我要参与”——“参与投标”——“下载文件”）），完成项目</w:t>
      </w:r>
      <w:r>
        <w:rPr>
          <w:rFonts w:hint="eastAsia" w:ascii="宋体" w:hAnsi="宋体"/>
          <w:bCs/>
          <w:color w:val="auto"/>
          <w:sz w:val="24"/>
          <w:szCs w:val="24"/>
          <w:highlight w:val="none"/>
        </w:rPr>
        <w:t xml:space="preserve">报名</w:t>
      </w:r>
      <w:r>
        <w:rPr>
          <w:rFonts w:hint="eastAsia" w:ascii="宋体" w:hAnsi="宋体"/>
          <w:bCs/>
          <w:color w:val="auto"/>
          <w:sz w:val="24"/>
          <w:szCs w:val="24"/>
          <w:highlight w:val="none"/>
        </w:rPr>
        <w:t xml:space="preserve">，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2.招标文件（后缀名为“.kedt”）、“苏采云”系统供应商操作手册及政府采购客户端工具也可通过“苏采云”系统－－已参与项目－－</w:t>
      </w:r>
      <w:r>
        <w:rPr>
          <w:rFonts w:hint="eastAsia" w:ascii="宋体" w:hAnsi="宋体"/>
          <w:bCs/>
          <w:color w:val="auto"/>
          <w:sz w:val="24"/>
          <w:szCs w:val="24"/>
          <w:highlight w:val="none"/>
        </w:rPr>
        <w:t xml:space="preserve">报名</w:t>
      </w:r>
      <w:r>
        <w:rPr>
          <w:rFonts w:hint="eastAsia" w:ascii="宋体" w:hAnsi="宋体"/>
          <w:bCs/>
          <w:color w:val="auto"/>
          <w:sz w:val="24"/>
          <w:szCs w:val="24"/>
          <w:highlight w:val="none"/>
        </w:rPr>
        <w:t xml:space="preserve">详情页面内相应链接进行下载。</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（五）公开答疑时间、地点</w:t>
      </w:r>
      <w:r/>
    </w:p>
    <w:p>
      <w:pPr>
        <w:ind w:firstLine="480"/>
        <w:jc w:val="left"/>
        <w:spacing w:line="360" w:lineRule="auto"/>
        <w:widowControl/>
        <w:rPr>
          <w:rFonts w:ascii="宋体" w:hAnsi="宋体"/>
          <w:color w:val="auto"/>
          <w:sz w:val="24"/>
          <w:szCs w:val="24"/>
          <w:highlight w:val="none"/>
        </w:rPr>
      </w:pPr>
      <w:r>
        <w:rPr>
          <w:rFonts w:hint="eastAsia" w:ascii="宋体" w:hAnsi="宋体"/>
          <w:bCs/>
          <w:color w:val="auto"/>
          <w:sz w:val="24"/>
          <w:szCs w:val="24"/>
          <w:highlight w:val="none"/>
        </w:rPr>
        <w:t xml:space="preserve">采购人、</w:t>
      </w:r>
      <w:r>
        <w:rPr>
          <w:rFonts w:hint="eastAsia" w:ascii="宋体" w:hAnsi="宋体"/>
          <w:color w:val="auto"/>
          <w:sz w:val="24"/>
          <w:szCs w:val="24"/>
          <w:highlight w:val="none"/>
        </w:rPr>
        <w:t xml:space="preserve">北京中昌工程咨询有限公司</w:t>
      </w:r>
      <w:r>
        <w:rPr>
          <w:rFonts w:hint="eastAsia" w:ascii="宋体" w:hAnsi="宋体"/>
          <w:bCs/>
          <w:color w:val="auto"/>
          <w:sz w:val="24"/>
          <w:szCs w:val="24"/>
          <w:highlight w:val="none"/>
        </w:rPr>
        <w:t xml:space="preserve">将以线上不见面、电话咨询、传真等方式开展线上答疑服务。截至</w:t>
      </w:r>
      <w:r>
        <w:rPr>
          <w:rFonts w:hint="eastAsia" w:ascii="宋体" w:hAnsi="宋体" w:cs="宋体"/>
          <w:color w:val="auto"/>
          <w:sz w:val="24"/>
          <w:szCs w:val="24"/>
          <w:highlight w:val="none"/>
        </w:rPr>
        <w:t xml:space="preserve">2026年</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:00，</w:t>
      </w:r>
      <w:r>
        <w:rPr>
          <w:rFonts w:hint="eastAsia" w:ascii="宋体" w:hAnsi="宋体"/>
          <w:bCs/>
          <w:color w:val="auto"/>
          <w:sz w:val="24"/>
          <w:szCs w:val="24"/>
          <w:highlight w:val="none"/>
        </w:rPr>
        <w:t xml:space="preserve">有关单位对于招标文件的相关事项如有疑问可通过上述方式咨询；</w:t>
      </w:r>
      <w:r>
        <w:rPr>
          <w:rFonts w:hint="eastAsia" w:ascii="宋体" w:hAnsi="宋体"/>
          <w:color w:val="auto"/>
          <w:sz w:val="24"/>
          <w:szCs w:val="24"/>
          <w:highlight w:val="none"/>
        </w:rPr>
        <w:t xml:space="preserve">投标人如有需要对招标文件要求澄清的问题，请以书面形式</w:t>
      </w:r>
      <w:r>
        <w:rPr>
          <w:rFonts w:hint="eastAsia" w:ascii="宋体" w:hAnsi="宋体"/>
          <w:b/>
          <w:bCs/>
          <w:color w:val="auto"/>
          <w:sz w:val="24"/>
          <w:szCs w:val="24"/>
          <w:highlight w:val="none"/>
        </w:rPr>
        <w:t xml:space="preserve">（必须加盖投标人公章，也请务必留下联系方式，以便回复）</w:t>
      </w:r>
      <w:r>
        <w:rPr>
          <w:rFonts w:hint="eastAsia" w:ascii="宋体" w:hAnsi="宋体"/>
          <w:color w:val="auto"/>
          <w:sz w:val="24"/>
          <w:szCs w:val="24"/>
          <w:highlight w:val="none"/>
        </w:rPr>
        <w:t xml:space="preserve">提出</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JSZC-320214-BJZC-G2026-0011</w:t>
      </w:r>
      <w:r>
        <w:rPr>
          <w:rFonts w:hint="eastAsia" w:ascii="宋体" w:hAnsi="宋体" w:cs="宋体"/>
          <w:color w:val="auto"/>
          <w:sz w:val="24"/>
          <w:szCs w:val="24"/>
          <w:highlight w:val="none"/>
        </w:rPr>
        <w:t xml:space="preserve">项目需澄清问题”</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并于答疑</w:t>
      </w:r>
      <w:r>
        <w:rPr>
          <w:rFonts w:hint="eastAsia" w:ascii="宋体" w:hAnsi="宋体" w:cs="宋体"/>
          <w:bCs/>
          <w:color w:val="auto"/>
          <w:sz w:val="24"/>
          <w:szCs w:val="24"/>
          <w:highlight w:val="none"/>
        </w:rPr>
        <w:t xml:space="preserve">截止时间前</w:t>
      </w:r>
      <w:r>
        <w:rPr>
          <w:rFonts w:hint="eastAsia" w:ascii="宋体" w:hAnsi="宋体" w:cs="宋体"/>
          <w:color w:val="auto"/>
          <w:sz w:val="24"/>
          <w:szCs w:val="24"/>
          <w:highlight w:val="none"/>
        </w:rPr>
        <w:t xml:space="preserve">传真给项目联</w:t>
      </w:r>
      <w:r>
        <w:rPr>
          <w:rFonts w:hint="eastAsia" w:ascii="宋体" w:hAnsi="宋体"/>
          <w:color w:val="auto"/>
          <w:sz w:val="24"/>
          <w:szCs w:val="24"/>
          <w:highlight w:val="none"/>
        </w:rPr>
        <w:t xml:space="preserve">系人</w:t>
      </w:r>
      <w:r>
        <w:rPr>
          <w:rFonts w:hint="eastAsia" w:ascii="宋体" w:hAnsi="宋体"/>
          <w:bCs/>
          <w:color w:val="auto"/>
          <w:sz w:val="24"/>
          <w:szCs w:val="24"/>
          <w:highlight w:val="none"/>
        </w:rPr>
        <w:t xml:space="preserve">。若未在法定时间内提出澄清，由此造成的损失及风险由投标人自行承担。</w:t>
      </w:r>
      <w:r/>
    </w:p>
    <w:p>
      <w:pPr>
        <w:ind w:firstLine="480"/>
        <w:jc w:val="left"/>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（六）网上投标及开标、定标时间、地点</w:t>
      </w:r>
      <w:r/>
    </w:p>
    <w:p>
      <w:pPr>
        <w:ind w:firstLine="480"/>
        <w:jc w:val="left"/>
        <w:spacing w:line="360" w:lineRule="auto"/>
        <w:widowControl/>
        <w:rPr>
          <w:rFonts w:ascii="宋体" w:hAnsi="宋体" w:eastAsia="黑体" w:cs="宋体"/>
          <w:color w:val="auto"/>
          <w:sz w:val="24"/>
          <w:szCs w:val="24"/>
          <w:highlight w:val="none"/>
        </w:rPr>
      </w:pPr>
      <w:r>
        <w:rPr>
          <w:rFonts w:hint="eastAsia" w:ascii="黑体" w:hAnsi="黑体" w:eastAsia="黑体" w:cs="宋体"/>
          <w:color w:val="auto"/>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p>
    <w:p>
      <w:pPr>
        <w:ind w:firstLine="480"/>
        <w:jc w:val="left"/>
        <w:spacing w:line="360" w:lineRule="auto"/>
        <w:widowControl/>
        <w:rPr>
          <w:rFonts w:ascii="宋体" w:hAnsi="宋体"/>
          <w:color w:val="auto"/>
          <w:sz w:val="24"/>
          <w:szCs w:val="24"/>
          <w:highlight w:val="none"/>
        </w:rPr>
      </w:pPr>
      <w:r>
        <w:rPr>
          <w:rFonts w:hint="eastAsia" w:ascii="宋体" w:hAnsi="宋体" w:cs="宋体"/>
          <w:color w:val="auto"/>
          <w:sz w:val="24"/>
          <w:szCs w:val="24"/>
          <w:highlight w:val="none"/>
        </w:rPr>
        <w:t xml:space="preserve">网上投标截止时间：2026年</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20</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:30（投标</w:t>
      </w:r>
      <w:r>
        <w:rPr>
          <w:rFonts w:hint="eastAsia" w:ascii="宋体" w:hAnsi="宋体"/>
          <w:color w:val="auto"/>
          <w:sz w:val="24"/>
          <w:szCs w:val="24"/>
          <w:highlight w:val="none"/>
        </w:rPr>
        <w:t xml:space="preserve">截止时间后的投标文件恕不接受</w:t>
      </w:r>
      <w:r>
        <w:rPr>
          <w:rFonts w:hint="eastAsia" w:ascii="宋体" w:hAnsi="宋体" w:cs="宋体"/>
          <w:color w:val="auto"/>
          <w:sz w:val="24"/>
          <w:szCs w:val="24"/>
          <w:highlight w:val="none"/>
        </w:rPr>
        <w:t xml:space="preserve">）</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网上投标解密时间：2026年</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20</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rPr>
        <w:t xml:space="preserve">开启解密后半小时。</w:t>
      </w:r>
      <w:r/>
    </w:p>
    <w:p>
      <w:pPr>
        <w:ind w:firstLine="480"/>
        <w:jc w:val="left"/>
        <w:spacing w:line="360" w:lineRule="auto"/>
        <w:widowControl/>
        <w:rPr>
          <w:rFonts w:ascii="宋体" w:hAnsi="宋体"/>
          <w:bCs/>
          <w:color w:val="auto"/>
          <w:sz w:val="24"/>
          <w:szCs w:val="24"/>
          <w:highlight w:val="none"/>
        </w:rPr>
      </w:pPr>
      <w:r>
        <w:rPr>
          <w:rFonts w:hint="eastAsia" w:ascii="宋体" w:hAnsi="宋体"/>
          <w:color w:val="auto"/>
          <w:sz w:val="24"/>
          <w:szCs w:val="24"/>
          <w:highlight w:val="none"/>
        </w:rPr>
        <w:t xml:space="preserve">投标及开标地点：</w:t>
      </w:r>
      <w:bookmarkStart w:id="3" w:name="_Toc28359007"/>
      <w:r>
        <w:rPr>
          <w:rFonts w:hint="eastAsia" w:ascii="宋体" w:hAnsi="宋体" w:cs="宋体"/>
          <w:color w:val="auto"/>
          <w:sz w:val="24"/>
          <w:szCs w:val="24"/>
          <w:highlight w:val="none"/>
        </w:rPr>
        <w:t xml:space="preserve">“苏采云”系统（网址：http://jszfcg.jsczt.cn/）</w:t>
      </w:r>
      <w:bookmarkEnd w:id="3"/>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定标时间：评标结束</w:t>
      </w:r>
      <w:r/>
    </w:p>
    <w:p>
      <w:pPr>
        <w:ind w:firstLine="480"/>
        <w:jc w:val="left"/>
        <w:spacing w:line="360" w:lineRule="auto"/>
        <w:widowControl/>
        <w:rPr>
          <w:rFonts w:ascii="宋体" w:hAnsi="宋体" w:cs="宋体"/>
          <w:color w:val="auto"/>
          <w:sz w:val="24"/>
          <w:szCs w:val="24"/>
          <w:highlight w:val="none"/>
        </w:rPr>
      </w:pPr>
      <w:r>
        <w:rPr>
          <w:rFonts w:hint="eastAsia" w:ascii="宋体" w:hAnsi="宋体"/>
          <w:bCs/>
          <w:color w:val="auto"/>
          <w:sz w:val="24"/>
          <w:szCs w:val="24"/>
          <w:highlight w:val="none"/>
        </w:rPr>
        <w:t xml:space="preserve">定标地点：</w:t>
      </w:r>
      <w:r>
        <w:rPr>
          <w:rFonts w:hint="eastAsia" w:ascii="宋体" w:hAnsi="宋体"/>
          <w:color w:val="auto"/>
          <w:sz w:val="24"/>
          <w:szCs w:val="24"/>
          <w:highlight w:val="none"/>
        </w:rPr>
        <w:t xml:space="preserve">无锡市公共资源交易中心新吴分中心评标室</w:t>
      </w:r>
      <w:r/>
    </w:p>
    <w:p>
      <w:pPr>
        <w:ind w:firstLine="480"/>
        <w:spacing w:line="360" w:lineRule="auto"/>
        <w:rPr>
          <w:rFonts w:ascii="宋体"/>
          <w:bCs/>
          <w:color w:val="auto"/>
          <w:sz w:val="24"/>
          <w:szCs w:val="24"/>
          <w:highlight w:val="none"/>
        </w:rPr>
      </w:pPr>
      <w:r>
        <w:rPr>
          <w:rFonts w:hint="eastAsia" w:ascii="黑体" w:hAnsi="黑体" w:eastAsia="黑体"/>
          <w:bCs/>
          <w:color w:val="auto"/>
          <w:sz w:val="24"/>
          <w:szCs w:val="24"/>
          <w:highlight w:val="none"/>
        </w:rPr>
        <w:t xml:space="preserve">（七）投标有效期：</w:t>
      </w:r>
      <w:r>
        <w:rPr>
          <w:rFonts w:hint="eastAsia" w:ascii="宋体" w:hAnsi="宋体"/>
          <w:bCs/>
          <w:color w:val="auto"/>
          <w:sz w:val="24"/>
          <w:szCs w:val="24"/>
          <w:highlight w:val="none"/>
        </w:rPr>
        <w:t xml:space="preserve">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（八）采购方法：</w:t>
      </w:r>
      <w:r/>
    </w:p>
    <w:p>
      <w:pPr>
        <w:ind w:firstLine="480"/>
        <w:spacing w:line="360" w:lineRule="auto"/>
        <w:rPr>
          <w:rFonts w:ascii="黑体" w:hAnsi="黑体" w:eastAsia="黑体"/>
          <w:bCs/>
          <w:color w:val="auto"/>
          <w:sz w:val="24"/>
          <w:szCs w:val="24"/>
          <w:highlight w:val="none"/>
        </w:rPr>
      </w:pPr>
      <w:r>
        <w:rPr>
          <w:rFonts w:hint="eastAsia" w:ascii="宋体" w:hAnsi="宋体"/>
          <w:color w:val="auto"/>
          <w:sz w:val="24"/>
          <w:szCs w:val="24"/>
          <w:highlight w:val="none"/>
        </w:rPr>
        <w:t xml:space="preserve">本次采购采用《江苏省政府采购（苏采云）平台》进行招标投标活动，招标、投标、评标和中标结果发布全程电子化。</w:t>
      </w:r>
      <w:r/>
    </w:p>
    <w:p>
      <w:pPr>
        <w:ind w:firstLine="48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（九）本次采购联系方式</w:t>
      </w:r>
      <w:r/>
    </w:p>
    <w:p>
      <w:pPr>
        <w:pStyle w:val="843"/>
        <w:ind w:firstLine="480"/>
        <w:spacing w:before="0" w:beforeAutospacing="0" w:after="0" w:afterAutospacing="0" w:line="460" w:lineRule="exact"/>
        <w:tabs>
          <w:tab w:val="left" w:pos="0" w:leader="none"/>
        </w:tabs>
        <w:rPr>
          <w:rFonts w:cs="宋体"/>
          <w:color w:val="auto"/>
          <w:highlight w:val="none"/>
        </w:rPr>
      </w:pPr>
      <w:r>
        <w:rPr>
          <w:rFonts w:hint="eastAsia" w:cs="宋体"/>
          <w:color w:val="auto"/>
          <w:highlight w:val="none"/>
          <w:lang w:val="zh-CN"/>
        </w:rPr>
        <w:t xml:space="preserve">有关本次采购活动程序方面的问题，可来人、来函（传真）或电话联系。</w:t>
      </w:r>
      <w:r/>
    </w:p>
    <w:p>
      <w:pPr>
        <w:pStyle w:val="843"/>
        <w:ind w:firstLine="480"/>
        <w:spacing w:before="0" w:beforeAutospacing="0" w:after="0" w:afterAutospacing="0" w:line="460" w:lineRule="exact"/>
        <w:tabs>
          <w:tab w:val="left" w:pos="0" w:leader="none"/>
        </w:tabs>
        <w:rPr>
          <w:rFonts w:cs="宋体"/>
          <w:color w:val="auto"/>
          <w:highlight w:val="none"/>
        </w:rPr>
      </w:pPr>
      <w:r>
        <w:rPr>
          <w:rFonts w:hint="eastAsia" w:cs="宋体"/>
          <w:color w:val="auto"/>
          <w:highlight w:val="none"/>
          <w:lang w:val="zh-CN"/>
        </w:rPr>
        <w:t xml:space="preserve">采购人：无锡市新吴生态环境局</w:t>
      </w:r>
      <w:r/>
    </w:p>
    <w:p>
      <w:pPr>
        <w:pStyle w:val="843"/>
        <w:ind w:firstLine="480"/>
        <w:spacing w:before="0" w:beforeAutospacing="0" w:after="0" w:afterAutospacing="0" w:line="460" w:lineRule="exact"/>
        <w:tabs>
          <w:tab w:val="left" w:pos="0" w:leader="none"/>
        </w:tabs>
        <w:rPr>
          <w:rFonts w:cs="宋体"/>
          <w:color w:val="auto"/>
          <w:highlight w:val="none"/>
        </w:rPr>
      </w:pPr>
      <w:r>
        <w:rPr>
          <w:rFonts w:hint="eastAsia" w:cs="宋体"/>
          <w:color w:val="auto"/>
          <w:highlight w:val="none"/>
          <w:lang w:val="zh-CN"/>
        </w:rPr>
        <w:t xml:space="preserve">采购人地址：无锡市新吴区净慧东道70号</w:t>
      </w:r>
      <w:r/>
    </w:p>
    <w:p>
      <w:pPr>
        <w:pStyle w:val="843"/>
        <w:ind w:firstLine="480"/>
        <w:spacing w:before="0" w:beforeAutospacing="0" w:after="0" w:afterAutospacing="0" w:line="460" w:lineRule="exact"/>
        <w:tabs>
          <w:tab w:val="left" w:pos="0" w:leader="none"/>
        </w:tabs>
        <w:rPr>
          <w:rFonts w:cs="宋体"/>
          <w:color w:val="auto"/>
          <w:highlight w:val="none"/>
        </w:rPr>
      </w:pPr>
      <w:r>
        <w:rPr>
          <w:rFonts w:hint="eastAsia" w:cs="宋体"/>
          <w:color w:val="auto"/>
          <w:highlight w:val="none"/>
          <w:lang w:val="zh-CN"/>
        </w:rPr>
        <w:t xml:space="preserve">联系人：华青</w:t>
      </w:r>
      <w:r/>
    </w:p>
    <w:p>
      <w:pPr>
        <w:pStyle w:val="843"/>
        <w:ind w:firstLine="480"/>
        <w:spacing w:before="0" w:beforeAutospacing="0" w:after="0" w:afterAutospacing="0" w:line="460" w:lineRule="exact"/>
        <w:tabs>
          <w:tab w:val="left" w:pos="0" w:leader="none"/>
        </w:tabs>
        <w:rPr>
          <w:rFonts w:cs="宋体"/>
          <w:color w:val="auto"/>
          <w:highlight w:val="none"/>
        </w:rPr>
      </w:pPr>
      <w:r>
        <w:rPr>
          <w:rFonts w:hint="eastAsia" w:cs="宋体"/>
          <w:color w:val="auto"/>
          <w:highlight w:val="none"/>
          <w:lang w:val="zh-CN"/>
        </w:rPr>
        <w:t xml:space="preserve">联系电话：0510-</w:t>
      </w:r>
      <w:r>
        <w:rPr>
          <w:rFonts w:hint="eastAsia" w:cs="宋体"/>
          <w:color w:val="auto"/>
          <w:highlight w:val="none"/>
        </w:rPr>
        <w:t xml:space="preserve">81021380</w:t>
      </w:r>
      <w:r/>
    </w:p>
    <w:p>
      <w:pPr>
        <w:pStyle w:val="843"/>
        <w:ind w:firstLine="480"/>
        <w:spacing w:before="0" w:beforeAutospacing="0" w:after="0" w:afterAutospacing="0" w:line="460" w:lineRule="exact"/>
        <w:tabs>
          <w:tab w:val="left" w:pos="0" w:leader="none"/>
        </w:tabs>
        <w:rPr>
          <w:rFonts w:cs="宋体"/>
          <w:color w:val="auto"/>
          <w:highlight w:val="none"/>
        </w:rPr>
      </w:pPr>
      <w:r>
        <w:rPr>
          <w:rFonts w:cs="宋体"/>
          <w:color w:val="auto"/>
          <w:highlight w:val="none"/>
        </w:rPr>
      </w:r>
      <w:r/>
    </w:p>
    <w:p>
      <w:pPr>
        <w:pStyle w:val="843"/>
        <w:ind w:firstLine="480"/>
        <w:spacing w:before="0" w:beforeAutospacing="0" w:after="0" w:afterAutospacing="0" w:line="460" w:lineRule="exact"/>
        <w:tabs>
          <w:tab w:val="left" w:pos="0" w:leader="none"/>
        </w:tabs>
        <w:rPr>
          <w:rFonts w:cs="宋体"/>
          <w:color w:val="auto"/>
          <w:highlight w:val="none"/>
        </w:rPr>
      </w:pPr>
      <w:r>
        <w:rPr>
          <w:rFonts w:hint="eastAsia" w:cs="宋体"/>
          <w:color w:val="auto"/>
          <w:highlight w:val="none"/>
          <w:lang w:val="zh-CN"/>
        </w:rPr>
        <w:t xml:space="preserve">采购代理机构：北京中昌工程咨询有限公司</w:t>
      </w:r>
      <w:r/>
    </w:p>
    <w:p>
      <w:pPr>
        <w:pStyle w:val="843"/>
        <w:ind w:firstLine="480"/>
        <w:spacing w:before="0" w:beforeAutospacing="0" w:after="0" w:afterAutospacing="0" w:line="460" w:lineRule="exact"/>
        <w:tabs>
          <w:tab w:val="left" w:pos="0" w:leader="none"/>
        </w:tabs>
        <w:rPr>
          <w:rFonts w:cs="宋体"/>
          <w:color w:val="auto"/>
          <w:highlight w:val="none"/>
        </w:rPr>
      </w:pPr>
      <w:r>
        <w:rPr>
          <w:rFonts w:hint="eastAsia" w:cs="宋体"/>
          <w:color w:val="auto"/>
          <w:highlight w:val="none"/>
          <w:lang w:val="zh-CN"/>
        </w:rPr>
        <w:t xml:space="preserve">采购代理机构统一</w:t>
      </w:r>
      <w:r>
        <w:rPr>
          <w:rFonts w:hint="eastAsia" w:cs="宋体"/>
          <w:color w:val="auto"/>
          <w:highlight w:val="none"/>
        </w:rPr>
        <w:t xml:space="preserve">社会</w:t>
      </w:r>
      <w:r>
        <w:rPr>
          <w:rFonts w:hint="eastAsia" w:cs="宋体"/>
          <w:color w:val="auto"/>
          <w:highlight w:val="none"/>
          <w:lang w:val="zh-CN"/>
        </w:rPr>
        <w:t xml:space="preserve">信用代码：91110105633731727Q</w:t>
      </w:r>
      <w:r/>
    </w:p>
    <w:p>
      <w:pPr>
        <w:pStyle w:val="843"/>
        <w:ind w:firstLine="480"/>
        <w:spacing w:before="0" w:beforeAutospacing="0" w:after="0" w:afterAutospacing="0" w:line="460" w:lineRule="exact"/>
        <w:tabs>
          <w:tab w:val="left" w:pos="0" w:leader="none"/>
        </w:tabs>
        <w:rPr>
          <w:rFonts w:cs="宋体"/>
          <w:color w:val="auto"/>
          <w:highlight w:val="none"/>
        </w:rPr>
      </w:pPr>
      <w:r>
        <w:rPr>
          <w:rFonts w:hint="eastAsia" w:cs="宋体"/>
          <w:color w:val="auto"/>
          <w:highlight w:val="none"/>
          <w:lang w:val="zh-CN"/>
        </w:rPr>
        <w:t xml:space="preserve">联系人：薛雨蕙</w:t>
      </w:r>
      <w:r/>
    </w:p>
    <w:p>
      <w:pPr>
        <w:pStyle w:val="843"/>
        <w:ind w:firstLine="480"/>
        <w:spacing w:before="0" w:beforeAutospacing="0" w:after="0" w:afterAutospacing="0" w:line="460" w:lineRule="exact"/>
        <w:tabs>
          <w:tab w:val="left" w:pos="0" w:leader="none"/>
        </w:tabs>
        <w:rPr>
          <w:rFonts w:cs="宋体"/>
          <w:color w:val="auto"/>
          <w:highlight w:val="none"/>
        </w:rPr>
      </w:pPr>
      <w:r>
        <w:rPr>
          <w:rFonts w:hint="eastAsia" w:cs="宋体"/>
          <w:color w:val="auto"/>
          <w:highlight w:val="none"/>
          <w:lang w:val="zh-CN"/>
        </w:rPr>
        <w:t xml:space="preserve">联系电话：15251502815</w:t>
      </w:r>
      <w:r/>
    </w:p>
    <w:p>
      <w:pPr>
        <w:pStyle w:val="843"/>
        <w:ind w:firstLine="480"/>
        <w:spacing w:before="0" w:beforeAutospacing="0" w:after="0" w:afterAutospacing="0" w:line="460" w:lineRule="exact"/>
        <w:tabs>
          <w:tab w:val="left" w:pos="0" w:leader="none"/>
        </w:tabs>
        <w:rPr>
          <w:rFonts w:cs="宋体"/>
          <w:color w:val="auto"/>
          <w:highlight w:val="none"/>
        </w:rPr>
      </w:pPr>
      <w:r>
        <w:rPr>
          <w:rFonts w:hint="eastAsia" w:cs="宋体"/>
          <w:color w:val="auto"/>
          <w:highlight w:val="none"/>
          <w:lang w:val="zh-CN"/>
        </w:rPr>
        <w:t xml:space="preserve">联系地址：</w:t>
      </w:r>
      <w:r>
        <w:rPr>
          <w:rFonts w:hint="eastAsia"/>
          <w:bCs/>
          <w:color w:val="auto"/>
          <w:highlight w:val="none"/>
        </w:rPr>
        <w:t xml:space="preserve">无锡市梁溪区南湖大道501号扬名创智园H座2楼</w:t>
      </w:r>
      <w:r/>
    </w:p>
    <w:p>
      <w:pPr>
        <w:pStyle w:val="843"/>
        <w:ind w:firstLine="480"/>
        <w:spacing w:before="0" w:beforeAutospacing="0" w:after="0" w:afterAutospacing="0" w:line="460" w:lineRule="exact"/>
        <w:tabs>
          <w:tab w:val="left" w:pos="0" w:leader="none"/>
        </w:tabs>
        <w:rPr>
          <w:rFonts w:cs="宋体"/>
          <w:color w:val="auto"/>
          <w:highlight w:val="none"/>
        </w:rPr>
      </w:pPr>
      <w:r>
        <w:rPr>
          <w:rFonts w:hint="eastAsia" w:cs="宋体"/>
          <w:color w:val="auto"/>
          <w:highlight w:val="none"/>
          <w:lang w:val="zh-CN"/>
        </w:rPr>
        <w:t xml:space="preserve">邮政编码</w:t>
      </w:r>
      <w:r>
        <w:rPr>
          <w:rFonts w:hint="eastAsia" w:cs="宋体"/>
          <w:color w:val="auto"/>
          <w:highlight w:val="none"/>
        </w:rPr>
        <w:t xml:space="preserve">：214000</w:t>
      </w:r>
      <w:r/>
    </w:p>
    <w:p>
      <w:pPr>
        <w:pStyle w:val="843"/>
        <w:ind w:firstLine="480"/>
        <w:spacing w:before="0" w:beforeAutospacing="0" w:after="0" w:afterAutospacing="0" w:line="460" w:lineRule="exact"/>
        <w:tabs>
          <w:tab w:val="left" w:pos="0" w:leader="none"/>
        </w:tabs>
        <w:rPr>
          <w:rFonts w:cs="宋体"/>
          <w:color w:val="auto"/>
          <w:highlight w:val="none"/>
        </w:rPr>
      </w:pPr>
      <w:r>
        <w:rPr>
          <w:rFonts w:hint="eastAsia" w:cs="宋体"/>
          <w:color w:val="auto"/>
          <w:highlight w:val="none"/>
          <w:lang w:val="zh-CN"/>
        </w:rPr>
        <w:t xml:space="preserve">电子邮件地址</w:t>
      </w:r>
      <w:r>
        <w:rPr>
          <w:rFonts w:hint="eastAsia" w:cs="宋体"/>
          <w:color w:val="auto"/>
          <w:highlight w:val="none"/>
        </w:rPr>
        <w:t xml:space="preserve">：bjzc520@163.com</w:t>
      </w:r>
      <w:r/>
    </w:p>
    <w:p>
      <w:pPr>
        <w:pStyle w:val="843"/>
        <w:ind w:firstLine="480"/>
        <w:spacing w:before="0" w:beforeAutospacing="0" w:after="0" w:afterAutospacing="0" w:line="460" w:lineRule="exact"/>
        <w:tabs>
          <w:tab w:val="left" w:pos="0" w:leader="none"/>
        </w:tabs>
        <w:rPr>
          <w:rFonts w:ascii="黑体" w:hAnsi="黑体" w:eastAsia="黑体"/>
          <w:bCs/>
          <w:color w:val="auto"/>
          <w:highlight w:val="none"/>
        </w:rPr>
      </w:pPr>
      <w:r>
        <w:rPr>
          <w:rFonts w:hint="eastAsia" w:ascii="黑体" w:hAnsi="黑体" w:eastAsia="黑体"/>
          <w:bCs/>
          <w:color w:val="auto"/>
          <w:highlight w:val="none"/>
        </w:rPr>
        <w:t xml:space="preserve">（十）其他</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本项目为不见面开标，仅需在任意地点登录苏采云平台参加开标会议，供应商无需到达开标现场。</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3</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纸质投标文件：本项目为不见面开标，供应商无需递交纸质投标文件至现场，</w:t>
      </w:r>
      <w:r>
        <w:rPr>
          <w:rFonts w:hint="eastAsia" w:ascii="宋体" w:hAnsi="宋体" w:cs="宋体"/>
          <w:color w:val="auto"/>
          <w:sz w:val="24"/>
          <w:szCs w:val="24"/>
          <w:highlight w:val="none"/>
        </w:rPr>
        <w:t xml:space="preserve">中标</w:t>
      </w:r>
      <w:r>
        <w:rPr>
          <w:rFonts w:hint="eastAsia" w:ascii="宋体" w:hAnsi="宋体" w:cs="宋体"/>
          <w:color w:val="auto"/>
          <w:sz w:val="24"/>
          <w:szCs w:val="24"/>
          <w:highlight w:val="none"/>
          <w:lang w:val="zh-CN"/>
        </w:rPr>
        <w:t xml:space="preserve">后中标供应商向采购代理机构提供与电子投标文件完全一致的纸质投标文件（</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份：一正、</w:t>
      </w: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lang w:val="zh-CN"/>
        </w:rPr>
        <w:t xml:space="preserve">副）。</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供应商请仔细阅读供应商注册流程和招标文件中关于电子开评标等相关事项，如有问题可发送邮件或电话咨询。</w:t>
      </w:r>
      <w:r/>
    </w:p>
    <w:p>
      <w:pPr>
        <w:pStyle w:val="843"/>
        <w:ind w:firstLine="560"/>
        <w:jc w:val="both"/>
        <w:spacing w:before="0" w:beforeAutospacing="0" w:after="0" w:afterAutospacing="0" w:line="460" w:lineRule="exact"/>
        <w:tabs>
          <w:tab w:val="left" w:pos="0" w:leader="none"/>
        </w:tabs>
        <w:rPr>
          <w:rFonts w:ascii="黑体" w:eastAsia="黑体"/>
          <w:bCs/>
          <w:color w:val="auto"/>
          <w:sz w:val="28"/>
          <w:szCs w:val="28"/>
          <w:highlight w:val="none"/>
        </w:rPr>
      </w:pPr>
      <w:r>
        <w:rPr>
          <w:rFonts w:ascii="黑体" w:eastAsia="黑体"/>
          <w:bCs/>
          <w:color w:val="auto"/>
          <w:sz w:val="28"/>
          <w:szCs w:val="28"/>
          <w:highlight w:val="none"/>
        </w:rPr>
      </w:r>
      <w:r/>
    </w:p>
    <w:p>
      <w:pPr>
        <w:pStyle w:val="843"/>
        <w:ind w:firstLine="560"/>
        <w:jc w:val="center"/>
        <w:spacing w:before="0" w:beforeAutospacing="0" w:after="0" w:afterAutospacing="0" w:line="460" w:lineRule="exact"/>
        <w:tabs>
          <w:tab w:val="left" w:pos="0" w:leader="none"/>
        </w:tabs>
        <w:rPr>
          <w:rFonts w:ascii="黑体" w:eastAsia="黑体"/>
          <w:bCs/>
          <w:color w:val="auto"/>
          <w:sz w:val="28"/>
          <w:szCs w:val="28"/>
          <w:highlight w:val="none"/>
        </w:rPr>
        <w:outlineLvl w:val="0"/>
      </w:pPr>
      <w:r>
        <w:rPr>
          <w:rFonts w:ascii="黑体" w:eastAsia="黑体"/>
          <w:bCs/>
          <w:color w:val="auto"/>
          <w:sz w:val="28"/>
          <w:szCs w:val="28"/>
          <w:highlight w:val="none"/>
        </w:rPr>
        <w:br w:type="page" w:clear="all"/>
      </w:r>
      <w:bookmarkStart w:id="4" w:name="_Toc18269"/>
      <w:r/>
      <w:bookmarkStart w:id="5" w:name="_Toc380"/>
      <w:r>
        <w:rPr>
          <w:rFonts w:hint="eastAsia" w:ascii="黑体" w:eastAsia="黑体"/>
          <w:bCs/>
          <w:color w:val="auto"/>
          <w:sz w:val="28"/>
          <w:szCs w:val="28"/>
          <w:highlight w:val="none"/>
        </w:rPr>
        <w:t xml:space="preserve">二.投标人须知</w:t>
      </w:r>
      <w:bookmarkEnd w:id="4"/>
      <w:r/>
      <w:bookmarkEnd w:id="5"/>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（一）遵循原则：</w:t>
      </w:r>
      <w:r/>
    </w:p>
    <w:p>
      <w:pPr>
        <w:ind w:firstLine="480"/>
        <w:spacing w:line="360" w:lineRule="auto"/>
        <w:rPr>
          <w:rFonts w:ascii="黑体" w:hAnsi="宋体" w:eastAsia="黑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ind w:left="1200" w:hanging="72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t xml:space="preserve">（二） </w:t>
      </w:r>
      <w:r>
        <w:rPr>
          <w:rFonts w:hint="eastAsia" w:ascii="黑体" w:hAnsi="宋体" w:eastAsia="黑体"/>
          <w:bCs/>
          <w:color w:val="auto"/>
          <w:sz w:val="24"/>
          <w:szCs w:val="24"/>
          <w:highlight w:val="none"/>
        </w:rPr>
        <w:t xml:space="preserve">招标文件：</w:t>
      </w:r>
      <w:r/>
    </w:p>
    <w:p>
      <w:pPr>
        <w:numPr>
          <w:ilvl w:val="0"/>
          <w:numId w:val="3"/>
        </w:numPr>
        <w:ind w:left="0" w:firstLine="523"/>
        <w:spacing w:line="360" w:lineRule="auto"/>
        <w:tabs>
          <w:tab w:val="left" w:pos="-126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招标文件包括本文件目录所列全部内容，投标人应仔细阅读，并在投标文件中充分响应招标文件的所有要求。</w:t>
      </w:r>
      <w:r/>
    </w:p>
    <w:p>
      <w:pPr>
        <w:numPr>
          <w:ilvl w:val="0"/>
          <w:numId w:val="3"/>
        </w:numPr>
        <w:ind w:left="0"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招标文件中的“法定代表人”是指投标人的营业执照的“法定代表人”或相关部门的登记证明文件中的“负责人”。</w:t>
      </w:r>
      <w:r/>
    </w:p>
    <w:p>
      <w:pPr>
        <w:numPr>
          <w:ilvl w:val="0"/>
          <w:numId w:val="3"/>
        </w:numPr>
        <w:ind w:left="0"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投标供应商应在苏采云平台（http://jszfcg.jsczt.cn/jszc/login）下载招标文件及有关资料，按要求制作、上传投标文件，对招标文件各项内容做出实质性响应，否则投标无效。</w:t>
      </w:r>
      <w:r/>
    </w:p>
    <w:p>
      <w:pPr>
        <w:numPr>
          <w:ilvl w:val="0"/>
          <w:numId w:val="3"/>
        </w:numPr>
        <w:ind w:left="0" w:firstLine="523"/>
        <w:spacing w:line="360" w:lineRule="auto"/>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招标文件仅作为本次招投标使用。</w:t>
      </w:r>
      <w:r/>
    </w:p>
    <w:p>
      <w:pPr>
        <w:ind w:firstLine="480"/>
        <w:spacing w:line="360" w:lineRule="auto"/>
        <w:tabs>
          <w:tab w:val="left" w:pos="630"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（三）招标文件的解释：</w:t>
      </w:r>
      <w:r/>
    </w:p>
    <w:p>
      <w:pPr>
        <w:ind w:left="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本文件的最终解释权归采购人。</w:t>
      </w:r>
      <w:r/>
    </w:p>
    <w:p>
      <w:pPr>
        <w:ind w:left="1200" w:hanging="720"/>
        <w:spacing w:line="360" w:lineRule="auto"/>
        <w:tabs>
          <w:tab w:val="left" w:pos="945" w:leader="none"/>
        </w:tabs>
        <w:rPr>
          <w:rFonts w:ascii="黑体" w:hAnsi="宋体" w:eastAsia="黑体"/>
          <w:bCs/>
          <w:color w:val="auto"/>
          <w:sz w:val="24"/>
          <w:szCs w:val="24"/>
          <w:highlight w:val="none"/>
        </w:rPr>
      </w:pPr>
      <w:r>
        <w:rPr>
          <w:rFonts w:ascii="黑体" w:hAnsi="宋体" w:eastAsia="黑体"/>
          <w:bCs/>
          <w:color w:val="auto"/>
          <w:sz w:val="24"/>
          <w:szCs w:val="24"/>
          <w:highlight w:val="none"/>
        </w:rPr>
        <w:t xml:space="preserve">（</w:t>
      </w:r>
      <w:r>
        <w:rPr>
          <w:rFonts w:hint="eastAsia" w:ascii="黑体" w:hAnsi="宋体" w:eastAsia="黑体"/>
          <w:bCs/>
          <w:color w:val="auto"/>
          <w:sz w:val="24"/>
          <w:szCs w:val="24"/>
          <w:highlight w:val="none"/>
        </w:rPr>
        <w:t xml:space="preserve">四</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 xml:space="preserve">招标文件的补充或修正：</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1.北京中昌工程咨询有限公司可在投标截止时间十五日前对招标文件进行必要的澄清或者修改，不足15日的，将顺延提交投标文件的截止时间。</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2.如需对招标文件进行澄清或修正，北京中昌工程咨询有限公司将在江苏政府采购网发布更正公告，该澄清或修正的内容为招标文件的组成部分。投标人应在投标截止时间前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投标客户端</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关注原招标公告媒体上发布的相关更正公告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全面地关注更正公告导致其提交的投标材料不符合招标文件要求，而造成的损失及风险（包括但不限于未中标）由投标人自行承担。</w:t>
      </w:r>
      <w:r/>
    </w:p>
    <w:p>
      <w:pPr>
        <w:ind w:firstLine="480"/>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文件使自己的权益受到损害的，可以自获取</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文件之日或者</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公告期限届满之日（公告期限届满后获取招标文件的，以公告期限届满之日为准）起7个工作日内，以书面形式向</w:t>
      </w:r>
      <w:r>
        <w:rPr>
          <w:rFonts w:hint="eastAsia" w:ascii="宋体" w:hAnsi="宋体"/>
          <w:bCs/>
          <w:color w:val="auto"/>
          <w:sz w:val="24"/>
          <w:szCs w:val="24"/>
          <w:highlight w:val="none"/>
        </w:rPr>
        <w:t xml:space="preserve">采购人、采购代理机构提出质疑。</w:t>
      </w:r>
      <w:r>
        <w:rPr>
          <w:rFonts w:ascii="宋体" w:hAnsi="宋体"/>
          <w:bCs/>
          <w:color w:val="auto"/>
          <w:sz w:val="24"/>
          <w:szCs w:val="24"/>
          <w:highlight w:val="none"/>
        </w:rPr>
        <w:t xml:space="preserve">针对同一采购程序环节的质疑</w:t>
      </w:r>
      <w:r>
        <w:rPr>
          <w:rFonts w:hint="eastAsia" w:ascii="宋体" w:hAnsi="宋体"/>
          <w:bCs/>
          <w:color w:val="auto"/>
          <w:sz w:val="24"/>
          <w:szCs w:val="24"/>
          <w:highlight w:val="none"/>
        </w:rPr>
        <w:t xml:space="preserve">，须</w:t>
      </w:r>
      <w:r>
        <w:rPr>
          <w:rFonts w:ascii="宋体" w:hAnsi="宋体"/>
          <w:bCs/>
          <w:color w:val="auto"/>
          <w:sz w:val="24"/>
          <w:szCs w:val="24"/>
          <w:highlight w:val="none"/>
        </w:rPr>
        <w:t xml:space="preserve">在法定质疑期内一次性提出</w:t>
      </w:r>
      <w:r>
        <w:rPr>
          <w:rFonts w:hint="eastAsia" w:ascii="宋体" w:hAnsi="宋体"/>
          <w:bCs/>
          <w:color w:val="auto"/>
          <w:sz w:val="24"/>
          <w:szCs w:val="24"/>
          <w:highlight w:val="none"/>
        </w:rPr>
        <w:t xml:space="preserve">。质疑函的质疑事项应具体、明确，并具有必要的事实依据和法律依据（格式详见中国政府采购网《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 xml:space="preserve">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北京中昌工程咨询有限公司将在收到符合上述要求的书面质疑后七个工作日内，对质疑内容作出答复。投标人在法定质疑期限外送达的质疑函或法定质疑期限内送达的质疑函不符合上述要求的均为无效质疑，北京中昌工程咨询有限公司对无效质疑不予受理。</w:t>
      </w:r>
      <w:r/>
    </w:p>
    <w:p>
      <w:pPr>
        <w:ind w:left="1200" w:hanging="72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（五）质疑与投诉</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2.质疑的提出</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.1提出质疑的供应商应当是参与所质疑项目采购活动的供应商。</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潜在供应商已依法获取其可质疑的</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的，可以对该文件提出质疑。对</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提出质疑的，应当在获取</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或者</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公告期限届满之日起7个工作日内</w:t>
      </w:r>
      <w:r>
        <w:rPr>
          <w:rFonts w:hint="eastAsia" w:ascii="宋体" w:hAnsi="宋体"/>
          <w:bCs/>
          <w:color w:val="auto"/>
          <w:sz w:val="24"/>
          <w:szCs w:val="24"/>
          <w:highlight w:val="none"/>
        </w:rPr>
        <w:t xml:space="preserve">以书面形式</w:t>
      </w:r>
      <w:r>
        <w:rPr>
          <w:rFonts w:ascii="宋体" w:hAnsi="宋体"/>
          <w:bCs/>
          <w:color w:val="auto"/>
          <w:sz w:val="24"/>
          <w:szCs w:val="24"/>
          <w:highlight w:val="none"/>
        </w:rPr>
        <w:t xml:space="preserve">提出。</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、采购过程、中标或者成交结果使自己的权益受到损害的，可以在知道或者应知其权益受到损害之日起</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个工作日内，以书面形式向采购人提出质疑。供应商</w:t>
      </w:r>
      <w:r>
        <w:rPr>
          <w:rFonts w:hint="eastAsia" w:ascii="宋体" w:hAnsi="宋体"/>
          <w:bCs/>
          <w:color w:val="auto"/>
          <w:sz w:val="24"/>
          <w:szCs w:val="24"/>
          <w:highlight w:val="none"/>
        </w:rPr>
        <w:t xml:space="preserve">须在</w:t>
      </w:r>
      <w:r>
        <w:rPr>
          <w:rFonts w:ascii="宋体" w:hAnsi="宋体"/>
          <w:bCs/>
          <w:color w:val="auto"/>
          <w:sz w:val="24"/>
          <w:szCs w:val="24"/>
          <w:highlight w:val="none"/>
        </w:rPr>
        <w:t xml:space="preserve">法定质疑期内一次性提出针对同一采购程序环节的质疑。</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供应商提出质疑应当提交质疑函和必要的证明材料。质疑函应当包括下列内容：</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）供应商的姓名或者名称、地址、邮编、联系人及联系电话；</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）质疑项目的名称、编号；</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）具体、明确的质疑事项和与质疑事项相关的请求；</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）必要的法律依据；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）提出质疑的日期。</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 xml:space="preserve">质疑函须原件递交。</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应当由本人签字；供应商为法人或者其他组织的，应当由法定代表人、主要负责人签字或者盖章，并加盖公章。</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以</w:t>
      </w:r>
      <w:r>
        <w:rPr>
          <w:rFonts w:ascii="宋体" w:hAnsi="宋体"/>
          <w:bCs/>
          <w:color w:val="auto"/>
          <w:sz w:val="24"/>
          <w:szCs w:val="24"/>
          <w:highlight w:val="none"/>
        </w:rPr>
        <w:t xml:space="preserve">联合体</w:t>
      </w:r>
      <w:r>
        <w:rPr>
          <w:rFonts w:ascii="宋体" w:hAnsi="宋体"/>
          <w:bCs/>
          <w:color w:val="auto"/>
          <w:sz w:val="24"/>
          <w:szCs w:val="24"/>
          <w:highlight w:val="none"/>
        </w:rPr>
        <w:t xml:space="preserve">形式参加政府采购活动的，其投诉应当由组成联合体的所有供应商共同提出。</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3.质疑的受理与答复</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.1采购人负责供应商质疑答复。</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2质疑函由采购人办理签收手续。</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3质疑函接收单位信息：</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接收单位：北京中昌工程咨询有限公司</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地址：无锡市梁溪区南湖大道501号扬名创智园H座2楼</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邮编：214000</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联系人：薛雨蕙</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电话：15251502815</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采购人应当在收到质疑函后7个工作日内作出答复，并以书面形式通知质疑供应商和其他有关供应商。</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处理的其他要求按《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4.投诉的提起</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质疑供应商对采购人的答复不满意，或者采购人未在规定时间内作出答复的，可以在答复期满后</w:t>
      </w:r>
      <w:r>
        <w:rPr>
          <w:rFonts w:hint="eastAsia" w:ascii="宋体" w:hAnsi="宋体"/>
          <w:bCs/>
          <w:color w:val="auto"/>
          <w:sz w:val="24"/>
          <w:szCs w:val="24"/>
          <w:highlight w:val="none"/>
        </w:rPr>
        <w:t xml:space="preserve">15</w:t>
      </w:r>
      <w:r>
        <w:rPr>
          <w:rFonts w:ascii="宋体" w:hAnsi="宋体"/>
          <w:bCs/>
          <w:color w:val="auto"/>
          <w:sz w:val="24"/>
          <w:szCs w:val="24"/>
          <w:highlight w:val="none"/>
        </w:rPr>
        <w:t xml:space="preserve">个工作日内向采购人所属预算级次的财政部门提起投诉。</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2供应商</w:t>
      </w:r>
      <w:r>
        <w:rPr>
          <w:rFonts w:ascii="宋体" w:hAnsi="宋体"/>
          <w:bCs/>
          <w:color w:val="auto"/>
          <w:sz w:val="24"/>
          <w:szCs w:val="24"/>
          <w:highlight w:val="none"/>
        </w:rPr>
        <w:t xml:space="preserve">投诉时</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应当提交投诉书和必要的证明材料，并按照被投诉采购人（以下简称被投诉人）和与投诉事项有关的供应商数量提供投诉书的副本。投诉书应当包括下列内容：</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）投诉人和被投诉人的姓名或者名称、通讯地址、邮编、联系人及联系电话；</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）质疑和质疑答复情况说明及相关证明材料；</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）具体、明确的投诉事项和与投诉事项相关的投诉请求；</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）法律依据；</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）提起投诉的日期。</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投诉人提起投诉应当符合下列条件：</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）提起投诉前已依法进行质疑；</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）投诉书内容符合本办法的规定；</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）在投诉有效期限内提起投诉；</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）同一投诉事项未经财政部门投诉处理；</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）财政部规定的其他条件。</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供应商投诉的事项不得超出已质疑事项的范围，但基于质疑答复内容提出的投诉事项除外。</w:t>
      </w:r>
      <w:r/>
    </w:p>
    <w:p>
      <w:pPr>
        <w:ind w:firstLine="480"/>
        <w:spacing w:line="360" w:lineRule="auto"/>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5.由</w:t>
      </w:r>
      <w:r>
        <w:rPr>
          <w:rFonts w:ascii="宋体" w:hAnsi="宋体"/>
          <w:bCs/>
          <w:color w:val="auto"/>
          <w:sz w:val="24"/>
          <w:szCs w:val="24"/>
          <w:highlight w:val="none"/>
        </w:rPr>
        <w:t xml:space="preserve">采购人所属预算级次的财政部门</w:t>
      </w:r>
      <w:r>
        <w:rPr>
          <w:rFonts w:hint="eastAsia" w:ascii="宋体" w:hAnsi="宋体"/>
          <w:bCs/>
          <w:color w:val="auto"/>
          <w:sz w:val="24"/>
          <w:szCs w:val="24"/>
          <w:highlight w:val="none"/>
        </w:rPr>
        <w:t xml:space="preserve">根据《</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）相关规定进行</w:t>
      </w:r>
      <w:r>
        <w:rPr>
          <w:rFonts w:ascii="宋体" w:hAnsi="宋体"/>
          <w:bCs/>
          <w:color w:val="auto"/>
          <w:sz w:val="24"/>
          <w:szCs w:val="24"/>
          <w:highlight w:val="none"/>
        </w:rPr>
        <w:t xml:space="preserve">投诉处理</w:t>
      </w:r>
      <w:r>
        <w:rPr>
          <w:rFonts w:hint="eastAsia" w:ascii="宋体" w:hAnsi="宋体"/>
          <w:bCs/>
          <w:color w:val="auto"/>
          <w:sz w:val="24"/>
          <w:szCs w:val="24"/>
          <w:highlight w:val="none"/>
        </w:rPr>
        <w:t xml:space="preserve">。</w:t>
      </w:r>
      <w:r/>
    </w:p>
    <w:p>
      <w:pPr>
        <w:pStyle w:val="1013"/>
        <w:numPr>
          <w:ilvl w:val="0"/>
          <w:numId w:val="4"/>
        </w:numPr>
        <w:spacing w:line="360" w:lineRule="auto"/>
        <w:rPr>
          <w:rFonts w:ascii="宋体"/>
          <w:bCs/>
          <w:color w:val="auto"/>
          <w:sz w:val="24"/>
          <w:szCs w:val="24"/>
          <w:highlight w:val="none"/>
        </w:rPr>
      </w:pPr>
      <w:r>
        <w:rPr>
          <w:rFonts w:hint="eastAsia" w:ascii="黑体" w:hAnsi="宋体" w:eastAsia="黑体"/>
          <w:bCs/>
          <w:color w:val="auto"/>
          <w:sz w:val="24"/>
          <w:szCs w:val="24"/>
          <w:highlight w:val="none"/>
        </w:rPr>
        <w:t xml:space="preserve">投标文件的组成</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相应内容上传至投标客户端</w:t>
      </w:r>
      <w:r>
        <w:rPr>
          <w:rFonts w:hint="eastAsia" w:ascii="宋体" w:hAnsi="宋体"/>
          <w:bCs/>
          <w:color w:val="auto"/>
          <w:sz w:val="24"/>
          <w:szCs w:val="24"/>
          <w:highlight w:val="none"/>
        </w:rPr>
        <w:t xml:space="preserve">）</w:t>
      </w:r>
      <w:r>
        <w:rPr>
          <w:rFonts w:hint="eastAsia" w:ascii="黑体" w:hAnsi="宋体" w:eastAsia="黑体"/>
          <w:bCs/>
          <w:color w:val="auto"/>
          <w:sz w:val="24"/>
          <w:szCs w:val="24"/>
          <w:highlight w:val="none"/>
        </w:rPr>
        <w:t xml:space="preserve">：</w:t>
      </w:r>
      <w:r/>
    </w:p>
    <w:p>
      <w:pPr>
        <w:ind w:left="524"/>
        <w:spacing w:line="360" w:lineRule="auto"/>
        <w:tabs>
          <w:tab w:val="left" w:pos="525" w:leader="none"/>
          <w:tab w:val="left" w:pos="63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ind w:left="524"/>
        <w:spacing w:line="360" w:lineRule="auto"/>
        <w:tabs>
          <w:tab w:val="left" w:pos="525" w:leader="none"/>
          <w:tab w:val="left" w:pos="63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资格、资信证明文件（</w:t>
      </w:r>
      <w:r>
        <w:rPr>
          <w:rFonts w:hint="eastAsia" w:ascii="宋体" w:hAnsi="宋体"/>
          <w:b/>
          <w:bCs/>
          <w:color w:val="auto"/>
          <w:sz w:val="24"/>
          <w:szCs w:val="24"/>
          <w:highlight w:val="none"/>
        </w:rPr>
        <w:t xml:space="preserve">扫描后上传，身份证应为正、反面</w:t>
      </w:r>
      <w:r>
        <w:rPr>
          <w:rFonts w:hint="eastAsia" w:ascii="宋体" w:hAnsi="宋体"/>
          <w:bCs/>
          <w:color w:val="auto"/>
          <w:sz w:val="24"/>
          <w:szCs w:val="24"/>
          <w:highlight w:val="none"/>
        </w:rPr>
        <w:t xml:space="preserve">）：</w:t>
      </w:r>
      <w:r/>
    </w:p>
    <w:p>
      <w:pPr>
        <w:pStyle w:val="1013"/>
        <w:numPr>
          <w:ilvl w:val="1"/>
          <w:numId w:val="5"/>
        </w:numPr>
        <w:ind w:left="0" w:firstLine="567"/>
        <w:spacing w:line="360" w:lineRule="auto"/>
        <w:tabs>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关于资格的声明函（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pStyle w:val="1013"/>
        <w:numPr>
          <w:ilvl w:val="1"/>
          <w:numId w:val="5"/>
        </w:numPr>
        <w:ind w:left="0" w:firstLine="567"/>
        <w:spacing w:line="360" w:lineRule="auto"/>
        <w:tabs>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具有独立承担民事责任能力的投标人营业执照或相关部门的登记证明文件（投标人如</w:t>
      </w:r>
      <w:r>
        <w:rPr>
          <w:rFonts w:hint="eastAsia" w:ascii="宋体" w:hAnsi="宋体" w:cs="宋体"/>
          <w:color w:val="auto"/>
          <w:sz w:val="24"/>
          <w:szCs w:val="24"/>
          <w:highlight w:val="none"/>
        </w:rPr>
        <w:t xml:space="preserve">允许以分支机构身份参加投标的，提供投标人分支机构的营业执照</w:t>
      </w:r>
      <w:r>
        <w:rPr>
          <w:rFonts w:hint="eastAsia" w:ascii="宋体" w:hAnsi="宋体"/>
          <w:bCs/>
          <w:color w:val="auto"/>
          <w:sz w:val="24"/>
          <w:szCs w:val="24"/>
          <w:highlight w:val="none"/>
        </w:rPr>
        <w:t xml:space="preserve">）；</w:t>
      </w:r>
      <w:r/>
    </w:p>
    <w:p>
      <w:pPr>
        <w:numPr>
          <w:ilvl w:val="1"/>
          <w:numId w:val="5"/>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）（投标人如</w:t>
      </w:r>
      <w:r>
        <w:rPr>
          <w:rFonts w:hint="eastAsia" w:ascii="宋体" w:hAnsi="宋体" w:cs="宋体"/>
          <w:color w:val="auto"/>
          <w:sz w:val="24"/>
          <w:szCs w:val="24"/>
          <w:highlight w:val="none"/>
        </w:rPr>
        <w:t xml:space="preserve">允许以分支机构身份参加投标的，请自行</w:t>
      </w:r>
      <w:r>
        <w:rPr>
          <w:rFonts w:ascii="宋体" w:hAnsi="宋体" w:cs="宋体"/>
          <w:color w:val="auto"/>
          <w:sz w:val="24"/>
          <w:szCs w:val="24"/>
          <w:highlight w:val="none"/>
        </w:rPr>
        <w:t xml:space="preserve">将“</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更改为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负责人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，分支机构投标</w:t>
      </w:r>
      <w:r>
        <w:rPr>
          <w:rFonts w:ascii="宋体" w:hAnsi="宋体" w:cs="宋体"/>
          <w:color w:val="auto"/>
          <w:sz w:val="24"/>
          <w:szCs w:val="24"/>
          <w:highlight w:val="none"/>
        </w:rPr>
        <w:t xml:space="preserve">时</w:t>
      </w:r>
      <w:r>
        <w:rPr>
          <w:rFonts w:hint="eastAsia" w:ascii="宋体" w:hAnsi="宋体" w:cs="宋体"/>
          <w:color w:val="auto"/>
          <w:sz w:val="24"/>
          <w:szCs w:val="24"/>
          <w:highlight w:val="none"/>
        </w:rPr>
        <w:t xml:space="preserve">涉及采购文件</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要求的部分</w:t>
      </w:r>
      <w:r>
        <w:rPr>
          <w:rFonts w:ascii="宋体" w:hAnsi="宋体" w:cs="宋体"/>
          <w:color w:val="auto"/>
          <w:sz w:val="24"/>
          <w:szCs w:val="24"/>
          <w:highlight w:val="none"/>
        </w:rPr>
        <w:t xml:space="preserve">，其</w:t>
      </w:r>
      <w:r>
        <w:rPr>
          <w:rFonts w:hint="eastAsia" w:ascii="宋体" w:hAnsi="宋体" w:cs="宋体"/>
          <w:color w:val="auto"/>
          <w:sz w:val="24"/>
          <w:szCs w:val="24"/>
          <w:highlight w:val="none"/>
        </w:rPr>
        <w:t xml:space="preserve">具体要求</w:t>
      </w:r>
      <w:r>
        <w:rPr>
          <w:rFonts w:ascii="宋体" w:hAnsi="宋体" w:cs="宋体"/>
          <w:color w:val="auto"/>
          <w:sz w:val="24"/>
          <w:szCs w:val="24"/>
          <w:highlight w:val="none"/>
        </w:rPr>
        <w:t xml:space="preserve">视同本条规定</w:t>
      </w:r>
      <w:r>
        <w:rPr>
          <w:rFonts w:hint="eastAsia" w:ascii="宋体" w:hAnsi="宋体"/>
          <w:color w:val="auto"/>
          <w:sz w:val="24"/>
          <w:szCs w:val="24"/>
          <w:highlight w:val="none"/>
        </w:rPr>
        <w:t xml:space="preserve">）；</w:t>
      </w:r>
      <w:r/>
    </w:p>
    <w:p>
      <w:pPr>
        <w:numPr>
          <w:ilvl w:val="1"/>
          <w:numId w:val="5"/>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投标人法定代表人身份证；</w:t>
      </w:r>
      <w:r/>
    </w:p>
    <w:p>
      <w:pPr>
        <w:numPr>
          <w:ilvl w:val="1"/>
          <w:numId w:val="5"/>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投标人法定代表人授权代表身份证（</w:t>
      </w:r>
      <w:r>
        <w:rPr>
          <w:rFonts w:hint="eastAsia" w:ascii="宋体" w:hAnsi="宋体"/>
          <w:b/>
          <w:bCs/>
          <w:color w:val="auto"/>
          <w:sz w:val="24"/>
          <w:szCs w:val="24"/>
          <w:highlight w:val="none"/>
        </w:rPr>
        <w:t xml:space="preserve">法定代表人亲自参加投标的除外</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w:t>
      </w:r>
      <w:r/>
    </w:p>
    <w:p>
      <w:pPr>
        <w:numPr>
          <w:ilvl w:val="1"/>
          <w:numId w:val="5"/>
        </w:numPr>
        <w:ind w:left="0" w:firstLine="523"/>
        <w:spacing w:line="360" w:lineRule="auto"/>
        <w:tabs>
          <w:tab w:val="left" w:pos="945" w:leader="none"/>
          <w:tab w:val="left" w:pos="1276"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投标人近一年中任意一个月份（不含投标当月）为其法定代表人授权代表缴纳社保的证明（</w:t>
      </w:r>
      <w:r>
        <w:rPr>
          <w:rFonts w:hint="eastAsia" w:ascii="宋体" w:hAnsi="宋体"/>
          <w:b/>
          <w:bCs/>
          <w:color w:val="auto"/>
          <w:sz w:val="24"/>
          <w:szCs w:val="24"/>
          <w:highlight w:val="none"/>
        </w:rPr>
        <w:t xml:space="preserve">由相关主管部门出具，新成立公司除外、法定代表人亲自参加投标的除外</w:t>
      </w:r>
      <w:r>
        <w:rPr>
          <w:rFonts w:hint="eastAsia" w:ascii="宋体" w:hAnsi="宋体"/>
          <w:bCs/>
          <w:color w:val="auto"/>
          <w:sz w:val="24"/>
          <w:szCs w:val="24"/>
          <w:highlight w:val="none"/>
        </w:rPr>
        <w:t xml:space="preserve">）；</w:t>
      </w:r>
      <w:r/>
    </w:p>
    <w:p>
      <w:pPr>
        <w:numPr>
          <w:ilvl w:val="1"/>
          <w:numId w:val="5"/>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投标人近一年中任意一个月份（不含投标当月）的财务状况报告（资产负债表和利润表）或由会计师事务所出具的近两年（2024年或2025年）中任意一年度的审计报告和所附已审财务报告；</w:t>
      </w:r>
      <w:r/>
    </w:p>
    <w:p>
      <w:pPr>
        <w:numPr>
          <w:ilvl w:val="1"/>
          <w:numId w:val="5"/>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投标人近一年中任意一个月份（不含投标当月）的依法缴纳税收的相关材料（提供相关主管部门证明或银行代扣证明）；</w:t>
      </w:r>
      <w:r/>
    </w:p>
    <w:p>
      <w:pPr>
        <w:numPr>
          <w:ilvl w:val="1"/>
          <w:numId w:val="5"/>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投标人近一年中任意一个月份（不含投标当月）的依法缴纳社会保障资金的相关材料（提供相关主管部门证明或银行代扣证明）；</w:t>
      </w:r>
      <w:r/>
    </w:p>
    <w:p>
      <w:pPr>
        <w:numPr>
          <w:ilvl w:val="1"/>
          <w:numId w:val="5"/>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bCs/>
          <w:color w:val="auto"/>
          <w:sz w:val="24"/>
          <w:szCs w:val="24"/>
          <w:highlight w:val="none"/>
        </w:rPr>
        <w:t xml:space="preserve">服务保障承诺书</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1"/>
          <w:numId w:val="5"/>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bCs/>
          <w:color w:val="auto"/>
          <w:sz w:val="24"/>
          <w:szCs w:val="24"/>
          <w:highlight w:val="none"/>
        </w:rPr>
        <w:t xml:space="preserve">中小企业声明函（</w:t>
      </w:r>
      <w:r>
        <w:rPr>
          <w:rFonts w:hint="eastAsia" w:ascii="宋体"/>
          <w:b/>
          <w:color w:val="auto"/>
          <w:sz w:val="24"/>
          <w:szCs w:val="24"/>
          <w:highlight w:val="none"/>
        </w:rPr>
        <w:t xml:space="preserve">格式见附件</w:t>
      </w:r>
      <w:r>
        <w:rPr>
          <w:rFonts w:hint="eastAsia" w:ascii="宋体"/>
          <w:bCs/>
          <w:color w:val="auto"/>
          <w:sz w:val="24"/>
          <w:szCs w:val="24"/>
          <w:highlight w:val="none"/>
        </w:rPr>
        <w:t xml:space="preserve">）；</w:t>
      </w:r>
      <w:r/>
    </w:p>
    <w:p>
      <w:pPr>
        <w:numPr>
          <w:ilvl w:val="1"/>
          <w:numId w:val="5"/>
        </w:numPr>
        <w:ind w:left="0" w:firstLine="523"/>
        <w:spacing w:line="360" w:lineRule="auto"/>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采购人要求的特定资质证明扫描件（</w:t>
      </w:r>
      <w:r>
        <w:rPr>
          <w:rFonts w:hint="eastAsia" w:ascii="宋体" w:hAnsi="宋体"/>
          <w:b/>
          <w:bCs/>
          <w:color w:val="auto"/>
          <w:sz w:val="24"/>
          <w:szCs w:val="24"/>
          <w:highlight w:val="none"/>
        </w:rPr>
        <w:t xml:space="preserve">详见“投标邀请函”－“投标人资格要求”之3中要求）</w:t>
      </w:r>
      <w:r>
        <w:rPr>
          <w:rFonts w:hint="eastAsia" w:ascii="宋体" w:hAnsi="宋体"/>
          <w:bCs/>
          <w:color w:val="auto"/>
          <w:sz w:val="24"/>
          <w:szCs w:val="24"/>
          <w:highlight w:val="none"/>
        </w:rPr>
        <w:t xml:space="preserve">。</w:t>
      </w:r>
      <w:r/>
    </w:p>
    <w:p>
      <w:pPr>
        <w:ind w:firstLine="480"/>
        <w:spacing w:line="360" w:lineRule="auto"/>
        <w:tabs>
          <w:tab w:val="left" w:pos="945" w:leader="none"/>
        </w:tabs>
        <w:rPr>
          <w:rFonts w:ascii="宋体"/>
          <w:bCs/>
          <w:color w:val="auto"/>
          <w:sz w:val="24"/>
          <w:szCs w:val="24"/>
          <w:highlight w:val="none"/>
        </w:rPr>
      </w:pPr>
      <w:r>
        <w:rPr>
          <w:rFonts w:hint="eastAsia" w:ascii="宋体" w:hAnsi="宋体" w:cs="宋体"/>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3.开标一览表（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hint="eastAsia" w:ascii="宋体" w:hAnsi="宋体" w:cs="宋体"/>
          <w:bCs/>
          <w:color w:val="auto"/>
          <w:sz w:val="24"/>
          <w:szCs w:val="24"/>
          <w:highlight w:val="none"/>
        </w:rPr>
        <w:t xml:space="preserve">项目组人员配备计划表（</w:t>
      </w:r>
      <w:r>
        <w:rPr>
          <w:rFonts w:hint="eastAsia" w:ascii="宋体" w:hAnsi="宋体" w:cs="宋体"/>
          <w:b/>
          <w:bCs/>
          <w:color w:val="auto"/>
          <w:sz w:val="24"/>
          <w:szCs w:val="24"/>
          <w:highlight w:val="none"/>
        </w:rPr>
        <w:t xml:space="preserve">格式见附件）</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w:t>
      </w:r>
      <w:r>
        <w:rPr>
          <w:rFonts w:hint="eastAsia" w:ascii="宋体" w:hAnsi="宋体" w:cs="宋体"/>
          <w:bCs/>
          <w:color w:val="auto"/>
          <w:sz w:val="24"/>
          <w:szCs w:val="24"/>
          <w:highlight w:val="none"/>
        </w:rPr>
        <w:t xml:space="preserve">项目负责人简历表（</w:t>
      </w:r>
      <w:r>
        <w:rPr>
          <w:rFonts w:hint="eastAsia" w:ascii="宋体" w:hAnsi="宋体" w:cs="宋体"/>
          <w:b/>
          <w:bCs/>
          <w:color w:val="auto"/>
          <w:sz w:val="24"/>
          <w:szCs w:val="24"/>
          <w:highlight w:val="none"/>
        </w:rPr>
        <w:t xml:space="preserve">格式见附件）</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6.投标偏离表（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2"/>
        <w:spacing w:line="360" w:lineRule="auto"/>
        <w:rPr>
          <w:rFonts w:ascii="宋体" w:hAnsi="宋体"/>
          <w:b/>
          <w:color w:val="auto"/>
          <w:sz w:val="24"/>
          <w:szCs w:val="24"/>
          <w:highlight w:val="none"/>
        </w:rPr>
      </w:pPr>
      <w:r>
        <w:rPr>
          <w:rFonts w:hint="eastAsia" w:ascii="宋体" w:hAnsi="宋体"/>
          <w:bCs/>
          <w:color w:val="auto"/>
          <w:sz w:val="24"/>
          <w:szCs w:val="24"/>
          <w:highlight w:val="none"/>
        </w:rPr>
        <w:t xml:space="preserve">7.技术文件</w:t>
      </w:r>
      <w:r>
        <w:rPr>
          <w:rFonts w:hint="eastAsia" w:ascii="宋体" w:hAnsi="宋体"/>
          <w:b/>
          <w:color w:val="auto"/>
          <w:sz w:val="24"/>
          <w:szCs w:val="24"/>
          <w:highlight w:val="none"/>
        </w:rPr>
        <w:t xml:space="preserve">（格式自拟，内容参照评标办法）</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8.评分标准中对应的其他所需证明材料（如有自行添加）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9.要求采购人提供的配合（如有自拟并自行添加）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10.其他（报价人认为有必要提供的声明和文件，如有自拟并自行添加）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上述1-7项报价人必须按要求全部提供，否则响应文件无效。如上述资格证明文件遇年检、换证，则必须提供法定年检、换证单位出具的有效证明扫描件。如上述资格证明文件第（6）（7）（8）（9）四项遇有国家相关政策规定可不具备的，必须提供相关政策规定或相关单位出具的有效证明扫描件。报价人法定代表人或法定代表人授权代表为外籍、港、澳、台地区人士的，其身份证明须提供有效的护照或港澳同胞来往内地通行证、台湾同胞来往大陆通行证，或其他可在中国大陆有效居留的许可证明。</w:t>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（七）投标文件的制作：</w:t>
      </w:r>
      <w:r/>
    </w:p>
    <w:p>
      <w:pPr>
        <w:numPr>
          <w:ilvl w:val="0"/>
          <w:numId w:val="6"/>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所有文件、往来函件均应使用简体中文（规格、型号辅助符号例外）。</w:t>
      </w:r>
      <w:r/>
    </w:p>
    <w:p>
      <w:pPr>
        <w:numPr>
          <w:ilvl w:val="0"/>
          <w:numId w:val="6"/>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投标文件由投标人按要求如实填写，须有投标人（签章）、法定代表人或法定代表人授权代表签章，方为有效，未尽事宜可自行补充。</w:t>
      </w:r>
      <w:r/>
    </w:p>
    <w:p>
      <w:pPr>
        <w:numPr>
          <w:ilvl w:val="0"/>
          <w:numId w:val="6"/>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color w:val="auto"/>
          <w:sz w:val="24"/>
          <w:szCs w:val="24"/>
          <w:highlight w:val="none"/>
          <w:lang w:val="zh-CN"/>
        </w:rPr>
        <w:t xml:space="preserve">如无特别说明，</w:t>
      </w:r>
      <w:r>
        <w:rPr>
          <w:rFonts w:hint="eastAsia" w:ascii="宋体" w:hAnsi="宋体"/>
          <w:bCs/>
          <w:color w:val="auto"/>
          <w:sz w:val="24"/>
          <w:szCs w:val="24"/>
          <w:highlight w:val="none"/>
        </w:rPr>
        <w:t xml:space="preserve">投标人报价一律以人民币为投标结算货币，结算单位为“元”。</w:t>
      </w:r>
      <w:r/>
    </w:p>
    <w:p>
      <w:pPr>
        <w:numPr>
          <w:ilvl w:val="0"/>
          <w:numId w:val="6"/>
        </w:numPr>
        <w:ind w:left="0" w:firstLine="523"/>
        <w:spacing w:line="360" w:lineRule="auto"/>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投标费用自理。</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（八）网上投标</w:t>
      </w:r>
      <w:r/>
    </w:p>
    <w:p>
      <w:pPr>
        <w:numPr>
          <w:ilvl w:val="0"/>
          <w:numId w:val="7"/>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投标供应商应由其法定代表人或法定代表人授权代表在规定的网上投标时间内，凭CA数字证书</w:t>
      </w:r>
      <w:r>
        <w:rPr>
          <w:rFonts w:hint="eastAsia" w:ascii="宋体" w:hAnsi="宋体"/>
          <w:bCs/>
          <w:color w:val="auto"/>
          <w:sz w:val="24"/>
          <w:szCs w:val="24"/>
          <w:highlight w:val="none"/>
          <w:lang w:eastAsia="zh-CN"/>
        </w:rPr>
        <w:t xml:space="preserve">登录</w:t>
      </w:r>
      <w:r>
        <w:rPr>
          <w:rFonts w:hint="eastAsia" w:ascii="宋体" w:hAnsi="宋体"/>
          <w:bCs/>
          <w:color w:val="auto"/>
          <w:sz w:val="24"/>
          <w:szCs w:val="24"/>
          <w:highlight w:val="none"/>
        </w:rPr>
        <w:t xml:space="preserve">苏采云平台获取招标文件，在投标客户端制作投标文件（电子数据），并在投标截止时间之前上传投标文件。</w:t>
      </w:r>
      <w:r/>
    </w:p>
    <w:p>
      <w:pPr>
        <w:numPr>
          <w:ilvl w:val="0"/>
          <w:numId w:val="7"/>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投标供应商应对CA数字证书妥善保管，如被他人盗用投标，后果自负。</w:t>
      </w:r>
      <w:r/>
    </w:p>
    <w:p>
      <w:pPr>
        <w:numPr>
          <w:ilvl w:val="0"/>
          <w:numId w:val="7"/>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投标供应商按招标文件规定的网上解密时间进行解密，如未按时解密后果自负。</w:t>
      </w:r>
      <w:r/>
    </w:p>
    <w:p>
      <w:pPr>
        <w:numPr>
          <w:ilvl w:val="0"/>
          <w:numId w:val="7"/>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投标供应商应当对招标文件提出的要求和条件作出实质性响应，并在电子投标系统逐条应答。</w:t>
      </w:r>
      <w:r/>
    </w:p>
    <w:p>
      <w:pPr>
        <w:numPr>
          <w:ilvl w:val="0"/>
          <w:numId w:val="7"/>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投标供应商应对要求提供的资格证明文件（如资质证书、资格证书）、技术资料（如白皮书、彩页、手册、检测报告等）扫描上传至投标系统。</w:t>
      </w:r>
      <w:r/>
    </w:p>
    <w:p>
      <w:pPr>
        <w:numPr>
          <w:ilvl w:val="0"/>
          <w:numId w:val="7"/>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投标供应商进行网上投标请参照《政府采购项目电子交易管理操作指南－供应商》。</w:t>
      </w:r>
      <w:r/>
    </w:p>
    <w:p>
      <w:pPr>
        <w:numPr>
          <w:ilvl w:val="0"/>
          <w:numId w:val="7"/>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因投标供应商原因造成投标文件未解密的，视为撤销其投标文件，部分投标文件未解密的，其他投标文件的开标可以继续进行。</w:t>
      </w:r>
      <w:r/>
    </w:p>
    <w:p>
      <w:pPr>
        <w:numPr>
          <w:ilvl w:val="0"/>
          <w:numId w:val="7"/>
        </w:numPr>
        <w:ind w:left="1" w:firstLine="523"/>
        <w:spacing w:line="360" w:lineRule="auto"/>
        <w:tabs>
          <w:tab w:val="left" w:pos="525" w:leader="none"/>
          <w:tab w:val="left" w:pos="945" w:leader="none"/>
        </w:tabs>
        <w:rPr>
          <w:rFonts w:ascii="宋体" w:hAnsi="宋体"/>
          <w:b/>
          <w:color w:val="auto"/>
          <w:sz w:val="24"/>
          <w:szCs w:val="24"/>
          <w:highlight w:val="none"/>
        </w:rPr>
      </w:pPr>
      <w:r>
        <w:rPr>
          <w:rFonts w:hint="eastAsia" w:ascii="宋体" w:hAnsi="宋体"/>
          <w:b/>
          <w:color w:val="auto"/>
          <w:sz w:val="24"/>
          <w:szCs w:val="24"/>
          <w:highlight w:val="none"/>
        </w:rPr>
        <w:t xml:space="preserve">请投标人实时关注评标过程，一旦发现有询标函，请按时回复。请投标人密切关注评标过程，因投标人未尽注意义务，而造成的损失及风险（包括但不限于未中标）由投标人自行承担。</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（九）无效投标文件的确认：</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宋体" w:hAnsi="宋体"/>
          <w:bCs/>
          <w:color w:val="auto"/>
          <w:sz w:val="24"/>
          <w:szCs w:val="24"/>
          <w:highlight w:val="none"/>
        </w:rPr>
        <w:t xml:space="preserve">投标人有下列情况之一者，投标文件无效：</w:t>
      </w:r>
      <w:r/>
    </w:p>
    <w:p>
      <w:pPr>
        <w:numPr>
          <w:ilvl w:val="0"/>
          <w:numId w:val="8"/>
        </w:numPr>
        <w:spacing w:line="360" w:lineRule="auto"/>
        <w:tabs>
          <w:tab w:val="left" w:pos="945" w:leader="none"/>
        </w:tabs>
        <w:rPr>
          <w:rFonts w:ascii="宋体"/>
          <w:bCs/>
          <w:color w:val="auto"/>
          <w:sz w:val="24"/>
          <w:szCs w:val="24"/>
          <w:highlight w:val="none"/>
        </w:rPr>
      </w:pPr>
      <w:r>
        <w:rPr>
          <w:rFonts w:hint="eastAsia" w:ascii="宋体" w:hAnsi="宋体"/>
          <w:color w:val="auto"/>
          <w:sz w:val="24"/>
          <w:szCs w:val="24"/>
          <w:highlight w:val="none"/>
        </w:rPr>
        <w:t xml:space="preserve">未按规定在江苏省政府采购（苏采云）平台注册的；</w:t>
      </w:r>
      <w:r/>
    </w:p>
    <w:p>
      <w:pPr>
        <w:numPr>
          <w:ilvl w:val="0"/>
          <w:numId w:val="8"/>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电子投标文件未按规定期限投标的，纸质投标文件（如有）未按规定的期限、地点送达的；</w:t>
      </w:r>
      <w:r/>
    </w:p>
    <w:p>
      <w:pPr>
        <w:numPr>
          <w:ilvl w:val="0"/>
          <w:numId w:val="8"/>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电子投标文件未按招标文件要求签章的；</w:t>
      </w:r>
      <w:r/>
    </w:p>
    <w:p>
      <w:pPr>
        <w:numPr>
          <w:ilvl w:val="0"/>
          <w:numId w:val="8"/>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投标人未按招标文件要求解密电子投标文件的；</w:t>
      </w:r>
      <w:r/>
    </w:p>
    <w:p>
      <w:pPr>
        <w:numPr>
          <w:ilvl w:val="0"/>
          <w:numId w:val="8"/>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投标人的法定代表人授权代表，无法定代表人授权委托书的；</w:t>
      </w:r>
      <w:r/>
    </w:p>
    <w:p>
      <w:pPr>
        <w:numPr>
          <w:ilvl w:val="0"/>
          <w:numId w:val="8"/>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不具备招标文件中规定的资格要求或未按招标文件规定的要求提供资格、资信证明文件的；</w:t>
      </w:r>
      <w:r/>
    </w:p>
    <w:p>
      <w:pPr>
        <w:numPr>
          <w:ilvl w:val="0"/>
          <w:numId w:val="8"/>
        </w:numPr>
        <w:ind w:left="1" w:firstLine="523"/>
        <w:spacing w:line="360" w:lineRule="auto"/>
        <w:tabs>
          <w:tab w:val="left" w:pos="945" w:leader="none"/>
        </w:tabs>
        <w:rPr>
          <w:rFonts w:ascii="宋体"/>
          <w:bCs/>
          <w:color w:val="auto"/>
          <w:sz w:val="24"/>
          <w:szCs w:val="24"/>
          <w:highlight w:val="none"/>
        </w:rPr>
      </w:pPr>
      <w:r>
        <w:rPr>
          <w:rFonts w:hint="eastAsia" w:ascii="宋体" w:hAnsi="宋体"/>
          <w:color w:val="auto"/>
          <w:sz w:val="24"/>
          <w:szCs w:val="24"/>
          <w:highlight w:val="none"/>
        </w:rPr>
        <w:t xml:space="preserve">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）、中国政府采购网（www.ccgp.gov.cn）列入失信被执行人、重大税收违法案件当事人名单、政府采购严重违法失信行为记录名单的；</w:t>
      </w:r>
      <w:r/>
    </w:p>
    <w:p>
      <w:pPr>
        <w:numPr>
          <w:ilvl w:val="0"/>
          <w:numId w:val="8"/>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投标文件未按招标文件规定的内容和要求填写的；没有在投标系统指定位置上传对应文件、材料的；</w:t>
      </w:r>
      <w:r/>
    </w:p>
    <w:p>
      <w:pPr>
        <w:numPr>
          <w:ilvl w:val="0"/>
          <w:numId w:val="8"/>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电子投标文件图片、字迹模糊不清、无法辨认的；</w:t>
      </w:r>
      <w:r/>
    </w:p>
    <w:p>
      <w:pPr>
        <w:numPr>
          <w:ilvl w:val="0"/>
          <w:numId w:val="8"/>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投标文件中有招标文件未允许提供的选择性内容；</w:t>
      </w:r>
      <w:r/>
    </w:p>
    <w:p>
      <w:pPr>
        <w:numPr>
          <w:ilvl w:val="0"/>
          <w:numId w:val="8"/>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不同投标人委托同一单位或者个人办理投标事宜的；</w:t>
      </w:r>
      <w:r/>
    </w:p>
    <w:p>
      <w:pPr>
        <w:numPr>
          <w:ilvl w:val="0"/>
          <w:numId w:val="8"/>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不同投标人的单位负责人为同一人或者存在直接控股、管理关系的；</w:t>
      </w:r>
      <w:r/>
    </w:p>
    <w:p>
      <w:pPr>
        <w:numPr>
          <w:ilvl w:val="0"/>
          <w:numId w:val="8"/>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不同投标人的投标文件的上传形式、目录序号、排版格式、文字风格等存在明显的相似性或一致性，特征显示由同一单位或者同一个人编制的，</w:t>
      </w:r>
      <w:r>
        <w:rPr>
          <w:rFonts w:hint="eastAsia" w:ascii="宋体" w:hAnsi="宋体"/>
          <w:b/>
          <w:bCs w:val="0"/>
          <w:color w:val="auto"/>
          <w:sz w:val="24"/>
          <w:szCs w:val="24"/>
          <w:highlight w:val="none"/>
        </w:rPr>
        <w:t xml:space="preserve">投标文件中的技术方案部分页数超过250页的</w:t>
      </w:r>
      <w:r>
        <w:rPr>
          <w:rFonts w:hint="eastAsia" w:ascii="宋体" w:hAnsi="宋体"/>
          <w:bCs/>
          <w:color w:val="auto"/>
          <w:sz w:val="24"/>
          <w:szCs w:val="24"/>
          <w:highlight w:val="none"/>
        </w:rPr>
        <w:t xml:space="preserve">；</w:t>
      </w:r>
      <w:r/>
    </w:p>
    <w:p>
      <w:pPr>
        <w:numPr>
          <w:ilvl w:val="0"/>
          <w:numId w:val="8"/>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numPr>
          <w:ilvl w:val="0"/>
          <w:numId w:val="8"/>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p>
    <w:p>
      <w:pPr>
        <w:numPr>
          <w:ilvl w:val="0"/>
          <w:numId w:val="8"/>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项目（标段）投标总价超过本项目（标段）预算或最高限价的；</w:t>
      </w:r>
      <w:r/>
    </w:p>
    <w:p>
      <w:pPr>
        <w:numPr>
          <w:ilvl w:val="0"/>
          <w:numId w:val="8"/>
        </w:numPr>
        <w:ind w:left="1"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提供虚假材料的（包括工商营业执照、财务报表、资格证明文件等）；</w:t>
      </w:r>
      <w:r/>
    </w:p>
    <w:p>
      <w:pPr>
        <w:numPr>
          <w:ilvl w:val="0"/>
          <w:numId w:val="8"/>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投标文件含有采购人不能接受的附加条件的；</w:t>
      </w:r>
      <w:r/>
    </w:p>
    <w:p>
      <w:pPr>
        <w:numPr>
          <w:ilvl w:val="0"/>
          <w:numId w:val="8"/>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根据《财政部关于推动解决政府采购异常低价问题的通知》（财库〔2026〕2号）要求，政府采购评审中出现下列情形之一的，评审委员会应当启动异常低价投标（响应）审查程序：</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（1）投标（响应）报价低于全部通过符合性审查供应商投标（响应）报价平均值50%的，即投标（响应）报价＜全部通过符合性审查供应商投标（响应）报价平均值×50%；</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（2）投标（响应）报价低于通过符合性审查的次低报价供应商投标（响应）报价50%的，即投标（响应）报价＜通过符合性审查的次低报价供应商投标（响应）报价×50%；</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（3）投标（响应）报价低于采购项目最高限价45%的，即投标（响应）报价＜采购项目最高限价×45%；</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（4）评审委员会基于专业判断，认为供应商报价过低，有可能影响产品质量或者不能诚信履约的其他情形。</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采购人可以结合具体项目实际情况，提高上述第1项至第3项中启动异常低价投标（响应）审查的数值标准，但是最高不得超过65%。</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相关法律法规对供应商报价有规定的，从其规定。</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如果项目或采购包存在有分项价格最高限价要求或单价最高限价（最高限制单价）要求时，有上述情形的，应当启动异常低价投标（响应）审查程序。</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tabs>
          <w:tab w:val="left" w:pos="945" w:leader="none"/>
        </w:tabs>
        <w:rPr>
          <w:rFonts w:ascii="宋体" w:hAnsi="宋体"/>
          <w:bCs/>
          <w:color w:val="auto"/>
          <w:sz w:val="24"/>
          <w:szCs w:val="24"/>
          <w:highlight w:val="none"/>
        </w:rPr>
      </w:pPr>
      <w:r>
        <w:rPr>
          <w:rFonts w:hint="eastAsia"/>
          <w:color w:val="auto"/>
          <w:sz w:val="24"/>
          <w:szCs w:val="24"/>
          <w:highlight w:val="none"/>
        </w:rPr>
        <w:t xml:space="preserve">财政部门在投诉处理、监督检查中发现评审委员会未按规定对异常低价开展审查的，依法予以纠正并追究评审专家的法律责任。</w:t>
      </w:r>
      <w:r/>
    </w:p>
    <w:p>
      <w:pPr>
        <w:numPr>
          <w:ilvl w:val="0"/>
          <w:numId w:val="8"/>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highlight w:val="none"/>
        </w:rPr>
        <w:t xml:space="preserve">投标系统中不同投标人的MAC地址或标书制作工具客户端标识码一致的，其投标无效。IP地址一致的，评标委员会应要求投标供应商进行澄清说明，投标供应商如未按规定</w:t>
      </w:r>
      <w:bookmarkStart w:id="21" w:name="_GoBack"/>
      <w:r>
        <w:rPr>
          <w:rFonts w:hint="eastAsia" w:ascii="宋体" w:hAnsi="宋体"/>
          <w:bCs/>
          <w:color w:val="auto"/>
          <w:sz w:val="24"/>
          <w:highlight w:val="none"/>
        </w:rPr>
        <w:t xml:space="preserve">做出</w:t>
      </w:r>
      <w:bookmarkEnd w:id="21"/>
      <w:r>
        <w:rPr>
          <w:rFonts w:hint="eastAsia" w:ascii="宋体" w:hAnsi="宋体"/>
          <w:bCs/>
          <w:color w:val="auto"/>
          <w:sz w:val="24"/>
          <w:highlight w:val="none"/>
        </w:rPr>
        <w:t xml:space="preserve">澄清、说明和补正的，其投标无效（按规定做出澄清、说明和补正且经评标委员会一致认为不构成“视为投标人相互串通投标情形”的除外）。</w:t>
      </w:r>
      <w:r/>
    </w:p>
    <w:p>
      <w:pPr>
        <w:numPr>
          <w:ilvl w:val="0"/>
          <w:numId w:val="8"/>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numPr>
          <w:ilvl w:val="0"/>
          <w:numId w:val="8"/>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投标文件内容不全或不符合招标文件中规定的其他实质性要求的；</w:t>
      </w:r>
      <w:r/>
    </w:p>
    <w:p>
      <w:pPr>
        <w:numPr>
          <w:ilvl w:val="0"/>
          <w:numId w:val="8"/>
        </w:numPr>
        <w:ind w:left="1"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法律法规和招标文件规定的其他无效情形。</w:t>
      </w:r>
      <w:r/>
    </w:p>
    <w:p>
      <w:pPr>
        <w:pStyle w:val="1013"/>
        <w:numPr>
          <w:ilvl w:val="0"/>
          <w:numId w:val="9"/>
        </w:numPr>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开标、评标：</w:t>
      </w:r>
      <w:r/>
    </w:p>
    <w:p>
      <w:pPr>
        <w:ind w:left="524"/>
        <w:spacing w:line="360" w:lineRule="auto"/>
        <w:tabs>
          <w:tab w:val="left" w:pos="510" w:leader="none"/>
          <w:tab w:val="left" w:pos="945" w:leader="none"/>
          <w:tab w:val="left" w:pos="1290" w:leader="none"/>
        </w:tabs>
        <w:rPr>
          <w:rFonts w:asci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所有投标单位在招标文件规定的时间内解密各自投标文件；</w:t>
      </w:r>
      <w:r/>
    </w:p>
    <w:p>
      <w:pPr>
        <w:ind w:left="524"/>
        <w:spacing w:line="360" w:lineRule="auto"/>
        <w:tabs>
          <w:tab w:val="left" w:pos="510" w:leader="none"/>
          <w:tab w:val="left" w:pos="945" w:leader="none"/>
          <w:tab w:val="left" w:pos="1290"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投标截止时间后参加投标的供应商或解密投标文件的供应商不足三家的，不开标；开标后，所有投标供应商可在线上开标大厅中看到所有投标人的投标报价；</w:t>
      </w:r>
      <w:r/>
    </w:p>
    <w:p>
      <w:pPr>
        <w:ind w:left="524"/>
        <w:spacing w:line="360" w:lineRule="auto"/>
        <w:tabs>
          <w:tab w:val="left" w:pos="510" w:leader="none"/>
          <w:tab w:val="left" w:pos="945" w:leader="none"/>
          <w:tab w:val="left" w:pos="1290" w:leader="none"/>
        </w:tabs>
        <w:rPr>
          <w:rFonts w:asci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开标时，投标文件</w:t>
      </w:r>
      <w:r>
        <w:rPr>
          <w:rFonts w:ascii="宋体" w:hAnsi="宋体"/>
          <w:bCs/>
          <w:color w:val="auto"/>
          <w:sz w:val="24"/>
          <w:szCs w:val="24"/>
          <w:highlight w:val="none"/>
        </w:rPr>
        <w:t xml:space="preserve">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大写金额和小写金额不一致的，以大写金额为准；</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总价金额与按单价汇总金额不一致的，以单价金额计算结果为准。</w:t>
      </w:r>
      <w:r/>
    </w:p>
    <w:p>
      <w:pPr>
        <w:ind w:firstLine="480"/>
        <w:spacing w:line="360" w:lineRule="auto"/>
        <w:tabs>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同时出现两种以上不一致的，按照前款规定的顺序修正。修正后的报价</w:t>
      </w:r>
      <w:r>
        <w:rPr>
          <w:rFonts w:hint="eastAsia" w:ascii="宋体" w:hAnsi="宋体"/>
          <w:bCs/>
          <w:color w:val="auto"/>
          <w:sz w:val="24"/>
          <w:szCs w:val="24"/>
          <w:highlight w:val="none"/>
        </w:rPr>
        <w:t xml:space="preserve">评标委员会</w:t>
      </w:r>
      <w:r>
        <w:rPr>
          <w:rFonts w:ascii="宋体" w:hAnsi="宋体"/>
          <w:bCs/>
          <w:color w:val="auto"/>
          <w:sz w:val="24"/>
          <w:szCs w:val="24"/>
          <w:highlight w:val="none"/>
        </w:rPr>
        <w:t xml:space="preserve">应当以书面形式要求</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人作出必要的澄清、说明或者补正</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经投标人确认后产生约束力，投标人不确认的，其投标无效</w:t>
      </w:r>
      <w:r>
        <w:rPr>
          <w:rFonts w:hint="eastAsia" w:ascii="宋体" w:hAnsi="宋体"/>
          <w:bCs/>
          <w:color w:val="auto"/>
          <w:sz w:val="24"/>
          <w:szCs w:val="24"/>
          <w:highlight w:val="none"/>
        </w:rPr>
        <w:t xml:space="preserve">。</w:t>
      </w:r>
      <w:r/>
    </w:p>
    <w:p>
      <w:pPr>
        <w:ind w:left="524"/>
        <w:spacing w:line="360" w:lineRule="auto"/>
        <w:tabs>
          <w:tab w:val="left" w:pos="510" w:leader="none"/>
          <w:tab w:val="left" w:pos="945" w:leader="none"/>
          <w:tab w:val="left" w:pos="1290"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电子投标文件与纸质投标文件（如有）不符的，以电子投标文件为准。</w:t>
      </w:r>
      <w:r/>
    </w:p>
    <w:p>
      <w:pPr>
        <w:ind w:left="524"/>
        <w:spacing w:line="360" w:lineRule="auto"/>
        <w:tabs>
          <w:tab w:val="left" w:pos="510" w:leader="none"/>
          <w:tab w:val="left" w:pos="945" w:leader="none"/>
          <w:tab w:val="left" w:pos="1290" w:leader="none"/>
        </w:tabs>
        <w:rPr>
          <w:rFonts w:ascii="宋体" w:hAnsi="宋体"/>
          <w:bCs/>
          <w:color w:val="auto"/>
          <w:sz w:val="24"/>
          <w:szCs w:val="24"/>
          <w:highlight w:val="none"/>
        </w:rPr>
      </w:pP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投标人未参加开标的，视同认可开标结果。</w:t>
      </w:r>
      <w:r/>
    </w:p>
    <w:p>
      <w:pPr>
        <w:ind w:left="524"/>
        <w:spacing w:line="360" w:lineRule="auto"/>
        <w:tabs>
          <w:tab w:val="left" w:pos="510" w:leader="none"/>
          <w:tab w:val="left" w:pos="945" w:leader="none"/>
          <w:tab w:val="left" w:pos="1290" w:leader="none"/>
        </w:tabs>
        <w:rPr>
          <w:rFonts w:ascii="宋体"/>
          <w:bCs/>
          <w:color w:val="auto"/>
          <w:sz w:val="24"/>
          <w:szCs w:val="24"/>
          <w:highlight w:val="none"/>
        </w:rPr>
      </w:pP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评标程序</w:t>
      </w:r>
      <w:r/>
    </w:p>
    <w:p>
      <w:pPr>
        <w:ind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评标工作由北京中昌工程咨询有限公司负责组织，具体评标事务由依法组建的评标委员会负责。</w:t>
      </w:r>
      <w:r/>
    </w:p>
    <w:p>
      <w:pPr>
        <w:numPr>
          <w:ilvl w:val="0"/>
          <w:numId w:val="10"/>
        </w:numPr>
        <w:ind w:left="0" w:firstLine="523"/>
        <w:spacing w:line="360" w:lineRule="auto"/>
        <w:tabs>
          <w:tab w:val="left" w:pos="630" w:leader="none"/>
          <w:tab w:val="left" w:pos="945" w:leader="none"/>
          <w:tab w:val="left" w:pos="115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投标文件初审。初审分为资格性检查和符合性检查。</w:t>
      </w:r>
      <w:r/>
    </w:p>
    <w:p>
      <w:pPr>
        <w:numPr>
          <w:ilvl w:val="0"/>
          <w:numId w:val="11"/>
        </w:numPr>
        <w:ind w:left="0" w:firstLine="523"/>
        <w:spacing w:line="360" w:lineRule="auto"/>
        <w:tabs>
          <w:tab w:val="left" w:pos="525" w:leader="none"/>
          <w:tab w:val="left" w:pos="630" w:leader="none"/>
          <w:tab w:val="left" w:pos="945" w:leader="none"/>
          <w:tab w:val="left" w:pos="136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资格性检查。采购人或代理机构依据法律法规和招标文件的规定，对投标文件中的资格证明、投标（报价）承诺函等进行审查；通过“信用中国”网站（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szCs w:val="24"/>
          <w:highlight w:val="none"/>
        </w:rPr>
        <w:t xml:space="preserve">以确定投标供应商是否具备投标资格。信用</w:t>
      </w:r>
      <w:r>
        <w:rPr>
          <w:rFonts w:hint="eastAsia" w:ascii="宋体" w:hAnsi="宋体" w:cs="宋体"/>
          <w:color w:val="auto"/>
          <w:sz w:val="24"/>
          <w:szCs w:val="24"/>
          <w:highlight w:val="none"/>
        </w:rPr>
        <w:t xml:space="preserve">查询结果以网页打印的形式留存并归档。</w:t>
      </w:r>
      <w:r/>
    </w:p>
    <w:p>
      <w:pPr>
        <w:numPr>
          <w:ilvl w:val="0"/>
          <w:numId w:val="11"/>
        </w:numPr>
        <w:ind w:left="0" w:firstLine="523"/>
        <w:spacing w:line="360" w:lineRule="auto"/>
        <w:tabs>
          <w:tab w:val="left" w:pos="525" w:leader="none"/>
          <w:tab w:val="left" w:pos="630" w:leader="none"/>
          <w:tab w:val="left" w:pos="945" w:leader="none"/>
          <w:tab w:val="left" w:pos="136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numPr>
          <w:ilvl w:val="0"/>
          <w:numId w:val="10"/>
        </w:numPr>
        <w:ind w:left="0" w:firstLine="523"/>
        <w:spacing w:line="360" w:lineRule="auto"/>
        <w:tabs>
          <w:tab w:val="left" w:pos="525" w:leader="none"/>
          <w:tab w:val="left" w:pos="945" w:leader="none"/>
          <w:tab w:val="left" w:pos="1155" w:leader="none"/>
        </w:tabs>
        <w:rPr>
          <w:rFonts w:ascii="宋体" w:hAnsi="宋体"/>
          <w:bCs/>
          <w:color w:val="auto"/>
          <w:sz w:val="24"/>
          <w:szCs w:val="24"/>
          <w:highlight w:val="none"/>
        </w:rPr>
      </w:pPr>
      <w:r>
        <w:rPr>
          <w:rFonts w:hint="eastAsia" w:ascii="宋体" w:hAnsi="宋体" w:cs="宋体"/>
          <w:bCs/>
          <w:color w:val="auto"/>
          <w:sz w:val="24"/>
          <w:szCs w:val="24"/>
          <w:highlight w:val="none"/>
        </w:rPr>
        <w:t xml:space="preserve">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w:t>
      </w:r>
      <w:r>
        <w:rPr>
          <w:rFonts w:ascii="宋体" w:hAnsi="宋体"/>
          <w:bCs/>
          <w:color w:val="auto"/>
          <w:sz w:val="24"/>
          <w:szCs w:val="24"/>
          <w:highlight w:val="none"/>
        </w:rPr>
        <w:t xml:space="preserve">者补正应当</w:t>
      </w:r>
      <w:r>
        <w:rPr>
          <w:rFonts w:hint="eastAsia" w:ascii="宋体" w:hAnsi="宋体"/>
          <w:bCs/>
          <w:color w:val="auto"/>
          <w:sz w:val="24"/>
          <w:szCs w:val="24"/>
          <w:highlight w:val="none"/>
        </w:rPr>
        <w:t xml:space="preserve">通过政府采购交易管理一体化系统</w:t>
      </w:r>
      <w:r>
        <w:rPr>
          <w:rFonts w:ascii="宋体" w:hAnsi="宋体"/>
          <w:bCs/>
          <w:color w:val="auto"/>
          <w:sz w:val="24"/>
          <w:szCs w:val="24"/>
          <w:highlight w:val="none"/>
        </w:rPr>
        <w:t xml:space="preserve">，由其授权的代表</w:t>
      </w:r>
      <w:r>
        <w:rPr>
          <w:rFonts w:hint="eastAsia" w:ascii="宋体" w:hAnsi="宋体"/>
          <w:bCs/>
          <w:color w:val="auto"/>
          <w:sz w:val="24"/>
          <w:szCs w:val="24"/>
          <w:highlight w:val="none"/>
        </w:rPr>
        <w:t xml:space="preserve">应答并加盖电子公章，且不得超出投标文件的范围或者改变投标文件的实质性内容。</w:t>
      </w:r>
      <w:r/>
    </w:p>
    <w:p>
      <w:pPr>
        <w:numPr>
          <w:ilvl w:val="0"/>
          <w:numId w:val="10"/>
        </w:numPr>
        <w:ind w:left="0" w:firstLine="523"/>
        <w:spacing w:line="360" w:lineRule="auto"/>
        <w:tabs>
          <w:tab w:val="left" w:pos="945" w:leader="none"/>
          <w:tab w:val="left" w:pos="1155" w:leader="none"/>
          <w:tab w:val="left" w:pos="1365" w:leader="none"/>
        </w:tabs>
        <w:rPr>
          <w:rFonts w:ascii="宋体"/>
          <w:bCs/>
          <w:color w:val="auto"/>
          <w:sz w:val="24"/>
          <w:szCs w:val="24"/>
          <w:highlight w:val="none"/>
        </w:rPr>
      </w:pPr>
      <w:r>
        <w:rPr>
          <w:rFonts w:hint="eastAsia" w:ascii="宋体" w:hAnsi="宋体"/>
          <w:bCs/>
          <w:color w:val="auto"/>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bCs/>
          <w:color w:val="auto"/>
          <w:sz w:val="24"/>
          <w:szCs w:val="24"/>
          <w:highlight w:val="none"/>
        </w:rPr>
        <w:t xml:space="preserve">。</w:t>
      </w:r>
      <w:r/>
    </w:p>
    <w:p>
      <w:pPr>
        <w:ind w:left="524"/>
        <w:spacing w:line="360" w:lineRule="auto"/>
        <w:tabs>
          <w:tab w:val="left" w:pos="510" w:leader="none"/>
          <w:tab w:val="left" w:pos="945" w:leader="none"/>
          <w:tab w:val="left" w:pos="1290" w:leader="none"/>
        </w:tabs>
        <w:rPr>
          <w:rFonts w:ascii="宋体"/>
          <w:bCs/>
          <w:color w:val="auto"/>
          <w:sz w:val="24"/>
          <w:szCs w:val="24"/>
          <w:highlight w:val="none"/>
        </w:rPr>
      </w:pP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评标方法</w:t>
      </w:r>
      <w:r/>
    </w:p>
    <w:p>
      <w:pPr>
        <w:ind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投标人通过初审的，方可进入</w:t>
      </w:r>
      <w:r>
        <w:rPr>
          <w:rFonts w:hint="eastAsia" w:ascii="宋体" w:hAnsi="宋体"/>
          <w:bCs/>
          <w:color w:val="auto"/>
          <w:sz w:val="24"/>
          <w:highlight w:val="none"/>
        </w:rPr>
        <w:t xml:space="preserve">比较与评价程序</w:t>
      </w:r>
      <w:r>
        <w:rPr>
          <w:rFonts w:hint="eastAsia" w:ascii="宋体" w:hAnsi="宋体"/>
          <w:bCs/>
          <w:color w:val="auto"/>
          <w:sz w:val="24"/>
          <w:szCs w:val="24"/>
          <w:highlight w:val="none"/>
        </w:rPr>
        <w:t xml:space="preserve">。</w:t>
      </w:r>
      <w:r/>
    </w:p>
    <w:p>
      <w:pPr>
        <w:ind w:firstLine="523"/>
        <w:spacing w:line="360" w:lineRule="auto"/>
        <w:tabs>
          <w:tab w:val="left" w:pos="945" w:leader="none"/>
        </w:tabs>
        <w:rPr>
          <w:rFonts w:ascii="宋体"/>
          <w:bCs/>
          <w:color w:val="auto"/>
          <w:sz w:val="24"/>
          <w:szCs w:val="24"/>
          <w:highlight w:val="none"/>
        </w:rPr>
      </w:pPr>
      <w:r>
        <w:rPr>
          <w:rFonts w:hint="eastAsia" w:ascii="宋体" w:hAnsi="宋体"/>
          <w:bCs/>
          <w:color w:val="auto"/>
          <w:sz w:val="24"/>
          <w:highlight w:val="none"/>
        </w:rPr>
        <w:t xml:space="preserve">比较与评价</w:t>
      </w:r>
      <w:r>
        <w:rPr>
          <w:rFonts w:hint="eastAsia" w:ascii="宋体" w:hAnsi="宋体"/>
          <w:bCs/>
          <w:color w:val="auto"/>
          <w:sz w:val="24"/>
          <w:szCs w:val="24"/>
          <w:highlight w:val="none"/>
        </w:rPr>
        <w:t xml:space="preserve">采用综合评分法。</w:t>
      </w:r>
      <w:r/>
    </w:p>
    <w:p>
      <w:pPr>
        <w:ind w:firstLine="523"/>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p>
    <w:p>
      <w:pPr>
        <w:ind w:left="524"/>
        <w:spacing w:line="360" w:lineRule="auto"/>
        <w:tabs>
          <w:tab w:val="left" w:pos="510" w:leader="none"/>
          <w:tab w:val="left" w:pos="945" w:leader="none"/>
          <w:tab w:val="left" w:pos="1290" w:leader="none"/>
        </w:tabs>
        <w:rPr>
          <w:rFonts w:ascii="宋体" w:hAnsi="宋体"/>
          <w:bCs/>
          <w:color w:val="auto"/>
          <w:sz w:val="24"/>
          <w:szCs w:val="24"/>
          <w:highlight w:val="none"/>
        </w:rPr>
      </w:pPr>
      <w:r>
        <w:rPr>
          <w:rFonts w:hint="eastAsia" w:ascii="宋体" w:hAnsi="宋体"/>
          <w:bCs/>
          <w:color w:val="auto"/>
          <w:sz w:val="24"/>
          <w:szCs w:val="24"/>
          <w:highlight w:val="none"/>
        </w:rPr>
        <w:t xml:space="preserve">8</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评分标准</w:t>
      </w:r>
      <w:r/>
    </w:p>
    <w:p>
      <w:pPr>
        <w:ind w:left="524"/>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详见附件。</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（十一）定标：</w:t>
      </w:r>
      <w:r/>
    </w:p>
    <w:p>
      <w:pPr>
        <w:ind w:firstLine="480"/>
        <w:spacing w:line="360" w:lineRule="auto"/>
        <w:tabs>
          <w:tab w:val="left" w:pos="525" w:leader="none"/>
          <w:tab w:val="left" w:pos="552"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评标委员会根据招标文件规定的评标方法和评标标准进行评审，按招标文件的要求依法确定中标供应商。北京中昌工程咨询有限公司将在江苏政府采购网发布中标公告。如有质疑，应在法定质疑期限内，即中标公告期限届满之日起7个工作日内，以书面形式（原件）送达北京中昌工程咨询有限公司，并且针对同一采购程序环节的质疑，须在法定质疑期内一次性提出。质疑函的质疑事项应具体、明确，并具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 xml:space="preserve">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北京中昌工程咨询有限公司将在收到符合上述要求的书面质疑后七个工作日内，对质疑内容作出答复。投标供应商在法定质疑期限外送达的质疑函或法定质疑期限内送达的质疑函不符合上述要求的均为无效质疑，北京中昌工程咨询有限公司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ind w:firstLine="480"/>
        <w:spacing w:line="360" w:lineRule="auto"/>
        <w:tabs>
          <w:tab w:val="left" w:pos="525" w:leader="none"/>
          <w:tab w:val="left" w:pos="552"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北京中昌工程咨询有限公司向中标供应商发出中标通知书。</w:t>
      </w:r>
      <w:r/>
    </w:p>
    <w:p>
      <w:pPr>
        <w:ind w:firstLine="480"/>
        <w:spacing w:line="360" w:lineRule="auto"/>
        <w:tabs>
          <w:tab w:val="left" w:pos="525" w:leader="none"/>
          <w:tab w:val="left" w:pos="552"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投标供应商电子投标文件将作为电子档案保存。</w:t>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（十二）废标的确认：</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p>
    <w:p>
      <w:pPr>
        <w:ind w:left="525"/>
        <w:spacing w:line="360" w:lineRule="auto"/>
        <w:tabs>
          <w:tab w:val="left" w:pos="525" w:leader="none"/>
          <w:tab w:val="left" w:pos="570"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符合专业条件的投标人或者对招标文件作出实质性响应的投标人不足三家；</w:t>
      </w:r>
      <w:r/>
    </w:p>
    <w:p>
      <w:pPr>
        <w:ind w:left="525"/>
        <w:spacing w:line="360" w:lineRule="auto"/>
        <w:tabs>
          <w:tab w:val="left" w:pos="525" w:leader="none"/>
          <w:tab w:val="left" w:pos="570"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出现影响采购公正的违法、违规行为；</w:t>
      </w:r>
      <w:r/>
    </w:p>
    <w:p>
      <w:pPr>
        <w:ind w:left="525"/>
        <w:spacing w:line="360" w:lineRule="auto"/>
        <w:tabs>
          <w:tab w:val="left" w:pos="525" w:leader="none"/>
          <w:tab w:val="left" w:pos="570"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投标人的报价均超过采购预算，采购人不能支付的；</w:t>
      </w:r>
      <w:r/>
    </w:p>
    <w:p>
      <w:pPr>
        <w:ind w:left="525"/>
        <w:spacing w:line="360" w:lineRule="auto"/>
        <w:tabs>
          <w:tab w:val="right" w:pos="180" w:leader="none"/>
          <w:tab w:val="left" w:pos="525" w:leader="none"/>
          <w:tab w:val="left" w:pos="570"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因重大变故，采购任务取消。</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（十三）中标无效的确认：</w:t>
      </w:r>
      <w:r/>
    </w:p>
    <w:p>
      <w:pPr>
        <w:numPr>
          <w:ilvl w:val="0"/>
          <w:numId w:val="12"/>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提供虚假材料谋取中标的；</w:t>
      </w:r>
      <w:r/>
    </w:p>
    <w:p>
      <w:pPr>
        <w:numPr>
          <w:ilvl w:val="0"/>
          <w:numId w:val="12"/>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采取不正当手段诋毁、排挤其他投标人的；</w:t>
      </w:r>
      <w:r/>
    </w:p>
    <w:p>
      <w:pPr>
        <w:numPr>
          <w:ilvl w:val="0"/>
          <w:numId w:val="12"/>
        </w:numPr>
        <w:ind w:left="0" w:firstLine="523"/>
        <w:spacing w:line="360" w:lineRule="auto"/>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与招标采购单位、其他投标人恶意串通的；</w:t>
      </w:r>
      <w:r/>
    </w:p>
    <w:p>
      <w:pPr>
        <w:numPr>
          <w:ilvl w:val="2"/>
          <w:numId w:val="13"/>
        </w:numPr>
        <w:ind w:left="0" w:firstLine="523"/>
        <w:spacing w:line="360" w:lineRule="auto"/>
        <w:tabs>
          <w:tab w:val="left" w:pos="420" w:leader="none"/>
          <w:tab w:val="left" w:pos="945" w:leader="none"/>
          <w:tab w:val="clear" w:pos="1140"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向招标采购单位行贿或者提供其他不正当利益的；</w:t>
      </w:r>
      <w:r/>
    </w:p>
    <w:p>
      <w:pPr>
        <w:numPr>
          <w:ilvl w:val="2"/>
          <w:numId w:val="13"/>
        </w:numPr>
        <w:ind w:left="0" w:firstLine="523"/>
        <w:spacing w:line="360" w:lineRule="auto"/>
        <w:tabs>
          <w:tab w:val="left" w:pos="420" w:leader="none"/>
          <w:tab w:val="left" w:pos="945" w:leader="none"/>
          <w:tab w:val="clear" w:pos="1140"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2"/>
          <w:numId w:val="13"/>
        </w:numPr>
        <w:ind w:left="0" w:firstLine="523"/>
        <w:spacing w:line="360" w:lineRule="auto"/>
        <w:tabs>
          <w:tab w:val="left" w:pos="420" w:leader="none"/>
          <w:tab w:val="left" w:pos="945" w:leader="none"/>
          <w:tab w:val="clear" w:pos="1140"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拒绝有关部门监督检查或者提供虚假情况的。</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）项情形之一的，中标无效。有上述（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（十四）签订</w:t>
      </w:r>
      <w:r>
        <w:rPr>
          <w:rFonts w:hint="eastAsia" w:ascii="黑体" w:hAnsi="宋体" w:eastAsia="黑体"/>
          <w:b/>
          <w:color w:val="auto"/>
          <w:sz w:val="24"/>
          <w:szCs w:val="24"/>
          <w:highlight w:val="none"/>
        </w:rPr>
        <w:t xml:space="preserve">、履行</w:t>
      </w:r>
      <w:r>
        <w:rPr>
          <w:rFonts w:hint="eastAsia" w:ascii="黑体" w:hAnsi="宋体" w:eastAsia="黑体"/>
          <w:bCs/>
          <w:color w:val="auto"/>
          <w:sz w:val="24"/>
          <w:szCs w:val="24"/>
          <w:highlight w:val="none"/>
        </w:rPr>
        <w:t xml:space="preserve">合同：</w:t>
      </w:r>
      <w:r/>
    </w:p>
    <w:p>
      <w:pPr>
        <w:ind w:firstLine="480"/>
        <w:spacing w:line="360" w:lineRule="auto"/>
        <w:tabs>
          <w:tab w:val="left" w:pos="525" w:leader="none"/>
          <w:tab w:val="left"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.采购人应当自中标通知书发出之日起三十日内，按照招标文件和中标供应商投标文件的约定，在</w:t>
      </w:r>
      <w:r>
        <w:rPr>
          <w:rFonts w:hint="eastAsia" w:ascii="宋体" w:hAnsi="宋体"/>
          <w:color w:val="auto"/>
          <w:sz w:val="24"/>
          <w:highlight w:val="none"/>
        </w:rPr>
        <w:t xml:space="preserve">北京中昌工程咨询有限公司</w:t>
      </w:r>
      <w:r>
        <w:rPr>
          <w:rFonts w:ascii="宋体" w:hAnsi="宋体"/>
          <w:bCs/>
          <w:color w:val="auto"/>
          <w:sz w:val="24"/>
          <w:szCs w:val="24"/>
          <w:highlight w:val="none"/>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highlight w:val="none"/>
        </w:rPr>
        <w:t xml:space="preserve">北京中昌工程咨询有限公司</w:t>
      </w:r>
      <w:r>
        <w:rPr>
          <w:rFonts w:ascii="宋体" w:hAnsi="宋体"/>
          <w:bCs/>
          <w:color w:val="auto"/>
          <w:sz w:val="24"/>
          <w:szCs w:val="24"/>
          <w:highlight w:val="none"/>
        </w:rPr>
        <w:t xml:space="preserve">见证部分详见招标文件合同书（格式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），见证后的格式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不得作任何修改。</w:t>
      </w:r>
      <w:r/>
    </w:p>
    <w:p>
      <w:pPr>
        <w:ind w:left="-105" w:firstLine="600"/>
        <w:spacing w:line="360" w:lineRule="auto"/>
        <w:tabs>
          <w:tab w:val="left" w:pos="525" w:leader="none"/>
          <w:tab w:val="left"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中标方非因不可抗力未履行招、投标文件和合同规定的义务，一经查实，</w:t>
      </w:r>
      <w:r>
        <w:rPr>
          <w:rFonts w:hint="eastAsia" w:ascii="宋体" w:hAnsi="宋体"/>
          <w:color w:val="auto"/>
          <w:sz w:val="24"/>
          <w:highlight w:val="none"/>
        </w:rPr>
        <w:t xml:space="preserve">北京中昌工程咨询有限公司</w:t>
      </w:r>
      <w:r>
        <w:rPr>
          <w:rFonts w:hint="eastAsia" w:ascii="宋体" w:hAnsi="宋体"/>
          <w:bCs/>
          <w:color w:val="auto"/>
          <w:sz w:val="24"/>
          <w:szCs w:val="24"/>
          <w:highlight w:val="none"/>
        </w:rPr>
        <w:t xml:space="preserve">将根据具体情况提请政府采购管理部门作出相应处理。</w:t>
      </w:r>
      <w:r/>
    </w:p>
    <w:p>
      <w:pPr>
        <w:ind w:firstLine="480"/>
        <w:spacing w:line="360" w:lineRule="auto"/>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（十五）注意事项：</w:t>
      </w:r>
      <w:r/>
    </w:p>
    <w:p>
      <w:pPr>
        <w:ind w:firstLine="480"/>
        <w:spacing w:line="360" w:lineRule="auto"/>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13"/>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中标后无正当理由不与采购人签订合同的；</w:t>
      </w:r>
      <w:r/>
    </w:p>
    <w:p>
      <w:pPr>
        <w:numPr>
          <w:ilvl w:val="3"/>
          <w:numId w:val="13"/>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将中标项目转让给他人，或者在投标文件中未说明，</w:t>
      </w:r>
      <w:r>
        <w:rPr>
          <w:rFonts w:hint="eastAsia" w:ascii="宋体" w:hAnsi="宋体"/>
          <w:bCs/>
          <w:color w:val="auto"/>
          <w:sz w:val="24"/>
          <w:szCs w:val="24"/>
          <w:highlight w:val="none"/>
        </w:rPr>
        <w:t xml:space="preserve">且未经过采购人同意，将中标项目分包给他人的</w:t>
      </w:r>
      <w:r>
        <w:rPr>
          <w:rFonts w:hint="eastAsia" w:ascii="宋体" w:hAnsi="宋体"/>
          <w:bCs/>
          <w:color w:val="auto"/>
          <w:sz w:val="24"/>
          <w:szCs w:val="24"/>
          <w:highlight w:val="none"/>
        </w:rPr>
        <w:t xml:space="preserve">；</w:t>
      </w:r>
      <w:r/>
    </w:p>
    <w:p>
      <w:pPr>
        <w:numPr>
          <w:ilvl w:val="3"/>
          <w:numId w:val="13"/>
        </w:numPr>
        <w:ind w:left="0" w:firstLine="523"/>
        <w:spacing w:line="360" w:lineRule="auto"/>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拒绝履行合同义务的。</w:t>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（十六）中标服务费：</w:t>
      </w:r>
      <w:r/>
    </w:p>
    <w:p>
      <w:pPr>
        <w:ind w:firstLine="480"/>
        <w:spacing w:line="360" w:lineRule="auto"/>
        <w:tabs>
          <w:tab w:val="left" w:pos="1140" w:leader="none"/>
        </w:tabs>
        <w:rPr>
          <w:rFonts w:ascii="宋体" w:hAnsi="宋体"/>
          <w:bCs/>
          <w:color w:val="auto"/>
          <w:sz w:val="24"/>
          <w:highlight w:val="none"/>
        </w:rPr>
      </w:pPr>
      <w:r>
        <w:rPr>
          <w:rFonts w:hint="eastAsia" w:ascii="宋体" w:hAnsi="宋体"/>
          <w:color w:val="auto"/>
          <w:sz w:val="24"/>
          <w:highlight w:val="none"/>
        </w:rPr>
        <w:t xml:space="preserve">1.本项目招标代理服务费以</w:t>
      </w:r>
      <w:r>
        <w:rPr>
          <w:rFonts w:hint="eastAsia" w:ascii="宋体" w:hAnsi="宋体"/>
          <w:color w:val="auto"/>
          <w:sz w:val="24"/>
          <w:highlight w:val="none"/>
          <w:shd w:val="clear" w:color="auto" w:fill="ffffff"/>
        </w:rPr>
        <w:t xml:space="preserve">各标段采购预算金额</w:t>
      </w:r>
      <w:r>
        <w:rPr>
          <w:rFonts w:hint="eastAsia" w:ascii="宋体" w:hAnsi="宋体"/>
          <w:color w:val="auto"/>
          <w:sz w:val="24"/>
          <w:highlight w:val="none"/>
        </w:rPr>
        <w:t xml:space="preserve">为计费基础，按差额定率累进法计算：</w:t>
      </w:r>
      <w:r>
        <w:rPr>
          <w:rFonts w:ascii="宋体" w:hAnsi="宋体"/>
          <w:color w:val="auto"/>
          <w:sz w:val="24"/>
          <w:highlight w:val="none"/>
        </w:rPr>
        <w:t xml:space="preserve">100万以下费率为1.</w:t>
      </w: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w:t>
      </w:r>
      <w:r>
        <w:rPr>
          <w:rFonts w:hint="eastAsia" w:ascii="宋体" w:hAnsi="宋体"/>
          <w:bCs/>
          <w:color w:val="auto"/>
          <w:sz w:val="24"/>
          <w:highlight w:val="none"/>
        </w:rPr>
        <w:t xml:space="preserve">在此基础上打七折计取。</w:t>
      </w:r>
      <w:r/>
    </w:p>
    <w:p>
      <w:pPr>
        <w:ind w:firstLine="480"/>
        <w:spacing w:line="360" w:lineRule="auto"/>
        <w:tabs>
          <w:tab w:val="left" w:pos="1140" w:leader="none"/>
        </w:tabs>
        <w:rPr>
          <w:rFonts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Cs/>
          <w:color w:val="auto"/>
          <w:sz w:val="24"/>
          <w:highlight w:val="none"/>
        </w:rPr>
        <w:t xml:space="preserve">招标代理服务费包含在本项目投标总报价中</w:t>
      </w:r>
      <w:r>
        <w:rPr>
          <w:rFonts w:hint="eastAsia" w:ascii="宋体" w:hAnsi="宋体"/>
          <w:bCs/>
          <w:color w:val="auto"/>
          <w:sz w:val="24"/>
          <w:highlight w:val="none"/>
        </w:rPr>
        <w:t xml:space="preserve">，领取中标通知书时由中标供应商向采购代理机构一次性付清。</w:t>
      </w:r>
      <w:r/>
    </w:p>
    <w:p>
      <w:pPr>
        <w:ind w:firstLine="480"/>
        <w:spacing w:line="360" w:lineRule="auto"/>
        <w:tabs>
          <w:tab w:val="left" w:pos="1140" w:leader="none"/>
        </w:tabs>
        <w:rPr>
          <w:rFonts w:ascii="宋体" w:hAnsi="宋体"/>
          <w:bCs/>
          <w:color w:val="auto"/>
          <w:sz w:val="24"/>
          <w:highlight w:val="none"/>
        </w:rPr>
      </w:pPr>
      <w:r>
        <w:rPr>
          <w:rFonts w:hint="eastAsia" w:ascii="宋体" w:hAnsi="宋体"/>
          <w:bCs/>
          <w:color w:val="auto"/>
          <w:sz w:val="24"/>
          <w:highlight w:val="none"/>
        </w:rPr>
        <w:t xml:space="preserve">3.中标供应商如果未按规定缴纳采购代理服务费，采购代理机构将保留诉讼的权利。</w:t>
      </w:r>
      <w:r/>
    </w:p>
    <w:p>
      <w:pPr>
        <w:ind w:firstLine="480"/>
        <w:spacing w:line="360" w:lineRule="auto"/>
        <w:tabs>
          <w:tab w:val="left" w:pos="1140" w:leader="none"/>
        </w:tabs>
        <w:rPr>
          <w:rFonts w:ascii="宋体" w:hAnsi="宋体"/>
          <w:bCs/>
          <w:color w:val="auto"/>
          <w:sz w:val="24"/>
          <w:highlight w:val="none"/>
        </w:rPr>
      </w:pPr>
      <w:r>
        <w:rPr>
          <w:rFonts w:hint="eastAsia" w:ascii="宋体" w:hAnsi="宋体"/>
          <w:bCs/>
          <w:color w:val="auto"/>
          <w:sz w:val="24"/>
          <w:highlight w:val="none"/>
        </w:rPr>
        <w:t xml:space="preserve">4.评审费由采购人支付。</w:t>
      </w:r>
      <w:r/>
    </w:p>
    <w:p>
      <w:pPr>
        <w:ind w:firstLine="480"/>
        <w:spacing w:line="360" w:lineRule="auto"/>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（十七）合同融资、履约担保</w:t>
      </w:r>
      <w:r/>
    </w:p>
    <w:p>
      <w:pPr>
        <w:ind w:firstLine="480"/>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1.中标、成交供应商可采用合同融资形式，中标人可凭政府采购合同办理融资贷款，详见无锡市政府采购网“政采贷”专栏。</w:t>
      </w:r>
      <w:r/>
    </w:p>
    <w:p>
      <w:pPr>
        <w:ind w:firstLine="480"/>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中标、成交供应商可以采用电子履约保函形式，具体操作可登录江苏政府采购网的保险保函模块进行办理，也可通过无锡市政府采购网、“苏采云”系统链接访问（首次使用需注册）。</w:t>
      </w:r>
      <w:r/>
    </w:p>
    <w:p>
      <w:pPr>
        <w:jc w:val="center"/>
        <w:spacing w:line="360" w:lineRule="auto"/>
        <w:tabs>
          <w:tab w:val="left" w:pos="630" w:leader="none"/>
          <w:tab w:val="left" w:pos="735" w:leader="none"/>
          <w:tab w:val="left" w:pos="945" w:leader="none"/>
        </w:tabs>
        <w:rPr>
          <w:rFonts w:ascii="黑体" w:eastAsia="黑体"/>
          <w:bCs/>
          <w:color w:val="auto"/>
          <w:sz w:val="30"/>
          <w:szCs w:val="30"/>
          <w:highlight w:val="none"/>
        </w:rPr>
        <w:outlineLvl w:val="0"/>
      </w:pPr>
      <w:r>
        <w:rPr>
          <w:rFonts w:hint="eastAsia" w:ascii="黑体" w:eastAsia="黑体"/>
          <w:bCs/>
          <w:color w:val="auto"/>
          <w:sz w:val="30"/>
          <w:szCs w:val="30"/>
          <w:highlight w:val="none"/>
        </w:rPr>
        <w:br w:type="page" w:clear="all"/>
      </w:r>
      <w:bookmarkStart w:id="6" w:name="_Toc2291"/>
      <w:r/>
      <w:bookmarkStart w:id="7" w:name="_Toc5672"/>
      <w:r>
        <w:rPr>
          <w:rFonts w:hint="eastAsia" w:ascii="黑体" w:eastAsia="黑体"/>
          <w:bCs/>
          <w:color w:val="auto"/>
          <w:sz w:val="30"/>
          <w:szCs w:val="30"/>
          <w:highlight w:val="none"/>
        </w:rPr>
        <w:t xml:space="preserve">三.</w:t>
      </w:r>
      <w:r>
        <w:rPr>
          <w:rFonts w:hint="eastAsia" w:ascii="黑体" w:eastAsia="黑体"/>
          <w:b/>
          <w:color w:val="auto"/>
          <w:sz w:val="30"/>
          <w:szCs w:val="30"/>
          <w:highlight w:val="none"/>
        </w:rPr>
        <w:t xml:space="preserve">项目技术要求和有关说明</w:t>
      </w:r>
      <w:bookmarkEnd w:id="6"/>
      <w:r/>
      <w:bookmarkEnd w:id="7"/>
      <w:r/>
      <w:r/>
    </w:p>
    <w:p>
      <w:pPr>
        <w:spacing w:line="440" w:lineRule="exact"/>
        <w:rPr>
          <w:rFonts w:ascii="宋体" w:hAnsi="宋体"/>
          <w:b/>
          <w:color w:val="auto"/>
          <w:sz w:val="24"/>
          <w:szCs w:val="24"/>
          <w:highlight w:val="none"/>
        </w:rPr>
      </w:pPr>
      <w:r/>
      <w:bookmarkStart w:id="8" w:name="_Toc32067"/>
      <w:r/>
      <w:bookmarkStart w:id="9" w:name="_Toc5531"/>
      <w:r>
        <w:rPr>
          <w:rFonts w:hint="eastAsia" w:ascii="宋体" w:hAnsi="宋体"/>
          <w:b/>
          <w:color w:val="auto"/>
          <w:sz w:val="24"/>
          <w:szCs w:val="24"/>
          <w:highlight w:val="none"/>
        </w:rPr>
        <w:t xml:space="preserve">一、项目概况</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无锡市新吴生态环境局拟采购大气挥发性有机物走航监测车驻地全托管运维服务。</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主要特征因子仪器及型号见表1，投标供应商需承诺对包含仪器设备的操作使用、日常维护维修、走航数据分析等进行整体运维服务。</w:t>
      </w:r>
      <w:r/>
    </w:p>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表1  大气挥发性有机物走航监测车配置表</w:t>
      </w:r>
      <w:r/>
    </w:p>
    <w:tbl>
      <w:tblPr>
        <w:tblStyle w:val="670"/>
        <w:tblW w:w="83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5"/>
        <w:gridCol w:w="2305"/>
        <w:gridCol w:w="1977"/>
        <w:gridCol w:w="2055"/>
        <w:gridCol w:w="1260"/>
      </w:tblGrid>
      <w:tr>
        <w:trPr>
          <w:jc w:val="center"/>
          <w:trHeight w:val="810"/>
        </w:trPr>
        <w:tc>
          <w:tcPr>
            <w:tcW w:w="795"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2305"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项目</w:t>
            </w:r>
            <w:r/>
          </w:p>
        </w:tc>
        <w:tc>
          <w:tcPr>
            <w:tcW w:w="1977"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设备名称</w:t>
            </w:r>
            <w:r/>
          </w:p>
        </w:tc>
        <w:tc>
          <w:tcPr>
            <w:tcW w:w="2055"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品牌型号规格</w:t>
            </w:r>
            <w:r/>
          </w:p>
        </w:tc>
        <w:tc>
          <w:tcPr>
            <w:tcW w:w="1260"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数量</w:t>
            </w:r>
            <w:r/>
          </w:p>
        </w:tc>
      </w:tr>
      <w:tr>
        <w:trPr>
          <w:jc w:val="center"/>
          <w:trHeight w:val="1075"/>
        </w:trPr>
        <w:tc>
          <w:tcPr>
            <w:tcW w:w="795"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2305"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大气挥发性有机物走航监测车</w:t>
            </w:r>
            <w:r/>
          </w:p>
        </w:tc>
        <w:tc>
          <w:tcPr>
            <w:tcW w:w="1977"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挥发性有机物在线质谱仪</w:t>
            </w:r>
            <w:r/>
          </w:p>
        </w:tc>
        <w:tc>
          <w:tcPr>
            <w:tcW w:w="2055"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禾信SPIMS 2000</w:t>
            </w:r>
            <w:r/>
          </w:p>
        </w:tc>
        <w:tc>
          <w:tcPr>
            <w:tcW w:w="1260"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w:t>
            </w:r>
            <w:r/>
          </w:p>
        </w:tc>
      </w:tr>
    </w:tbl>
    <w:p>
      <w:pPr>
        <w:ind w:firstLine="480"/>
        <w:spacing w:line="440" w:lineRule="exact"/>
        <w:rPr>
          <w:rFonts w:ascii="宋体" w:hAnsi="宋体"/>
          <w:color w:val="auto"/>
          <w:sz w:val="24"/>
          <w:szCs w:val="24"/>
          <w:highlight w:val="none"/>
        </w:rPr>
      </w:pPr>
      <w:r>
        <w:rPr>
          <w:rFonts w:ascii="宋体" w:hAnsi="宋体"/>
          <w:color w:val="auto"/>
          <w:sz w:val="24"/>
          <w:szCs w:val="24"/>
          <w:highlight w:val="none"/>
        </w:rPr>
      </w:r>
      <w:r/>
    </w:p>
    <w:p>
      <w:pPr>
        <w:spacing w:line="440" w:lineRule="exact"/>
        <w:rPr>
          <w:rFonts w:ascii="宋体" w:hAnsi="宋体"/>
          <w:b/>
          <w:color w:val="auto"/>
          <w:sz w:val="24"/>
          <w:szCs w:val="24"/>
          <w:highlight w:val="none"/>
        </w:rPr>
      </w:pPr>
      <w:r>
        <w:rPr>
          <w:rFonts w:hint="eastAsia" w:ascii="宋体" w:hAnsi="宋体"/>
          <w:b/>
          <w:color w:val="auto"/>
          <w:sz w:val="24"/>
          <w:szCs w:val="24"/>
          <w:highlight w:val="none"/>
        </w:rPr>
        <w:t xml:space="preserve">二、服务内容</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2.1总体要求</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2.1.1根据甲方要求，开展VOCs常规走航监测及应急走航监测，对大气挥发性有机物走航监测车进行常规运维、耗材更换、仪器校准、质控。</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2.1.2对车辆以及附属设施进行日常维护，保持车辆外观、内饰干净整洁，及时上报反馈状况以及损坏情况。</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2.1.3 对整车进行车载仪器操作、车辆运行、车辆出勤操作。根据采购方提出的需求，制定详细的、科学、高效的实施方案开展工作。</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2.1.4 运维单位提供大气挥发性有机物走航监测车综合大数据分析服务，根据要求提交高质量的数据分析报告。</w:t>
      </w:r>
      <w:r/>
    </w:p>
    <w:p>
      <w:pPr>
        <w:pStyle w:val="671"/>
        <w:ind w:firstLine="480"/>
        <w:rPr>
          <w:color w:val="auto"/>
          <w:highlight w:val="none"/>
        </w:rPr>
      </w:pPr>
      <w:r>
        <w:rPr>
          <w:rFonts w:hint="eastAsia" w:hAnsi="宋体"/>
          <w:color w:val="auto"/>
          <w:szCs w:val="24"/>
          <w:highlight w:val="none"/>
        </w:rPr>
        <w:t xml:space="preserve">2.1.5</w:t>
      </w:r>
      <w:r>
        <w:rPr>
          <w:rFonts w:hint="eastAsia" w:hAnsi="宋体"/>
          <w:color w:val="auto"/>
          <w:szCs w:val="24"/>
          <w:highlight w:val="none"/>
        </w:rPr>
        <w:t xml:space="preserve">中标后，</w:t>
      </w:r>
      <w:r>
        <w:rPr>
          <w:rFonts w:hint="eastAsia" w:hAnsi="宋体"/>
          <w:color w:val="auto"/>
          <w:szCs w:val="24"/>
          <w:highlight w:val="none"/>
        </w:rPr>
        <w:t xml:space="preserve">运维单位需投入至少1名专职技术保障人员，负责无锡市生态环境监测监控中心新吴分中心相关运维工作的技术支持与响应。</w:t>
      </w:r>
      <w:r>
        <w:rPr>
          <w:rFonts w:hint="eastAsia" w:hAnsi="宋体"/>
          <w:color w:val="auto"/>
          <w:szCs w:val="24"/>
          <w:highlight w:val="none"/>
        </w:rPr>
        <w:t xml:space="preserve">运维单位需提供一辆具备搭载走航系统条件的专用车辆，车辆长度5.5米~5.99米，并配置一名驾龄</w:t>
      </w:r>
      <w:r>
        <w:rPr>
          <w:rFonts w:hint="eastAsia" w:hAnsi="宋体"/>
          <w:color w:val="auto"/>
          <w:szCs w:val="24"/>
          <w:highlight w:val="none"/>
        </w:rPr>
        <w:t xml:space="preserve">10年以上的驾驶员</w:t>
      </w:r>
      <w:r>
        <w:rPr>
          <w:rFonts w:hint="eastAsia" w:hAnsi="宋体"/>
          <w:color w:val="auto"/>
          <w:szCs w:val="24"/>
          <w:highlight w:val="none"/>
        </w:rPr>
        <w:t xml:space="preserve">，用于服务期内在无锡市新吴区开展走航监测。</w:t>
      </w:r>
      <w:r>
        <w:rPr>
          <w:rFonts w:hint="eastAsia" w:hAnsi="宋体"/>
          <w:color w:val="auto"/>
          <w:szCs w:val="24"/>
          <w:highlight w:val="none"/>
        </w:rPr>
        <w:t xml:space="preserve">人员确定后应保持相对稳定，如确需调整，需征得发标方同意，并预留一个月交接期。</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2.1.6 运维单位在合同签订后备齐运维时间段内所需原厂耗材。</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2.1.7 运维单位配备充足的原厂维修配件。</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2.1.8 运维单位应具备详尽的运维方案、工作流程、设备台账、日常运行记录、数据分析等文件资料，建立完善的质量控制、质量保证体系。</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2.1.9 运维单位须建立完善的内部管理制度，对运维人员进行规范管理，严格按照制度使用车辆、操作仪器、处理数据、数据分析，并根据无锡市生态环境监测监控中心新吴分中心的工作需求，灵活调配人力与时间，高效完成日常运维任务及临时应急工作。</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2.1.10 </w:t>
      </w:r>
      <w:r>
        <w:rPr>
          <w:rFonts w:hint="eastAsia" w:ascii="宋体" w:hAnsi="宋体"/>
          <w:color w:val="auto"/>
          <w:sz w:val="24"/>
          <w:szCs w:val="24"/>
          <w:highlight w:val="none"/>
        </w:rPr>
        <w:t xml:space="preserve">委托运行维护期：委托运行维护期为两年。</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2.1.11 响应时间：运维单位接到采购方故障报告后，</w:t>
      </w:r>
      <w:r>
        <w:rPr>
          <w:rFonts w:hint="eastAsia" w:ascii="宋体" w:hAnsi="宋体"/>
          <w:color w:val="auto"/>
          <w:sz w:val="24"/>
          <w:szCs w:val="24"/>
          <w:highlight w:val="none"/>
        </w:rPr>
        <w:t xml:space="preserve">4小时</w:t>
      </w:r>
      <w:r>
        <w:rPr>
          <w:rFonts w:hint="eastAsia" w:ascii="宋体" w:hAnsi="宋体"/>
          <w:color w:val="auto"/>
          <w:sz w:val="24"/>
          <w:szCs w:val="24"/>
          <w:highlight w:val="none"/>
        </w:rPr>
        <w:t xml:space="preserve">内响应，</w:t>
      </w:r>
      <w:r>
        <w:rPr>
          <w:rFonts w:hint="eastAsia" w:ascii="宋体" w:hAnsi="宋体"/>
          <w:color w:val="auto"/>
          <w:sz w:val="24"/>
          <w:szCs w:val="24"/>
          <w:highlight w:val="none"/>
        </w:rPr>
        <w:t xml:space="preserve">48小时</w:t>
      </w:r>
      <w:r>
        <w:rPr>
          <w:rFonts w:hint="eastAsia" w:ascii="宋体" w:hAnsi="宋体"/>
          <w:color w:val="auto"/>
          <w:sz w:val="24"/>
          <w:szCs w:val="24"/>
          <w:highlight w:val="none"/>
        </w:rPr>
        <w:t xml:space="preserve">内给出解决方案；必要时，维修工程师在2个工作日内到达现场。</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2.1.12 软件升级：在服务期内，同型号仪器若有新的软件或升级程序，运维单位应及时向采购人提供；并经采购人确认是否需要升级，无论是否升级均不再另外收取费用。前述升级并不包含硬件等非软件升级，若涉及硬件等非软件升级，将另行与采购人确认。</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2.1.13 运维单位应承担监测数据的保密责任，不得利用本项目的数据、档案或有关资料对外开展技术交流、业务联系、数据交换、文章发表等。否则，采购方有权终止合同，并有权追究其相应法律责任。</w:t>
      </w:r>
      <w:r/>
    </w:p>
    <w:p>
      <w:pPr>
        <w:ind w:firstLine="480"/>
        <w:spacing w:line="440" w:lineRule="exact"/>
        <w:rPr>
          <w:rFonts w:ascii="宋体" w:hAnsi="宋体"/>
          <w:color w:val="auto"/>
          <w:sz w:val="24"/>
          <w:szCs w:val="24"/>
          <w:highlight w:val="none"/>
        </w:rPr>
      </w:pPr>
      <w:r/>
      <w:bookmarkStart w:id="10" w:name="_Toc417546128"/>
      <w:r/>
      <w:bookmarkStart w:id="11" w:name="_Toc520447627"/>
      <w:r>
        <w:rPr>
          <w:rFonts w:hint="eastAsia" w:ascii="宋体" w:hAnsi="宋体"/>
          <w:color w:val="auto"/>
          <w:sz w:val="24"/>
          <w:szCs w:val="24"/>
          <w:highlight w:val="none"/>
        </w:rPr>
        <w:t xml:space="preserve">2.2 运维费用</w:t>
      </w:r>
      <w:bookmarkEnd w:id="10"/>
      <w:r/>
      <w:bookmarkEnd w:id="11"/>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运维公司承担大气挥发性有机物走航监测车在运维期间的所有费用。</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2.2.1 车辆</w:t>
      </w:r>
      <w:r>
        <w:rPr>
          <w:rFonts w:hint="eastAsia" w:ascii="宋体" w:hAnsi="宋体"/>
          <w:color w:val="auto"/>
          <w:sz w:val="24"/>
          <w:szCs w:val="24"/>
          <w:highlight w:val="none"/>
          <w:lang w:eastAsia="zh-CN"/>
        </w:rPr>
        <w:t xml:space="preserve">日常使用</w:t>
      </w:r>
      <w:r>
        <w:rPr>
          <w:rFonts w:hint="eastAsia" w:ascii="宋体" w:hAnsi="宋体"/>
          <w:color w:val="auto"/>
          <w:sz w:val="24"/>
          <w:szCs w:val="24"/>
          <w:highlight w:val="none"/>
        </w:rPr>
        <w:t xml:space="preserve">及附属设施维修、定期保养等所产生的费用，车辆强制险、商业保险及年检费用；</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2.2.2 仪器设备使用、维护、修理所产生的人工、耗材、备件、通信、网络等费用；</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2.2.3 数据分析服务产生的人工、质量保证及信息处理与发布等费用。</w:t>
      </w:r>
      <w:r/>
    </w:p>
    <w:p>
      <w:pPr>
        <w:ind w:firstLine="482"/>
        <w:spacing w:line="440" w:lineRule="exact"/>
        <w:rPr>
          <w:rFonts w:ascii="宋体" w:hAnsi="宋体"/>
          <w:b/>
          <w:color w:val="auto"/>
          <w:sz w:val="24"/>
          <w:szCs w:val="24"/>
          <w:highlight w:val="none"/>
        </w:rPr>
      </w:pPr>
      <w:r/>
      <w:bookmarkStart w:id="12" w:name="_Toc520447635"/>
      <w:r/>
      <w:bookmarkStart w:id="13" w:name="_Toc417546136"/>
      <w:r/>
      <w:bookmarkStart w:id="14" w:name="_Toc410220627"/>
      <w:r>
        <w:rPr>
          <w:rFonts w:hint="eastAsia" w:ascii="宋体" w:hAnsi="宋体"/>
          <w:b/>
          <w:color w:val="auto"/>
          <w:sz w:val="24"/>
          <w:szCs w:val="24"/>
          <w:highlight w:val="none"/>
        </w:rPr>
        <w:t xml:space="preserve">三</w:t>
      </w:r>
      <w:bookmarkEnd w:id="12"/>
      <w:r/>
      <w:bookmarkEnd w:id="13"/>
      <w:r/>
      <w:bookmarkEnd w:id="14"/>
      <w:r>
        <w:rPr>
          <w:rFonts w:hint="eastAsia" w:ascii="宋体" w:hAnsi="宋体"/>
          <w:b/>
          <w:color w:val="auto"/>
          <w:sz w:val="24"/>
          <w:szCs w:val="24"/>
          <w:highlight w:val="none"/>
        </w:rPr>
        <w:t xml:space="preserve">、运维技术工作要求</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3.1 大气挥发性有机物走航监测车质保运维服务技术要求</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（1）保持车内部环境清洁，布置整齐，仪器设备干净清洁，设备标识清楚。</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（2）检查供电、通讯的情况，保证系统的正常运行。</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（3）有仪器安全意识，设备固定牢固，车辆门窗关闭良好，人走关门、锁门，非工作人员未经许可不得入内。</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（4）定期检查消防和安全设施。进行维护时，应规范操作，注意安全，防止意外发生。</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（5）对设备的故障进行维修。</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（6）根据采购人要求开展走航工作。</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（7）常规设备维护。车辆走航期间，确保至少</w:t>
      </w:r>
      <w:r>
        <w:rPr>
          <w:rFonts w:hint="eastAsia" w:ascii="宋体" w:hAnsi="宋体"/>
          <w:color w:val="auto"/>
          <w:sz w:val="24"/>
          <w:szCs w:val="24"/>
          <w:highlight w:val="none"/>
        </w:rPr>
        <w:t xml:space="preserve">每周</w:t>
      </w:r>
      <w:r>
        <w:rPr>
          <w:rFonts w:hint="eastAsia" w:ascii="宋体" w:hAnsi="宋体"/>
          <w:color w:val="auto"/>
          <w:sz w:val="24"/>
          <w:szCs w:val="24"/>
          <w:highlight w:val="none"/>
        </w:rPr>
        <w:t xml:space="preserve">查看监测仪器数据并形成记录，其他维护内容见表2所示。</w:t>
      </w:r>
      <w:r/>
    </w:p>
    <w:p>
      <w:pPr>
        <w:pStyle w:val="671"/>
        <w:ind w:firstLine="240"/>
        <w:jc w:val="center"/>
        <w:rPr>
          <w:color w:val="auto"/>
          <w:highlight w:val="none"/>
        </w:rPr>
      </w:pPr>
      <w:r>
        <w:rPr>
          <w:rFonts w:hint="eastAsia" w:hAnsi="宋体"/>
          <w:color w:val="auto"/>
          <w:szCs w:val="24"/>
          <w:highlight w:val="none"/>
        </w:rPr>
        <w:t xml:space="preserve">表2 日常维护内容统计表</w:t>
      </w:r>
      <w:r/>
    </w:p>
    <w:tbl>
      <w:tblPr>
        <w:tblStyle w:val="670"/>
        <w:tblW w:w="8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23"/>
        <w:gridCol w:w="5726"/>
        <w:gridCol w:w="2293"/>
      </w:tblGrid>
      <w:tr>
        <w:trPr>
          <w:jc w:val="center"/>
          <w:trHeight w:val="610"/>
          <w:tblHeader/>
        </w:trPr>
        <w:tc>
          <w:tcPr>
            <w:shd w:val="clear" w:color="auto" w:fill="ffffff"/>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5726"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日常维护项目内容</w:t>
            </w:r>
            <w:r/>
          </w:p>
        </w:tc>
        <w:tc>
          <w:tcPr>
            <w:shd w:val="clear" w:color="auto" w:fill="ffffff"/>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频次</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726" w:type="dxa"/>
            <w:vAlign w:val="center"/>
            <w:textDirection w:val="lrTb"/>
            <w:noWrap w:val="false"/>
          </w:tcPr>
          <w:p>
            <w:pPr>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监测车内外环境检查（包括监测车内外环境、监测车是否安全牢固、监测车是否漏水等）</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pStyle w:val="671"/>
              <w:ind w:firstLine="0"/>
              <w:jc w:val="center"/>
              <w:rPr>
                <w:rFonts w:hAnsi="宋体"/>
                <w:color w:val="auto"/>
                <w:szCs w:val="24"/>
                <w:highlight w:val="none"/>
              </w:rPr>
            </w:pPr>
            <w:r>
              <w:rPr>
                <w:rFonts w:hint="eastAsia" w:hAnsi="宋体"/>
                <w:color w:val="auto"/>
                <w:szCs w:val="24"/>
                <w:highlight w:val="none"/>
              </w:rPr>
              <w:t xml:space="preserve">走航期间</w:t>
            </w:r>
            <w:r>
              <w:rPr>
                <w:rFonts w:hint="eastAsia" w:hAnsi="宋体"/>
                <w:color w:val="auto"/>
                <w:szCs w:val="24"/>
                <w:highlight w:val="none"/>
              </w:rPr>
              <w:t xml:space="preserve">每周</w:t>
            </w:r>
            <w:r>
              <w:rPr>
                <w:rFonts w:hint="eastAsia" w:hAnsi="宋体"/>
                <w:color w:val="auto"/>
                <w:szCs w:val="24"/>
                <w:highlight w:val="none"/>
              </w:rPr>
              <w:t xml:space="preserve">1次</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5726" w:type="dxa"/>
            <w:vAlign w:val="center"/>
            <w:textDirection w:val="lrTb"/>
            <w:noWrap w:val="false"/>
          </w:tcPr>
          <w:p>
            <w:pPr>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监测车供电电源检查（包括总电源开关、电表、供电电压、防感应雷部件等）</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走航期间每周1次</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5726" w:type="dxa"/>
            <w:vAlign w:val="center"/>
            <w:textDirection w:val="lrTb"/>
            <w:noWrap w:val="false"/>
          </w:tcPr>
          <w:p>
            <w:pPr>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仪器电路及其通讯口连接检查（包括检查通讯口连接是否牢固、连接是否通畅等）</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走航期间每周1次</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5726" w:type="dxa"/>
            <w:vAlign w:val="center"/>
            <w:textDirection w:val="lrTb"/>
            <w:noWrap w:val="false"/>
          </w:tcPr>
          <w:p>
            <w:pPr>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查看仪器采集软件、分析软件运行是否正常。检查仪器是否有异常报警，数据传输是否正常</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走航期间每周1次</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5726" w:type="dxa"/>
            <w:vAlign w:val="center"/>
            <w:textDirection w:val="lrTb"/>
            <w:noWrap w:val="false"/>
          </w:tcPr>
          <w:p>
            <w:pPr>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采样管路检查（包括气密性、管路是否污染、有否结露、采样泵工作是否正常等）</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每月1次</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5726" w:type="dxa"/>
            <w:vAlign w:val="center"/>
            <w:textDirection w:val="lrTb"/>
            <w:noWrap w:val="false"/>
          </w:tcPr>
          <w:p>
            <w:pPr>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工控机运行情况检查</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每周1次</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5726" w:type="dxa"/>
            <w:vAlign w:val="center"/>
            <w:textDirection w:val="lrTb"/>
            <w:noWrap w:val="false"/>
          </w:tcPr>
          <w:p>
            <w:pPr>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标准气瓶、减压阀及其气路连接漏气检查（包括检查标准气瓶是否过期、减压阀是否正常等）</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每周1次</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5726" w:type="dxa"/>
            <w:vAlign w:val="center"/>
            <w:textDirection w:val="lrTb"/>
            <w:noWrap w:val="false"/>
          </w:tcPr>
          <w:p>
            <w:pPr>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清洁采样管路，反吹维护</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每月1次</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5726" w:type="dxa"/>
            <w:vAlign w:val="center"/>
            <w:textDirection w:val="lrTb"/>
            <w:noWrap w:val="false"/>
          </w:tcPr>
          <w:p>
            <w:pPr>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仪器校准（标准曲线制作，质控样标定等）</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每月1次</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5726" w:type="dxa"/>
            <w:vAlign w:val="center"/>
            <w:textDirection w:val="lrTb"/>
            <w:noWrap w:val="false"/>
          </w:tcPr>
          <w:p>
            <w:pPr>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仪器性能检查（包括仪器采样流量、仪器数据准确度、灵敏度，稳定性，仪器内部温度、电源电压）</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每季度1次</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5726" w:type="dxa"/>
            <w:vAlign w:val="center"/>
            <w:textDirection w:val="lrTb"/>
            <w:noWrap w:val="false"/>
          </w:tcPr>
          <w:p>
            <w:pPr>
              <w:jc w:val="left"/>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采样膜组件检查，性能达到更换阈值后更换</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每半年1次</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923"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5726" w:type="dxa"/>
            <w:vAlign w:val="center"/>
            <w:textDirection w:val="lrTb"/>
            <w:noWrap w:val="false"/>
          </w:tcPr>
          <w:p>
            <w:pPr>
              <w:jc w:val="left"/>
              <w:spacing w:line="440" w:lineRule="exact"/>
              <w:rPr>
                <w:rFonts w:ascii="宋体" w:hAnsi="宋体"/>
                <w:color w:val="auto"/>
                <w:sz w:val="24"/>
                <w:szCs w:val="24"/>
                <w:highlight w:val="none"/>
              </w:rPr>
            </w:pPr>
            <w:r>
              <w:rPr>
                <w:rFonts w:ascii="宋体" w:hAnsi="宋体"/>
                <w:color w:val="auto"/>
                <w:sz w:val="24"/>
                <w:szCs w:val="24"/>
                <w:highlight w:val="none"/>
              </w:rPr>
              <w:t xml:space="preserve">每年对系统进行预防性维护，对系统进行检查与清洁，更换必要的耗材与配件</w:t>
            </w:r>
            <w:r/>
          </w:p>
        </w:tc>
        <w:tc>
          <w:tcPr>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每年1次</w:t>
            </w:r>
            <w:r/>
          </w:p>
        </w:tc>
      </w:tr>
    </w:tbl>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3.2 运维记录和走航数据分析</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运维单位对系统运行情况提供运维记录和走航数据分析，数据分析包括但不限于：</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3.2.1 每次走航</w:t>
      </w:r>
      <w:r>
        <w:rPr>
          <w:rFonts w:hint="eastAsia" w:ascii="宋体" w:hAnsi="宋体"/>
          <w:color w:val="auto"/>
          <w:sz w:val="24"/>
          <w:szCs w:val="24"/>
          <w:highlight w:val="none"/>
          <w:lang w:eastAsia="zh-CN"/>
        </w:rPr>
        <w:t xml:space="preserve">任务</w:t>
      </w:r>
      <w:r>
        <w:rPr>
          <w:rFonts w:hint="eastAsia" w:ascii="宋体" w:hAnsi="宋体"/>
          <w:color w:val="auto"/>
          <w:sz w:val="24"/>
          <w:szCs w:val="24"/>
          <w:highlight w:val="none"/>
        </w:rPr>
        <w:t xml:space="preserve">结束后提供此次任务数据分析。</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3.2.2 提供月度数据分析。</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3.2.3 提供半年数据分析。</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3.2.4 提供年度数据分析。</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3.2.5 如遇突发环境应急事故，及时开展走航并提供污染数据快速分析。</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3.2.6 走航记录存档随时供招标单位审核。</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3.2.7 对异常情况及时上报。对每起事故及时排查，及时上报。</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3.2.8 完成招标单位要求提供的其他临时材料任务。</w:t>
      </w:r>
      <w:r>
        <w:rPr>
          <w:rFonts w:hint="eastAsia" w:ascii="宋体" w:hAnsi="宋体"/>
          <w:color w:val="auto"/>
          <w:sz w:val="24"/>
          <w:szCs w:val="24"/>
          <w:highlight w:val="none"/>
        </w:rPr>
        <w:br w:type="page" w:clear="all"/>
      </w:r>
      <w:r/>
    </w:p>
    <w:p>
      <w:pPr>
        <w:ind w:firstLine="560"/>
        <w:jc w:val="center"/>
        <w:spacing w:line="360" w:lineRule="auto"/>
        <w:rPr>
          <w:rFonts w:ascii="黑体" w:hAnsi="宋体" w:eastAsia="黑体"/>
          <w:b/>
          <w:color w:val="auto"/>
          <w:sz w:val="28"/>
          <w:szCs w:val="28"/>
          <w:highlight w:val="none"/>
        </w:rPr>
        <w:outlineLvl w:val="0"/>
      </w:pPr>
      <w:r>
        <w:rPr>
          <w:rFonts w:hint="eastAsia" w:ascii="黑体" w:eastAsia="黑体"/>
          <w:bCs/>
          <w:color w:val="auto"/>
          <w:sz w:val="28"/>
          <w:szCs w:val="28"/>
          <w:highlight w:val="none"/>
        </w:rPr>
        <w:t xml:space="preserve">四.</w:t>
      </w:r>
      <w:r>
        <w:rPr>
          <w:rFonts w:hint="eastAsia" w:ascii="黑体" w:hAnsi="宋体" w:eastAsia="黑体"/>
          <w:b/>
          <w:color w:val="auto"/>
          <w:sz w:val="28"/>
          <w:szCs w:val="28"/>
          <w:highlight w:val="none"/>
        </w:rPr>
        <w:t xml:space="preserve">合同书（</w:t>
      </w:r>
      <w:r>
        <w:rPr>
          <w:rFonts w:hint="eastAsia" w:ascii="黑体" w:hAnsi="宋体" w:eastAsia="黑体"/>
          <w:color w:val="auto"/>
          <w:sz w:val="28"/>
          <w:szCs w:val="28"/>
          <w:highlight w:val="none"/>
        </w:rPr>
        <w:t xml:space="preserve">格式文本</w:t>
      </w:r>
      <w:r>
        <w:rPr>
          <w:rFonts w:hint="eastAsia" w:ascii="黑体" w:hAnsi="宋体" w:eastAsia="黑体"/>
          <w:b/>
          <w:color w:val="auto"/>
          <w:sz w:val="28"/>
          <w:szCs w:val="28"/>
          <w:highlight w:val="none"/>
        </w:rPr>
        <w:t xml:space="preserve">）</w:t>
      </w:r>
      <w:bookmarkEnd w:id="8"/>
      <w:r/>
      <w:bookmarkEnd w:id="9"/>
      <w:r/>
      <w:r/>
    </w:p>
    <w:p>
      <w:pPr>
        <w:ind w:firstLine="482"/>
        <w:spacing w:line="360" w:lineRule="auto"/>
        <w:rPr>
          <w:rFonts w:ascii="黑体" w:hAnsi="宋体" w:eastAsia="黑体" w:cs="黑体"/>
          <w:b/>
          <w:color w:val="auto"/>
          <w:sz w:val="28"/>
          <w:szCs w:val="28"/>
          <w:highlight w:val="none"/>
        </w:rPr>
      </w:pPr>
      <w:r>
        <w:rPr>
          <w:rFonts w:hint="eastAsia" w:ascii="宋体" w:hAnsi="宋体" w:cs="宋体"/>
          <w:b/>
          <w:color w:val="auto"/>
          <w:sz w:val="24"/>
          <w:szCs w:val="24"/>
          <w:highlight w:val="none"/>
          <w:lang w:bidi="ar"/>
        </w:rPr>
        <w:t xml:space="preserve">根据《中华人民共和国政府采购法》及相关法规、《中华人民共和国民法典》，遵循平等、自愿、公平和诚实信用的原则，供需双方就</w:t>
      </w:r>
      <w:r>
        <w:rPr>
          <w:rFonts w:hint="eastAsia" w:ascii="宋体" w:hAnsi="宋体" w:cs="宋体"/>
          <w:b/>
          <w:color w:val="auto"/>
          <w:sz w:val="24"/>
          <w:szCs w:val="24"/>
          <w:highlight w:val="none"/>
          <w:u w:val="single"/>
          <w:lang w:bidi="ar"/>
        </w:rPr>
        <w:t xml:space="preserve">       项目</w:t>
      </w:r>
      <w:r>
        <w:rPr>
          <w:rFonts w:hint="eastAsia" w:ascii="宋体" w:hAnsi="宋体" w:cs="宋体"/>
          <w:b/>
          <w:color w:val="auto"/>
          <w:sz w:val="24"/>
          <w:szCs w:val="24"/>
          <w:highlight w:val="none"/>
          <w:lang w:bidi="ar"/>
        </w:rPr>
        <w:t xml:space="preserve">（项目编号：</w:t>
      </w:r>
      <w:r>
        <w:rPr>
          <w:rFonts w:hint="eastAsia" w:ascii="宋体" w:hAnsi="宋体" w:cs="宋体"/>
          <w:b/>
          <w:color w:val="auto"/>
          <w:sz w:val="24"/>
          <w:szCs w:val="24"/>
          <w:highlight w:val="none"/>
          <w:u w:val="single"/>
          <w:lang w:bidi="ar"/>
        </w:rPr>
        <w:t xml:space="preserve">        </w:t>
      </w:r>
      <w:r>
        <w:rPr>
          <w:rFonts w:hint="eastAsia" w:ascii="宋体" w:hAnsi="宋体" w:cs="宋体"/>
          <w:b/>
          <w:color w:val="auto"/>
          <w:sz w:val="24"/>
          <w:szCs w:val="24"/>
          <w:highlight w:val="none"/>
          <w:lang w:bidi="ar"/>
        </w:rPr>
        <w:t xml:space="preserve">）实施及有关事项协商一致，共同达成如下协议：</w:t>
      </w:r>
      <w:r/>
    </w:p>
    <w:p>
      <w:pPr>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需方（采购人）：</w:t>
      </w:r>
      <w:r>
        <w:rPr>
          <w:rFonts w:hint="eastAsia" w:ascii="宋体" w:hAnsi="宋体" w:cs="宋体"/>
          <w:bCs/>
          <w:color w:val="auto"/>
          <w:sz w:val="24"/>
          <w:szCs w:val="24"/>
          <w:highlight w:val="none"/>
          <w:u w:val="single"/>
          <w:lang w:bidi="ar"/>
        </w:rPr>
        <w:t xml:space="preserve">                    </w:t>
      </w:r>
      <w:r/>
    </w:p>
    <w:p>
      <w:pPr>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供方（中标方）：</w:t>
      </w:r>
      <w:r>
        <w:rPr>
          <w:rFonts w:hint="eastAsia" w:ascii="宋体" w:hAnsi="宋体" w:cs="宋体"/>
          <w:bCs/>
          <w:color w:val="auto"/>
          <w:sz w:val="24"/>
          <w:szCs w:val="24"/>
          <w:highlight w:val="none"/>
          <w:u w:val="single"/>
          <w:lang w:bidi="ar"/>
        </w:rPr>
        <w:t xml:space="preserve">                    </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一、政府采购编号：</w:t>
      </w:r>
      <w:r>
        <w:rPr>
          <w:rFonts w:hint="eastAsia" w:ascii="宋体" w:hAnsi="宋体" w:cs="宋体"/>
          <w:bCs/>
          <w:color w:val="auto"/>
          <w:sz w:val="24"/>
          <w:szCs w:val="24"/>
          <w:highlight w:val="none"/>
          <w:u w:val="single"/>
          <w:lang w:bidi="ar"/>
        </w:rPr>
        <w:t xml:space="preserve">                             </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二、采购内容：</w:t>
      </w:r>
      <w:r>
        <w:rPr>
          <w:rFonts w:hint="eastAsia" w:ascii="宋体" w:hAnsi="宋体" w:cs="宋体"/>
          <w:bCs/>
          <w:color w:val="auto"/>
          <w:sz w:val="24"/>
          <w:szCs w:val="24"/>
          <w:highlight w:val="none"/>
          <w:u w:val="single"/>
          <w:lang w:bidi="ar"/>
        </w:rPr>
        <w:t xml:space="preserve">                                                          </w:t>
      </w:r>
      <w:r/>
    </w:p>
    <w:p>
      <w:pPr>
        <w:ind w:firstLine="480"/>
        <w:jc w:val="left"/>
        <w:spacing w:line="360" w:lineRule="auto"/>
        <w:tabs>
          <w:tab w:val="left" w:pos="840" w:leader="none"/>
          <w:tab w:val="left" w:pos="1155" w:leader="none"/>
        </w:tabs>
        <w:rPr>
          <w:rFonts w:ascii="宋体" w:hAnsi="宋体" w:cs="宋体"/>
          <w:bCs/>
          <w:color w:val="auto"/>
          <w:sz w:val="24"/>
          <w:highlight w:val="none"/>
        </w:rPr>
      </w:pPr>
      <w:r>
        <w:rPr>
          <w:rFonts w:hint="eastAsia" w:ascii="宋体" w:hAnsi="宋体" w:cs="宋体"/>
          <w:bCs/>
          <w:color w:val="auto"/>
          <w:sz w:val="24"/>
          <w:szCs w:val="24"/>
          <w:highlight w:val="none"/>
          <w:lang w:bidi="ar"/>
        </w:rPr>
        <w:t xml:space="preserve">三、</w:t>
      </w:r>
      <w:r>
        <w:rPr>
          <w:rFonts w:hint="eastAsia" w:ascii="宋体" w:hAnsi="宋体" w:cs="宋体"/>
          <w:bCs/>
          <w:color w:val="auto"/>
          <w:sz w:val="24"/>
          <w:highlight w:val="none"/>
        </w:rPr>
        <w:t xml:space="preserve">中标金额：（大写）</w:t>
      </w:r>
      <w:r>
        <w:rPr>
          <w:rFonts w:hint="eastAsia" w:ascii="宋体" w:hAnsi="宋体" w:cs="宋体"/>
          <w:bCs/>
          <w:color w:val="auto"/>
          <w:sz w:val="24"/>
          <w:highlight w:val="none"/>
          <w:u w:val="single"/>
        </w:rPr>
        <w:t xml:space="preserve">                      ； （</w:t>
      </w:r>
      <w:r>
        <w:rPr>
          <w:rFonts w:hint="eastAsia" w:ascii="宋体" w:hAnsi="宋体" w:cs="宋体"/>
          <w:bCs/>
          <w:color w:val="auto"/>
          <w:sz w:val="24"/>
          <w:highlight w:val="none"/>
        </w:rPr>
        <w:t xml:space="preserve">小写）</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w:t>
      </w:r>
      <w:r/>
    </w:p>
    <w:p>
      <w:pPr>
        <w:ind w:firstLine="480"/>
        <w:jc w:val="left"/>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四、质量要求及验收标准：</w:t>
      </w:r>
      <w:r>
        <w:rPr>
          <w:rFonts w:hint="eastAsia" w:ascii="宋体" w:hAnsi="宋体" w:cs="宋体"/>
          <w:bCs/>
          <w:color w:val="auto"/>
          <w:sz w:val="24"/>
          <w:szCs w:val="24"/>
          <w:highlight w:val="none"/>
          <w:u w:val="single"/>
          <w:lang w:bidi="ar"/>
        </w:rPr>
        <w:t xml:space="preserve">                                           </w:t>
      </w:r>
      <w:r/>
    </w:p>
    <w:p>
      <w:pPr>
        <w:ind w:firstLine="480"/>
        <w:jc w:val="left"/>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五、服务期：</w:t>
      </w:r>
      <w:r>
        <w:rPr>
          <w:rFonts w:hint="eastAsia" w:ascii="宋体" w:hAnsi="宋体" w:cs="宋体"/>
          <w:bCs/>
          <w:color w:val="auto"/>
          <w:sz w:val="24"/>
          <w:szCs w:val="24"/>
          <w:highlight w:val="none"/>
          <w:u w:val="single"/>
          <w:lang w:bidi="ar"/>
        </w:rPr>
        <w:t xml:space="preserve">                                             </w:t>
      </w:r>
      <w:r/>
    </w:p>
    <w:p>
      <w:pPr>
        <w:ind w:firstLine="480"/>
        <w:jc w:val="left"/>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六、服务地点和方式：</w:t>
      </w:r>
      <w:r>
        <w:rPr>
          <w:rFonts w:hint="eastAsia" w:ascii="宋体" w:hAnsi="宋体" w:cs="宋体"/>
          <w:bCs/>
          <w:color w:val="auto"/>
          <w:sz w:val="24"/>
          <w:szCs w:val="24"/>
          <w:highlight w:val="none"/>
          <w:u w:val="single"/>
          <w:lang w:bidi="ar"/>
        </w:rPr>
        <w:t xml:space="preserve">                                                     </w:t>
      </w:r>
      <w:r/>
    </w:p>
    <w:p>
      <w:pPr>
        <w:ind w:firstLine="480"/>
        <w:jc w:val="left"/>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七、服务费支付步骤和办法：</w:t>
      </w:r>
      <w:r>
        <w:rPr>
          <w:rFonts w:hint="eastAsia" w:ascii="宋体" w:hAnsi="宋体" w:cs="宋体"/>
          <w:color w:val="auto"/>
          <w:sz w:val="24"/>
          <w:szCs w:val="24"/>
          <w:highlight w:val="none"/>
          <w:u w:val="single"/>
        </w:rPr>
        <w:t xml:space="preserve">本项目按实际合同中标金额，2027年支付合同金额20%的首付款；2028年内，根据工作的完成进度，支付合同金额50%的进度款；2029年内，根据项目开展情况并满足甲方相关考核要求后，支付合同金额</w:t>
      </w:r>
      <w:r>
        <w:rPr>
          <w:rFonts w:hint="eastAsia" w:ascii="宋体" w:hAnsi="宋体" w:cs="宋体"/>
          <w:color w:val="auto"/>
          <w:sz w:val="24"/>
          <w:szCs w:val="24"/>
          <w:highlight w:val="none"/>
          <w:u w:val="single"/>
          <w:lang w:val="en-US" w:eastAsia="zh-CN"/>
        </w:rPr>
        <w:t xml:space="preserve">3</w:t>
      </w:r>
      <w:r>
        <w:rPr>
          <w:rFonts w:hint="eastAsia" w:ascii="宋体" w:hAnsi="宋体" w:cs="宋体"/>
          <w:color w:val="auto"/>
          <w:sz w:val="24"/>
          <w:szCs w:val="24"/>
          <w:highlight w:val="none"/>
          <w:u w:val="single"/>
        </w:rPr>
        <w:t xml:space="preserve">0%的尾款。</w:t>
      </w:r>
      <w:r/>
    </w:p>
    <w:p>
      <w:pPr>
        <w:ind w:firstLine="480"/>
        <w:jc w:val="left"/>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八、违约责任：</w:t>
      </w:r>
      <w:r>
        <w:rPr>
          <w:rFonts w:hint="eastAsia" w:ascii="宋体" w:hAnsi="宋体" w:cs="宋体"/>
          <w:bCs/>
          <w:color w:val="auto"/>
          <w:sz w:val="24"/>
          <w:szCs w:val="24"/>
          <w:highlight w:val="none"/>
          <w:u w:val="single"/>
          <w:lang w:bidi="ar"/>
        </w:rPr>
        <w:t xml:space="preserve">                                                            </w:t>
      </w:r>
      <w:r/>
    </w:p>
    <w:p>
      <w:pPr>
        <w:ind w:firstLine="480"/>
        <w:jc w:val="left"/>
        <w:spacing w:line="360" w:lineRule="auto"/>
        <w:rPr>
          <w:rFonts w:ascii="宋体" w:hAnsi="宋体" w:cs="宋体"/>
          <w:bCs/>
          <w:color w:val="auto"/>
          <w:sz w:val="24"/>
          <w:szCs w:val="24"/>
          <w:highlight w:val="none"/>
          <w:u w:val="single"/>
        </w:rPr>
      </w:pPr>
      <w:r>
        <w:rPr>
          <w:rFonts w:hint="eastAsia" w:ascii="宋体" w:hAnsi="宋体" w:cs="宋体"/>
          <w:color w:val="auto"/>
          <w:sz w:val="24"/>
          <w:szCs w:val="24"/>
          <w:highlight w:val="none"/>
          <w:lang w:bidi="ar"/>
        </w:rPr>
        <w:t xml:space="preserve">九、解决争议的方式：</w:t>
      </w:r>
      <w:r>
        <w:rPr>
          <w:rFonts w:hint="eastAsia" w:ascii="宋体" w:hAnsi="宋体" w:cs="宋体"/>
          <w:color w:val="auto"/>
          <w:sz w:val="24"/>
          <w:szCs w:val="24"/>
          <w:highlight w:val="none"/>
          <w:u w:val="single"/>
          <w:lang w:bidi="ar"/>
        </w:rPr>
        <w:t xml:space="preserve">                                                      </w:t>
      </w:r>
      <w:r/>
    </w:p>
    <w:p>
      <w:pPr>
        <w:ind w:firstLine="480"/>
        <w:jc w:val="left"/>
        <w:spacing w:line="360" w:lineRule="auto"/>
        <w:widowControl/>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十、其他事项：</w:t>
      </w:r>
      <w:r>
        <w:rPr>
          <w:rFonts w:hint="eastAsia" w:ascii="宋体" w:hAnsi="宋体"/>
          <w:bCs/>
          <w:color w:val="auto"/>
          <w:sz w:val="24"/>
          <w:szCs w:val="24"/>
          <w:highlight w:val="none"/>
          <w:u w:val="single"/>
        </w:rPr>
        <w:t xml:space="preserve">（1）保密内容（包括技术信息和经营信息）：包括但不限于监测数据、报告、报表等未经招标人许可不得复印，对履行合同中知晓的全部信息予以保密。（2）涉密人员范围：中标人所有工作人员及外包/分包工作人员。</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十一、合同不可分割部分：招标文件、投标文件、合同条款及中标通知书，供方在投标、评标过程中所作其他有关承诺、声明、书面澄清等均为合同不可分割的部分，与主合同具有同等法律效力。</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十二、合同备案：合同一式五份，供需双方各执二份，见证方一份。</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十三、合同生效：本合同由供需双方签字盖章并经见证后生效。</w:t>
      </w:r>
      <w:r/>
    </w:p>
    <w:p>
      <w:pPr>
        <w:spacing w:line="360" w:lineRule="auto"/>
        <w:rPr>
          <w:rFonts w:ascii="宋体" w:hAnsi="宋体" w:cs="宋体"/>
          <w:bCs/>
          <w:color w:val="auto"/>
          <w:sz w:val="24"/>
          <w:szCs w:val="24"/>
          <w:highlight w:val="none"/>
          <w:lang w:bidi="ar"/>
        </w:rPr>
      </w:pPr>
      <w:r>
        <w:rPr>
          <w:rFonts w:ascii="宋体" w:hAnsi="宋体" w:cs="宋体"/>
          <w:bCs/>
          <w:color w:val="auto"/>
          <w:sz w:val="24"/>
          <w:szCs w:val="24"/>
          <w:highlight w:val="none"/>
          <w:lang w:bidi="ar"/>
        </w:rPr>
      </w:r>
      <w:r/>
    </w:p>
    <w:p>
      <w:pPr>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需方（采购人）：（盖章）                  供方（中标方）：（盖章）</w:t>
      </w:r>
      <w:r/>
    </w:p>
    <w:p>
      <w:pPr>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法定（授权）代表人：                      法定（授权）代表人：</w:t>
      </w:r>
      <w:r/>
    </w:p>
    <w:p>
      <w:pPr>
        <w:ind w:firstLine="840"/>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年  月  日                              年  月  日</w:t>
      </w:r>
      <w:r/>
    </w:p>
    <w:p>
      <w:pPr>
        <w:ind w:firstLine="3240"/>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               供方户名：</w:t>
      </w:r>
      <w:r/>
    </w:p>
    <w:p>
      <w:pPr>
        <w:ind w:firstLine="5040"/>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供方开户银行：</w:t>
      </w:r>
      <w:r/>
    </w:p>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                                          供方账号：</w:t>
      </w:r>
      <w:r/>
    </w:p>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 </w:t>
      </w:r>
      <w:r/>
    </w:p>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见证方（公章）：                          日期：</w:t>
      </w:r>
      <w:r/>
    </w:p>
    <w:p>
      <w:pPr>
        <w:jc w:val="center"/>
        <w:spacing w:line="440" w:lineRule="exact"/>
        <w:rPr>
          <w:rFonts w:ascii="黑体" w:hAnsi="宋体" w:eastAsia="黑体" w:cs="黑体"/>
          <w:bCs/>
          <w:color w:val="auto"/>
          <w:sz w:val="28"/>
          <w:szCs w:val="28"/>
          <w:highlight w:val="none"/>
        </w:rPr>
        <w:outlineLvl w:val="0"/>
      </w:pPr>
      <w:r>
        <w:rPr>
          <w:rFonts w:hint="eastAsia" w:ascii="黑体" w:hAnsi="宋体" w:eastAsia="黑体" w:cs="黑体"/>
          <w:bCs/>
          <w:color w:val="auto"/>
          <w:sz w:val="28"/>
          <w:szCs w:val="28"/>
          <w:highlight w:val="none"/>
          <w:lang w:bidi="ar"/>
        </w:rPr>
        <w:br w:type="page" w:clear="all"/>
      </w:r>
      <w:bookmarkStart w:id="15" w:name="_Toc2604"/>
      <w:r/>
      <w:bookmarkStart w:id="16" w:name="_Toc25075"/>
      <w:r>
        <w:rPr>
          <w:rFonts w:hint="eastAsia" w:ascii="黑体" w:hAnsi="宋体" w:eastAsia="黑体" w:cs="黑体"/>
          <w:bCs/>
          <w:color w:val="auto"/>
          <w:sz w:val="28"/>
          <w:szCs w:val="28"/>
          <w:highlight w:val="none"/>
          <w:lang w:bidi="ar"/>
        </w:rPr>
        <w:t xml:space="preserve">五.合同条款</w:t>
      </w:r>
      <w:bookmarkEnd w:id="15"/>
      <w:r/>
      <w:bookmarkEnd w:id="16"/>
      <w:r/>
      <w:r/>
    </w:p>
    <w:p>
      <w:pPr>
        <w:jc w:val="cente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（根据相关法律规定以及采购文件确定事项订立）</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w:t>
      </w:r>
      <w:r>
        <w:rPr>
          <w:rFonts w:hint="eastAsia" w:ascii="宋体" w:hAnsi="宋体" w:cs="宋体"/>
          <w:b/>
          <w:color w:val="auto"/>
          <w:sz w:val="24"/>
          <w:szCs w:val="24"/>
          <w:highlight w:val="none"/>
          <w:u w:val="single"/>
        </w:rPr>
        <w:t xml:space="preserve">2026-2028年大气挥发性有机物走航监测车全托管运维服务</w:t>
      </w:r>
      <w:r>
        <w:rPr>
          <w:rFonts w:hint="eastAsia" w:ascii="宋体" w:hAnsi="宋体" w:cs="宋体"/>
          <w:b/>
          <w:color w:val="auto"/>
          <w:sz w:val="24"/>
          <w:szCs w:val="24"/>
          <w:highlight w:val="none"/>
          <w:u w:val="single"/>
        </w:rPr>
        <w:t xml:space="preserve">项目</w:t>
      </w:r>
      <w:r>
        <w:rPr>
          <w:rFonts w:hint="eastAsia" w:ascii="宋体" w:hAnsi="宋体" w:cs="宋体"/>
          <w:color w:val="auto"/>
          <w:sz w:val="24"/>
          <w:szCs w:val="24"/>
          <w:highlight w:val="none"/>
        </w:rPr>
        <w:t xml:space="preserve">采购文件、投标结果和中标通知书，甲、乙双方就</w:t>
      </w:r>
      <w:r>
        <w:rPr>
          <w:rFonts w:hint="eastAsia" w:ascii="宋体" w:hAnsi="宋体" w:cs="宋体"/>
          <w:color w:val="auto"/>
          <w:sz w:val="24"/>
          <w:szCs w:val="24"/>
          <w:highlight w:val="none"/>
          <w:u w:val="single"/>
        </w:rPr>
        <w:t xml:space="preserve">2026-2028年大气挥发性有机物走航监测车全托管运维服务</w:t>
      </w:r>
      <w:r>
        <w:rPr>
          <w:rFonts w:hint="eastAsia" w:ascii="宋体" w:hAnsi="宋体" w:cs="宋体"/>
          <w:color w:val="auto"/>
          <w:sz w:val="24"/>
          <w:szCs w:val="24"/>
          <w:highlight w:val="none"/>
          <w:u w:val="single"/>
        </w:rPr>
        <w:t xml:space="preserve">项目</w:t>
      </w:r>
      <w:r>
        <w:rPr>
          <w:rFonts w:hint="eastAsia" w:ascii="宋体" w:hAnsi="宋体" w:cs="宋体"/>
          <w:color w:val="auto"/>
          <w:sz w:val="24"/>
          <w:szCs w:val="24"/>
          <w:highlight w:val="none"/>
        </w:rPr>
        <w:t xml:space="preserve">的采购事宜，签订本协议。</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一、乙方通过招投标获得</w:t>
      </w:r>
      <w:r>
        <w:rPr>
          <w:rFonts w:hint="eastAsia" w:ascii="宋体" w:hAnsi="宋体" w:cs="宋体"/>
          <w:color w:val="auto"/>
          <w:sz w:val="24"/>
          <w:szCs w:val="24"/>
          <w:highlight w:val="none"/>
          <w:u w:val="single"/>
        </w:rPr>
        <w:t xml:space="preserve">2026-2028年大气挥发性有机物走航监测车全托管运维服务</w:t>
      </w:r>
      <w:r>
        <w:rPr>
          <w:rFonts w:hint="eastAsia" w:ascii="宋体" w:hAnsi="宋体" w:cs="宋体"/>
          <w:color w:val="auto"/>
          <w:sz w:val="24"/>
          <w:szCs w:val="24"/>
          <w:highlight w:val="none"/>
          <w:u w:val="single"/>
        </w:rPr>
        <w:t xml:space="preserve">项目</w:t>
      </w:r>
      <w:r>
        <w:rPr>
          <w:rFonts w:hint="eastAsia" w:ascii="宋体" w:hAnsi="宋体" w:cs="宋体"/>
          <w:bCs/>
          <w:color w:val="auto"/>
          <w:sz w:val="24"/>
          <w:szCs w:val="24"/>
          <w:highlight w:val="none"/>
        </w:rPr>
        <w:t xml:space="preserve">服务资格。</w:t>
      </w:r>
      <w:r/>
    </w:p>
    <w:p>
      <w:pPr>
        <w:ind w:firstLine="480"/>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二、合同有效期为：</w:t>
      </w:r>
      <w:r>
        <w:rPr>
          <w:rFonts w:hint="eastAsia" w:ascii="宋体" w:hAnsi="宋体" w:cs="宋体"/>
          <w:color w:val="auto"/>
          <w:sz w:val="24"/>
          <w:szCs w:val="24"/>
          <w:highlight w:val="none"/>
          <w:u w:val="single"/>
        </w:rPr>
        <w:t xml:space="preserve">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三、业务费支付：</w:t>
      </w:r>
      <w:r>
        <w:rPr>
          <w:rFonts w:hint="eastAsia" w:ascii="宋体" w:hAnsi="宋体" w:cs="宋体"/>
          <w:color w:val="auto"/>
          <w:sz w:val="24"/>
          <w:szCs w:val="24"/>
          <w:highlight w:val="none"/>
          <w:u w:val="single"/>
        </w:rPr>
        <w:t xml:space="preserve">本项目按实际合同中标金额，2027年支付合同金额20%的首付款；2028年内，根据工作的完成进度，支付合同金额50%的进度款；2029年内，根据项目开展情况并满足甲方相关考核要求后，支付合同金额</w:t>
      </w:r>
      <w:r>
        <w:rPr>
          <w:rFonts w:hint="eastAsia" w:ascii="宋体" w:hAnsi="宋体" w:cs="宋体"/>
          <w:color w:val="auto"/>
          <w:sz w:val="24"/>
          <w:szCs w:val="24"/>
          <w:highlight w:val="none"/>
          <w:u w:val="single"/>
          <w:lang w:val="en-US" w:eastAsia="zh-CN"/>
        </w:rPr>
        <w:t xml:space="preserve">3</w:t>
      </w:r>
      <w:r>
        <w:rPr>
          <w:rFonts w:hint="eastAsia" w:ascii="宋体" w:hAnsi="宋体" w:cs="宋体"/>
          <w:color w:val="auto"/>
          <w:sz w:val="24"/>
          <w:szCs w:val="24"/>
          <w:highlight w:val="none"/>
          <w:u w:val="single"/>
        </w:rPr>
        <w:t xml:space="preserve">0%的尾款。</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四、下列文件应视为构成并作为阅读和理解本合同的组成部分，即：</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1.本合同书；</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2.采购文件；</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3.投标文件及其附件（含投标人在评标期间递交和确认并经招标人同意的对有关问题的补充资料和澄清文件等）；</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4.中标通知书。</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五、违约责任</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1.甲方未按本合同规定，乙方可依法向甲方要求经济赔偿；</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2.乙方对本合同规定的义务未履行或履行不力的，甲方可依法向乙方要求经济赔偿，甲方可依本合同规定取消乙方实验室服务资格；</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3.甲、乙双方若有违反本合同规定或其他违纪事项可向相关部门投诉。经相关部门核查，如情况属实将作为有效投诉记录在案，自愿接受相应处罚。</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六、不可抗力</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1.甲、乙双方如果因不可抗力而导致合同义务的延误或不能履行，不承担误期赔偿或终止合同的责任。</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2.本条所述的“不可抗力”系指下列甲、乙双方无法控制、不可预见的事件，但不包括甲、乙双方的违约或疏忽。这些事件包括：战争、严重火灾、洪水、台风、地震以及其他甲、乙双方商定的事件。</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在不可抗力事件发生后，受影响的一方应尽快以书面形式将不可抗力的情况和原因通知其他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本项目服务的协议。</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七、合同的变更和终止</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1.除《中华人民共和国政府采购法》第五十条规定的情形外，本合同一经签订，甲乙双方不得擅自变更、中止或终止合同。</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2.除发生法律规定的不能预见、不能避免并不能克服的客观情况外，甲乙双方不得放弃或拒绝履行合同。</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3.本合同因下列原因而终止：</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（1）本合同正常履行完毕；</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（2）因不可抗力导致本合同无法履行或履行不必要；</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（3）任何一方行使解除权解除本合同；</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（4）合同的继续履行将损害国家利益和社会公共利益。</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除上述情形外，甲乙双方不得擅自终止合同。</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八、争议处置</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在执行本合同中所发生的一切争议，甲、乙双方应通过友好协商的方式进行解决，如协商不能解决的，有关当事方可提请所在地人民法院按司法程序解决。</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九、合同生效及其他：</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1.本合同经甲、乙双方签字并盖章后方正式生效。</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2.合同在执行过程中出现的未尽事宜，甲、乙双方在不违背本合同的原则下协商解决，协商结果以书面形式记录在案，作为本合同附件，与本合同具有同等效力。</w:t>
      </w:r>
      <w:r/>
    </w:p>
    <w:p>
      <w:pPr>
        <w:ind w:firstLine="480"/>
        <w:jc w:val="left"/>
        <w:spacing w:line="360" w:lineRule="auto"/>
        <w:widowControl/>
        <w:rPr>
          <w:rFonts w:ascii="宋体" w:hAnsi="宋体" w:cs="宋体"/>
          <w:color w:val="auto"/>
          <w:sz w:val="24"/>
          <w:highlight w:val="none"/>
          <w:lang w:val="zh-CN"/>
        </w:rPr>
      </w:pPr>
      <w:r>
        <w:rPr>
          <w:rFonts w:hint="eastAsia" w:ascii="宋体" w:hAnsi="宋体" w:cs="宋体"/>
          <w:color w:val="auto"/>
          <w:sz w:val="24"/>
          <w:szCs w:val="24"/>
          <w:highlight w:val="none"/>
        </w:rPr>
        <w:t xml:space="preserve">十、本合同</w:t>
      </w:r>
      <w:r>
        <w:rPr>
          <w:rFonts w:hint="eastAsia" w:ascii="宋体" w:hAnsi="宋体" w:cs="宋体"/>
          <w:bCs/>
          <w:color w:val="auto"/>
          <w:sz w:val="24"/>
          <w:szCs w:val="24"/>
          <w:highlight w:val="none"/>
          <w:lang w:bidi="ar"/>
        </w:rPr>
        <w:t xml:space="preserve">一式五份，供需双方各执二份，见证方一份。</w:t>
      </w:r>
      <w:r/>
    </w:p>
    <w:p>
      <w:pPr>
        <w:rPr>
          <w:rFonts w:ascii="宋体" w:hAnsi="宋体" w:cs="宋体"/>
          <w:color w:val="auto"/>
          <w:sz w:val="24"/>
          <w:highlight w:val="none"/>
          <w:lang w:val="zh-CN"/>
        </w:rPr>
      </w:pPr>
      <w:r>
        <w:rPr>
          <w:rFonts w:hint="eastAsia" w:ascii="宋体" w:hAnsi="宋体" w:cs="宋体"/>
          <w:color w:val="auto"/>
          <w:sz w:val="24"/>
          <w:highlight w:val="none"/>
          <w:lang w:val="zh-CN"/>
        </w:rPr>
        <w:br w:type="page" w:clear="all"/>
      </w:r>
      <w:r/>
    </w:p>
    <w:p>
      <w:pPr>
        <w:jc w:val="center"/>
        <w:rPr>
          <w:rFonts w:ascii="黑体" w:eastAsia="黑体"/>
          <w:bCs/>
          <w:color w:val="auto"/>
          <w:sz w:val="28"/>
          <w:szCs w:val="28"/>
          <w:highlight w:val="none"/>
        </w:rPr>
        <w:outlineLvl w:val="0"/>
      </w:pPr>
      <w:r/>
      <w:bookmarkStart w:id="17" w:name="_Toc4558"/>
      <w:r/>
      <w:bookmarkStart w:id="18" w:name="_Toc26767"/>
      <w:r>
        <w:rPr>
          <w:rFonts w:hint="eastAsia" w:ascii="黑体" w:eastAsia="黑体"/>
          <w:bCs/>
          <w:color w:val="auto"/>
          <w:sz w:val="28"/>
          <w:szCs w:val="28"/>
          <w:highlight w:val="none"/>
        </w:rPr>
        <w:t xml:space="preserve">六.附件</w:t>
      </w:r>
      <w:bookmarkEnd w:id="17"/>
      <w:r/>
      <w:bookmarkEnd w:id="18"/>
      <w:r/>
      <w:r/>
    </w:p>
    <w:p>
      <w:pPr>
        <w:ind w:firstLine="480"/>
        <w:jc w:val="left"/>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附件一：评分标准</w:t>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一标段：</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（一）评分项目及分值（总分100分）</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lang w:bidi="ar"/>
        </w:rPr>
        <w:t xml:space="preserve">1.投标报价                                     30分</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lang w:bidi="ar"/>
        </w:rPr>
        <w:t xml:space="preserve">2.投标供应商评价                               </w:t>
      </w:r>
      <w:r>
        <w:rPr>
          <w:rFonts w:hint="eastAsia" w:ascii="宋体" w:hAnsi="宋体" w:cs="宋体"/>
          <w:b/>
          <w:color w:val="auto"/>
          <w:sz w:val="24"/>
          <w:szCs w:val="24"/>
          <w:highlight w:val="none"/>
          <w:lang w:bidi="ar"/>
        </w:rPr>
        <w:t xml:space="preserve">10</w:t>
      </w:r>
      <w:r>
        <w:rPr>
          <w:rFonts w:hint="eastAsia" w:ascii="宋体" w:hAnsi="宋体" w:cs="宋体"/>
          <w:b/>
          <w:color w:val="auto"/>
          <w:sz w:val="24"/>
          <w:szCs w:val="24"/>
          <w:highlight w:val="none"/>
          <w:lang w:bidi="ar"/>
        </w:rPr>
        <w:t xml:space="preserve">分</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lang w:bidi="ar"/>
        </w:rPr>
        <w:t xml:space="preserve">3.技术文件                                     </w:t>
      </w:r>
      <w:r>
        <w:rPr>
          <w:rFonts w:hint="eastAsia" w:ascii="宋体" w:hAnsi="宋体" w:cs="宋体"/>
          <w:b/>
          <w:color w:val="auto"/>
          <w:sz w:val="24"/>
          <w:szCs w:val="24"/>
          <w:highlight w:val="none"/>
          <w:lang w:bidi="ar"/>
        </w:rPr>
        <w:t xml:space="preserve">60</w:t>
      </w:r>
      <w:r>
        <w:rPr>
          <w:rFonts w:hint="eastAsia" w:ascii="宋体" w:hAnsi="宋体" w:cs="宋体"/>
          <w:b/>
          <w:color w:val="auto"/>
          <w:sz w:val="24"/>
          <w:szCs w:val="24"/>
          <w:highlight w:val="none"/>
          <w:lang w:bidi="ar"/>
        </w:rPr>
        <w:t xml:space="preserve">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（二）各项目评分标准</w:t>
      </w:r>
      <w:r/>
    </w:p>
    <w:p>
      <w:pPr>
        <w:ind w:firstLine="482"/>
        <w:jc w:val="left"/>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1.投标报价（30分）</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采用低价优先法计算，即满足招标文件要求且投标价格最低的投标报价为评标基准价，其价格分为满分。其他投标供应商的价格分统一按照下列公式计算：</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投标报价得分=（评标基准价／投标报价）×价格权值×100。</w:t>
      </w:r>
      <w:r/>
    </w:p>
    <w:p>
      <w:pPr>
        <w:ind w:firstLine="482"/>
        <w:spacing w:line="360" w:lineRule="auto"/>
        <w:tabs>
          <w:tab w:val="left" w:pos="420" w:leader="none"/>
          <w:tab w:val="left" w:pos="945" w:leader="none"/>
          <w:tab w:val="left" w:pos="1155"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2.投标供应商评价（</w:t>
      </w:r>
      <w:r>
        <w:rPr>
          <w:rFonts w:hint="eastAsia" w:ascii="宋体" w:hAnsi="宋体" w:cs="宋体"/>
          <w:b/>
          <w:bCs/>
          <w:color w:val="auto"/>
          <w:sz w:val="24"/>
          <w:szCs w:val="24"/>
          <w:highlight w:val="none"/>
          <w:lang w:bidi="ar"/>
        </w:rPr>
        <w:t xml:space="preserve">10分</w:t>
      </w:r>
      <w:r>
        <w:rPr>
          <w:rFonts w:hint="eastAsia" w:ascii="宋体" w:hAnsi="宋体" w:cs="宋体"/>
          <w:b/>
          <w:bCs/>
          <w:color w:val="auto"/>
          <w:sz w:val="24"/>
          <w:szCs w:val="24"/>
          <w:highlight w:val="none"/>
          <w:lang w:bidi="ar"/>
        </w:rPr>
        <w:t xml:space="preserve">）</w:t>
      </w:r>
      <w:r/>
    </w:p>
    <w:p>
      <w:pPr>
        <w:ind w:firstLine="480"/>
        <w:spacing w:line="360" w:lineRule="auto"/>
        <w:rPr>
          <w:rFonts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t xml:space="preserve">（1）投标供应商自</w:t>
      </w:r>
      <w:r>
        <w:rPr>
          <w:rFonts w:hint="eastAsia" w:ascii="宋体" w:hAnsi="宋体" w:cs="宋体"/>
          <w:color w:val="auto"/>
          <w:sz w:val="24"/>
          <w:szCs w:val="24"/>
          <w:highlight w:val="none"/>
          <w:shd w:val="clear" w:color="auto" w:fill="ffffff"/>
          <w:lang w:bidi="ar"/>
        </w:rPr>
        <w:t xml:space="preserve">2024年10月</w:t>
      </w:r>
      <w:r>
        <w:rPr>
          <w:rFonts w:hint="eastAsia" w:ascii="宋体" w:hAnsi="宋体" w:cs="宋体"/>
          <w:color w:val="auto"/>
          <w:sz w:val="24"/>
          <w:szCs w:val="24"/>
          <w:highlight w:val="none"/>
          <w:shd w:val="clear" w:color="auto" w:fill="ffffff"/>
          <w:lang w:bidi="ar"/>
        </w:rPr>
        <w:t xml:space="preserve">1日（以合同签订日期为准）以来承担过</w:t>
      </w:r>
      <w:r>
        <w:rPr>
          <w:rFonts w:hint="eastAsia" w:ascii="宋体" w:hAnsi="宋体" w:cs="宋体"/>
          <w:color w:val="auto"/>
          <w:sz w:val="24"/>
          <w:szCs w:val="24"/>
          <w:highlight w:val="none"/>
          <w:shd w:val="clear" w:color="auto" w:fill="ffffff"/>
          <w:lang w:bidi="ar"/>
        </w:rPr>
        <w:t xml:space="preserve">环境类运维</w:t>
      </w:r>
      <w:r>
        <w:rPr>
          <w:rFonts w:hint="eastAsia" w:ascii="宋体" w:hAnsi="宋体" w:cs="宋体"/>
          <w:color w:val="auto"/>
          <w:sz w:val="24"/>
          <w:szCs w:val="24"/>
          <w:highlight w:val="none"/>
          <w:shd w:val="clear" w:color="auto" w:fill="ffffff"/>
          <w:lang w:bidi="ar"/>
        </w:rPr>
        <w:t xml:space="preserve">项目的，每提供1份有效业绩得</w:t>
      </w:r>
      <w:r>
        <w:rPr>
          <w:rFonts w:hint="eastAsia" w:ascii="宋体" w:hAnsi="宋体" w:cs="宋体"/>
          <w:color w:val="auto"/>
          <w:sz w:val="24"/>
          <w:szCs w:val="24"/>
          <w:highlight w:val="none"/>
          <w:shd w:val="clear" w:color="auto" w:fill="ffffff"/>
          <w:lang w:bidi="ar"/>
        </w:rPr>
        <w:t xml:space="preserve">3分，本项最高得6分【提供业绩合同原件扫描件加盖投标单位公章</w:t>
      </w:r>
      <w:r>
        <w:rPr>
          <w:rFonts w:hint="eastAsia" w:ascii="宋体" w:hAnsi="宋体" w:cs="宋体"/>
          <w:color w:val="auto"/>
          <w:sz w:val="24"/>
          <w:szCs w:val="24"/>
          <w:highlight w:val="none"/>
          <w:shd w:val="clear" w:color="auto" w:fill="ffffff"/>
          <w:lang w:bidi="ar"/>
        </w:rPr>
        <w:t xml:space="preserve">上传至电子投标文件</w:t>
      </w:r>
      <w:r>
        <w:rPr>
          <w:rFonts w:hint="eastAsia" w:ascii="宋体" w:hAnsi="宋体" w:cs="宋体"/>
          <w:color w:val="auto"/>
          <w:sz w:val="24"/>
          <w:szCs w:val="24"/>
          <w:highlight w:val="none"/>
          <w:shd w:val="clear" w:color="auto" w:fill="ffffff"/>
          <w:lang w:bidi="ar"/>
        </w:rPr>
        <w:t xml:space="preserve">，业绩合同中单位名称应当与报价人名称一致，同一发包人的合同不重复得分，未按要求提供不得分</w:t>
      </w:r>
      <w:r>
        <w:rPr>
          <w:rFonts w:hint="eastAsia" w:ascii="宋体" w:hAnsi="宋体" w:cs="宋体"/>
          <w:color w:val="auto"/>
          <w:sz w:val="24"/>
          <w:szCs w:val="24"/>
          <w:highlight w:val="none"/>
          <w:shd w:val="clear" w:color="auto" w:fill="ffffff"/>
          <w:lang w:bidi="ar"/>
        </w:rPr>
        <w:t xml:space="preserve">】</w:t>
      </w:r>
      <w:r/>
    </w:p>
    <w:p>
      <w:pPr>
        <w:ind w:firstLine="480"/>
        <w:spacing w:line="360" w:lineRule="auto"/>
        <w:rPr>
          <w:rFonts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t xml:space="preserve">（2）</w:t>
      </w:r>
      <w:r>
        <w:rPr>
          <w:rFonts w:hint="eastAsia" w:ascii="宋体" w:hAnsi="宋体" w:cs="宋体"/>
          <w:color w:val="auto"/>
          <w:sz w:val="24"/>
          <w:szCs w:val="24"/>
          <w:highlight w:val="none"/>
          <w:shd w:val="clear" w:color="auto" w:fill="ffffff"/>
          <w:lang w:bidi="ar"/>
        </w:rPr>
        <w:t xml:space="preserve">供应商配备的专职技术人员具有环境专业</w:t>
      </w:r>
      <w:r>
        <w:rPr>
          <w:rFonts w:hint="eastAsia" w:ascii="宋体" w:hAnsi="宋体" w:cs="宋体"/>
          <w:color w:val="auto"/>
          <w:sz w:val="24"/>
          <w:szCs w:val="24"/>
          <w:highlight w:val="none"/>
          <w:shd w:val="clear" w:color="auto" w:fill="ffffff"/>
          <w:lang w:bidi="ar"/>
        </w:rPr>
        <w:t xml:space="preserve">本科以上学历</w:t>
      </w:r>
      <w:r>
        <w:rPr>
          <w:rFonts w:hint="eastAsia" w:ascii="宋体" w:hAnsi="宋体" w:cs="宋体"/>
          <w:color w:val="auto"/>
          <w:sz w:val="24"/>
          <w:szCs w:val="24"/>
          <w:highlight w:val="none"/>
          <w:shd w:val="clear" w:color="auto" w:fill="ffffff"/>
          <w:lang w:bidi="ar"/>
        </w:rPr>
        <w:t xml:space="preserve">的得2分，</w:t>
      </w:r>
      <w:r>
        <w:rPr>
          <w:rFonts w:hint="eastAsia" w:ascii="宋体" w:hAnsi="宋体" w:cs="宋体"/>
          <w:color w:val="auto"/>
          <w:sz w:val="24"/>
          <w:szCs w:val="24"/>
          <w:highlight w:val="none"/>
          <w:shd w:val="clear" w:color="auto" w:fill="ffffff"/>
          <w:lang w:bidi="ar"/>
        </w:rPr>
        <w:t xml:space="preserve">本项最高得2分</w:t>
      </w:r>
      <w:r>
        <w:rPr>
          <w:rFonts w:hint="eastAsia" w:ascii="宋体" w:hAnsi="宋体" w:cs="宋体"/>
          <w:color w:val="auto"/>
          <w:sz w:val="24"/>
          <w:szCs w:val="24"/>
          <w:highlight w:val="none"/>
          <w:shd w:val="clear" w:color="auto" w:fill="ffffff"/>
          <w:lang w:bidi="ar"/>
        </w:rPr>
        <w:t xml:space="preserve">【需提供人员名单、毕业证书和近一年内任意一个月</w:t>
      </w:r>
      <w:r>
        <w:rPr>
          <w:rFonts w:hint="eastAsia" w:ascii="宋体" w:hAnsi="宋体" w:cs="宋体"/>
          <w:color w:val="auto"/>
          <w:sz w:val="24"/>
          <w:szCs w:val="24"/>
          <w:highlight w:val="none"/>
          <w:shd w:val="clear" w:color="auto" w:fill="ffffff"/>
          <w:lang w:eastAsia="zh-CN" w:bidi="ar"/>
        </w:rPr>
        <w:t xml:space="preserve">（</w:t>
      </w:r>
      <w:r>
        <w:rPr>
          <w:rFonts w:hint="eastAsia" w:ascii="宋体" w:hAnsi="宋体" w:cs="宋体"/>
          <w:color w:val="auto"/>
          <w:sz w:val="24"/>
          <w:szCs w:val="24"/>
          <w:highlight w:val="none"/>
          <w:shd w:val="clear" w:color="auto" w:fill="ffffff"/>
          <w:lang w:bidi="ar"/>
        </w:rPr>
        <w:t xml:space="preserve">不含投标当月</w:t>
      </w:r>
      <w:r>
        <w:rPr>
          <w:rFonts w:hint="eastAsia" w:ascii="宋体" w:hAnsi="宋体" w:cs="宋体"/>
          <w:color w:val="auto"/>
          <w:sz w:val="24"/>
          <w:szCs w:val="24"/>
          <w:highlight w:val="none"/>
          <w:shd w:val="clear" w:color="auto" w:fill="ffffff"/>
          <w:lang w:eastAsia="zh-CN" w:bidi="ar"/>
        </w:rPr>
        <w:t xml:space="preserve">）</w:t>
      </w:r>
      <w:r>
        <w:rPr>
          <w:rFonts w:hint="eastAsia" w:ascii="宋体" w:hAnsi="宋体" w:cs="宋体"/>
          <w:color w:val="auto"/>
          <w:sz w:val="24"/>
          <w:szCs w:val="24"/>
          <w:highlight w:val="none"/>
          <w:shd w:val="clear" w:color="auto" w:fill="ffffff"/>
          <w:lang w:bidi="ar"/>
        </w:rPr>
        <w:t xml:space="preserve">的社保证明原件扫描件加盖投标单位公章</w:t>
      </w:r>
      <w:r>
        <w:rPr>
          <w:rFonts w:hint="eastAsia" w:ascii="宋体" w:hAnsi="宋体" w:cs="宋体"/>
          <w:color w:val="auto"/>
          <w:sz w:val="24"/>
          <w:szCs w:val="24"/>
          <w:highlight w:val="none"/>
          <w:shd w:val="clear" w:color="auto" w:fill="ffffff"/>
          <w:lang w:bidi="ar"/>
        </w:rPr>
        <w:t xml:space="preserve">上传至电子投标文件</w:t>
      </w:r>
      <w:r>
        <w:rPr>
          <w:rFonts w:hint="eastAsia" w:ascii="宋体" w:hAnsi="宋体" w:cs="宋体"/>
          <w:color w:val="auto"/>
          <w:sz w:val="24"/>
          <w:szCs w:val="24"/>
          <w:highlight w:val="none"/>
          <w:shd w:val="clear" w:color="auto" w:fill="ffffff"/>
          <w:lang w:bidi="ar"/>
        </w:rPr>
        <w:t xml:space="preserve">，</w:t>
      </w:r>
      <w:r>
        <w:rPr>
          <w:rFonts w:hint="eastAsia" w:ascii="宋体" w:hAnsi="宋体" w:cs="宋体"/>
          <w:color w:val="auto"/>
          <w:sz w:val="24"/>
          <w:szCs w:val="24"/>
          <w:highlight w:val="none"/>
          <w:shd w:val="clear" w:color="auto" w:fill="ffffff"/>
          <w:lang w:bidi="ar"/>
        </w:rPr>
        <w:t xml:space="preserve">未按要求提供不得分</w:t>
      </w:r>
      <w:r>
        <w:rPr>
          <w:rFonts w:hint="eastAsia" w:ascii="宋体" w:hAnsi="宋体" w:cs="宋体"/>
          <w:color w:val="auto"/>
          <w:sz w:val="24"/>
          <w:szCs w:val="24"/>
          <w:highlight w:val="none"/>
          <w:shd w:val="clear" w:color="auto" w:fill="ffffff"/>
          <w:lang w:bidi="ar"/>
        </w:rPr>
        <w:t xml:space="preserve">】</w:t>
      </w:r>
      <w:r/>
    </w:p>
    <w:p>
      <w:pPr>
        <w:ind w:firstLine="480"/>
        <w:spacing w:line="360" w:lineRule="auto"/>
        <w:rPr>
          <w:rFonts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t xml:space="preserve">（3）</w:t>
      </w:r>
      <w:r>
        <w:rPr>
          <w:rFonts w:hint="eastAsia" w:ascii="宋体" w:hAnsi="宋体" w:cs="宋体"/>
          <w:color w:val="auto"/>
          <w:sz w:val="24"/>
          <w:szCs w:val="24"/>
          <w:highlight w:val="none"/>
          <w:shd w:val="clear" w:color="auto" w:fill="ffffff"/>
          <w:lang w:bidi="ar"/>
        </w:rPr>
        <w:t xml:space="preserve">现场技术团队具有安全员证书的得2分，本项最高得2分【提供投标人为以上人员</w:t>
      </w:r>
      <w:r>
        <w:rPr>
          <w:rFonts w:hint="eastAsia" w:ascii="宋体" w:hAnsi="宋体" w:cs="宋体"/>
          <w:color w:val="auto"/>
          <w:sz w:val="24"/>
          <w:szCs w:val="24"/>
          <w:highlight w:val="none"/>
          <w:shd w:val="clear" w:color="auto" w:fill="ffffff"/>
          <w:lang w:bidi="ar"/>
        </w:rPr>
        <w:t xml:space="preserve">近一年内任意一个月</w:t>
      </w:r>
      <w:r>
        <w:rPr>
          <w:rFonts w:hint="eastAsia" w:ascii="宋体" w:hAnsi="宋体" w:cs="宋体"/>
          <w:color w:val="auto"/>
          <w:sz w:val="24"/>
          <w:szCs w:val="24"/>
          <w:highlight w:val="none"/>
          <w:shd w:val="clear" w:color="auto" w:fill="ffffff"/>
          <w:lang w:eastAsia="zh-CN" w:bidi="ar"/>
        </w:rPr>
        <w:t xml:space="preserve">（</w:t>
      </w:r>
      <w:r>
        <w:rPr>
          <w:rFonts w:hint="eastAsia" w:ascii="宋体" w:hAnsi="宋体" w:cs="宋体"/>
          <w:color w:val="auto"/>
          <w:sz w:val="24"/>
          <w:szCs w:val="24"/>
          <w:highlight w:val="none"/>
          <w:shd w:val="clear" w:color="auto" w:fill="ffffff"/>
          <w:lang w:bidi="ar"/>
        </w:rPr>
        <w:t xml:space="preserve">不含投标当月</w:t>
      </w:r>
      <w:r>
        <w:rPr>
          <w:rFonts w:hint="eastAsia" w:ascii="宋体" w:hAnsi="宋体" w:cs="宋体"/>
          <w:color w:val="auto"/>
          <w:sz w:val="24"/>
          <w:szCs w:val="24"/>
          <w:highlight w:val="none"/>
          <w:shd w:val="clear" w:color="auto" w:fill="ffffff"/>
          <w:lang w:eastAsia="zh-CN" w:bidi="ar"/>
        </w:rPr>
        <w:t xml:space="preserve">）</w:t>
      </w:r>
      <w:r>
        <w:rPr>
          <w:rFonts w:hint="eastAsia" w:ascii="宋体" w:hAnsi="宋体" w:cs="宋体"/>
          <w:color w:val="auto"/>
          <w:sz w:val="24"/>
          <w:szCs w:val="24"/>
          <w:highlight w:val="none"/>
          <w:shd w:val="clear" w:color="auto" w:fill="ffffff"/>
          <w:lang w:bidi="ar"/>
        </w:rPr>
        <w:t xml:space="preserve">的社保证明</w:t>
      </w:r>
      <w:r>
        <w:rPr>
          <w:rFonts w:hint="eastAsia" w:ascii="宋体" w:hAnsi="宋体" w:cs="宋体"/>
          <w:color w:val="auto"/>
          <w:sz w:val="24"/>
          <w:szCs w:val="24"/>
          <w:highlight w:val="none"/>
          <w:shd w:val="clear" w:color="auto" w:fill="ffffff"/>
          <w:lang w:bidi="ar"/>
        </w:rPr>
        <w:t xml:space="preserve">的证明、以上人员的相关证书扫描件</w:t>
      </w:r>
      <w:r>
        <w:rPr>
          <w:rFonts w:hint="eastAsia" w:ascii="宋体" w:hAnsi="宋体" w:cs="宋体"/>
          <w:color w:val="auto"/>
          <w:sz w:val="24"/>
          <w:szCs w:val="24"/>
          <w:highlight w:val="none"/>
          <w:shd w:val="clear" w:color="auto" w:fill="ffffff"/>
          <w:lang w:bidi="ar"/>
        </w:rPr>
        <w:t xml:space="preserve">加盖投标单位公章</w:t>
      </w:r>
      <w:r>
        <w:rPr>
          <w:rFonts w:hint="eastAsia" w:ascii="宋体" w:hAnsi="宋体" w:cs="宋体"/>
          <w:color w:val="auto"/>
          <w:sz w:val="24"/>
          <w:szCs w:val="24"/>
          <w:highlight w:val="none"/>
          <w:shd w:val="clear" w:color="auto" w:fill="ffffff"/>
          <w:lang w:bidi="ar"/>
        </w:rPr>
        <w:t xml:space="preserve">上传至电子投标文件，未按要求提供不得分】</w:t>
      </w:r>
      <w:r/>
    </w:p>
    <w:p>
      <w:pPr>
        <w:ind w:firstLine="482"/>
        <w:spacing w:line="360" w:lineRule="auto"/>
        <w:tabs>
          <w:tab w:val="left" w:pos="945" w:leader="none"/>
          <w:tab w:val="left" w:pos="1155" w:leader="none"/>
          <w:tab w:val="left" w:pos="2250" w:leader="none"/>
        </w:tabs>
        <w:rPr>
          <w:rFonts w:ascii="宋体" w:hAnsi="宋体"/>
          <w:b/>
          <w:color w:val="auto"/>
          <w:sz w:val="24"/>
          <w:szCs w:val="24"/>
          <w:highlight w:val="none"/>
        </w:rPr>
      </w:pPr>
      <w:r>
        <w:rPr>
          <w:rFonts w:hint="eastAsia" w:ascii="宋体" w:hAnsi="宋体" w:cs="宋体"/>
          <w:b/>
          <w:bCs/>
          <w:color w:val="auto"/>
          <w:sz w:val="24"/>
          <w:szCs w:val="24"/>
          <w:highlight w:val="none"/>
          <w:lang w:bidi="ar"/>
        </w:rPr>
        <w:t xml:space="preserve">3.</w:t>
      </w:r>
      <w:r>
        <w:rPr>
          <w:rFonts w:hint="eastAsia" w:ascii="宋体" w:hAnsi="宋体"/>
          <w:b/>
          <w:color w:val="auto"/>
          <w:sz w:val="24"/>
          <w:szCs w:val="24"/>
          <w:highlight w:val="none"/>
        </w:rPr>
        <w:t xml:space="preserve">技术方案（</w:t>
      </w:r>
      <w:r>
        <w:rPr>
          <w:rFonts w:hint="eastAsia" w:ascii="宋体" w:hAnsi="宋体"/>
          <w:b/>
          <w:color w:val="auto"/>
          <w:sz w:val="24"/>
          <w:szCs w:val="24"/>
          <w:highlight w:val="none"/>
        </w:rPr>
        <w:t xml:space="preserve">60分</w:t>
      </w:r>
      <w:r>
        <w:rPr>
          <w:rFonts w:hint="eastAsia" w:ascii="宋体" w:hAnsi="宋体"/>
          <w:b/>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（1）技术服务方案（24分）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1）整体技术服务方案的设计、服务关键点的应对或措施（10分）</w:t>
      </w:r>
      <w:r/>
    </w:p>
    <w:p>
      <w:pPr>
        <w:ind w:firstLine="480"/>
        <w:spacing w:line="360" w:lineRule="auto"/>
        <w:rPr>
          <w:b/>
          <w:color w:val="auto"/>
          <w:sz w:val="24"/>
          <w:szCs w:val="24"/>
          <w:highlight w:val="none"/>
        </w:rPr>
      </w:pPr>
      <w:r>
        <w:rPr>
          <w:rFonts w:ascii="宋体" w:hAnsi="宋体"/>
          <w:bCs/>
          <w:color w:val="auto"/>
          <w:sz w:val="24"/>
          <w:szCs w:val="24"/>
          <w:highlight w:val="none"/>
        </w:rPr>
        <w:t xml:space="preserve">要求：</w:t>
      </w:r>
      <w:r>
        <w:rPr>
          <w:rFonts w:hint="eastAsia" w:ascii="宋体" w:hAnsi="宋体"/>
          <w:bCs/>
          <w:color w:val="auto"/>
          <w:sz w:val="24"/>
          <w:szCs w:val="24"/>
          <w:highlight w:val="none"/>
        </w:rPr>
        <w:t xml:space="preserve">内容</w:t>
      </w:r>
      <w:r>
        <w:rPr>
          <w:rFonts w:ascii="宋体" w:hAnsi="宋体"/>
          <w:bCs/>
          <w:color w:val="auto"/>
          <w:sz w:val="24"/>
          <w:szCs w:val="24"/>
          <w:highlight w:val="none"/>
        </w:rPr>
        <w:t xml:space="preserve">详细、具体、合理。按照下列评分幅度对该项进行评分</w:t>
      </w:r>
      <w:r>
        <w:rPr>
          <w:rFonts w:hint="eastAsia" w:ascii="宋体" w:hAnsi="宋体"/>
          <w:bCs/>
          <w:color w:val="auto"/>
          <w:sz w:val="24"/>
          <w:szCs w:val="24"/>
          <w:highlight w:val="none"/>
        </w:rPr>
        <w:t xml:space="preserve">：</w:t>
      </w:r>
      <w:r>
        <w:rPr>
          <w:rFonts w:hint="eastAsia" w:ascii="宋体" w:hAnsi="宋体" w:cs="宋体"/>
          <w:color w:val="auto"/>
          <w:sz w:val="24"/>
          <w:szCs w:val="24"/>
          <w:highlight w:val="none"/>
        </w:rPr>
        <w:t xml:space="preserve">各项措施系统、清晰，针对性强，得10分；各项措施较完整、具体，具有一定的针对性，得8分；措施简单，具有一定改进空间的，得6分；措施粗糙，针对性不强的，得4分；未提供相关方案或无法满足项目要求的，不得分。</w:t>
      </w:r>
      <w:r/>
    </w:p>
    <w:p>
      <w:pPr>
        <w:numPr>
          <w:ilvl w:val="0"/>
          <w:numId w:val="14"/>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报告制度（7分）</w:t>
      </w:r>
      <w:r/>
    </w:p>
    <w:p>
      <w:pPr>
        <w:ind w:firstLine="480"/>
        <w:spacing w:line="360" w:lineRule="auto"/>
        <w:rPr>
          <w:color w:val="auto"/>
          <w:sz w:val="24"/>
          <w:szCs w:val="24"/>
          <w:highlight w:val="none"/>
        </w:rPr>
      </w:pPr>
      <w:r>
        <w:rPr>
          <w:rFonts w:ascii="宋体" w:hAnsi="宋体"/>
          <w:bCs/>
          <w:color w:val="auto"/>
          <w:sz w:val="24"/>
          <w:szCs w:val="24"/>
          <w:highlight w:val="none"/>
        </w:rPr>
        <w:t xml:space="preserve">要求：</w:t>
      </w:r>
      <w:r>
        <w:rPr>
          <w:rFonts w:hint="eastAsia" w:ascii="宋体" w:hAnsi="宋体"/>
          <w:bCs/>
          <w:color w:val="auto"/>
          <w:sz w:val="24"/>
          <w:szCs w:val="24"/>
          <w:highlight w:val="none"/>
        </w:rPr>
        <w:t xml:space="preserve">内容</w:t>
      </w:r>
      <w:r>
        <w:rPr>
          <w:rFonts w:ascii="宋体" w:hAnsi="宋体"/>
          <w:bCs/>
          <w:color w:val="auto"/>
          <w:sz w:val="24"/>
          <w:szCs w:val="24"/>
          <w:highlight w:val="none"/>
        </w:rPr>
        <w:t xml:space="preserve">详细、具体、合理。按照下列评分幅度对该项进行评分</w:t>
      </w:r>
      <w:r>
        <w:rPr>
          <w:rFonts w:hint="eastAsia" w:ascii="宋体" w:hAnsi="宋体"/>
          <w:bCs/>
          <w:color w:val="auto"/>
          <w:sz w:val="24"/>
          <w:szCs w:val="24"/>
          <w:highlight w:val="none"/>
        </w:rPr>
        <w:t xml:space="preserve">：</w:t>
      </w:r>
      <w:r>
        <w:rPr>
          <w:rFonts w:hint="eastAsia" w:ascii="宋体" w:hAnsi="宋体" w:cs="宋体"/>
          <w:color w:val="auto"/>
          <w:sz w:val="24"/>
          <w:szCs w:val="24"/>
          <w:highlight w:val="none"/>
        </w:rPr>
        <w:t xml:space="preserve">方案系统、清晰，针对性强，有其独特的能力优势的，得7分；方案较完整、具体，具有一定的针对性，得5分；方案简单，针对性一般，得3分；方案粗糙，针对性不强的，得1分；未提供相关方案或无法满足项目要求的，不得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3）应急方案（7分）</w:t>
      </w:r>
      <w:r/>
    </w:p>
    <w:p>
      <w:pPr>
        <w:ind w:firstLine="480"/>
        <w:spacing w:line="360" w:lineRule="auto"/>
        <w:rPr>
          <w:rFonts w:ascii="宋体" w:hAnsi="宋体" w:cs="宋体"/>
          <w:color w:val="auto"/>
          <w:sz w:val="24"/>
          <w:szCs w:val="24"/>
          <w:highlight w:val="none"/>
        </w:rPr>
      </w:pPr>
      <w:r>
        <w:rPr>
          <w:rFonts w:ascii="宋体" w:hAnsi="宋体"/>
          <w:bCs/>
          <w:color w:val="auto"/>
          <w:sz w:val="24"/>
          <w:szCs w:val="24"/>
          <w:highlight w:val="none"/>
        </w:rPr>
        <w:t xml:space="preserve">要求：</w:t>
      </w:r>
      <w:r>
        <w:rPr>
          <w:rFonts w:hint="eastAsia" w:ascii="宋体" w:hAnsi="宋体"/>
          <w:bCs/>
          <w:color w:val="auto"/>
          <w:sz w:val="24"/>
          <w:szCs w:val="24"/>
          <w:highlight w:val="none"/>
        </w:rPr>
        <w:t xml:space="preserve">内容</w:t>
      </w:r>
      <w:r>
        <w:rPr>
          <w:rFonts w:ascii="宋体" w:hAnsi="宋体"/>
          <w:bCs/>
          <w:color w:val="auto"/>
          <w:sz w:val="24"/>
          <w:szCs w:val="24"/>
          <w:highlight w:val="none"/>
        </w:rPr>
        <w:t xml:space="preserve">详细、具体、合理。按照下列评分幅度对该项进行评分</w:t>
      </w:r>
      <w:r>
        <w:rPr>
          <w:rFonts w:hint="eastAsia" w:ascii="宋体" w:hAnsi="宋体"/>
          <w:bCs/>
          <w:color w:val="auto"/>
          <w:sz w:val="24"/>
          <w:szCs w:val="24"/>
          <w:highlight w:val="none"/>
        </w:rPr>
        <w:t xml:space="preserve">：</w:t>
      </w:r>
      <w:r>
        <w:rPr>
          <w:rFonts w:hint="eastAsia" w:ascii="宋体" w:hAnsi="宋体" w:cs="宋体"/>
          <w:color w:val="auto"/>
          <w:sz w:val="24"/>
          <w:szCs w:val="24"/>
          <w:highlight w:val="none"/>
        </w:rPr>
        <w:t xml:space="preserve">方案系统、清晰，针对性强，有其独特的能力优势的，得7分；方案较完整、具体，具有一定的针对性，得5分；方案简单，针对性一般，得3分；方案粗糙，针对性不强的，得1分；未提供相关方案或无法满足项目要求的，不得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（2）项目实施管理及质量保障措施（17分）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1）项目实施管理措施（10分）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要求：内容详细、具体、合理。按照下列评分幅度对该项进行评分：各项措施系统、清晰，针对性强，得10分；各项措施较完整、具体，具有一定的针对性，得8分；措施简单，具有一定改进空间的，得6分；措施粗糙，针对性不强的，得4分；未提供相关方案或无法满足项目要求的，不得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2）质量保障措施（7分）</w:t>
      </w:r>
      <w:r/>
    </w:p>
    <w:p>
      <w:pPr>
        <w:ind w:firstLine="480"/>
        <w:spacing w:line="360" w:lineRule="auto"/>
        <w:rPr>
          <w:rFonts w:ascii="宋体" w:hAnsi="宋体" w:cs="宋体"/>
          <w:color w:val="auto"/>
          <w:sz w:val="24"/>
          <w:szCs w:val="24"/>
          <w:highlight w:val="none"/>
        </w:rPr>
      </w:pPr>
      <w:r>
        <w:rPr>
          <w:rFonts w:ascii="宋体" w:hAnsi="宋体"/>
          <w:bCs/>
          <w:color w:val="auto"/>
          <w:sz w:val="24"/>
          <w:szCs w:val="24"/>
          <w:highlight w:val="none"/>
        </w:rPr>
        <w:t xml:space="preserve">要求：</w:t>
      </w:r>
      <w:r>
        <w:rPr>
          <w:rFonts w:hint="eastAsia" w:ascii="宋体" w:hAnsi="宋体"/>
          <w:bCs/>
          <w:color w:val="auto"/>
          <w:sz w:val="24"/>
          <w:szCs w:val="24"/>
          <w:highlight w:val="none"/>
        </w:rPr>
        <w:t xml:space="preserve">内容</w:t>
      </w:r>
      <w:r>
        <w:rPr>
          <w:rFonts w:ascii="宋体" w:hAnsi="宋体"/>
          <w:bCs/>
          <w:color w:val="auto"/>
          <w:sz w:val="24"/>
          <w:szCs w:val="24"/>
          <w:highlight w:val="none"/>
        </w:rPr>
        <w:t xml:space="preserve">详细、具体、合理。按照下列评分幅度对该项进行评分</w:t>
      </w:r>
      <w:r>
        <w:rPr>
          <w:rFonts w:hint="eastAsia" w:ascii="宋体" w:hAnsi="宋体"/>
          <w:bCs/>
          <w:color w:val="auto"/>
          <w:sz w:val="24"/>
          <w:szCs w:val="24"/>
          <w:highlight w:val="none"/>
        </w:rPr>
        <w:t xml:space="preserve">：</w:t>
      </w:r>
      <w:r>
        <w:rPr>
          <w:rFonts w:hint="eastAsia" w:ascii="宋体" w:hAnsi="宋体" w:cs="宋体"/>
          <w:color w:val="auto"/>
          <w:sz w:val="24"/>
          <w:szCs w:val="24"/>
          <w:highlight w:val="none"/>
        </w:rPr>
        <w:t xml:space="preserve">方案系统、清晰，针对性强，有其独特的能力优势的，得7分；方案较完整、具体，具有一定的针对性，得5分；方案简单，针对性一般，得3分；方案粗糙，针对性不强的，得1分；未提供相关方案或无法满足项目要求的，不得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（3）服务承诺及保密措施（7分）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包括是否针对采购人的实际需求提供延伸服务、便利服务等特色服务承诺</w:t>
      </w:r>
      <w:r/>
    </w:p>
    <w:p>
      <w:pPr>
        <w:ind w:firstLine="480"/>
        <w:spacing w:line="360" w:lineRule="auto"/>
        <w:rPr>
          <w:rFonts w:ascii="宋体" w:hAnsi="宋体" w:cs="宋体"/>
          <w:color w:val="auto"/>
          <w:sz w:val="24"/>
          <w:szCs w:val="24"/>
          <w:highlight w:val="none"/>
        </w:rPr>
      </w:pPr>
      <w:r>
        <w:rPr>
          <w:rFonts w:ascii="宋体" w:hAnsi="宋体"/>
          <w:bCs/>
          <w:color w:val="auto"/>
          <w:sz w:val="24"/>
          <w:szCs w:val="24"/>
          <w:highlight w:val="none"/>
        </w:rPr>
        <w:t xml:space="preserve">要求：</w:t>
      </w:r>
      <w:r>
        <w:rPr>
          <w:rFonts w:hint="eastAsia" w:ascii="宋体" w:hAnsi="宋体"/>
          <w:bCs/>
          <w:color w:val="auto"/>
          <w:sz w:val="24"/>
          <w:szCs w:val="24"/>
          <w:highlight w:val="none"/>
        </w:rPr>
        <w:t xml:space="preserve">内容</w:t>
      </w:r>
      <w:r>
        <w:rPr>
          <w:rFonts w:ascii="宋体" w:hAnsi="宋体"/>
          <w:bCs/>
          <w:color w:val="auto"/>
          <w:sz w:val="24"/>
          <w:szCs w:val="24"/>
          <w:highlight w:val="none"/>
        </w:rPr>
        <w:t xml:space="preserve">详细、具体、合理。按照下列评分幅度对该项进行评分</w:t>
      </w:r>
      <w:r>
        <w:rPr>
          <w:rFonts w:hint="eastAsia" w:ascii="宋体" w:hAnsi="宋体"/>
          <w:bCs/>
          <w:color w:val="auto"/>
          <w:sz w:val="24"/>
          <w:szCs w:val="24"/>
          <w:highlight w:val="none"/>
        </w:rPr>
        <w:t xml:space="preserve">：合理、可行、具体得7分；合理、可行、较具体得5分；合理、较可行、较具体得3分；较合理、较可行、较具体得1分</w:t>
      </w:r>
      <w:r>
        <w:rPr>
          <w:rFonts w:ascii="宋体" w:hAnsi="宋体"/>
          <w:bCs/>
          <w:color w:val="auto"/>
          <w:sz w:val="24"/>
          <w:szCs w:val="24"/>
          <w:highlight w:val="none"/>
        </w:rPr>
        <w:t xml:space="preserve">。</w:t>
      </w:r>
      <w:r>
        <w:rPr>
          <w:rFonts w:hint="eastAsia" w:ascii="宋体" w:hAnsi="宋体" w:cs="宋体"/>
          <w:color w:val="auto"/>
          <w:sz w:val="24"/>
          <w:szCs w:val="24"/>
          <w:highlight w:val="none"/>
        </w:rPr>
        <w:t xml:space="preserve">未提供，此项不得分。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（4）拟投入本项目的本地化服务能力、售后响应</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人员配置（12分）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评委根据供应商</w:t>
      </w:r>
      <w:r>
        <w:rPr>
          <w:rFonts w:hint="eastAsia" w:ascii="宋体" w:hAnsi="宋体"/>
          <w:bCs/>
          <w:color w:val="auto"/>
          <w:sz w:val="24"/>
          <w:szCs w:val="24"/>
          <w:highlight w:val="none"/>
          <w:lang w:val="en-US" w:eastAsia="zh-CN"/>
        </w:rPr>
        <w:t xml:space="preserve">的</w:t>
      </w:r>
      <w:r>
        <w:rPr>
          <w:rFonts w:hint="eastAsia" w:ascii="宋体" w:hAnsi="宋体"/>
          <w:bCs/>
          <w:color w:val="auto"/>
          <w:sz w:val="24"/>
          <w:szCs w:val="24"/>
          <w:highlight w:val="none"/>
        </w:rPr>
        <w:t xml:space="preserve">本地化服务能力打分，最高得6分：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为保障服务响应时效性，特别针对应急监测项目，投标供应商承诺项目实施后相关工作人员能在30分钟以内从驻地到达</w:t>
      </w:r>
      <w:r>
        <w:rPr>
          <w:rFonts w:hint="eastAsia" w:ascii="宋体" w:hAnsi="宋体"/>
          <w:color w:val="auto"/>
          <w:sz w:val="24"/>
          <w:szCs w:val="24"/>
          <w:highlight w:val="none"/>
        </w:rPr>
        <w:t xml:space="preserve">无锡市生态环境监测监控中心新吴分中心</w:t>
      </w:r>
      <w:r>
        <w:rPr>
          <w:rFonts w:hint="eastAsia" w:ascii="宋体" w:hAnsi="宋体"/>
          <w:bCs/>
          <w:color w:val="auto"/>
          <w:sz w:val="24"/>
          <w:szCs w:val="24"/>
          <w:highlight w:val="none"/>
        </w:rPr>
        <w:t xml:space="preserve">得6分；承诺1小时以内到达的得3分，承诺1.5小时以内到达的得1分。需提供可以证明人员所在居住地的有效材料和承诺时间到达的相关证明材料（包括驻地地址，出行方式、出发时间、到达时间等），未作说明及未提供承诺函的不得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评委根据供应商提供的售后响应、人员配置进行打分，最高得6分：</w:t>
      </w:r>
      <w:r/>
    </w:p>
    <w:p>
      <w:pPr>
        <w:ind w:firstLine="480"/>
        <w:spacing w:line="360" w:lineRule="auto"/>
        <w:rPr>
          <w:rFonts w:ascii="宋体" w:hAnsi="宋体" w:cs="宋体"/>
          <w:color w:val="auto"/>
          <w:sz w:val="24"/>
          <w:szCs w:val="24"/>
          <w:highlight w:val="none"/>
          <w:shd w:val="clear" w:color="auto" w:fill="ffffff"/>
          <w:lang w:bidi="ar"/>
        </w:rPr>
      </w:pPr>
      <w:r>
        <w:rPr>
          <w:rFonts w:hint="eastAsia" w:ascii="宋体" w:hAnsi="宋体"/>
          <w:bCs/>
          <w:color w:val="auto"/>
          <w:sz w:val="24"/>
          <w:szCs w:val="24"/>
          <w:highlight w:val="none"/>
        </w:rPr>
        <w:t xml:space="preserve">售后响应方案及项目人员配置合理完整，且有其独特的能力优势的得6分；售后响应方案及项目人员配置较少不合理得3分；无售后和人员方案的不得分。</w:t>
      </w:r>
      <w:r/>
    </w:p>
    <w:p>
      <w:pPr>
        <w:ind w:firstLine="482"/>
        <w:jc w:val="left"/>
        <w:spacing w:line="360" w:lineRule="auto"/>
        <w:tabs>
          <w:tab w:val="left" w:pos="1401" w:leader="none"/>
        </w:tabs>
        <w:rPr>
          <w:rFonts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未列入本评分细则的其他条件不作为评分内容。</w:t>
      </w:r>
      <w:r/>
    </w:p>
    <w:p>
      <w:pPr>
        <w:rPr>
          <w:rFonts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br w:type="page" w:clear="all"/>
      </w:r>
      <w:r/>
    </w:p>
    <w:p>
      <w:pPr>
        <w:jc w:val="left"/>
        <w:spacing w:line="360" w:lineRule="auto"/>
        <w:tabs>
          <w:tab w:val="left" w:pos="1401" w:leader="none"/>
        </w:tabs>
        <w:rPr>
          <w:rFonts w:ascii="黑体" w:eastAsia="黑体"/>
          <w:bCs/>
          <w:color w:val="auto"/>
          <w:sz w:val="24"/>
          <w:szCs w:val="24"/>
          <w:highlight w:val="none"/>
        </w:rPr>
      </w:pPr>
      <w:r>
        <w:rPr>
          <w:rFonts w:hint="eastAsia" w:ascii="黑体" w:eastAsia="黑体"/>
          <w:bCs/>
          <w:color w:val="auto"/>
          <w:sz w:val="24"/>
          <w:szCs w:val="24"/>
          <w:highlight w:val="none"/>
        </w:rPr>
        <w:t xml:space="preserve">附件二：投标文件格式</w:t>
      </w:r>
      <w:r/>
    </w:p>
    <w:p>
      <w:pPr>
        <w:rPr>
          <w:rFonts w:ascii="黑体" w:eastAsia="黑体"/>
          <w:bCs/>
          <w:color w:val="auto"/>
          <w:sz w:val="32"/>
          <w:highlight w:val="none"/>
        </w:rPr>
      </w:pPr>
      <w:r>
        <w:rPr>
          <w:rFonts w:ascii="黑体" w:eastAsia="黑体"/>
          <w:bCs/>
          <w:color w:val="auto"/>
          <w:sz w:val="32"/>
          <w:highlight w:val="none"/>
        </w:rPr>
      </w:r>
      <w:r/>
    </w:p>
    <w:p>
      <w:pPr>
        <w:pStyle w:val="867"/>
        <w:rPr>
          <w:rFonts w:ascii="黑体" w:eastAsia="黑体"/>
          <w:color w:val="auto"/>
          <w:sz w:val="32"/>
          <w:highlight w:val="none"/>
        </w:rPr>
      </w:pPr>
      <w:r>
        <w:rPr>
          <w:rFonts w:ascii="黑体" w:eastAsia="黑体"/>
          <w:color w:val="auto"/>
          <w:sz w:val="32"/>
          <w:highlight w:val="none"/>
        </w:rPr>
      </w:r>
      <w:r/>
    </w:p>
    <w:p>
      <w:pPr>
        <w:pStyle w:val="867"/>
        <w:rPr>
          <w:rFonts w:ascii="黑体" w:eastAsia="黑体"/>
          <w:color w:val="auto"/>
          <w:sz w:val="32"/>
          <w:highlight w:val="none"/>
        </w:rPr>
      </w:pPr>
      <w:r>
        <w:rPr>
          <w:rFonts w:ascii="黑体" w:eastAsia="黑体"/>
          <w:color w:val="auto"/>
          <w:sz w:val="32"/>
          <w:highlight w:val="none"/>
        </w:rPr>
      </w:r>
      <w:r/>
    </w:p>
    <w:p>
      <w:pPr>
        <w:pStyle w:val="867"/>
        <w:rPr>
          <w:rFonts w:ascii="黑体" w:eastAsia="黑体"/>
          <w:color w:val="auto"/>
          <w:sz w:val="32"/>
          <w:highlight w:val="none"/>
        </w:rPr>
      </w:pPr>
      <w:r>
        <w:rPr>
          <w:rFonts w:ascii="黑体" w:eastAsia="黑体"/>
          <w:color w:val="auto"/>
          <w:sz w:val="32"/>
          <w:highlight w:val="none"/>
        </w:rPr>
      </w:r>
      <w:r/>
    </w:p>
    <w:p>
      <w:pPr>
        <w:pStyle w:val="867"/>
        <w:rPr>
          <w:rFonts w:ascii="黑体" w:eastAsia="黑体"/>
          <w:color w:val="auto"/>
          <w:sz w:val="32"/>
          <w:highlight w:val="none"/>
        </w:rPr>
      </w:pPr>
      <w:r>
        <w:rPr>
          <w:rFonts w:ascii="黑体" w:eastAsia="黑体"/>
          <w:color w:val="auto"/>
          <w:sz w:val="32"/>
          <w:highlight w:val="none"/>
        </w:rPr>
      </w:r>
      <w:r/>
    </w:p>
    <w:p>
      <w:pPr>
        <w:pStyle w:val="867"/>
        <w:rPr>
          <w:rFonts w:ascii="黑体" w:eastAsia="黑体"/>
          <w:color w:val="auto"/>
          <w:sz w:val="32"/>
          <w:highlight w:val="none"/>
        </w:rPr>
      </w:pPr>
      <w:r>
        <w:rPr>
          <w:rFonts w:ascii="黑体" w:eastAsia="黑体"/>
          <w:color w:val="auto"/>
          <w:sz w:val="32"/>
          <w:highlight w:val="none"/>
        </w:rPr>
      </w:r>
      <w:r/>
    </w:p>
    <w:p>
      <w:pPr>
        <w:pStyle w:val="867"/>
        <w:rPr>
          <w:rFonts w:ascii="黑体" w:eastAsia="黑体"/>
          <w:color w:val="auto"/>
          <w:sz w:val="32"/>
          <w:highlight w:val="none"/>
        </w:rPr>
      </w:pPr>
      <w:r>
        <w:rPr>
          <w:rFonts w:ascii="黑体" w:eastAsia="黑体"/>
          <w:color w:val="auto"/>
          <w:sz w:val="32"/>
          <w:highlight w:val="none"/>
        </w:rPr>
      </w:r>
      <w:r/>
    </w:p>
    <w:p>
      <w:pPr>
        <w:rPr>
          <w:rFonts w:ascii="黑体" w:eastAsia="黑体"/>
          <w:bCs/>
          <w:color w:val="auto"/>
          <w:sz w:val="32"/>
          <w:highlight w:val="none"/>
        </w:rPr>
      </w:pPr>
      <w:r>
        <w:rPr>
          <w:rFonts w:ascii="黑体" w:eastAsia="黑体"/>
          <w:bCs/>
          <w:color w:val="auto"/>
          <w:sz w:val="3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投</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标</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文</w:t>
      </w:r>
      <w:r/>
    </w:p>
    <w:p>
      <w:pPr>
        <w:jc w:val="center"/>
        <w:rPr>
          <w:rFonts w:ascii="黑体" w:eastAsia="黑体"/>
          <w:bCs/>
          <w:color w:val="auto"/>
          <w:sz w:val="52"/>
          <w:szCs w:val="52"/>
          <w:highlight w:val="none"/>
        </w:rPr>
      </w:pPr>
      <w:r>
        <w:rPr>
          <w:rFonts w:ascii="黑体" w:eastAsia="黑体"/>
          <w:bCs/>
          <w:color w:val="auto"/>
          <w:sz w:val="52"/>
          <w:szCs w:val="5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件</w:t>
      </w:r>
      <w:r/>
    </w:p>
    <w:p>
      <w:pPr>
        <w:rPr>
          <w:rFonts w:ascii="楷体_GB2312" w:eastAsia="楷体_GB2312"/>
          <w:bCs/>
          <w:color w:val="auto"/>
          <w:sz w:val="72"/>
          <w:highlight w:val="none"/>
        </w:rPr>
      </w:pPr>
      <w:r>
        <w:rPr>
          <w:rFonts w:ascii="楷体_GB2312" w:eastAsia="楷体_GB2312"/>
          <w:bCs/>
          <w:color w:val="auto"/>
          <w:sz w:val="72"/>
          <w:highlight w:val="none"/>
        </w:rPr>
      </w:r>
      <w:r/>
    </w:p>
    <w:p>
      <w:pPr>
        <w:rPr>
          <w:rFonts w:ascii="楷体_GB2312" w:eastAsia="楷体_GB2312"/>
          <w:bCs/>
          <w:color w:val="auto"/>
          <w:sz w:val="28"/>
          <w:highlight w:val="none"/>
        </w:rPr>
      </w:pPr>
      <w:r>
        <w:rPr>
          <w:rFonts w:ascii="楷体_GB2312" w:eastAsia="楷体_GB2312"/>
          <w:bCs/>
          <w:color w:val="auto"/>
          <w:sz w:val="28"/>
          <w:highlight w:val="none"/>
        </w:rPr>
      </w:r>
      <w:r/>
    </w:p>
    <w:p>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采购项目编号：</w:t>
      </w:r>
      <w:r>
        <w:rPr>
          <w:rFonts w:hint="eastAsia" w:ascii="黑体" w:eastAsia="黑体"/>
          <w:bCs/>
          <w:color w:val="auto"/>
          <w:sz w:val="28"/>
          <w:szCs w:val="28"/>
          <w:highlight w:val="none"/>
          <w:lang w:eastAsia="zh-CN"/>
        </w:rPr>
        <w:t xml:space="preserve">JSZC-320214-BJZC-G2026-0011</w:t>
      </w:r>
      <w:r/>
    </w:p>
    <w:p>
      <w:pPr>
        <w:ind w:firstLine="560"/>
        <w:rPr>
          <w:rFonts w:ascii="黑体" w:eastAsia="黑体"/>
          <w:bCs/>
          <w:color w:val="auto"/>
          <w:sz w:val="28"/>
          <w:szCs w:val="28"/>
          <w:highlight w:val="none"/>
        </w:rPr>
      </w:pPr>
      <w:r>
        <w:rPr>
          <w:rFonts w:hint="eastAsia" w:ascii="黑体" w:eastAsia="黑体"/>
          <w:bCs/>
          <w:color w:val="auto"/>
          <w:sz w:val="28"/>
          <w:szCs w:val="28"/>
          <w:highlight w:val="none"/>
        </w:rPr>
        <w:t xml:space="preserve">采购项目名称：2026-2028年大气挥发性有机物走航监测车全托管运维服务</w:t>
      </w:r>
      <w:r>
        <w:rPr>
          <w:rFonts w:hint="eastAsia" w:ascii="黑体" w:eastAsia="黑体"/>
          <w:bCs/>
          <w:color w:val="auto"/>
          <w:sz w:val="28"/>
          <w:szCs w:val="28"/>
          <w:highlight w:val="none"/>
        </w:rPr>
        <w:t xml:space="preserve">项目</w:t>
      </w:r>
      <w:r/>
    </w:p>
    <w:p>
      <w:pPr>
        <w:ind w:firstLine="560"/>
        <w:rPr>
          <w:rFonts w:ascii="黑体" w:eastAsia="黑体"/>
          <w:bCs/>
          <w:color w:val="auto"/>
          <w:sz w:val="28"/>
          <w:szCs w:val="28"/>
          <w:highlight w:val="none"/>
        </w:rPr>
      </w:pPr>
      <w:r>
        <w:rPr>
          <w:rFonts w:hint="eastAsia" w:ascii="黑体" w:eastAsia="黑体"/>
          <w:bCs/>
          <w:color w:val="auto"/>
          <w:sz w:val="28"/>
          <w:szCs w:val="28"/>
          <w:highlight w:val="none"/>
        </w:rPr>
        <w:t xml:space="preserve">投标人：</w:t>
      </w:r>
      <w:r/>
    </w:p>
    <w:p>
      <w:pPr>
        <w:rPr>
          <w:rFonts w:ascii="黑体" w:eastAsia="黑体"/>
          <w:bCs/>
          <w:color w:val="auto"/>
          <w:sz w:val="32"/>
          <w:highlight w:val="none"/>
        </w:rPr>
      </w:pPr>
      <w:r>
        <w:rPr>
          <w:rFonts w:ascii="黑体" w:eastAsia="黑体"/>
          <w:bCs/>
          <w:color w:val="auto"/>
          <w:sz w:val="32"/>
          <w:highlight w:val="none"/>
        </w:rPr>
      </w:r>
      <w:r/>
    </w:p>
    <w:p>
      <w:pPr>
        <w:jc w:val="center"/>
        <w:rPr>
          <w:rFonts w:ascii="黑体" w:eastAsia="黑体"/>
          <w:bCs/>
          <w:color w:val="auto"/>
          <w:sz w:val="36"/>
          <w:szCs w:val="36"/>
          <w:highlight w:val="none"/>
        </w:rPr>
      </w:pPr>
      <w:r>
        <w:rPr>
          <w:rFonts w:hint="eastAsia" w:ascii="黑体" w:eastAsia="黑体"/>
          <w:bCs/>
          <w:color w:val="auto"/>
          <w:sz w:val="36"/>
          <w:szCs w:val="36"/>
          <w:highlight w:val="none"/>
        </w:rPr>
        <w:t xml:space="preserve">二〇二六年  月  日</w:t>
      </w:r>
      <w:r/>
    </w:p>
    <w:p>
      <w:pPr>
        <w:rPr>
          <w:rFonts w:ascii="黑体" w:hAnsi="宋体" w:eastAsia="黑体"/>
          <w:bCs/>
          <w:color w:val="auto"/>
          <w:sz w:val="24"/>
          <w:szCs w:val="24"/>
          <w:highlight w:val="none"/>
        </w:rPr>
      </w:pPr>
      <w:r/>
      <w:bookmarkStart w:id="19" w:name="一．报价函（格式）"/>
      <w:r/>
      <w:bookmarkEnd w:id="19"/>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（一）投标函（格式）：</w:t>
      </w:r>
      <w:r/>
    </w:p>
    <w:p>
      <w:pPr>
        <w:jc w:val="center"/>
        <w:spacing w:line="360" w:lineRule="auto"/>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致无锡市新吴生态环境局：</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我方收到贵方编号</w:t>
      </w:r>
      <w:r>
        <w:rPr>
          <w:rFonts w:hint="eastAsia" w:ascii="宋体" w:hAnsi="宋体"/>
          <w:bCs/>
          <w:color w:val="auto"/>
          <w:sz w:val="24"/>
          <w:szCs w:val="24"/>
          <w:highlight w:val="none"/>
          <w:lang w:eastAsia="zh-CN"/>
        </w:rPr>
        <w:t xml:space="preserve">JSZC-320214-BJZC-G2026-0011</w:t>
      </w:r>
      <w:r>
        <w:rPr>
          <w:rFonts w:hint="eastAsia" w:ascii="宋体" w:hAnsi="宋体"/>
          <w:bCs/>
          <w:color w:val="auto"/>
          <w:sz w:val="24"/>
          <w:szCs w:val="24"/>
          <w:highlight w:val="none"/>
        </w:rPr>
        <w:t xml:space="preserve">招标文件，经仔细阅读和研究，我方决定参加此项目的投标。</w:t>
      </w:r>
      <w:r/>
    </w:p>
    <w:p>
      <w:pPr>
        <w:numPr>
          <w:ilvl w:val="0"/>
          <w:numId w:val="15"/>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5"/>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857"/>
          <w:bCs/>
          <w:color w:val="auto"/>
          <w:highlight w:val="none"/>
        </w:rPr>
      </w:pPr>
      <w:r>
        <w:rPr>
          <w:rFonts w:hint="eastAsia" w:ascii="宋体" w:hAnsi="宋体"/>
          <w:bCs/>
          <w:color w:val="auto"/>
          <w:sz w:val="24"/>
          <w:szCs w:val="24"/>
          <w:highlight w:val="none"/>
        </w:rPr>
        <w:t xml:space="preserve">我方愿意提供北京中昌工程咨询有限公司在招标文件中要求的文件、资料。</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我方同意按招标文件中的规定，本投标文件投标的有效期限为开标之日起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我方认为贵局有权决定中标者。</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我方愿意遵守《中华人民共和国政府采购法》，并按照《中华人民共和国民法典》、财政部《政府采购货物和服务招标投标管理办法》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我方认可并遵守招标文件的所有规定，放弃对招标文件提出质疑的权利。</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w:t>
      </w:r>
      <w:r>
        <w:rPr>
          <w:rFonts w:hint="eastAsia" w:ascii="宋体" w:hAnsi="宋体"/>
          <w:color w:val="auto"/>
          <w:sz w:val="24"/>
          <w:szCs w:val="24"/>
          <w:highlight w:val="none"/>
        </w:rPr>
        <w:t xml:space="preserve">向</w:t>
      </w:r>
      <w:r>
        <w:rPr>
          <w:rFonts w:hint="eastAsia" w:ascii="宋体" w:hAnsi="宋体"/>
          <w:bCs/>
          <w:color w:val="auto"/>
          <w:sz w:val="24"/>
          <w:szCs w:val="24"/>
          <w:highlight w:val="none"/>
        </w:rPr>
        <w:t xml:space="preserve">采购人缴纳履约保证金。且我方如无不可抗力，又未履行招标文件、投标文件和合同条款的，一经查实，我方愿意赔偿由此而造成的一切损失，并同意接受按招标文件的相关要求对我方进行的处理。</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其他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投标人（盖章）：</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                              传真：</w:t>
      </w:r>
      <w:r/>
    </w:p>
    <w:p>
      <w:pPr>
        <w:ind w:firstLine="480"/>
        <w:spacing w:line="400" w:lineRule="exact"/>
        <w:rPr>
          <w:rFonts w:ascii="宋体" w:hAnsi="宋体"/>
          <w:bCs/>
          <w:color w:val="auto"/>
          <w:sz w:val="24"/>
          <w:szCs w:val="24"/>
          <w:highlight w:val="none"/>
        </w:rPr>
      </w:pPr>
      <w:r>
        <w:rPr>
          <w:rFonts w:hint="eastAsia" w:ascii="宋体" w:hAnsi="宋体"/>
          <w:bCs/>
          <w:color w:val="auto"/>
          <w:sz w:val="24"/>
          <w:szCs w:val="24"/>
          <w:highlight w:val="none"/>
        </w:rPr>
        <w:t xml:space="preserve">通讯地址：                          邮编：</w:t>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（二）（投标人）关于资格的声明函（格式）：</w:t>
      </w:r>
      <w:r/>
    </w:p>
    <w:p>
      <w:pPr>
        <w:spacing w:line="360" w:lineRule="auto"/>
        <w:rPr>
          <w:rFonts w:ascii="黑体" w:eastAsia="黑体"/>
          <w:bCs/>
          <w:color w:val="auto"/>
          <w:sz w:val="36"/>
          <w:highlight w:val="none"/>
        </w:rPr>
      </w:pPr>
      <w:r>
        <w:rPr>
          <w:rFonts w:ascii="黑体" w:eastAsia="黑体"/>
          <w:bCs/>
          <w:color w:val="auto"/>
          <w:sz w:val="36"/>
          <w:highlight w:val="none"/>
        </w:rPr>
      </w:r>
      <w:r/>
    </w:p>
    <w:p>
      <w:pPr>
        <w:jc w:val="center"/>
        <w:rPr>
          <w:rFonts w:ascii="黑体" w:eastAsia="黑体"/>
          <w:bCs/>
          <w:color w:val="auto"/>
          <w:sz w:val="28"/>
          <w:szCs w:val="28"/>
          <w:highlight w:val="none"/>
        </w:rPr>
      </w:pPr>
      <w:r/>
      <w:bookmarkStart w:id="20" w:name="报价方关于资格的声明函（格式）"/>
      <w:r/>
      <w:bookmarkEnd w:id="20"/>
      <w:r>
        <w:rPr>
          <w:rFonts w:hint="eastAsia" w:ascii="黑体" w:eastAsia="黑体"/>
          <w:bCs/>
          <w:color w:val="auto"/>
          <w:sz w:val="28"/>
          <w:szCs w:val="28"/>
          <w:highlight w:val="none"/>
        </w:rPr>
        <w:t xml:space="preserve">关于资格的声明函</w:t>
      </w:r>
      <w:r/>
    </w:p>
    <w:p>
      <w:pPr>
        <w:jc w:val="center"/>
        <w:rPr>
          <w:rFonts w:ascii="黑体" w:eastAsia="黑体"/>
          <w:bCs/>
          <w:color w:val="auto"/>
          <w:sz w:val="32"/>
          <w:highlight w:val="none"/>
        </w:rPr>
      </w:pPr>
      <w:r>
        <w:rPr>
          <w:rFonts w:ascii="黑体" w:eastAsia="黑体"/>
          <w:bCs/>
          <w:color w:val="auto"/>
          <w:sz w:val="32"/>
          <w:highlight w:val="none"/>
        </w:rPr>
      </w:r>
      <w:r/>
    </w:p>
    <w:p>
      <w:pPr>
        <w:jc w:val="cente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采购项目编号：</w:t>
      </w:r>
      <w:r/>
    </w:p>
    <w:p>
      <w:pPr>
        <w:jc w:val="center"/>
        <w:spacing w:line="480" w:lineRule="auto"/>
        <w:tabs>
          <w:tab w:val="left" w:pos="6300" w:leader="none"/>
        </w:tabs>
        <w:rPr>
          <w:rFonts w:ascii="宋体"/>
          <w:bCs/>
          <w:color w:val="auto"/>
          <w:sz w:val="24"/>
          <w:szCs w:val="24"/>
          <w:highlight w:val="none"/>
        </w:rPr>
      </w:pPr>
      <w:r>
        <w:rPr>
          <w:rFonts w:hint="eastAsia" w:ascii="宋体" w:hAnsi="宋体"/>
          <w:bCs/>
          <w:color w:val="auto"/>
          <w:sz w:val="24"/>
          <w:szCs w:val="24"/>
          <w:highlight w:val="none"/>
        </w:rPr>
        <w:t xml:space="preserve">日期：</w:t>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无锡市新吴生态环境局：</w:t>
      </w:r>
      <w:r/>
    </w:p>
    <w:p>
      <w:pPr>
        <w:spacing w:line="480" w:lineRule="auto"/>
        <w:rPr>
          <w:rFonts w:ascii="宋体"/>
          <w:bCs/>
          <w:color w:val="auto"/>
          <w:sz w:val="24"/>
          <w:szCs w:val="24"/>
          <w:highlight w:val="none"/>
        </w:rPr>
      </w:pPr>
      <w:r>
        <w:rPr>
          <w:rFonts w:ascii="宋体"/>
          <w:bCs/>
          <w:color w:val="auto"/>
          <w:sz w:val="24"/>
          <w:szCs w:val="24"/>
          <w:highlight w:val="none"/>
        </w:rPr>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我公司（单位）参加本次项目（</w:t>
      </w:r>
      <w:r>
        <w:rPr>
          <w:rFonts w:hint="eastAsia" w:ascii="宋体" w:hAnsi="宋体"/>
          <w:bCs/>
          <w:color w:val="auto"/>
          <w:sz w:val="24"/>
          <w:szCs w:val="24"/>
          <w:highlight w:val="none"/>
          <w:lang w:eastAsia="zh-CN"/>
        </w:rPr>
        <w:t xml:space="preserve">JSZC-320214-BJZC-G2026-0011</w:t>
      </w:r>
      <w:r>
        <w:rPr>
          <w:rFonts w:hint="eastAsia" w:ascii="宋体" w:hAnsi="宋体"/>
          <w:bCs/>
          <w:color w:val="auto"/>
          <w:sz w:val="24"/>
          <w:szCs w:val="24"/>
          <w:highlight w:val="none"/>
        </w:rPr>
        <w:t xml:space="preserve">）政府采购活动前三年内，在经营活动中没有重大违法记录，我公司（单位）愿针对本次项目（</w:t>
      </w:r>
      <w:r>
        <w:rPr>
          <w:rFonts w:hint="eastAsia" w:ascii="宋体" w:hAnsi="宋体"/>
          <w:bCs/>
          <w:color w:val="auto"/>
          <w:sz w:val="24"/>
          <w:szCs w:val="24"/>
          <w:highlight w:val="none"/>
          <w:lang w:eastAsia="zh-CN"/>
        </w:rPr>
        <w:t xml:space="preserve">JSZC-320214-BJZC-G2026-0011</w:t>
      </w:r>
      <w:r>
        <w:rPr>
          <w:rFonts w:hint="eastAsia" w:ascii="宋体" w:hAnsi="宋体"/>
          <w:bCs/>
          <w:color w:val="auto"/>
          <w:sz w:val="24"/>
          <w:szCs w:val="24"/>
          <w:highlight w:val="none"/>
        </w:rPr>
        <w:t xml:space="preserve">）进行投标，投标文件中所有关于投标资格的文件、证明、陈述均是真实的、准确的。若有违背，我公司（单位）愿意承担由此而产生的一切后果。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投标人（盖章）：</w:t>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spacing w:line="480" w:lineRule="auto"/>
        <w:rPr>
          <w:rFonts w:ascii="宋体"/>
          <w:bCs/>
          <w:color w:val="auto"/>
          <w:sz w:val="24"/>
          <w:szCs w:val="24"/>
          <w:highlight w:val="none"/>
        </w:rPr>
      </w:pPr>
      <w:r>
        <w:rPr>
          <w:rFonts w:ascii="宋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20"/>
        <w:rPr>
          <w:rFonts w:ascii="黑体" w:hAnsi="宋体" w:eastAsia="黑体"/>
          <w:bCs/>
          <w:color w:val="auto"/>
          <w:sz w:val="24"/>
          <w:szCs w:val="24"/>
          <w:highlight w:val="none"/>
        </w:rPr>
      </w:pPr>
      <w:r>
        <w:rPr>
          <w:rFonts w:hint="eastAsia"/>
          <w:color w:val="auto"/>
          <w:highlight w:val="none"/>
        </w:rPr>
        <w:t xml:space="preserve">备注：上述所称“重大违法记录”，是指供应商因违法经营受到刑事处罚或者责令停产停业、吊销许可证或者执照、较大数额罚款等行政处罚。</w:t>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（三）（投标人）法定代表人授权委托书（格式）：</w:t>
      </w:r>
      <w:r/>
    </w:p>
    <w:p>
      <w:pPr>
        <w:rPr>
          <w:rFonts w:ascii="黑体" w:eastAsia="黑体"/>
          <w:bCs/>
          <w:color w:val="auto"/>
          <w:sz w:val="28"/>
          <w:szCs w:val="28"/>
          <w:highlight w:val="none"/>
        </w:rPr>
      </w:pPr>
      <w:r>
        <w:rPr>
          <w:rFonts w:ascii="黑体" w:eastAsia="黑体"/>
          <w:bCs/>
          <w:color w:val="auto"/>
          <w:sz w:val="28"/>
          <w:szCs w:val="28"/>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法定代表人授权委托书</w:t>
      </w:r>
      <w:r/>
    </w:p>
    <w:p>
      <w:pPr>
        <w:jc w:val="center"/>
        <w:spacing w:line="360" w:lineRule="auto"/>
        <w:rPr>
          <w:rFonts w:ascii="楷体_GB2312" w:eastAsia="楷体_GB2312"/>
          <w:bCs/>
          <w:color w:val="auto"/>
          <w:sz w:val="36"/>
          <w:highlight w:val="none"/>
        </w:rPr>
      </w:pPr>
      <w:r>
        <w:rPr>
          <w:rFonts w:ascii="楷体_GB2312" w:eastAsia="楷体_GB2312"/>
          <w:bCs/>
          <w:color w:val="auto"/>
          <w:sz w:val="36"/>
          <w:highlight w:val="none"/>
        </w:rPr>
      </w:r>
      <w:r/>
    </w:p>
    <w:p>
      <w:pPr>
        <w:jc w:val="cente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采购项目编号：</w:t>
      </w:r>
      <w:r/>
    </w:p>
    <w:p>
      <w:pPr>
        <w:jc w:val="cente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日期：</w:t>
      </w:r>
      <w:r/>
    </w:p>
    <w:p>
      <w:pPr>
        <w:spacing w:line="600" w:lineRule="exact"/>
        <w:rPr>
          <w:rFonts w:ascii="宋体"/>
          <w:bCs/>
          <w:color w:val="auto"/>
          <w:sz w:val="24"/>
          <w:szCs w:val="24"/>
          <w:highlight w:val="none"/>
        </w:rPr>
      </w:pPr>
      <w:r>
        <w:rPr>
          <w:rFonts w:hint="eastAsia" w:ascii="宋体" w:hAnsi="宋体"/>
          <w:bCs/>
          <w:color w:val="auto"/>
          <w:sz w:val="24"/>
          <w:szCs w:val="24"/>
          <w:highlight w:val="none"/>
        </w:rPr>
        <w:t xml:space="preserve">无锡市新吴生态环境局：</w:t>
      </w:r>
      <w:r/>
    </w:p>
    <w:p>
      <w:pPr>
        <w:ind w:firstLine="480"/>
        <w:spacing w:line="600" w:lineRule="exact"/>
        <w:rPr>
          <w:rFonts w:ascii="宋体" w:hAnsi="宋体"/>
          <w:bCs/>
          <w:color w:val="auto"/>
          <w:sz w:val="24"/>
          <w:szCs w:val="24"/>
          <w:highlight w:val="none"/>
        </w:rPr>
      </w:pP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系中华人民共和国合法公司（单位），特授权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代表我公司（单位）全权办理针对本项目（</w:t>
      </w:r>
      <w:r>
        <w:rPr>
          <w:rFonts w:hint="eastAsia" w:ascii="宋体" w:hAnsi="宋体"/>
          <w:bCs/>
          <w:color w:val="auto"/>
          <w:sz w:val="24"/>
          <w:szCs w:val="24"/>
          <w:highlight w:val="none"/>
          <w:lang w:eastAsia="zh-CN"/>
        </w:rPr>
        <w:t xml:space="preserve">JSZC-320214-BJZC-G2026-0011</w:t>
      </w:r>
      <w:r>
        <w:rPr>
          <w:rFonts w:hint="eastAsia" w:ascii="宋体" w:hAnsi="宋体"/>
          <w:bCs/>
          <w:color w:val="auto"/>
          <w:sz w:val="24"/>
          <w:szCs w:val="24"/>
          <w:highlight w:val="none"/>
        </w:rPr>
        <w:t xml:space="preserve">）的投标、参与开标、评标、签约等具体工作，并签署全部有关的文件、协议及合同。</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被授权代表情况：</w:t>
      </w:r>
      <w:r/>
    </w:p>
    <w:p>
      <w:pPr>
        <w:ind w:firstLine="525"/>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姓名：          性别：           电话：</w:t>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41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0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法定代表人（签字或盖章）：</w:t>
      </w:r>
      <w:r/>
    </w:p>
    <w:p>
      <w:pPr>
        <w:ind w:firstLine="420"/>
        <w:spacing w:line="580" w:lineRule="exact"/>
        <w:rPr>
          <w:rFonts w:ascii="宋体"/>
          <w:bCs/>
          <w:color w:val="auto"/>
          <w:sz w:val="24"/>
          <w:szCs w:val="24"/>
          <w:highlight w:val="none"/>
        </w:rPr>
      </w:pPr>
      <w:r>
        <w:rPr>
          <w:rFonts w:ascii="宋体"/>
          <w:bCs/>
          <w:color w:val="auto"/>
          <w:sz w:val="24"/>
          <w:szCs w:val="24"/>
          <w:highlight w:val="none"/>
        </w:rPr>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（四）（投标人）中小企业声明函（格式）：</w:t>
      </w:r>
      <w:r/>
    </w:p>
    <w:p>
      <w:pPr>
        <w:jc w:val="center"/>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号）的规定，本公司（联合体）参加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（采购文件中明确的所属行业）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（采购文件中明确的所属行业）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ascii="黑体" w:hAnsi="宋体" w:eastAsia="黑体"/>
          <w:bCs/>
          <w:color w:val="auto"/>
          <w:sz w:val="24"/>
          <w:szCs w:val="24"/>
          <w:highlight w:val="none"/>
        </w:rPr>
      </w:pPr>
      <w:r>
        <w:rPr>
          <w:rFonts w:ascii="黑体" w:hAnsi="宋体" w:eastAsia="黑体"/>
          <w:bCs/>
          <w:color w:val="auto"/>
          <w:sz w:val="24"/>
          <w:szCs w:val="24"/>
          <w:highlight w:val="none"/>
        </w:rPr>
      </w:r>
      <w:r/>
    </w:p>
    <w:p>
      <w:pPr>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rPr>
          <w:color w:val="auto"/>
          <w:highlight w:val="none"/>
        </w:rPr>
      </w:pPr>
      <w:r>
        <w:rPr>
          <w:rFonts w:hint="eastAsia"/>
          <w:color w:val="auto"/>
          <w:highlight w:val="none"/>
        </w:rPr>
        <w:t xml:space="preserve">注：1.</w:t>
      </w:r>
      <w:r>
        <w:rPr>
          <w:color w:val="auto"/>
          <w:highlight w:val="none"/>
        </w:rPr>
        <w:t xml:space="preserve">从业人员、营业收入、资产总额填报上一年度数据，无上一年度数据的新成立企业可不填报。</w:t>
      </w:r>
      <w:r/>
    </w:p>
    <w:p>
      <w:pPr>
        <w:ind w:firstLine="420"/>
        <w:rPr>
          <w:color w:val="auto"/>
          <w:highlight w:val="none"/>
        </w:rPr>
      </w:pPr>
      <w:r>
        <w:rPr>
          <w:rFonts w:hint="eastAsia"/>
          <w:color w:val="auto"/>
          <w:highlight w:val="none"/>
        </w:rPr>
        <w:t xml:space="preserve">2.中标供应商的《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p>
    <w:p>
      <w:pPr>
        <w:ind w:firstLine="420"/>
        <w:rPr>
          <w:rFonts w:ascii="黑体" w:hAnsi="宋体" w:eastAsia="黑体"/>
          <w:bCs/>
          <w:color w:val="auto"/>
          <w:sz w:val="24"/>
          <w:szCs w:val="24"/>
          <w:highlight w:val="none"/>
        </w:rPr>
      </w:pPr>
      <w:r>
        <w:rPr>
          <w:rFonts w:hint="eastAsia"/>
          <w:color w:val="auto"/>
          <w:highlight w:val="none"/>
        </w:rPr>
        <w:t xml:space="preserve">3.投标时本表附在《明细报价表》之后（如有）。</w:t>
      </w: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（五）（投标人）残疾人福利性单位声明函（格式）：</w:t>
      </w:r>
      <w:r/>
    </w:p>
    <w:p>
      <w:pPr>
        <w:spacing w:line="480" w:lineRule="auto"/>
        <w:rPr>
          <w:rFonts w:ascii="宋体"/>
          <w:bCs/>
          <w:color w:val="auto"/>
          <w:sz w:val="24"/>
          <w:szCs w:val="24"/>
          <w:highlight w:val="none"/>
        </w:rPr>
      </w:pPr>
      <w:r>
        <w:rPr>
          <w:rFonts w:ascii="宋体"/>
          <w:bCs/>
          <w:color w:val="auto"/>
          <w:sz w:val="24"/>
          <w:szCs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（六）服务保障承诺书（格式）：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服务保障承诺书</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（投标人名称）针</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JSZC-320214-BJZC-G2026-0011</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在此承诺：</w:t>
      </w:r>
      <w:r/>
    </w:p>
    <w:p>
      <w:pPr>
        <w:spacing w:line="48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JSZC-320214-BJZC-G2026-0011</w:t>
      </w:r>
      <w:r>
        <w:rPr>
          <w:rFonts w:hint="eastAsia" w:ascii="宋体" w:hAnsi="宋体"/>
          <w:bCs/>
          <w:color w:val="auto"/>
          <w:sz w:val="24"/>
          <w:szCs w:val="24"/>
          <w:highlight w:val="none"/>
        </w:rPr>
        <w:t xml:space="preserve">）所提供的服务符合招标文件要求；</w:t>
      </w:r>
      <w:r/>
    </w:p>
    <w:p>
      <w:pPr>
        <w:ind w:firstLine="465"/>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具备履行合同所必需的人员、设备和专业技术能力；</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olor w:val="auto"/>
          <w:sz w:val="24"/>
          <w:szCs w:val="24"/>
          <w:highlight w:val="none"/>
        </w:rPr>
        <w:t xml:space="preserve">本公司未被“</w:t>
      </w:r>
      <w:r>
        <w:rPr>
          <w:rFonts w:hint="eastAsia" w:ascii="宋体" w:hAnsi="宋体"/>
          <w:bCs/>
          <w:color w:val="auto"/>
          <w:sz w:val="24"/>
          <w:szCs w:val="24"/>
          <w:highlight w:val="none"/>
        </w:rPr>
        <w:t xml:space="preserve">信用中国</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Style w:val="858"/>
          <w:rFonts w:hint="eastAsia" w:ascii="宋体" w:hAnsi="宋体"/>
          <w:bCs/>
          <w:color w:val="auto"/>
          <w:sz w:val="24"/>
          <w:szCs w:val="24"/>
          <w:highlight w:val="none"/>
        </w:rPr>
        <w:t xml:space="preserve">www.creditchina.gov.cn</w:t>
      </w:r>
      <w:r>
        <w:rPr>
          <w:rStyle w:val="858"/>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中国政府采购网（www.ccgp.gov.cn）列入失信被执行人、重大税收违法案件当事人名单、政府采购严重违法失信行为记录名单</w:t>
      </w:r>
      <w:r>
        <w:rPr>
          <w:rFonts w:hint="eastAsia" w:ascii="宋体" w:hAnsi="宋体"/>
          <w:bCs/>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eastAsia" w:ascii="宋体" w:hAnsi="宋体"/>
          <w:color w:val="auto"/>
          <w:sz w:val="24"/>
          <w:szCs w:val="24"/>
          <w:highlight w:val="none"/>
        </w:rPr>
        <w:t xml:space="preserve">本公司（单位）未被市级及以上行政主管部门处罚暂停业务；</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p>
      <w:pPr>
        <w:ind w:firstLine="465"/>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p>
      <w:pPr>
        <w:ind w:firstLine="960"/>
        <w:spacing w:line="480" w:lineRule="auto"/>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96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投标人</w:t>
      </w:r>
      <w:r>
        <w:rPr>
          <w:rFonts w:hint="eastAsia" w:ascii="宋体" w:hAnsi="宋体"/>
          <w:bCs/>
          <w:color w:val="auto"/>
          <w:sz w:val="24"/>
          <w:szCs w:val="24"/>
          <w:highlight w:val="none"/>
        </w:rPr>
        <w:t xml:space="preserve">（盖章）：</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420"/>
        <w:spacing w:line="480" w:lineRule="auto"/>
        <w:rPr>
          <w:rFonts w:ascii="宋体"/>
          <w:bCs/>
          <w:color w:val="auto"/>
          <w:sz w:val="24"/>
          <w:szCs w:val="24"/>
          <w:highlight w:val="none"/>
        </w:rPr>
      </w:pPr>
      <w:r>
        <w:rPr>
          <w:rFonts w:hint="eastAsia" w:ascii="宋体" w:hAnsi="宋体"/>
          <w:bCs/>
          <w:color w:val="auto"/>
          <w:szCs w:val="21"/>
          <w:highlight w:val="none"/>
        </w:rPr>
        <w:t xml:space="preserve">注：以上内容由投标单位根据采购要求可自行完善。</w:t>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jc w:val="left"/>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（七）开标一览表（格式）：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开标一览表</w:t>
      </w:r>
      <w:r/>
    </w:p>
    <w:p>
      <w:pPr>
        <w:spacing w:line="300" w:lineRule="auto"/>
        <w:rPr>
          <w:rFonts w:ascii="宋体" w:hAnsi="宋体" w:cs="宋体"/>
          <w:color w:val="auto"/>
          <w:highlight w:val="none"/>
        </w:rPr>
      </w:pPr>
      <w:r>
        <w:rPr>
          <w:rFonts w:ascii="宋体" w:hAnsi="宋体" w:cs="宋体"/>
          <w:color w:val="auto"/>
          <w:highlight w:val="none"/>
        </w:rPr>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投标人名称（盖章）                     采购项目编号：</w:t>
      </w:r>
      <w:r>
        <w:rPr>
          <w:rFonts w:hint="eastAsia" w:ascii="黑体" w:eastAsia="黑体"/>
          <w:bCs/>
          <w:color w:val="auto"/>
          <w:sz w:val="24"/>
          <w:szCs w:val="24"/>
          <w:highlight w:val="none"/>
          <w:lang w:eastAsia="zh-CN"/>
        </w:rPr>
        <w:t xml:space="preserve">JSZC-320214-BJZC-G2026-0011</w:t>
      </w:r>
      <w:r/>
    </w:p>
    <w:tbl>
      <w:tblPr>
        <w:tblStyle w:val="67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82"/>
        <w:gridCol w:w="4798"/>
      </w:tblGrid>
      <w:tr>
        <w:trPr>
          <w:cantSplit/>
          <w:jc w:val="center"/>
          <w:trHeight w:val="567"/>
        </w:trPr>
        <w:tc>
          <w:tcPr>
            <w:tcW w:w="5282" w:type="dxa"/>
            <w:vAlign w:val="center"/>
            <w:textDirection w:val="lrTb"/>
            <w:noWrap/>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项目名称</w:t>
            </w:r>
            <w:r/>
          </w:p>
        </w:tc>
        <w:tc>
          <w:tcPr>
            <w:tcW w:w="4798" w:type="dxa"/>
            <w:vAlign w:val="center"/>
            <w:textDirection w:val="lrTb"/>
            <w:noWrap/>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投标报价</w:t>
            </w:r>
            <w:r/>
          </w:p>
        </w:tc>
      </w:tr>
      <w:tr>
        <w:trPr>
          <w:cantSplit/>
          <w:jc w:val="center"/>
          <w:trHeight w:val="1229"/>
        </w:trPr>
        <w:tc>
          <w:tcPr>
            <w:tcW w:w="5282" w:type="dxa"/>
            <w:vAlign w:val="center"/>
            <w:textDirection w:val="lrTb"/>
            <w:noWrap/>
          </w:tcPr>
          <w:p>
            <w:pPr>
              <w:pStyle w:val="1014"/>
              <w:jc w:val="center"/>
              <w:spacing w:line="400" w:lineRule="exact"/>
              <w:rPr>
                <w:rFonts w:hAnsi="宋体"/>
                <w:bCs/>
                <w:color w:val="auto"/>
                <w:szCs w:val="24"/>
                <w:highlight w:val="none"/>
              </w:rPr>
            </w:pPr>
            <w:r>
              <w:rPr>
                <w:rFonts w:hint="eastAsia" w:hAnsi="宋体"/>
                <w:bCs/>
                <w:color w:val="auto"/>
                <w:szCs w:val="24"/>
                <w:highlight w:val="none"/>
              </w:rPr>
              <w:t xml:space="preserve">2026-2028年大气挥发性有机物走航监测车全托管运维服务</w:t>
            </w:r>
            <w:r>
              <w:rPr>
                <w:rFonts w:hint="eastAsia" w:hAnsi="宋体"/>
                <w:bCs/>
                <w:color w:val="auto"/>
                <w:szCs w:val="24"/>
                <w:highlight w:val="none"/>
              </w:rPr>
              <w:t xml:space="preserve">项目</w:t>
            </w:r>
            <w:r>
              <w:rPr>
                <w:rFonts w:hint="eastAsia" w:hAnsi="宋体" w:cs="宋体"/>
                <w:color w:val="auto"/>
                <w:szCs w:val="24"/>
                <w:highlight w:val="none"/>
              </w:rPr>
              <w:t xml:space="preserve">投标总报价</w:t>
            </w:r>
            <w:r/>
          </w:p>
        </w:tc>
        <w:tc>
          <w:tcPr>
            <w:tcW w:w="4798" w:type="dxa"/>
            <w:vAlign w:val="center"/>
            <w:textDirection w:val="lrTb"/>
            <w:noWrap/>
          </w:tcPr>
          <w:p>
            <w:pPr>
              <w:pStyle w:val="1014"/>
              <w:spacing w:line="360" w:lineRule="auto"/>
              <w:rPr>
                <w:rFonts w:hAnsi="宋体" w:cs="宋体"/>
                <w:color w:val="auto"/>
                <w:szCs w:val="24"/>
                <w:highlight w:val="none"/>
              </w:rPr>
            </w:pPr>
            <w:r>
              <w:rPr>
                <w:rFonts w:hint="eastAsia" w:hAnsi="宋体" w:cs="宋体"/>
                <w:color w:val="auto"/>
                <w:szCs w:val="24"/>
                <w:highlight w:val="none"/>
              </w:rPr>
              <w:t xml:space="preserve">小写：       元</w:t>
            </w:r>
            <w:r/>
          </w:p>
          <w:p>
            <w:pPr>
              <w:pStyle w:val="1014"/>
              <w:spacing w:line="360" w:lineRule="auto"/>
              <w:rPr>
                <w:bCs/>
                <w:color w:val="auto"/>
                <w:highlight w:val="none"/>
              </w:rPr>
            </w:pPr>
            <w:r>
              <w:rPr>
                <w:rFonts w:hint="eastAsia" w:hAnsi="宋体" w:cs="宋体"/>
                <w:color w:val="auto"/>
                <w:szCs w:val="24"/>
                <w:highlight w:val="none"/>
              </w:rPr>
              <w:t xml:space="preserve">大写：</w:t>
            </w:r>
            <w:r/>
          </w:p>
        </w:tc>
      </w:tr>
      <w:tr>
        <w:trPr>
          <w:cantSplit/>
          <w:jc w:val="center"/>
          <w:trHeight w:val="641"/>
        </w:trPr>
        <w:tc>
          <w:tcPr>
            <w:gridSpan w:val="2"/>
            <w:tcW w:w="10080" w:type="dxa"/>
            <w:vAlign w:val="center"/>
            <w:textDirection w:val="lrTb"/>
            <w:noWrap/>
          </w:tcPr>
          <w:p>
            <w:pPr>
              <w:jc w:val="left"/>
              <w:spacing w:line="300" w:lineRule="auto"/>
              <w:rPr>
                <w:rFonts w:ascii="宋体" w:hAnsi="宋体" w:cs="宋体"/>
                <w:color w:val="auto"/>
                <w:sz w:val="24"/>
                <w:highlight w:val="none"/>
              </w:rPr>
            </w:pPr>
            <w:r>
              <w:rPr>
                <w:rFonts w:hint="eastAsia" w:ascii="宋体" w:hAnsi="宋体"/>
                <w:color w:val="auto"/>
                <w:sz w:val="24"/>
                <w:highlight w:val="none"/>
              </w:rPr>
              <w:t xml:space="preserve">服务期：</w:t>
            </w:r>
            <w:r/>
          </w:p>
        </w:tc>
      </w:tr>
      <w:tr>
        <w:trPr>
          <w:cantSplit/>
          <w:jc w:val="center"/>
          <w:trHeight w:val="826"/>
        </w:trPr>
        <w:tc>
          <w:tcPr>
            <w:gridSpan w:val="2"/>
            <w:tcW w:w="10080" w:type="dxa"/>
            <w:vAlign w:val="center"/>
            <w:textDirection w:val="lrTb"/>
            <w:noWrap/>
          </w:tcPr>
          <w:p>
            <w:pPr>
              <w:jc w:val="left"/>
              <w:spacing w:line="300" w:lineRule="auto"/>
              <w:rPr>
                <w:rFonts w:ascii="宋体" w:hAnsi="宋体" w:cs="宋体"/>
                <w:color w:val="auto"/>
                <w:sz w:val="24"/>
                <w:highlight w:val="none"/>
              </w:rPr>
            </w:pPr>
            <w:r>
              <w:rPr>
                <w:rFonts w:hint="eastAsia" w:ascii="宋体" w:hAnsi="宋体" w:cs="宋体"/>
                <w:color w:val="auto"/>
                <w:sz w:val="24"/>
                <w:highlight w:val="none"/>
              </w:rPr>
              <w:t xml:space="preserve">服务质量：</w:t>
            </w:r>
            <w:r/>
          </w:p>
        </w:tc>
      </w:tr>
      <w:tr>
        <w:trPr>
          <w:cantSplit/>
          <w:jc w:val="center"/>
          <w:trHeight w:val="788"/>
        </w:trPr>
        <w:tc>
          <w:tcPr>
            <w:gridSpan w:val="2"/>
            <w:tcW w:w="10080" w:type="dxa"/>
            <w:vAlign w:val="center"/>
            <w:textDirection w:val="lrTb"/>
            <w:noWrap/>
          </w:tcPr>
          <w:p>
            <w:pPr>
              <w:jc w:val="left"/>
              <w:spacing w:line="300" w:lineRule="auto"/>
              <w:rPr>
                <w:rFonts w:ascii="宋体" w:hAnsi="宋体" w:cs="宋体"/>
                <w:color w:val="auto"/>
                <w:sz w:val="24"/>
                <w:highlight w:val="none"/>
              </w:rPr>
            </w:pPr>
            <w:r>
              <w:rPr>
                <w:rFonts w:hint="eastAsia" w:ascii="宋体" w:hAnsi="宋体" w:cs="宋体"/>
                <w:color w:val="auto"/>
                <w:sz w:val="24"/>
                <w:highlight w:val="none"/>
              </w:rPr>
              <w:t xml:space="preserve">项目负责人：</w:t>
            </w:r>
            <w:r/>
          </w:p>
        </w:tc>
      </w:tr>
    </w:tbl>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spacing w:line="400" w:lineRule="exact"/>
        <w:rPr>
          <w:rFonts w:ascii="黑体" w:eastAsia="黑体"/>
          <w:bCs/>
          <w:color w:val="auto"/>
          <w:sz w:val="32"/>
          <w:highlight w:val="none"/>
        </w:rPr>
      </w:pPr>
      <w:r>
        <w:rPr>
          <w:rFonts w:ascii="黑体" w:eastAsia="黑体"/>
          <w:bCs/>
          <w:color w:val="auto"/>
          <w:sz w:val="32"/>
          <w:highlight w:val="none"/>
        </w:rPr>
      </w:r>
      <w:r/>
    </w:p>
    <w:p>
      <w:pPr>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填写说明：</w:t>
      </w:r>
      <w:r/>
    </w:p>
    <w:p>
      <w:pPr>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1、评标时一律按开标一览表中内容为准，开标一览表中必须盖章或签字。</w:t>
      </w:r>
      <w:r/>
    </w:p>
    <w:p>
      <w:pPr>
        <w:rPr>
          <w:rFonts w:ascii="黑体" w:hAnsi="宋体" w:eastAsia="黑体"/>
          <w:bCs/>
          <w:color w:val="auto"/>
          <w:sz w:val="24"/>
          <w:szCs w:val="24"/>
          <w:highlight w:val="none"/>
        </w:rPr>
        <w:sectPr>
          <w:headerReference w:type="default" r:id="rId9"/>
          <w:footerReference w:type="default" r:id="rId10"/>
          <w:footnotePr/>
          <w:endnotePr/>
          <w:type w:val="nextPage"/>
          <w:pgSz w:w="11906" w:h="16838" w:orient="portrait"/>
          <w:pgMar w:top="1440" w:right="1080" w:bottom="1440" w:left="1080" w:header="624" w:footer="907" w:gutter="0"/>
          <w:cols w:num="1" w:sep="0" w:space="1701" w:equalWidth="1"/>
          <w:docGrid w:linePitch="360"/>
        </w:sectPr>
      </w:pPr>
      <w:r>
        <w:rPr>
          <w:rFonts w:ascii="黑体" w:hAnsi="宋体" w:eastAsia="黑体"/>
          <w:bCs/>
          <w:color w:val="auto"/>
          <w:sz w:val="24"/>
          <w:szCs w:val="24"/>
          <w:highlight w:val="none"/>
        </w:rPr>
      </w:r>
      <w:r/>
    </w:p>
    <w:p>
      <w:pPr>
        <w:rPr>
          <w:rFonts w:ascii="黑体" w:hAnsi="宋体" w:eastAsia="黑体"/>
          <w:bCs/>
          <w:color w:val="auto"/>
          <w:sz w:val="24"/>
          <w:highlight w:val="none"/>
        </w:rPr>
      </w:pPr>
      <w:r>
        <w:rPr>
          <w:rFonts w:hint="eastAsia" w:ascii="黑体" w:hAnsi="宋体" w:eastAsia="黑体"/>
          <w:bCs/>
          <w:color w:val="auto"/>
          <w:sz w:val="24"/>
          <w:szCs w:val="24"/>
          <w:highlight w:val="none"/>
        </w:rPr>
        <w:t xml:space="preserve">（八）</w:t>
      </w:r>
      <w:r>
        <w:rPr>
          <w:rFonts w:hint="eastAsia" w:ascii="黑体" w:hAnsi="宋体" w:eastAsia="黑体"/>
          <w:bCs/>
          <w:color w:val="auto"/>
          <w:sz w:val="24"/>
          <w:highlight w:val="none"/>
        </w:rPr>
        <w:t xml:space="preserve">项目组人员配备计划表（格式）</w:t>
      </w:r>
      <w:r/>
    </w:p>
    <w:p>
      <w:pPr>
        <w:ind w:firstLine="420"/>
        <w:rPr>
          <w:rFonts w:eastAsia="黑体"/>
          <w:bCs/>
          <w:color w:val="auto"/>
          <w:sz w:val="24"/>
          <w:szCs w:val="24"/>
          <w:highlight w:val="none"/>
        </w:rPr>
      </w:pPr>
      <w:r>
        <w:rPr>
          <w:rFonts w:eastAsia="黑体"/>
          <w:bCs/>
          <w:color w:val="auto"/>
          <w:sz w:val="24"/>
          <w:szCs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项目组人员配备计划表</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spacing w:line="360" w:lineRule="auto"/>
        <w:rPr>
          <w:bCs/>
          <w:color w:val="auto"/>
          <w:szCs w:val="21"/>
          <w:highlight w:val="none"/>
        </w:rPr>
      </w:pPr>
      <w:r>
        <w:rPr>
          <w:bCs/>
          <w:color w:val="auto"/>
          <w:sz w:val="24"/>
          <w:szCs w:val="24"/>
          <w:highlight w:val="none"/>
        </w:rPr>
        <w:t xml:space="preserve">供应商名称（盖章）                               </w:t>
      </w:r>
      <w:r>
        <w:rPr>
          <w:rFonts w:hint="eastAsia" w:ascii="黑体" w:hAnsi="黑体" w:eastAsia="黑体" w:cs="黑体"/>
          <w:bCs/>
          <w:color w:val="auto"/>
          <w:sz w:val="24"/>
          <w:szCs w:val="24"/>
          <w:highlight w:val="none"/>
        </w:rPr>
        <w:t xml:space="preserve">采购项目编号：</w:t>
      </w:r>
      <w:r>
        <w:rPr>
          <w:bCs/>
          <w:color w:val="auto"/>
          <w:sz w:val="24"/>
          <w:szCs w:val="24"/>
          <w:highlight w:val="none"/>
        </w:rPr>
        <w:t xml:space="preserve"> </w:t>
      </w:r>
      <w:r/>
    </w:p>
    <w:tbl>
      <w:tblPr>
        <w:tblStyle w:val="67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236"/>
        <w:gridCol w:w="1857"/>
        <w:gridCol w:w="932"/>
      </w:tblGrid>
      <w:tr>
        <w:trPr>
          <w:trHeight w:val="607"/>
        </w:trPr>
        <w:tc>
          <w:tcPr>
            <w:tcW w:w="741" w:type="dxa"/>
            <w:vAlign w:val="center"/>
            <w:textDirection w:val="lrTb"/>
            <w:noWrap w:val="false"/>
          </w:tcPr>
          <w:p>
            <w:pPr>
              <w:jc w:val="center"/>
              <w:spacing w:line="300" w:lineRule="exact"/>
              <w:rPr>
                <w:color w:val="auto"/>
                <w:spacing w:val="20"/>
                <w:sz w:val="24"/>
                <w:highlight w:val="none"/>
              </w:rPr>
            </w:pPr>
            <w:r>
              <w:rPr>
                <w:color w:val="auto"/>
                <w:spacing w:val="20"/>
                <w:sz w:val="24"/>
                <w:highlight w:val="none"/>
              </w:rPr>
              <w:t xml:space="preserve">序号</w:t>
            </w:r>
            <w:r/>
          </w:p>
        </w:tc>
        <w:tc>
          <w:tcPr>
            <w:tcW w:w="1047" w:type="dxa"/>
            <w:vAlign w:val="center"/>
            <w:textDirection w:val="lrTb"/>
            <w:noWrap w:val="false"/>
          </w:tcPr>
          <w:p>
            <w:pPr>
              <w:jc w:val="center"/>
              <w:spacing w:line="300" w:lineRule="exact"/>
              <w:rPr>
                <w:color w:val="auto"/>
                <w:spacing w:val="20"/>
                <w:sz w:val="24"/>
                <w:highlight w:val="none"/>
              </w:rPr>
            </w:pPr>
            <w:r>
              <w:rPr>
                <w:color w:val="auto"/>
                <w:spacing w:val="20"/>
                <w:sz w:val="24"/>
                <w:highlight w:val="none"/>
              </w:rPr>
              <w:t xml:space="preserve">姓名</w:t>
            </w:r>
            <w:r/>
          </w:p>
        </w:tc>
        <w:tc>
          <w:tcPr>
            <w:tcW w:w="730" w:type="dxa"/>
            <w:vAlign w:val="center"/>
            <w:textDirection w:val="lrTb"/>
            <w:noWrap w:val="false"/>
          </w:tcPr>
          <w:p>
            <w:pPr>
              <w:jc w:val="center"/>
              <w:spacing w:line="300" w:lineRule="exact"/>
              <w:rPr>
                <w:color w:val="auto"/>
                <w:spacing w:val="20"/>
                <w:sz w:val="24"/>
                <w:highlight w:val="none"/>
              </w:rPr>
            </w:pPr>
            <w:r>
              <w:rPr>
                <w:color w:val="auto"/>
                <w:spacing w:val="20"/>
                <w:sz w:val="24"/>
                <w:highlight w:val="none"/>
              </w:rPr>
              <w:t xml:space="preserve">性别</w:t>
            </w:r>
            <w:r/>
          </w:p>
        </w:tc>
        <w:tc>
          <w:tcPr>
            <w:tcW w:w="709" w:type="dxa"/>
            <w:vAlign w:val="center"/>
            <w:textDirection w:val="lrTb"/>
            <w:noWrap w:val="false"/>
          </w:tcPr>
          <w:p>
            <w:pPr>
              <w:jc w:val="center"/>
              <w:spacing w:line="300" w:lineRule="exact"/>
              <w:rPr>
                <w:color w:val="auto"/>
                <w:spacing w:val="20"/>
                <w:sz w:val="24"/>
                <w:highlight w:val="none"/>
              </w:rPr>
            </w:pPr>
            <w:r>
              <w:rPr>
                <w:color w:val="auto"/>
                <w:spacing w:val="20"/>
                <w:sz w:val="24"/>
                <w:highlight w:val="none"/>
              </w:rPr>
              <w:t xml:space="preserve">年龄</w:t>
            </w:r>
            <w:r/>
          </w:p>
        </w:tc>
        <w:tc>
          <w:tcPr>
            <w:tcW w:w="1477" w:type="dxa"/>
            <w:vAlign w:val="center"/>
            <w:textDirection w:val="lrTb"/>
            <w:noWrap w:val="false"/>
          </w:tcPr>
          <w:p>
            <w:pPr>
              <w:jc w:val="center"/>
              <w:spacing w:line="300" w:lineRule="exact"/>
              <w:rPr>
                <w:color w:val="auto"/>
                <w:spacing w:val="20"/>
                <w:sz w:val="24"/>
                <w:highlight w:val="none"/>
              </w:rPr>
            </w:pPr>
            <w:r>
              <w:rPr>
                <w:color w:val="auto"/>
                <w:spacing w:val="20"/>
                <w:sz w:val="24"/>
                <w:highlight w:val="none"/>
              </w:rPr>
              <w:t xml:space="preserve">岗位名称</w:t>
            </w:r>
            <w:r/>
          </w:p>
        </w:tc>
        <w:tc>
          <w:tcPr>
            <w:tcW w:w="1236" w:type="dxa"/>
            <w:vAlign w:val="center"/>
            <w:textDirection w:val="lrTb"/>
            <w:noWrap w:val="false"/>
          </w:tcPr>
          <w:p>
            <w:pPr>
              <w:jc w:val="center"/>
              <w:spacing w:line="300" w:lineRule="exact"/>
              <w:rPr>
                <w:color w:val="auto"/>
                <w:spacing w:val="20"/>
                <w:sz w:val="24"/>
                <w:highlight w:val="none"/>
              </w:rPr>
            </w:pPr>
            <w:r>
              <w:rPr>
                <w:color w:val="auto"/>
                <w:spacing w:val="20"/>
                <w:sz w:val="24"/>
                <w:highlight w:val="none"/>
              </w:rPr>
              <w:t xml:space="preserve">学历</w:t>
            </w:r>
            <w:r/>
          </w:p>
        </w:tc>
        <w:tc>
          <w:tcPr>
            <w:tcW w:w="1236" w:type="dxa"/>
            <w:vAlign w:val="center"/>
            <w:textDirection w:val="lrTb"/>
            <w:noWrap w:val="false"/>
          </w:tcPr>
          <w:p>
            <w:pPr>
              <w:jc w:val="center"/>
              <w:spacing w:line="300" w:lineRule="exact"/>
              <w:rPr>
                <w:color w:val="auto"/>
                <w:spacing w:val="20"/>
                <w:sz w:val="24"/>
                <w:highlight w:val="none"/>
              </w:rPr>
            </w:pPr>
            <w:r>
              <w:rPr>
                <w:color w:val="auto"/>
                <w:spacing w:val="20"/>
                <w:sz w:val="24"/>
                <w:highlight w:val="none"/>
              </w:rPr>
              <w:t xml:space="preserve">职称</w:t>
            </w:r>
            <w:r/>
          </w:p>
        </w:tc>
        <w:tc>
          <w:tcPr>
            <w:tcW w:w="1857" w:type="dxa"/>
            <w:vAlign w:val="center"/>
            <w:textDirection w:val="lrTb"/>
            <w:noWrap w:val="false"/>
          </w:tcPr>
          <w:p>
            <w:pPr>
              <w:jc w:val="center"/>
              <w:spacing w:line="300" w:lineRule="exact"/>
              <w:rPr>
                <w:color w:val="auto"/>
                <w:spacing w:val="20"/>
                <w:sz w:val="24"/>
                <w:highlight w:val="none"/>
              </w:rPr>
            </w:pPr>
            <w:r>
              <w:rPr>
                <w:color w:val="auto"/>
                <w:spacing w:val="20"/>
                <w:sz w:val="24"/>
                <w:highlight w:val="none"/>
              </w:rPr>
              <w:t xml:space="preserve">主要资历、经验及承担过的项目</w:t>
            </w:r>
            <w:r/>
          </w:p>
        </w:tc>
        <w:tc>
          <w:tcPr>
            <w:tcW w:w="932" w:type="dxa"/>
            <w:vAlign w:val="center"/>
            <w:textDirection w:val="lrTb"/>
            <w:noWrap w:val="false"/>
          </w:tcPr>
          <w:p>
            <w:pPr>
              <w:jc w:val="center"/>
              <w:spacing w:line="300" w:lineRule="exact"/>
              <w:rPr>
                <w:color w:val="auto"/>
                <w:spacing w:val="20"/>
                <w:sz w:val="24"/>
                <w:highlight w:val="none"/>
              </w:rPr>
            </w:pPr>
            <w:r>
              <w:rPr>
                <w:color w:val="auto"/>
                <w:spacing w:val="20"/>
                <w:sz w:val="24"/>
                <w:highlight w:val="none"/>
              </w:rPr>
              <w:t xml:space="preserve">备注</w:t>
            </w:r>
            <w:r/>
          </w:p>
        </w:tc>
      </w:tr>
      <w:tr>
        <w:trPr>
          <w:trHeight w:val="521"/>
        </w:trPr>
        <w:tc>
          <w:tcPr>
            <w:tcW w:w="741"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t xml:space="preserve">1</w:t>
            </w:r>
            <w:r/>
          </w:p>
        </w:tc>
        <w:tc>
          <w:tcPr>
            <w:tcW w:w="104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730"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709"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47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85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932"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r>
      <w:tr>
        <w:trPr>
          <w:trHeight w:val="457"/>
        </w:trPr>
        <w:tc>
          <w:tcPr>
            <w:tcW w:w="741"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t xml:space="preserve">2</w:t>
            </w:r>
            <w:r/>
          </w:p>
        </w:tc>
        <w:tc>
          <w:tcPr>
            <w:tcW w:w="104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730"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709"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47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85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932"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r>
      <w:tr>
        <w:trPr>
          <w:trHeight w:val="463"/>
        </w:trPr>
        <w:tc>
          <w:tcPr>
            <w:tcW w:w="741"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t xml:space="preserve">3</w:t>
            </w:r>
            <w:r/>
          </w:p>
        </w:tc>
        <w:tc>
          <w:tcPr>
            <w:tcW w:w="104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730"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709"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47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85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932"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r>
      <w:tr>
        <w:trPr>
          <w:trHeight w:val="441"/>
        </w:trPr>
        <w:tc>
          <w:tcPr>
            <w:tcW w:w="741"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t xml:space="preserve">4</w:t>
            </w:r>
            <w:r/>
          </w:p>
        </w:tc>
        <w:tc>
          <w:tcPr>
            <w:tcW w:w="104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730"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709"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47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85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932"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r>
      <w:tr>
        <w:trPr>
          <w:trHeight w:val="503"/>
        </w:trPr>
        <w:tc>
          <w:tcPr>
            <w:tcW w:w="741"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t xml:space="preserve">5</w:t>
            </w:r>
            <w:r/>
          </w:p>
        </w:tc>
        <w:tc>
          <w:tcPr>
            <w:tcW w:w="104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730"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709"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47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85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932"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r>
      <w:tr>
        <w:trPr>
          <w:trHeight w:val="495"/>
        </w:trPr>
        <w:tc>
          <w:tcPr>
            <w:tcW w:w="741"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t xml:space="preserve">6</w:t>
            </w:r>
            <w:r/>
          </w:p>
        </w:tc>
        <w:tc>
          <w:tcPr>
            <w:tcW w:w="104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730"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709"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47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85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932"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r>
      <w:tr>
        <w:trPr>
          <w:trHeight w:val="495"/>
        </w:trPr>
        <w:tc>
          <w:tcPr>
            <w:tcW w:w="741"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t xml:space="preserve">7</w:t>
            </w:r>
            <w:r/>
          </w:p>
        </w:tc>
        <w:tc>
          <w:tcPr>
            <w:tcW w:w="104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730"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709"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47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85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932"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r>
      <w:tr>
        <w:trPr>
          <w:trHeight w:val="465"/>
        </w:trPr>
        <w:tc>
          <w:tcPr>
            <w:tcW w:w="741"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t xml:space="preserve">8</w:t>
            </w:r>
            <w:r/>
          </w:p>
        </w:tc>
        <w:tc>
          <w:tcPr>
            <w:tcW w:w="104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730"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709"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47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85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932"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r>
      <w:tr>
        <w:trPr>
          <w:trHeight w:val="450"/>
        </w:trPr>
        <w:tc>
          <w:tcPr>
            <w:tcW w:w="741"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t xml:space="preserve">9</w:t>
            </w:r>
            <w:r/>
          </w:p>
        </w:tc>
        <w:tc>
          <w:tcPr>
            <w:tcW w:w="104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730"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709"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47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85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932"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r>
      <w:tr>
        <w:trPr>
          <w:trHeight w:val="447"/>
        </w:trPr>
        <w:tc>
          <w:tcPr>
            <w:tcW w:w="741"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t xml:space="preserve">10</w:t>
            </w:r>
            <w:r/>
          </w:p>
        </w:tc>
        <w:tc>
          <w:tcPr>
            <w:tcW w:w="104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730"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709"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47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85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932"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r>
      <w:tr>
        <w:trPr>
          <w:cantSplit/>
          <w:trHeight w:val="630"/>
        </w:trPr>
        <w:tc>
          <w:tcPr>
            <w:tcW w:w="741"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t xml:space="preserve">… …</w:t>
            </w:r>
            <w:r/>
          </w:p>
        </w:tc>
        <w:tc>
          <w:tcPr>
            <w:tcW w:w="104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730"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709"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47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236"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1857"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c>
          <w:tcPr>
            <w:tcW w:w="932" w:type="dxa"/>
            <w:vAlign w:val="center"/>
            <w:textDirection w:val="lrTb"/>
            <w:noWrap w:val="false"/>
          </w:tcPr>
          <w:p>
            <w:pPr>
              <w:jc w:val="center"/>
              <w:spacing w:line="360" w:lineRule="auto"/>
              <w:rPr>
                <w:color w:val="auto"/>
                <w:sz w:val="24"/>
                <w:szCs w:val="24"/>
                <w:highlight w:val="none"/>
              </w:rPr>
            </w:pPr>
            <w:r>
              <w:rPr>
                <w:color w:val="auto"/>
                <w:sz w:val="24"/>
                <w:szCs w:val="24"/>
                <w:highlight w:val="none"/>
              </w:rPr>
            </w:r>
            <w:r/>
          </w:p>
        </w:tc>
      </w:tr>
    </w:tbl>
    <w:p>
      <w:pPr>
        <w:spacing w:line="480" w:lineRule="auto"/>
        <w:rPr>
          <w:bCs/>
          <w:color w:val="auto"/>
          <w:sz w:val="24"/>
          <w:highlight w:val="none"/>
        </w:rPr>
      </w:pPr>
      <w:r>
        <w:rPr>
          <w:bCs/>
          <w:color w:val="auto"/>
          <w:sz w:val="24"/>
          <w:highlight w:val="none"/>
        </w:rPr>
        <w:t xml:space="preserve">法定代表人或法定代表人授权代表签字或盖章：</w:t>
      </w:r>
      <w:r/>
    </w:p>
    <w:p>
      <w:pPr>
        <w:spacing w:line="480" w:lineRule="auto"/>
        <w:rPr>
          <w:bCs/>
          <w:color w:val="auto"/>
          <w:sz w:val="24"/>
          <w:highlight w:val="none"/>
        </w:rPr>
      </w:pPr>
      <w:r>
        <w:rPr>
          <w:bCs/>
          <w:color w:val="auto"/>
          <w:sz w:val="24"/>
          <w:highlight w:val="none"/>
        </w:rPr>
      </w:r>
      <w:r/>
    </w:p>
    <w:p>
      <w:pPr>
        <w:rPr>
          <w:bCs/>
          <w:color w:val="auto"/>
          <w:szCs w:val="21"/>
          <w:highlight w:val="none"/>
        </w:rPr>
      </w:pPr>
      <w:r>
        <w:rPr>
          <w:bCs/>
          <w:color w:val="auto"/>
          <w:szCs w:val="21"/>
          <w:highlight w:val="none"/>
        </w:rPr>
        <w:t xml:space="preserve">注：1、上表可自行延长。</w:t>
      </w:r>
      <w:r/>
    </w:p>
    <w:p>
      <w:pPr>
        <w:ind w:firstLine="420"/>
        <w:rPr>
          <w:rFonts w:ascii="黑体" w:hAnsi="宋体" w:eastAsia="黑体"/>
          <w:bCs/>
          <w:color w:val="auto"/>
          <w:sz w:val="24"/>
          <w:highlight w:val="none"/>
        </w:rPr>
      </w:pPr>
      <w:r>
        <w:rPr>
          <w:bCs/>
          <w:color w:val="auto"/>
          <w:szCs w:val="21"/>
          <w:highlight w:val="none"/>
        </w:rPr>
        <w:t xml:space="preserve">2、提供</w:t>
      </w:r>
      <w:r>
        <w:rPr>
          <w:rFonts w:hint="eastAsia"/>
          <w:bCs/>
          <w:color w:val="auto"/>
          <w:szCs w:val="21"/>
          <w:highlight w:val="none"/>
        </w:rPr>
        <w:t xml:space="preserve">项目组人员相关证书（如有）</w:t>
      </w:r>
      <w:r>
        <w:rPr>
          <w:bCs/>
          <w:color w:val="auto"/>
          <w:szCs w:val="21"/>
          <w:highlight w:val="none"/>
        </w:rPr>
        <w:t xml:space="preserve">。</w:t>
      </w:r>
      <w:r>
        <w:rPr>
          <w:rFonts w:hint="eastAsia" w:ascii="黑体" w:hAnsi="宋体" w:eastAsia="黑体"/>
          <w:bCs/>
          <w:color w:val="auto"/>
          <w:sz w:val="24"/>
          <w:highlight w:val="none"/>
        </w:rPr>
        <w:br w:type="page" w:clear="all"/>
      </w:r>
      <w:r/>
    </w:p>
    <w:p>
      <w:pPr>
        <w:jc w:val="left"/>
        <w:spacing w:line="480" w:lineRule="auto"/>
        <w:rPr>
          <w:rFonts w:ascii="黑体" w:hAnsi="宋体" w:eastAsia="黑体"/>
          <w:bCs/>
          <w:color w:val="auto"/>
          <w:sz w:val="24"/>
          <w:szCs w:val="24"/>
          <w:highlight w:val="none"/>
        </w:rPr>
      </w:pPr>
      <w:r>
        <w:rPr>
          <w:rFonts w:hint="eastAsia" w:ascii="黑体" w:hAnsi="宋体" w:eastAsia="黑体"/>
          <w:bCs/>
          <w:color w:val="auto"/>
          <w:sz w:val="24"/>
          <w:highlight w:val="none"/>
        </w:rPr>
        <w:t xml:space="preserve">（九）</w:t>
      </w:r>
      <w:r>
        <w:rPr>
          <w:rFonts w:hint="eastAsia" w:ascii="黑体" w:hAnsi="宋体" w:eastAsia="黑体"/>
          <w:bCs/>
          <w:color w:val="auto"/>
          <w:sz w:val="24"/>
          <w:szCs w:val="24"/>
          <w:highlight w:val="none"/>
        </w:rPr>
        <w:t xml:space="preserve">项目负责人简历表（格式）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项目负责人简历表</w:t>
      </w:r>
      <w:r/>
    </w:p>
    <w:p>
      <w:pPr>
        <w:jc w:val="center"/>
        <w:rPr>
          <w:rFonts w:ascii="宋体" w:hAnsi="宋体" w:cs="宋体"/>
          <w:bCs/>
          <w:color w:val="auto"/>
          <w:sz w:val="24"/>
          <w:szCs w:val="24"/>
          <w:highlight w:val="none"/>
        </w:rPr>
      </w:pPr>
      <w:r>
        <w:rPr>
          <w:rFonts w:ascii="宋体" w:hAnsi="宋体" w:cs="宋体"/>
          <w:bCs/>
          <w:color w:val="auto"/>
          <w:sz w:val="24"/>
          <w:szCs w:val="24"/>
          <w:highlight w:val="none"/>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投标供应商名称（盖章）              项目编号：</w:t>
      </w:r>
      <w:r/>
    </w:p>
    <w:tbl>
      <w:tblPr>
        <w:tblStyle w:val="670"/>
        <w:tblW w:w="971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851"/>
        <w:gridCol w:w="2394"/>
        <w:gridCol w:w="1083"/>
        <w:gridCol w:w="1254"/>
        <w:gridCol w:w="2358"/>
      </w:tblGrid>
      <w:tr>
        <w:trPr>
          <w:cantSplit/>
          <w:jc w:val="center"/>
          <w:trHeight w:val="594"/>
        </w:trPr>
        <w:tc>
          <w:tcPr>
            <w:tcW w:w="775"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851"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姓名</w:t>
            </w:r>
            <w:r/>
          </w:p>
        </w:tc>
        <w:tc>
          <w:tcPr>
            <w:tcW w:w="2394" w:type="dxa"/>
            <w:vAlign w:val="center"/>
            <w:textDirection w:val="lrTb"/>
            <w:noWrap w:val="false"/>
          </w:tcPr>
          <w:p>
            <w:pPr>
              <w:ind w:firstLine="480"/>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08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性别</w:t>
            </w:r>
            <w:r/>
          </w:p>
        </w:tc>
        <w:tc>
          <w:tcPr>
            <w:gridSpan w:val="2"/>
            <w:tcW w:w="3612" w:type="dxa"/>
            <w:vAlign w:val="center"/>
            <w:textDirection w:val="lrTb"/>
            <w:noWrap w:val="false"/>
          </w:tcPr>
          <w:p>
            <w:pPr>
              <w:ind w:firstLine="480"/>
              <w:jc w:val="center"/>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45"/>
        </w:trPr>
        <w:tc>
          <w:tcPr>
            <w:tcW w:w="775"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851"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身份证号码</w:t>
            </w:r>
            <w:r/>
          </w:p>
        </w:tc>
        <w:tc>
          <w:tcPr>
            <w:gridSpan w:val="2"/>
            <w:tcW w:w="3477" w:type="dxa"/>
            <w:vAlign w:val="center"/>
            <w:textDirection w:val="lrTb"/>
            <w:noWrap w:val="false"/>
          </w:tcPr>
          <w:p>
            <w:pPr>
              <w:ind w:firstLine="480"/>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25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出生年月</w:t>
            </w:r>
            <w:r/>
          </w:p>
        </w:tc>
        <w:tc>
          <w:tcPr>
            <w:tcW w:w="2358" w:type="dxa"/>
            <w:vAlign w:val="center"/>
            <w:textDirection w:val="lrTb"/>
            <w:noWrap w:val="false"/>
          </w:tcPr>
          <w:p>
            <w:pPr>
              <w:ind w:firstLine="48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年     月</w:t>
            </w:r>
            <w:r/>
          </w:p>
        </w:tc>
      </w:tr>
      <w:tr>
        <w:trPr>
          <w:cantSplit/>
          <w:jc w:val="center"/>
          <w:trHeight w:val="645"/>
        </w:trPr>
        <w:tc>
          <w:tcPr>
            <w:tcW w:w="775"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gridSpan w:val="5"/>
            <w:tcW w:w="8940" w:type="dxa"/>
            <w:vAlign w:val="center"/>
            <w:textDirection w:val="lrTb"/>
            <w:noWrap w:val="false"/>
          </w:tcPr>
          <w:p>
            <w:pPr>
              <w:ind w:firstLine="48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联系电话/传真：</w:t>
            </w:r>
            <w:r/>
          </w:p>
        </w:tc>
      </w:tr>
      <w:tr>
        <w:trPr>
          <w:cantSplit/>
          <w:jc w:val="center"/>
          <w:trHeight w:val="1964"/>
        </w:trPr>
        <w:tc>
          <w:tcPr>
            <w:tcW w:w="775"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gridSpan w:val="5"/>
            <w:tcW w:w="8940" w:type="dxa"/>
            <w:textDirection w:val="lrTb"/>
            <w:noWrap w:val="false"/>
          </w:tcPr>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从事本项工作时间及工作经历：</w:t>
            </w:r>
            <w:r/>
          </w:p>
        </w:tc>
      </w:tr>
      <w:tr>
        <w:trPr>
          <w:cantSplit/>
          <w:jc w:val="center"/>
          <w:trHeight w:val="625"/>
        </w:trPr>
        <w:tc>
          <w:tcPr>
            <w:tcW w:w="775"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gridSpan w:val="5"/>
            <w:tcW w:w="8940" w:type="dxa"/>
            <w:vAlign w:val="center"/>
            <w:textDirection w:val="lrTb"/>
            <w:noWrap w:val="false"/>
          </w:tcPr>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拥有关于本项服务方面的职称：</w:t>
            </w:r>
            <w:r/>
          </w:p>
        </w:tc>
      </w:tr>
      <w:tr>
        <w:trPr>
          <w:cantSplit/>
          <w:jc w:val="center"/>
          <w:trHeight w:val="641"/>
        </w:trPr>
        <w:tc>
          <w:tcPr>
            <w:tcW w:w="775"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gridSpan w:val="5"/>
            <w:tcW w:w="8940" w:type="dxa"/>
            <w:vAlign w:val="center"/>
            <w:textDirection w:val="lrTb"/>
            <w:noWrap w:val="false"/>
          </w:tcPr>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曾获得的关于本项服务方面的奖励情况：</w:t>
            </w:r>
            <w:r/>
          </w:p>
        </w:tc>
      </w:tr>
      <w:tr>
        <w:trPr>
          <w:cantSplit/>
          <w:jc w:val="center"/>
          <w:trHeight w:val="1708"/>
        </w:trPr>
        <w:tc>
          <w:tcPr>
            <w:tcW w:w="775"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gridSpan w:val="5"/>
            <w:tcW w:w="8940" w:type="dxa"/>
            <w:textDirection w:val="lrTb"/>
            <w:noWrap w:val="false"/>
          </w:tcPr>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近5年内负责的服务项目：</w:t>
            </w:r>
            <w:r/>
          </w:p>
        </w:tc>
      </w:tr>
      <w:tr>
        <w:trPr>
          <w:cantSplit/>
          <w:jc w:val="center"/>
          <w:trHeight w:val="607"/>
        </w:trPr>
        <w:tc>
          <w:tcPr>
            <w:tcW w:w="775"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gridSpan w:val="5"/>
            <w:tcW w:w="8940" w:type="dxa"/>
            <w:vAlign w:val="center"/>
            <w:textDirection w:val="lrTb"/>
            <w:noWrap w:val="false"/>
          </w:tcPr>
          <w:p>
            <w:pPr>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其他需要说明的情况</w:t>
            </w:r>
            <w:r/>
          </w:p>
        </w:tc>
      </w:tr>
    </w:tbl>
    <w:p>
      <w:pPr>
        <w:ind w:firstLine="3120"/>
        <w:spacing w:line="360" w:lineRule="auto"/>
        <w:rPr>
          <w:rFonts w:ascii="宋体" w:hAnsi="宋体" w:cs="宋体"/>
          <w:b/>
          <w:bCs/>
          <w:color w:val="auto"/>
          <w:sz w:val="24"/>
          <w:highlight w:val="none"/>
        </w:rPr>
      </w:pPr>
      <w:r>
        <w:rPr>
          <w:rFonts w:ascii="宋体" w:hAnsi="宋体" w:cs="宋体"/>
          <w:b/>
          <w:bCs/>
          <w:color w:val="auto"/>
          <w:sz w:val="24"/>
          <w:highlight w:val="none"/>
        </w:rPr>
      </w:r>
      <w:r/>
    </w:p>
    <w:p>
      <w:pPr>
        <w:spacing w:line="360" w:lineRule="auto"/>
        <w:rPr>
          <w:rFonts w:ascii="宋体" w:hAnsi="宋体" w:cs="宋体"/>
          <w:bCs/>
          <w:color w:val="auto"/>
          <w:szCs w:val="21"/>
          <w:highlight w:val="none"/>
        </w:rPr>
      </w:pPr>
      <w:r>
        <w:rPr>
          <w:rFonts w:hint="eastAsia" w:ascii="宋体" w:hAnsi="宋体" w:cs="宋体"/>
          <w:b/>
          <w:bCs/>
          <w:color w:val="auto"/>
          <w:sz w:val="24"/>
          <w:highlight w:val="none"/>
        </w:rPr>
        <w:t xml:space="preserve">法定代表人或法定代表人授权代表签字或盖章：</w:t>
      </w:r>
      <w:r/>
    </w:p>
    <w:p>
      <w:pPr>
        <w:ind w:firstLine="240"/>
        <w:spacing w:line="360" w:lineRule="auto"/>
        <w:rPr>
          <w:rFonts w:ascii="宋体" w:hAnsi="宋体" w:cs="宋体"/>
          <w:color w:val="auto"/>
          <w:sz w:val="24"/>
          <w:highlight w:val="none"/>
          <w:lang w:val="zh-CN"/>
        </w:rPr>
      </w:pPr>
      <w:r>
        <w:rPr>
          <w:rFonts w:hint="eastAsia" w:ascii="宋体" w:hAnsi="宋体" w:cs="宋体"/>
          <w:bCs/>
          <w:color w:val="auto"/>
          <w:sz w:val="24"/>
          <w:highlight w:val="none"/>
        </w:rPr>
        <w:t xml:space="preserve">注：请附身份证、相关资格证明（如有）。</w:t>
      </w:r>
      <w:r/>
    </w:p>
    <w:p>
      <w:pPr>
        <w:jc w:val="left"/>
        <w:spacing w:line="480" w:lineRule="auto"/>
        <w:rPr>
          <w:rFonts w:ascii="宋体" w:hAnsi="宋体"/>
          <w:color w:val="auto"/>
          <w:sz w:val="24"/>
          <w:szCs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（十）投标偏离表（格式）：</w:t>
      </w:r>
      <w:r/>
    </w:p>
    <w:p>
      <w:pPr>
        <w:ind w:firstLine="490"/>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投标人名称（盖章）         采购项目编号：</w:t>
      </w:r>
      <w:r>
        <w:rPr>
          <w:rFonts w:hint="eastAsia" w:ascii="黑体" w:eastAsia="黑体"/>
          <w:bCs/>
          <w:color w:val="auto"/>
          <w:sz w:val="24"/>
          <w:szCs w:val="24"/>
          <w:highlight w:val="none"/>
          <w:lang w:eastAsia="zh-CN"/>
        </w:rPr>
        <w:t xml:space="preserve">JSZC-320214-BJZC-G2026-0011</w:t>
      </w:r>
      <w:r/>
    </w:p>
    <w:tbl>
      <w:tblPr>
        <w:tblStyle w:val="670"/>
        <w:tblW w:w="0" w:type="auto"/>
        <w:tblInd w:w="-60"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bl>
    <w:p>
      <w:pPr>
        <w:rPr>
          <w:rFonts w:ascii="宋体"/>
          <w:b/>
          <w:color w:val="auto"/>
          <w:sz w:val="24"/>
          <w:szCs w:val="24"/>
          <w:highlight w:val="none"/>
        </w:rPr>
      </w:pPr>
      <w:r>
        <w:rPr>
          <w:rFonts w:ascii="宋体"/>
          <w:b/>
          <w:color w:val="auto"/>
          <w:sz w:val="24"/>
          <w:szCs w:val="24"/>
          <w:highlight w:val="none"/>
        </w:rPr>
      </w:r>
      <w:r/>
    </w:p>
    <w:p>
      <w:pPr>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rPr>
          <w:rFonts w:ascii="宋体"/>
          <w:bCs/>
          <w:color w:val="auto"/>
          <w:sz w:val="30"/>
          <w:highlight w:val="none"/>
        </w:rPr>
      </w:pPr>
      <w:r>
        <w:rPr>
          <w:rFonts w:ascii="宋体"/>
          <w:bCs/>
          <w:color w:val="auto"/>
          <w:sz w:val="30"/>
          <w:highlight w:val="none"/>
        </w:rPr>
      </w:r>
      <w:r/>
    </w:p>
    <w:p>
      <w:pPr>
        <w:rPr>
          <w:rFonts w:ascii="宋体" w:hAnsi="宋体"/>
          <w:bCs/>
          <w:color w:val="auto"/>
          <w:sz w:val="24"/>
          <w:szCs w:val="24"/>
          <w:highlight w:val="none"/>
        </w:rPr>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480"/>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）如无任何服务偏离，请于本表“偏离说明”中注明“无偏离”；</w:t>
      </w:r>
      <w:r/>
    </w:p>
    <w:p>
      <w:pPr>
        <w:rPr>
          <w:rFonts w:ascii="宋体"/>
          <w:bCs/>
          <w:color w:val="auto"/>
          <w:sz w:val="24"/>
          <w:szCs w:val="24"/>
          <w:highlight w:val="none"/>
        </w:rPr>
      </w:pP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（3）如有服务偏离项，请于本表中列明偏离内容，如需要可自行延长，其余无偏离内容不须赘述。</w:t>
      </w:r>
      <w:r/>
    </w:p>
    <w:p>
      <w:pPr>
        <w:ind w:firstLine="42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2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spacing w:line="360" w:lineRule="auto"/>
        <w:rPr>
          <w:rFonts w:ascii="黑体" w:hAnsi="宋体" w:eastAsia="黑体"/>
          <w:color w:val="auto"/>
          <w:sz w:val="24"/>
          <w:szCs w:val="24"/>
          <w:highlight w:val="none"/>
        </w:rPr>
      </w:pPr>
      <w:r>
        <w:rPr>
          <w:rFonts w:ascii="黑体" w:hAnsi="宋体" w:eastAsia="黑体"/>
          <w:bCs/>
          <w:color w:val="auto"/>
          <w:sz w:val="24"/>
          <w:szCs w:val="24"/>
          <w:highlight w:val="none"/>
        </w:rPr>
        <w:br w:type="page" w:clear="all"/>
      </w:r>
      <w:r>
        <w:rPr>
          <w:rFonts w:hint="eastAsia" w:ascii="黑体" w:hAnsi="宋体" w:eastAsia="黑体"/>
          <w:color w:val="auto"/>
          <w:sz w:val="24"/>
          <w:szCs w:val="24"/>
          <w:highlight w:val="none"/>
        </w:rPr>
        <w:t xml:space="preserve">（十一）</w:t>
      </w:r>
      <w:r>
        <w:rPr>
          <w:rFonts w:hint="eastAsia" w:ascii="黑体" w:hAnsi="宋体" w:eastAsia="黑体"/>
          <w:bCs/>
          <w:color w:val="auto"/>
          <w:sz w:val="24"/>
          <w:szCs w:val="24"/>
          <w:highlight w:val="none"/>
        </w:rPr>
        <w:t xml:space="preserve">技术方案（格式自拟）</w:t>
      </w:r>
      <w:r/>
    </w:p>
    <w:p>
      <w:pPr>
        <w:ind w:firstLine="480"/>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jc w:val="cente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技术方案</w:t>
      </w:r>
      <w:r/>
    </w:p>
    <w:p>
      <w:pPr>
        <w:pStyle w:val="1013"/>
        <w:ind w:firstLine="0"/>
        <w:spacing w:line="360" w:lineRule="auto"/>
        <w:rPr>
          <w:rFonts w:ascii="宋体" w:hAnsi="宋体"/>
          <w:b/>
          <w:color w:val="auto"/>
          <w:sz w:val="24"/>
          <w:szCs w:val="24"/>
          <w:highlight w:val="none"/>
        </w:rPr>
      </w:pPr>
      <w:r>
        <w:rPr>
          <w:rFonts w:hint="eastAsia"/>
          <w:color w:val="auto"/>
          <w:sz w:val="24"/>
          <w:highlight w:val="none"/>
        </w:rPr>
        <w:t xml:space="preserve">投标供应商应按评分点编制完整的服务方案，</w:t>
      </w:r>
      <w:r>
        <w:rPr>
          <w:color w:val="auto"/>
          <w:sz w:val="24"/>
          <w:highlight w:val="none"/>
        </w:rPr>
        <w:t xml:space="preserve">以便评审。</w:t>
      </w:r>
      <w:r/>
    </w:p>
    <w:sectPr>
      <w:footnotePr/>
      <w:endnotePr/>
      <w:type w:val="nextPage"/>
      <w:pgSz w:w="11906" w:h="16838" w:orient="portrait"/>
      <w:pgMar w:top="1440" w:right="1080" w:bottom="1440" w:left="1080"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华文细黑">
    <w:panose1 w:val="02010600040101010101"/>
  </w:font>
  <w:font w:name="方正黑体_GBK">
    <w:panose1 w:val="020B0503020202020204"/>
  </w:font>
  <w:font w:name="方正仿宋_GBK">
    <w:panose1 w:val="020B0503020202020204"/>
  </w:font>
  <w:font w:name="Cambria">
    <w:panose1 w:val="02040503050406030204"/>
  </w:font>
  <w:font w:name="黑体">
    <w:panose1 w:val="02010609060101010101"/>
  </w:font>
  <w:font w:name="华文中宋">
    <w:panose1 w:val="02010600040101010101"/>
  </w:font>
  <w:font w:name="楷体_GB2312">
    <w:panose1 w:val="02010609060101010101"/>
  </w:font>
  <w:font w:name="Courier New">
    <w:panose1 w:val="02070309020205020404"/>
  </w:font>
  <w:font w:name="Tahoma">
    <w:panose1 w:val="020B0604030504040204"/>
  </w:font>
  <w:font w:name="Arial">
    <w:panose1 w:val="020B0604020202020204"/>
  </w:font>
  <w:font w:name="宋体">
    <w:panose1 w:val="02010600030101010101"/>
  </w:font>
  <w:font w:name="宋体-简">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5</w:t>
    </w:r>
    <w:r>
      <w:rPr>
        <w:szCs w:val="21"/>
      </w:rPr>
      <w:fldChar w:fldCharType="end"/>
    </w:r>
    <w:r>
      <w:rPr>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Pr>
    <w:r>
      <w:rPr>
        <w:rFonts w:hint="eastAsia" w:ascii="宋体" w:hAnsi="宋体"/>
        <w:lang w:eastAsia="zh-CN"/>
      </w:rPr>
      <w:t xml:space="preserve">JSZC-320214-BJZC-G2026-0011</w:t>
    </w:r>
    <w:r>
      <w:rPr>
        <w:rFonts w:hint="eastAsia" w:ascii="宋体" w:hAnsi="宋体"/>
      </w:rPr>
      <w:t xml:space="preserve">    </w:t>
    </w:r>
    <w:r>
      <w:rPr>
        <w:rFonts w:hint="eastAsia" w:ascii="宋体" w:hAnsi="宋体"/>
        <w:lang w:val="en-US" w:eastAsia="zh-CN"/>
      </w:rPr>
      <w:t xml:space="preserve">    </w:t>
    </w:r>
    <w:r>
      <w:rPr>
        <w:rFonts w:hint="eastAsia" w:ascii="宋体" w:hAnsi="宋体"/>
      </w:rPr>
      <w:t xml:space="preserve">  </w:t>
    </w:r>
    <w:r>
      <w:rPr>
        <w:rFonts w:hint="eastAsia" w:ascii="宋体" w:hAnsi="宋体"/>
        <w:lang w:eastAsia="zh-CN"/>
      </w:rPr>
      <w:t xml:space="preserve">2026-2028年大气挥发性有机物走航监测车全托管运维服务项目</w:t>
    </w:r>
    <w:r>
      <w:rPr>
        <w:rFonts w:hint="eastAsia" w:ascii="宋体" w:hAnsi="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
      <w:numFmt w:val="lowerLetter"/>
      <w:isLgl w:val="false"/>
      <w:suff w:val="tab"/>
      <w:lvlText w:val="%2)"/>
      <w:lvlJc w:val="left"/>
      <w:pPr>
        <w:ind w:left="1361" w:hanging="420"/>
        <w:tabs>
          <w:tab w:val="left" w:pos="1361" w:leader="none"/>
        </w:tabs>
      </w:pPr>
      <w:rPr>
        <w:rFonts w:cs="Times New Roman"/>
      </w:r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4">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cs="Times New Roman"/>
      </w:rPr>
    </w:lvl>
    <w:lvl w:ilvl="2">
      <w:start w:val="1"/>
      <w:numFmt w:val="lowerRoman"/>
      <w:isLgl w:val="false"/>
      <w:suff w:val="tab"/>
      <w:lvlText w:val="%3."/>
      <w:lvlJc w:val="right"/>
      <w:pPr>
        <w:ind w:left="2250" w:hanging="420"/>
        <w:tabs>
          <w:tab w:val="left" w:pos="2250" w:leader="none"/>
        </w:tabs>
      </w:pPr>
      <w:rPr>
        <w:rFonts w:cs="Times New Roman"/>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5">
    <w:multiLevelType w:val="hybridMultilevel"/>
    <w:lvl w:ilvl="0">
      <w:start w:val="1"/>
      <w:numFmt w:val="bullet"/>
      <w:pStyle w:val="807"/>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6">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upperLetter"/>
      <w:pStyle w:val="796"/>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6"/>
      <w:numFmt w:val="japaneseCounting"/>
      <w:isLgl w:val="false"/>
      <w:suff w:val="tab"/>
      <w:lvlText w:val="（%1）"/>
      <w:lvlJc w:val="left"/>
      <w:pPr>
        <w:ind w:left="1200" w:hanging="720"/>
      </w:pPr>
      <w:rPr>
        <w:rFonts w:hint="default" w:ascii="黑体" w:hAnsi="宋体" w:eastAsia="黑体"/>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2">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14">
    <w:multiLevelType w:val="hybridMultilevel"/>
    <w:lvl w:ilvl="0">
      <w:start w:val="10"/>
      <w:numFmt w:val="japaneseCounting"/>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num w:numId="1">
    <w:abstractNumId w:val="7"/>
  </w:num>
  <w:num w:numId="2">
    <w:abstractNumId w:val="5"/>
  </w:num>
  <w:num w:numId="3">
    <w:abstractNumId w:val="12"/>
  </w:num>
  <w:num w:numId="4">
    <w:abstractNumId w:val="11"/>
  </w:num>
  <w:num w:numId="5">
    <w:abstractNumId w:val="3"/>
  </w:num>
  <w:num w:numId="6">
    <w:abstractNumId w:val="2"/>
  </w:num>
  <w:num w:numId="7">
    <w:abstractNumId w:val="9"/>
  </w:num>
  <w:num w:numId="8">
    <w:abstractNumId w:val="10"/>
  </w:num>
  <w:num w:numId="9">
    <w:abstractNumId w:val="14"/>
  </w:num>
  <w:num w:numId="10">
    <w:abstractNumId w:val="8"/>
  </w:num>
  <w:num w:numId="11">
    <w:abstractNumId w:val="0"/>
  </w:num>
  <w:num w:numId="12">
    <w:abstractNumId w:val="4"/>
  </w:num>
  <w:num w:numId="13">
    <w:abstractNumId w:val="13"/>
  </w:num>
  <w:num w:numId="14">
    <w:abstractNumId w:val="1"/>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59" w:default="1">
    <w:name w:val="Normal"/>
    <w:next w:val="671"/>
    <w:uiPriority w:val="0"/>
    <w:qFormat/>
    <w:pPr>
      <w:jc w:val="both"/>
      <w:widowControl w:val="off"/>
    </w:pPr>
    <w:rPr>
      <w:rFonts w:ascii="Times New Roman" w:hAnsi="Times New Roman" w:eastAsia="宋体" w:cs="Times New Roman"/>
      <w:sz w:val="21"/>
      <w:lang w:val="en-US" w:eastAsia="zh-CN" w:bidi="ar-SA"/>
    </w:rPr>
  </w:style>
  <w:style w:type="paragraph" w:styleId="660">
    <w:name w:val="Heading 1"/>
    <w:basedOn w:val="659"/>
    <w:next w:val="659"/>
    <w:uiPriority w:val="9"/>
    <w:qFormat/>
    <w:pPr>
      <w:keepLines/>
      <w:keepNext/>
      <w:spacing w:before="480" w:after="200"/>
      <w:outlineLvl w:val="0"/>
    </w:pPr>
    <w:rPr>
      <w:rFonts w:ascii="Arial" w:hAnsi="Arial" w:eastAsia="Arial" w:cs="Arial"/>
      <w:sz w:val="40"/>
      <w:szCs w:val="40"/>
    </w:rPr>
  </w:style>
  <w:style w:type="paragraph" w:styleId="661">
    <w:name w:val="Heading 2"/>
    <w:basedOn w:val="659"/>
    <w:next w:val="659"/>
    <w:uiPriority w:val="9"/>
    <w:unhideWhenUsed/>
    <w:qFormat/>
    <w:pPr>
      <w:keepLines/>
      <w:keepNext/>
      <w:spacing w:before="360" w:after="200"/>
      <w:outlineLvl w:val="1"/>
    </w:pPr>
    <w:rPr>
      <w:rFonts w:ascii="Arial" w:hAnsi="Arial" w:eastAsia="Arial" w:cs="Arial"/>
      <w:sz w:val="34"/>
    </w:rPr>
  </w:style>
  <w:style w:type="paragraph" w:styleId="662">
    <w:name w:val="Heading 3"/>
    <w:basedOn w:val="659"/>
    <w:next w:val="659"/>
    <w:uiPriority w:val="9"/>
    <w:unhideWhenUsed/>
    <w:qFormat/>
    <w:pPr>
      <w:keepLines/>
      <w:keepNext/>
      <w:spacing w:before="320" w:after="200"/>
      <w:outlineLvl w:val="2"/>
    </w:pPr>
    <w:rPr>
      <w:rFonts w:ascii="Arial" w:hAnsi="Arial" w:eastAsia="Arial" w:cs="Arial"/>
      <w:sz w:val="30"/>
      <w:szCs w:val="30"/>
    </w:rPr>
  </w:style>
  <w:style w:type="paragraph" w:styleId="663">
    <w:name w:val="Heading 4"/>
    <w:basedOn w:val="659"/>
    <w:next w:val="659"/>
    <w:uiPriority w:val="9"/>
    <w:unhideWhenUsed/>
    <w:qFormat/>
    <w:pPr>
      <w:keepLines/>
      <w:keepNext/>
      <w:spacing w:before="320" w:after="200"/>
      <w:outlineLvl w:val="3"/>
    </w:pPr>
    <w:rPr>
      <w:rFonts w:ascii="Arial" w:hAnsi="Arial" w:eastAsia="Arial" w:cs="Arial"/>
      <w:b/>
      <w:bCs/>
      <w:sz w:val="26"/>
      <w:szCs w:val="26"/>
    </w:rPr>
  </w:style>
  <w:style w:type="paragraph" w:styleId="664">
    <w:name w:val="Heading 5"/>
    <w:basedOn w:val="659"/>
    <w:next w:val="659"/>
    <w:uiPriority w:val="9"/>
    <w:unhideWhenUsed/>
    <w:qFormat/>
    <w:pPr>
      <w:keepLines/>
      <w:keepNext/>
      <w:spacing w:before="320" w:after="200"/>
      <w:outlineLvl w:val="4"/>
    </w:pPr>
    <w:rPr>
      <w:rFonts w:ascii="Arial" w:hAnsi="Arial" w:eastAsia="Arial" w:cs="Arial"/>
      <w:b/>
      <w:bCs/>
      <w:sz w:val="24"/>
      <w:szCs w:val="24"/>
    </w:rPr>
  </w:style>
  <w:style w:type="paragraph" w:styleId="665">
    <w:name w:val="Heading 6"/>
    <w:basedOn w:val="659"/>
    <w:next w:val="659"/>
    <w:uiPriority w:val="9"/>
    <w:unhideWhenUsed/>
    <w:qFormat/>
    <w:pPr>
      <w:keepLines/>
      <w:keepNext/>
      <w:spacing w:before="320" w:after="200"/>
      <w:outlineLvl w:val="5"/>
    </w:pPr>
    <w:rPr>
      <w:rFonts w:ascii="Arial" w:hAnsi="Arial" w:eastAsia="Arial" w:cs="Arial"/>
      <w:b/>
      <w:bCs/>
      <w:sz w:val="22"/>
      <w:szCs w:val="22"/>
    </w:rPr>
  </w:style>
  <w:style w:type="paragraph" w:styleId="666">
    <w:name w:val="Heading 7"/>
    <w:basedOn w:val="659"/>
    <w:next w:val="659"/>
    <w:uiPriority w:val="9"/>
    <w:unhideWhenUsed/>
    <w:qFormat/>
    <w:pPr>
      <w:keepLines/>
      <w:keepNext/>
      <w:spacing w:before="320" w:after="200"/>
      <w:outlineLvl w:val="6"/>
    </w:pPr>
    <w:rPr>
      <w:rFonts w:ascii="Arial" w:hAnsi="Arial" w:eastAsia="Arial" w:cs="Arial"/>
      <w:b/>
      <w:bCs/>
      <w:i/>
      <w:iCs/>
      <w:sz w:val="22"/>
      <w:szCs w:val="22"/>
    </w:rPr>
  </w:style>
  <w:style w:type="paragraph" w:styleId="667">
    <w:name w:val="Heading 8"/>
    <w:basedOn w:val="659"/>
    <w:next w:val="659"/>
    <w:uiPriority w:val="9"/>
    <w:unhideWhenUsed/>
    <w:qFormat/>
    <w:pPr>
      <w:keepLines/>
      <w:keepNext/>
      <w:spacing w:before="320" w:after="200"/>
      <w:outlineLvl w:val="7"/>
    </w:pPr>
    <w:rPr>
      <w:rFonts w:ascii="Arial" w:hAnsi="Arial" w:eastAsia="Arial" w:cs="Arial"/>
      <w:i/>
      <w:iCs/>
      <w:sz w:val="22"/>
      <w:szCs w:val="22"/>
    </w:rPr>
  </w:style>
  <w:style w:type="paragraph" w:styleId="668">
    <w:name w:val="Heading 9"/>
    <w:basedOn w:val="659"/>
    <w:next w:val="659"/>
    <w:uiPriority w:val="9"/>
    <w:unhideWhenUsed/>
    <w:qFormat/>
    <w:pPr>
      <w:keepLines/>
      <w:keepNext/>
      <w:spacing w:before="320" w:after="200"/>
      <w:outlineLvl w:val="8"/>
    </w:pPr>
    <w:rPr>
      <w:rFonts w:ascii="Arial" w:hAnsi="Arial" w:eastAsia="Arial" w:cs="Arial"/>
      <w:i/>
      <w:iCs/>
      <w:szCs w:val="21"/>
    </w:rPr>
  </w:style>
  <w:style w:type="character" w:styleId="669" w:default="1">
    <w:name w:val="Default Paragraph Font"/>
    <w:uiPriority w:val="1"/>
    <w:semiHidden/>
    <w:unhideWhenUsed/>
    <w:qFormat/>
  </w:style>
  <w:style w:type="table" w:styleId="670" w:default="1">
    <w:name w:val="Normal Table"/>
    <w:uiPriority w:val="99"/>
    <w:semiHidden/>
    <w:unhideWhenUsed/>
    <w:qFormat/>
    <w:tblPr>
      <w:tblCellMar>
        <w:left w:w="108" w:type="dxa"/>
        <w:top w:w="0" w:type="dxa"/>
        <w:right w:w="108" w:type="dxa"/>
        <w:bottom w:w="0" w:type="dxa"/>
      </w:tblCellMar>
    </w:tblPr>
  </w:style>
  <w:style w:type="paragraph" w:styleId="671">
    <w:name w:val="Body Text First Indent"/>
    <w:basedOn w:val="672"/>
    <w:uiPriority w:val="0"/>
    <w:qFormat/>
    <w:pPr>
      <w:ind w:firstLine="420"/>
      <w:spacing w:line="440" w:lineRule="exact"/>
    </w:pPr>
    <w:rPr>
      <w:rFonts w:ascii="宋体"/>
      <w:sz w:val="24"/>
      <w:szCs w:val="28"/>
      <w:lang w:val="en-US"/>
    </w:rPr>
  </w:style>
  <w:style w:type="paragraph" w:styleId="672">
    <w:name w:val="Body Text"/>
    <w:basedOn w:val="659"/>
    <w:uiPriority w:val="99"/>
    <w:unhideWhenUsed/>
    <w:qFormat/>
    <w:pPr>
      <w:spacing w:after="120"/>
    </w:pPr>
    <w:rPr>
      <w:sz w:val="20"/>
      <w:lang w:val="zh-CN"/>
    </w:rPr>
  </w:style>
  <w:style w:type="paragraph" w:styleId="673">
    <w:name w:val="toc 7"/>
    <w:basedOn w:val="659"/>
    <w:next w:val="659"/>
    <w:uiPriority w:val="39"/>
    <w:unhideWhenUsed/>
    <w:qFormat/>
    <w:pPr>
      <w:ind w:left="1701"/>
      <w:spacing w:after="57"/>
    </w:pPr>
  </w:style>
  <w:style w:type="paragraph" w:styleId="674">
    <w:name w:val="Normal Indent"/>
    <w:basedOn w:val="659"/>
    <w:uiPriority w:val="99"/>
    <w:semiHidden/>
    <w:unhideWhenUsed/>
    <w:qFormat/>
    <w:pPr>
      <w:ind w:firstLine="420"/>
    </w:pPr>
    <w:rPr>
      <w:szCs w:val="21"/>
    </w:rPr>
  </w:style>
  <w:style w:type="paragraph" w:styleId="675">
    <w:name w:val="Caption"/>
    <w:basedOn w:val="659"/>
    <w:next w:val="65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6">
    <w:name w:val="annotation text"/>
    <w:basedOn w:val="659"/>
    <w:uiPriority w:val="99"/>
    <w:semiHidden/>
    <w:unhideWhenUsed/>
    <w:qFormat/>
    <w:pPr>
      <w:jc w:val="left"/>
    </w:pPr>
  </w:style>
  <w:style w:type="paragraph" w:styleId="677">
    <w:name w:val="Body Text Indent"/>
    <w:basedOn w:val="659"/>
    <w:uiPriority w:val="0"/>
    <w:qFormat/>
    <w:pPr>
      <w:ind w:left="420"/>
      <w:spacing w:after="120"/>
    </w:pPr>
  </w:style>
  <w:style w:type="paragraph" w:styleId="678">
    <w:name w:val="toc 5"/>
    <w:basedOn w:val="659"/>
    <w:next w:val="659"/>
    <w:uiPriority w:val="39"/>
    <w:unhideWhenUsed/>
    <w:qFormat/>
    <w:pPr>
      <w:ind w:left="1134"/>
      <w:spacing w:after="57"/>
    </w:pPr>
  </w:style>
  <w:style w:type="paragraph" w:styleId="679">
    <w:name w:val="toc 3"/>
    <w:basedOn w:val="659"/>
    <w:next w:val="659"/>
    <w:uiPriority w:val="39"/>
    <w:unhideWhenUsed/>
    <w:qFormat/>
    <w:pPr>
      <w:ind w:left="567"/>
      <w:spacing w:after="57"/>
    </w:pPr>
  </w:style>
  <w:style w:type="paragraph" w:styleId="680">
    <w:name w:val="toc 8"/>
    <w:basedOn w:val="659"/>
    <w:next w:val="659"/>
    <w:uiPriority w:val="39"/>
    <w:unhideWhenUsed/>
    <w:qFormat/>
    <w:pPr>
      <w:ind w:left="1984"/>
      <w:spacing w:after="57"/>
    </w:pPr>
  </w:style>
  <w:style w:type="paragraph" w:styleId="681">
    <w:name w:val="endnote text"/>
    <w:basedOn w:val="659"/>
    <w:uiPriority w:val="99"/>
    <w:semiHidden/>
    <w:unhideWhenUsed/>
    <w:qFormat/>
    <w:rPr>
      <w:sz w:val="20"/>
    </w:rPr>
  </w:style>
  <w:style w:type="paragraph" w:styleId="682">
    <w:name w:val="Footer"/>
    <w:basedOn w:val="659"/>
    <w:uiPriority w:val="99"/>
    <w:unhideWhenUsed/>
    <w:qFormat/>
    <w:pPr>
      <w:tabs>
        <w:tab w:val="center" w:pos="7143" w:leader="none"/>
        <w:tab w:val="right" w:pos="14287" w:leader="none"/>
      </w:tabs>
    </w:pPr>
  </w:style>
  <w:style w:type="paragraph" w:styleId="683">
    <w:name w:val="Header"/>
    <w:basedOn w:val="659"/>
    <w:uiPriority w:val="99"/>
    <w:unhideWhenUsed/>
    <w:qFormat/>
    <w:pPr>
      <w:tabs>
        <w:tab w:val="center" w:pos="7143" w:leader="none"/>
        <w:tab w:val="right" w:pos="14287" w:leader="none"/>
      </w:tabs>
    </w:pPr>
  </w:style>
  <w:style w:type="paragraph" w:styleId="684">
    <w:name w:val="toc 1"/>
    <w:basedOn w:val="659"/>
    <w:next w:val="659"/>
    <w:uiPriority w:val="39"/>
    <w:unhideWhenUsed/>
    <w:qFormat/>
    <w:pPr>
      <w:spacing w:after="57"/>
    </w:pPr>
  </w:style>
  <w:style w:type="paragraph" w:styleId="685">
    <w:name w:val="toc 4"/>
    <w:basedOn w:val="659"/>
    <w:next w:val="659"/>
    <w:uiPriority w:val="39"/>
    <w:unhideWhenUsed/>
    <w:qFormat/>
    <w:pPr>
      <w:ind w:left="850"/>
      <w:spacing w:after="57"/>
    </w:pPr>
  </w:style>
  <w:style w:type="paragraph" w:styleId="686">
    <w:name w:val="Subtitle"/>
    <w:basedOn w:val="659"/>
    <w:next w:val="659"/>
    <w:uiPriority w:val="11"/>
    <w:qFormat/>
    <w:pPr>
      <w:spacing w:before="200" w:after="200"/>
    </w:pPr>
    <w:rPr>
      <w:sz w:val="24"/>
      <w:szCs w:val="24"/>
    </w:rPr>
  </w:style>
  <w:style w:type="paragraph" w:styleId="687">
    <w:name w:val="footnote text"/>
    <w:basedOn w:val="659"/>
    <w:uiPriority w:val="99"/>
    <w:semiHidden/>
    <w:unhideWhenUsed/>
    <w:qFormat/>
    <w:pPr>
      <w:spacing w:after="40"/>
    </w:pPr>
    <w:rPr>
      <w:sz w:val="18"/>
    </w:rPr>
  </w:style>
  <w:style w:type="paragraph" w:styleId="688">
    <w:name w:val="toc 6"/>
    <w:basedOn w:val="659"/>
    <w:next w:val="659"/>
    <w:uiPriority w:val="39"/>
    <w:unhideWhenUsed/>
    <w:qFormat/>
    <w:pPr>
      <w:ind w:left="1417"/>
      <w:spacing w:after="57"/>
    </w:pPr>
  </w:style>
  <w:style w:type="paragraph" w:styleId="689">
    <w:name w:val="table of figures"/>
    <w:basedOn w:val="659"/>
    <w:next w:val="659"/>
    <w:uiPriority w:val="99"/>
    <w:unhideWhenUsed/>
    <w:qFormat/>
  </w:style>
  <w:style w:type="paragraph" w:styleId="690">
    <w:name w:val="toc 2"/>
    <w:basedOn w:val="659"/>
    <w:next w:val="659"/>
    <w:uiPriority w:val="39"/>
    <w:unhideWhenUsed/>
    <w:qFormat/>
    <w:pPr>
      <w:ind w:left="283"/>
      <w:spacing w:after="57"/>
    </w:pPr>
  </w:style>
  <w:style w:type="paragraph" w:styleId="691">
    <w:name w:val="toc 9"/>
    <w:basedOn w:val="659"/>
    <w:next w:val="659"/>
    <w:uiPriority w:val="39"/>
    <w:unhideWhenUsed/>
    <w:qFormat/>
    <w:pPr>
      <w:ind w:left="2268"/>
      <w:spacing w:after="57"/>
    </w:pPr>
  </w:style>
  <w:style w:type="paragraph" w:styleId="692">
    <w:name w:val="Normal (Web)"/>
    <w:basedOn w:val="659"/>
    <w:uiPriority w:val="99"/>
    <w:semiHidden/>
    <w:unhideWhenUsed/>
    <w:qFormat/>
    <w:rPr>
      <w:sz w:val="24"/>
    </w:rPr>
  </w:style>
  <w:style w:type="paragraph" w:styleId="693">
    <w:name w:val="Title"/>
    <w:basedOn w:val="659"/>
    <w:next w:val="659"/>
    <w:uiPriority w:val="10"/>
    <w:qFormat/>
    <w:pPr>
      <w:contextualSpacing/>
      <w:spacing w:before="300" w:after="200"/>
    </w:pPr>
    <w:rPr>
      <w:sz w:val="48"/>
      <w:szCs w:val="48"/>
    </w:rPr>
  </w:style>
  <w:style w:type="paragraph" w:styleId="694">
    <w:name w:val="Body Text First Indent 2"/>
    <w:basedOn w:val="677"/>
    <w:uiPriority w:val="0"/>
    <w:qFormat/>
    <w:pPr>
      <w:ind w:firstLine="420"/>
      <w:spacing w:after="0"/>
    </w:pPr>
    <w:rPr>
      <w:sz w:val="30"/>
    </w:rPr>
  </w:style>
  <w:style w:type="table" w:styleId="69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6">
    <w:name w:val="endnote reference"/>
    <w:uiPriority w:val="99"/>
    <w:semiHidden/>
    <w:unhideWhenUsed/>
    <w:qFormat/>
    <w:rPr>
      <w:vertAlign w:val="superscript"/>
    </w:rPr>
  </w:style>
  <w:style w:type="character" w:styleId="697">
    <w:name w:val="Hyperlink"/>
    <w:uiPriority w:val="99"/>
    <w:unhideWhenUsed/>
    <w:qFormat/>
    <w:rPr>
      <w:color w:val="0000ff" w:themeColor="hyperlink"/>
      <w:u w:val="single"/>
      <w14:textFill>
        <w14:solidFill>
          <w14:schemeClr w14:val="hlink"/>
        </w14:solidFill>
      </w14:textFill>
    </w:rPr>
  </w:style>
  <w:style w:type="character" w:styleId="698">
    <w:name w:val="footnote reference"/>
    <w:uiPriority w:val="99"/>
    <w:unhideWhenUsed/>
    <w:qFormat/>
    <w:rPr>
      <w:vertAlign w:val="superscript"/>
    </w:rPr>
  </w:style>
  <w:style w:type="paragraph" w:styleId="699" w:customStyle="1">
    <w:name w:val="标题 112"/>
    <w:basedOn w:val="659"/>
    <w:next w:val="659"/>
    <w:link w:val="710"/>
    <w:uiPriority w:val="9"/>
    <w:qFormat/>
    <w:pPr>
      <w:keepLines/>
      <w:keepNext/>
      <w:spacing w:before="480" w:after="200"/>
      <w:outlineLvl w:val="0"/>
    </w:pPr>
    <w:rPr>
      <w:rFonts w:ascii="Arial" w:hAnsi="Arial" w:eastAsia="Arial" w:cs="Arial"/>
      <w:sz w:val="40"/>
      <w:szCs w:val="40"/>
    </w:rPr>
  </w:style>
  <w:style w:type="paragraph" w:styleId="700" w:customStyle="1">
    <w:name w:val="标题 212"/>
    <w:basedOn w:val="659"/>
    <w:next w:val="659"/>
    <w:link w:val="711"/>
    <w:uiPriority w:val="9"/>
    <w:unhideWhenUsed/>
    <w:qFormat/>
    <w:pPr>
      <w:keepLines/>
      <w:keepNext/>
      <w:spacing w:before="360" w:after="200"/>
      <w:outlineLvl w:val="1"/>
    </w:pPr>
    <w:rPr>
      <w:rFonts w:ascii="Arial" w:hAnsi="Arial" w:eastAsia="Arial" w:cs="Arial"/>
      <w:sz w:val="34"/>
    </w:rPr>
  </w:style>
  <w:style w:type="paragraph" w:styleId="701" w:customStyle="1">
    <w:name w:val="标题 312"/>
    <w:basedOn w:val="659"/>
    <w:next w:val="659"/>
    <w:link w:val="712"/>
    <w:uiPriority w:val="9"/>
    <w:unhideWhenUsed/>
    <w:qFormat/>
    <w:pPr>
      <w:keepLines/>
      <w:keepNext/>
      <w:spacing w:before="320" w:after="200"/>
      <w:outlineLvl w:val="2"/>
    </w:pPr>
    <w:rPr>
      <w:rFonts w:ascii="Arial" w:hAnsi="Arial" w:eastAsia="Arial" w:cs="Arial"/>
      <w:sz w:val="30"/>
      <w:szCs w:val="30"/>
    </w:rPr>
  </w:style>
  <w:style w:type="paragraph" w:styleId="702" w:customStyle="1">
    <w:name w:val="标题 412"/>
    <w:basedOn w:val="659"/>
    <w:next w:val="659"/>
    <w:link w:val="713"/>
    <w:uiPriority w:val="9"/>
    <w:unhideWhenUsed/>
    <w:qFormat/>
    <w:pPr>
      <w:keepLines/>
      <w:keepNext/>
      <w:spacing w:before="320" w:after="200"/>
      <w:outlineLvl w:val="3"/>
    </w:pPr>
    <w:rPr>
      <w:rFonts w:ascii="Arial" w:hAnsi="Arial" w:eastAsia="Arial" w:cs="Arial"/>
      <w:b/>
      <w:bCs/>
      <w:sz w:val="26"/>
      <w:szCs w:val="26"/>
    </w:rPr>
  </w:style>
  <w:style w:type="paragraph" w:styleId="703" w:customStyle="1">
    <w:name w:val="标题 512"/>
    <w:basedOn w:val="659"/>
    <w:next w:val="659"/>
    <w:link w:val="714"/>
    <w:uiPriority w:val="9"/>
    <w:unhideWhenUsed/>
    <w:qFormat/>
    <w:pPr>
      <w:keepLines/>
      <w:keepNext/>
      <w:spacing w:before="320" w:after="200"/>
      <w:outlineLvl w:val="4"/>
    </w:pPr>
    <w:rPr>
      <w:rFonts w:ascii="Arial" w:hAnsi="Arial" w:eastAsia="Arial" w:cs="Arial"/>
      <w:b/>
      <w:bCs/>
      <w:sz w:val="24"/>
      <w:szCs w:val="24"/>
    </w:rPr>
  </w:style>
  <w:style w:type="paragraph" w:styleId="704" w:customStyle="1">
    <w:name w:val="标题 611"/>
    <w:basedOn w:val="659"/>
    <w:next w:val="659"/>
    <w:link w:val="715"/>
    <w:uiPriority w:val="9"/>
    <w:unhideWhenUsed/>
    <w:qFormat/>
    <w:pPr>
      <w:keepLines/>
      <w:keepNext/>
      <w:spacing w:before="320" w:after="200"/>
      <w:outlineLvl w:val="5"/>
    </w:pPr>
    <w:rPr>
      <w:rFonts w:ascii="Arial" w:hAnsi="Arial" w:eastAsia="Arial" w:cs="Arial"/>
      <w:b/>
      <w:bCs/>
      <w:sz w:val="22"/>
      <w:szCs w:val="22"/>
    </w:rPr>
  </w:style>
  <w:style w:type="paragraph" w:styleId="705" w:customStyle="1">
    <w:name w:val="标题 711"/>
    <w:basedOn w:val="659"/>
    <w:next w:val="659"/>
    <w:link w:val="716"/>
    <w:uiPriority w:val="9"/>
    <w:unhideWhenUsed/>
    <w:qFormat/>
    <w:pPr>
      <w:keepLines/>
      <w:keepNext/>
      <w:spacing w:before="320" w:after="200"/>
      <w:outlineLvl w:val="6"/>
    </w:pPr>
    <w:rPr>
      <w:rFonts w:ascii="Arial" w:hAnsi="Arial" w:eastAsia="Arial" w:cs="Arial"/>
      <w:b/>
      <w:bCs/>
      <w:i/>
      <w:iCs/>
      <w:sz w:val="22"/>
      <w:szCs w:val="22"/>
    </w:rPr>
  </w:style>
  <w:style w:type="paragraph" w:styleId="706" w:customStyle="1">
    <w:name w:val="标题 811"/>
    <w:basedOn w:val="659"/>
    <w:next w:val="659"/>
    <w:link w:val="717"/>
    <w:uiPriority w:val="9"/>
    <w:unhideWhenUsed/>
    <w:qFormat/>
    <w:pPr>
      <w:keepLines/>
      <w:keepNext/>
      <w:spacing w:before="320" w:after="200"/>
      <w:outlineLvl w:val="7"/>
    </w:pPr>
    <w:rPr>
      <w:rFonts w:ascii="Arial" w:hAnsi="Arial" w:eastAsia="Arial" w:cs="Arial"/>
      <w:i/>
      <w:iCs/>
      <w:sz w:val="22"/>
      <w:szCs w:val="22"/>
    </w:rPr>
  </w:style>
  <w:style w:type="paragraph" w:styleId="707" w:customStyle="1">
    <w:name w:val="标题 911"/>
    <w:basedOn w:val="659"/>
    <w:next w:val="659"/>
    <w:link w:val="718"/>
    <w:uiPriority w:val="9"/>
    <w:unhideWhenUsed/>
    <w:qFormat/>
    <w:pPr>
      <w:keepLines/>
      <w:keepNext/>
      <w:spacing w:before="320" w:after="200"/>
      <w:outlineLvl w:val="8"/>
    </w:pPr>
    <w:rPr>
      <w:rFonts w:ascii="Arial" w:hAnsi="Arial" w:eastAsia="Arial" w:cs="Arial"/>
      <w:i/>
      <w:iCs/>
      <w:szCs w:val="21"/>
    </w:rPr>
  </w:style>
  <w:style w:type="character" w:styleId="708" w:customStyle="1">
    <w:name w:val="默认段落字体12"/>
    <w:uiPriority w:val="1"/>
    <w:unhideWhenUsed/>
    <w:qFormat/>
  </w:style>
  <w:style w:type="table" w:styleId="709" w:customStyle="1">
    <w:name w:val="普通表格12"/>
    <w:uiPriority w:val="99"/>
    <w:unhideWhenUsed/>
    <w:qFormat/>
    <w:tblPr>
      <w:tblCellMar>
        <w:left w:w="0" w:type="dxa"/>
        <w:top w:w="0" w:type="dxa"/>
        <w:right w:w="0" w:type="dxa"/>
        <w:bottom w:w="0" w:type="dxa"/>
      </w:tblCellMar>
    </w:tblPr>
  </w:style>
  <w:style w:type="character" w:styleId="710" w:customStyle="1">
    <w:name w:val="Heading 1 Char"/>
    <w:link w:val="699"/>
    <w:uiPriority w:val="9"/>
    <w:qFormat/>
    <w:rPr>
      <w:rFonts w:ascii="Arial" w:hAnsi="Arial" w:eastAsia="Arial" w:cs="Arial"/>
      <w:sz w:val="40"/>
      <w:szCs w:val="40"/>
    </w:rPr>
  </w:style>
  <w:style w:type="character" w:styleId="711" w:customStyle="1">
    <w:name w:val="Heading 2 Char"/>
    <w:link w:val="700"/>
    <w:uiPriority w:val="9"/>
    <w:qFormat/>
    <w:rPr>
      <w:rFonts w:ascii="Arial" w:hAnsi="Arial" w:eastAsia="Arial" w:cs="Arial"/>
      <w:sz w:val="34"/>
    </w:rPr>
  </w:style>
  <w:style w:type="character" w:styleId="712" w:customStyle="1">
    <w:name w:val="Heading 3 Char"/>
    <w:link w:val="701"/>
    <w:uiPriority w:val="9"/>
    <w:qFormat/>
    <w:rPr>
      <w:rFonts w:ascii="Arial" w:hAnsi="Arial" w:eastAsia="Arial" w:cs="Arial"/>
      <w:sz w:val="30"/>
      <w:szCs w:val="30"/>
    </w:rPr>
  </w:style>
  <w:style w:type="character" w:styleId="713" w:customStyle="1">
    <w:name w:val="Heading 4 Char"/>
    <w:link w:val="702"/>
    <w:uiPriority w:val="9"/>
    <w:qFormat/>
    <w:rPr>
      <w:rFonts w:ascii="Arial" w:hAnsi="Arial" w:eastAsia="Arial" w:cs="Arial"/>
      <w:b/>
      <w:bCs/>
      <w:sz w:val="26"/>
      <w:szCs w:val="26"/>
    </w:rPr>
  </w:style>
  <w:style w:type="character" w:styleId="714" w:customStyle="1">
    <w:name w:val="Heading 5 Char"/>
    <w:link w:val="703"/>
    <w:uiPriority w:val="9"/>
    <w:qFormat/>
    <w:rPr>
      <w:rFonts w:ascii="Arial" w:hAnsi="Arial" w:eastAsia="Arial" w:cs="Arial"/>
      <w:b/>
      <w:bCs/>
      <w:sz w:val="24"/>
      <w:szCs w:val="24"/>
    </w:rPr>
  </w:style>
  <w:style w:type="character" w:styleId="715" w:customStyle="1">
    <w:name w:val="Heading 6 Char"/>
    <w:link w:val="704"/>
    <w:uiPriority w:val="9"/>
    <w:qFormat/>
    <w:rPr>
      <w:rFonts w:ascii="Arial" w:hAnsi="Arial" w:eastAsia="Arial" w:cs="Arial"/>
      <w:b/>
      <w:bCs/>
      <w:sz w:val="22"/>
      <w:szCs w:val="22"/>
    </w:rPr>
  </w:style>
  <w:style w:type="character" w:styleId="716" w:customStyle="1">
    <w:name w:val="Heading 7 Char"/>
    <w:link w:val="705"/>
    <w:uiPriority w:val="9"/>
    <w:qFormat/>
    <w:rPr>
      <w:rFonts w:ascii="Arial" w:hAnsi="Arial" w:eastAsia="Arial" w:cs="Arial"/>
      <w:b/>
      <w:bCs/>
      <w:i/>
      <w:iCs/>
      <w:sz w:val="22"/>
      <w:szCs w:val="22"/>
    </w:rPr>
  </w:style>
  <w:style w:type="character" w:styleId="717" w:customStyle="1">
    <w:name w:val="Heading 8 Char"/>
    <w:link w:val="706"/>
    <w:uiPriority w:val="9"/>
    <w:qFormat/>
    <w:rPr>
      <w:rFonts w:ascii="Arial" w:hAnsi="Arial" w:eastAsia="Arial" w:cs="Arial"/>
      <w:i/>
      <w:iCs/>
      <w:sz w:val="22"/>
      <w:szCs w:val="22"/>
    </w:rPr>
  </w:style>
  <w:style w:type="character" w:styleId="718" w:customStyle="1">
    <w:name w:val="Heading 9 Char"/>
    <w:link w:val="707"/>
    <w:uiPriority w:val="9"/>
    <w:qFormat/>
    <w:rPr>
      <w:rFonts w:ascii="Arial" w:hAnsi="Arial" w:eastAsia="Arial" w:cs="Arial"/>
      <w:i/>
      <w:iCs/>
      <w:sz w:val="21"/>
      <w:szCs w:val="21"/>
    </w:rPr>
  </w:style>
  <w:style w:type="paragraph" w:styleId="719" w:customStyle="1">
    <w:name w:val="目录 712"/>
    <w:basedOn w:val="659"/>
    <w:next w:val="659"/>
    <w:uiPriority w:val="39"/>
    <w:unhideWhenUsed/>
    <w:qFormat/>
    <w:pPr>
      <w:ind w:left="1701"/>
      <w:spacing w:after="57"/>
    </w:pPr>
  </w:style>
  <w:style w:type="paragraph" w:styleId="720" w:customStyle="1">
    <w:name w:val="题注11"/>
    <w:basedOn w:val="659"/>
    <w:next w:val="659"/>
    <w:uiPriority w:val="35"/>
    <w:unhideWhenUsed/>
    <w:qFormat/>
    <w:pPr>
      <w:spacing w:line="276" w:lineRule="auto"/>
    </w:pPr>
    <w:rPr>
      <w:b/>
      <w:bCs/>
      <w:color w:val="4f81bd"/>
      <w:sz w:val="18"/>
      <w:szCs w:val="18"/>
    </w:rPr>
  </w:style>
  <w:style w:type="paragraph" w:styleId="721" w:customStyle="1">
    <w:name w:val="目录 512"/>
    <w:basedOn w:val="659"/>
    <w:next w:val="659"/>
    <w:uiPriority w:val="39"/>
    <w:unhideWhenUsed/>
    <w:qFormat/>
    <w:pPr>
      <w:ind w:left="1134"/>
      <w:spacing w:after="57"/>
    </w:pPr>
  </w:style>
  <w:style w:type="paragraph" w:styleId="722" w:customStyle="1">
    <w:name w:val="目录 312"/>
    <w:basedOn w:val="659"/>
    <w:next w:val="659"/>
    <w:uiPriority w:val="39"/>
    <w:unhideWhenUsed/>
    <w:qFormat/>
    <w:pPr>
      <w:ind w:left="567"/>
      <w:spacing w:after="57"/>
    </w:pPr>
  </w:style>
  <w:style w:type="paragraph" w:styleId="723" w:customStyle="1">
    <w:name w:val="目录 812"/>
    <w:basedOn w:val="659"/>
    <w:next w:val="659"/>
    <w:uiPriority w:val="39"/>
    <w:unhideWhenUsed/>
    <w:qFormat/>
    <w:pPr>
      <w:ind w:left="1984"/>
      <w:spacing w:after="57"/>
    </w:pPr>
  </w:style>
  <w:style w:type="paragraph" w:styleId="724" w:customStyle="1">
    <w:name w:val="尾注文本12"/>
    <w:basedOn w:val="659"/>
    <w:uiPriority w:val="99"/>
    <w:unhideWhenUsed/>
    <w:qFormat/>
    <w:rPr>
      <w:sz w:val="20"/>
    </w:rPr>
  </w:style>
  <w:style w:type="paragraph" w:styleId="725" w:customStyle="1">
    <w:name w:val="页脚13"/>
    <w:basedOn w:val="659"/>
    <w:uiPriority w:val="99"/>
    <w:unhideWhenUsed/>
    <w:qFormat/>
    <w:pPr>
      <w:tabs>
        <w:tab w:val="center" w:pos="7143" w:leader="none"/>
        <w:tab w:val="right" w:pos="14287" w:leader="none"/>
      </w:tabs>
    </w:pPr>
  </w:style>
  <w:style w:type="paragraph" w:styleId="726" w:customStyle="1">
    <w:name w:val="页眉12"/>
    <w:basedOn w:val="659"/>
    <w:uiPriority w:val="99"/>
    <w:unhideWhenUsed/>
    <w:qFormat/>
    <w:pPr>
      <w:tabs>
        <w:tab w:val="center" w:pos="7143" w:leader="none"/>
        <w:tab w:val="right" w:pos="14287" w:leader="none"/>
      </w:tabs>
    </w:pPr>
  </w:style>
  <w:style w:type="paragraph" w:styleId="727" w:customStyle="1">
    <w:name w:val="目录 112"/>
    <w:basedOn w:val="659"/>
    <w:next w:val="659"/>
    <w:uiPriority w:val="39"/>
    <w:unhideWhenUsed/>
    <w:qFormat/>
    <w:pPr>
      <w:spacing w:after="57"/>
    </w:pPr>
  </w:style>
  <w:style w:type="paragraph" w:styleId="728" w:customStyle="1">
    <w:name w:val="目录 412"/>
    <w:basedOn w:val="659"/>
    <w:next w:val="659"/>
    <w:uiPriority w:val="39"/>
    <w:unhideWhenUsed/>
    <w:qFormat/>
    <w:pPr>
      <w:ind w:left="850"/>
      <w:spacing w:after="57"/>
    </w:pPr>
  </w:style>
  <w:style w:type="paragraph" w:styleId="729" w:customStyle="1">
    <w:name w:val="副标题12"/>
    <w:basedOn w:val="659"/>
    <w:next w:val="659"/>
    <w:uiPriority w:val="11"/>
    <w:qFormat/>
    <w:pPr>
      <w:spacing w:before="200" w:after="200"/>
    </w:pPr>
    <w:rPr>
      <w:sz w:val="24"/>
      <w:szCs w:val="24"/>
    </w:rPr>
  </w:style>
  <w:style w:type="paragraph" w:styleId="730" w:customStyle="1">
    <w:name w:val="脚注文本12"/>
    <w:basedOn w:val="659"/>
    <w:uiPriority w:val="99"/>
    <w:unhideWhenUsed/>
    <w:qFormat/>
    <w:pPr>
      <w:spacing w:after="40"/>
    </w:pPr>
    <w:rPr>
      <w:sz w:val="18"/>
    </w:rPr>
  </w:style>
  <w:style w:type="paragraph" w:styleId="731" w:customStyle="1">
    <w:name w:val="目录 612"/>
    <w:basedOn w:val="659"/>
    <w:next w:val="659"/>
    <w:uiPriority w:val="39"/>
    <w:unhideWhenUsed/>
    <w:qFormat/>
    <w:pPr>
      <w:ind w:left="1417"/>
      <w:spacing w:after="57"/>
    </w:pPr>
  </w:style>
  <w:style w:type="paragraph" w:styleId="732" w:customStyle="1">
    <w:name w:val="图表目录12"/>
    <w:basedOn w:val="659"/>
    <w:next w:val="659"/>
    <w:uiPriority w:val="99"/>
    <w:unhideWhenUsed/>
    <w:qFormat/>
  </w:style>
  <w:style w:type="paragraph" w:styleId="733" w:customStyle="1">
    <w:name w:val="目录 212"/>
    <w:basedOn w:val="659"/>
    <w:next w:val="659"/>
    <w:uiPriority w:val="39"/>
    <w:unhideWhenUsed/>
    <w:qFormat/>
    <w:pPr>
      <w:ind w:left="283"/>
      <w:spacing w:after="57"/>
    </w:pPr>
  </w:style>
  <w:style w:type="paragraph" w:styleId="734" w:customStyle="1">
    <w:name w:val="目录 912"/>
    <w:basedOn w:val="659"/>
    <w:next w:val="659"/>
    <w:uiPriority w:val="39"/>
    <w:unhideWhenUsed/>
    <w:qFormat/>
    <w:pPr>
      <w:ind w:left="2268"/>
      <w:spacing w:after="57"/>
    </w:pPr>
  </w:style>
  <w:style w:type="paragraph" w:styleId="735" w:customStyle="1">
    <w:name w:val="标题12"/>
    <w:basedOn w:val="659"/>
    <w:next w:val="659"/>
    <w:uiPriority w:val="10"/>
    <w:qFormat/>
    <w:pPr>
      <w:contextualSpacing/>
      <w:spacing w:before="300" w:after="200"/>
    </w:pPr>
    <w:rPr>
      <w:sz w:val="48"/>
      <w:szCs w:val="48"/>
    </w:rPr>
  </w:style>
  <w:style w:type="table" w:styleId="736" w:customStyle="1">
    <w:name w:val="网格型12"/>
    <w:uiPriority w:val="59"/>
    <w:qFormat/>
    <w:tblPr>
      <w:tblCellMar>
        <w:left w:w="0" w:type="dxa"/>
        <w:top w:w="0" w:type="dxa"/>
        <w:right w:w="0" w:type="dxa"/>
        <w:bottom w:w="0" w:type="dxa"/>
      </w:tblCellMar>
    </w:tblPr>
  </w:style>
  <w:style w:type="character" w:styleId="737" w:customStyle="1">
    <w:name w:val="尾注引用12"/>
    <w:uiPriority w:val="99"/>
    <w:unhideWhenUsed/>
    <w:qFormat/>
    <w:rPr>
      <w:vertAlign w:val="superscript"/>
    </w:rPr>
  </w:style>
  <w:style w:type="character" w:styleId="738" w:customStyle="1">
    <w:name w:val="超链接12"/>
    <w:uiPriority w:val="99"/>
    <w:unhideWhenUsed/>
    <w:qFormat/>
    <w:rPr>
      <w:color w:val="0000ff"/>
      <w:u w:val="single"/>
    </w:rPr>
  </w:style>
  <w:style w:type="character" w:styleId="739" w:customStyle="1">
    <w:name w:val="脚注引用12"/>
    <w:uiPriority w:val="99"/>
    <w:unhideWhenUsed/>
    <w:qFormat/>
    <w:rPr>
      <w:vertAlign w:val="superscript"/>
    </w:rPr>
  </w:style>
  <w:style w:type="character" w:styleId="740" w:customStyle="1">
    <w:name w:val="font01"/>
    <w:uiPriority w:val="0"/>
    <w:qFormat/>
    <w:rPr>
      <w:rFonts w:ascii="Tahoma" w:hAnsi="Tahoma" w:eastAsia="Tahoma" w:cs="Tahoma"/>
      <w:color w:val="333333"/>
      <w:sz w:val="20"/>
      <w:szCs w:val="20"/>
      <w:u w:val="none"/>
    </w:rPr>
  </w:style>
  <w:style w:type="paragraph" w:styleId="741" w:customStyle="1">
    <w:name w:val="TOC 标题1"/>
    <w:uiPriority w:val="39"/>
    <w:unhideWhenUsed/>
    <w:qFormat/>
    <w:rPr>
      <w:rFonts w:ascii="Times New Roman" w:hAnsi="Times New Roman" w:eastAsia="宋体" w:cs="Times New Roman"/>
      <w:lang w:val="en-US" w:eastAsia="zh-CN" w:bidi="ar-SA"/>
    </w:rPr>
  </w:style>
  <w:style w:type="paragraph" w:styleId="742" w:customStyle="1">
    <w:name w:val="标题 111"/>
    <w:basedOn w:val="659"/>
    <w:next w:val="659"/>
    <w:link w:val="743"/>
    <w:uiPriority w:val="9"/>
    <w:qFormat/>
    <w:pPr>
      <w:keepLines/>
      <w:keepNext/>
      <w:spacing w:before="480" w:after="200"/>
      <w:outlineLvl w:val="0"/>
    </w:pPr>
    <w:rPr>
      <w:rFonts w:ascii="Arial" w:hAnsi="Arial" w:eastAsia="Arial" w:cs="Arial"/>
      <w:sz w:val="40"/>
      <w:szCs w:val="40"/>
    </w:rPr>
  </w:style>
  <w:style w:type="character" w:styleId="743" w:customStyle="1">
    <w:name w:val="标题 1 Char1"/>
    <w:link w:val="742"/>
    <w:uiPriority w:val="9"/>
    <w:qFormat/>
    <w:rPr>
      <w:rFonts w:ascii="Arial" w:hAnsi="Arial" w:eastAsia="Arial" w:cs="Arial"/>
      <w:sz w:val="40"/>
      <w:szCs w:val="40"/>
    </w:rPr>
  </w:style>
  <w:style w:type="paragraph" w:styleId="744" w:customStyle="1">
    <w:name w:val="标题 211"/>
    <w:basedOn w:val="659"/>
    <w:next w:val="659"/>
    <w:link w:val="745"/>
    <w:uiPriority w:val="9"/>
    <w:unhideWhenUsed/>
    <w:qFormat/>
    <w:pPr>
      <w:keepLines/>
      <w:keepNext/>
      <w:spacing w:before="360" w:after="200"/>
      <w:outlineLvl w:val="1"/>
    </w:pPr>
    <w:rPr>
      <w:rFonts w:ascii="Arial" w:hAnsi="Arial" w:eastAsia="Arial" w:cs="Arial"/>
      <w:sz w:val="34"/>
    </w:rPr>
  </w:style>
  <w:style w:type="character" w:styleId="745" w:customStyle="1">
    <w:name w:val="标题 2 Char1"/>
    <w:link w:val="744"/>
    <w:uiPriority w:val="9"/>
    <w:qFormat/>
    <w:rPr>
      <w:rFonts w:ascii="Arial" w:hAnsi="Arial" w:eastAsia="Arial" w:cs="Arial"/>
      <w:sz w:val="34"/>
    </w:rPr>
  </w:style>
  <w:style w:type="paragraph" w:styleId="746" w:customStyle="1">
    <w:name w:val="标题 311"/>
    <w:basedOn w:val="659"/>
    <w:next w:val="659"/>
    <w:link w:val="747"/>
    <w:uiPriority w:val="9"/>
    <w:unhideWhenUsed/>
    <w:qFormat/>
    <w:pPr>
      <w:keepLines/>
      <w:keepNext/>
      <w:spacing w:before="320" w:after="200"/>
      <w:outlineLvl w:val="2"/>
    </w:pPr>
    <w:rPr>
      <w:rFonts w:ascii="Arial" w:hAnsi="Arial" w:eastAsia="Arial" w:cs="Arial"/>
      <w:sz w:val="30"/>
      <w:szCs w:val="30"/>
    </w:rPr>
  </w:style>
  <w:style w:type="character" w:styleId="747" w:customStyle="1">
    <w:name w:val="标题 3 Char1"/>
    <w:link w:val="746"/>
    <w:uiPriority w:val="9"/>
    <w:qFormat/>
    <w:rPr>
      <w:rFonts w:ascii="Arial" w:hAnsi="Arial" w:eastAsia="Arial" w:cs="Arial"/>
      <w:sz w:val="30"/>
      <w:szCs w:val="30"/>
    </w:rPr>
  </w:style>
  <w:style w:type="paragraph" w:styleId="748" w:customStyle="1">
    <w:name w:val="标题 411"/>
    <w:basedOn w:val="659"/>
    <w:next w:val="659"/>
    <w:link w:val="749"/>
    <w:uiPriority w:val="9"/>
    <w:unhideWhenUsed/>
    <w:qFormat/>
    <w:pPr>
      <w:keepLines/>
      <w:keepNext/>
      <w:spacing w:before="320" w:after="200"/>
      <w:outlineLvl w:val="3"/>
    </w:pPr>
    <w:rPr>
      <w:rFonts w:ascii="Arial" w:hAnsi="Arial" w:eastAsia="Arial" w:cs="Arial"/>
      <w:b/>
      <w:bCs/>
      <w:sz w:val="26"/>
      <w:szCs w:val="26"/>
    </w:rPr>
  </w:style>
  <w:style w:type="character" w:styleId="749" w:customStyle="1">
    <w:name w:val="标题 4 Char1"/>
    <w:link w:val="748"/>
    <w:uiPriority w:val="9"/>
    <w:qFormat/>
    <w:rPr>
      <w:rFonts w:ascii="Arial" w:hAnsi="Arial" w:eastAsia="Arial" w:cs="Arial"/>
      <w:b/>
      <w:bCs/>
      <w:sz w:val="26"/>
      <w:szCs w:val="26"/>
    </w:rPr>
  </w:style>
  <w:style w:type="paragraph" w:styleId="750" w:customStyle="1">
    <w:name w:val="标题 511"/>
    <w:basedOn w:val="659"/>
    <w:next w:val="659"/>
    <w:link w:val="751"/>
    <w:uiPriority w:val="9"/>
    <w:unhideWhenUsed/>
    <w:qFormat/>
    <w:pPr>
      <w:keepLines/>
      <w:keepNext/>
      <w:spacing w:before="320" w:after="200"/>
      <w:outlineLvl w:val="4"/>
    </w:pPr>
    <w:rPr>
      <w:rFonts w:ascii="Arial" w:hAnsi="Arial" w:eastAsia="Arial" w:cs="Arial"/>
      <w:b/>
      <w:bCs/>
      <w:sz w:val="24"/>
      <w:szCs w:val="24"/>
    </w:rPr>
  </w:style>
  <w:style w:type="character" w:styleId="751" w:customStyle="1">
    <w:name w:val="标题 5 Char1"/>
    <w:link w:val="750"/>
    <w:uiPriority w:val="9"/>
    <w:qFormat/>
    <w:rPr>
      <w:rFonts w:ascii="Arial" w:hAnsi="Arial" w:eastAsia="Arial" w:cs="Arial"/>
      <w:b/>
      <w:bCs/>
      <w:sz w:val="24"/>
      <w:szCs w:val="24"/>
    </w:rPr>
  </w:style>
  <w:style w:type="paragraph" w:styleId="752" w:customStyle="1">
    <w:name w:val="标题 61"/>
    <w:basedOn w:val="659"/>
    <w:next w:val="659"/>
    <w:link w:val="753"/>
    <w:uiPriority w:val="9"/>
    <w:unhideWhenUsed/>
    <w:qFormat/>
    <w:pPr>
      <w:keepLines/>
      <w:keepNext/>
      <w:spacing w:before="320" w:after="200"/>
      <w:outlineLvl w:val="5"/>
    </w:pPr>
    <w:rPr>
      <w:rFonts w:ascii="Arial" w:hAnsi="Arial" w:eastAsia="Arial" w:cs="Arial"/>
      <w:b/>
      <w:bCs/>
      <w:sz w:val="22"/>
      <w:szCs w:val="22"/>
    </w:rPr>
  </w:style>
  <w:style w:type="character" w:styleId="753" w:customStyle="1">
    <w:name w:val="标题 6 Char"/>
    <w:link w:val="752"/>
    <w:uiPriority w:val="9"/>
    <w:qFormat/>
    <w:rPr>
      <w:rFonts w:ascii="Arial" w:hAnsi="Arial" w:eastAsia="Arial" w:cs="Arial"/>
      <w:b/>
      <w:bCs/>
      <w:sz w:val="22"/>
      <w:szCs w:val="22"/>
    </w:rPr>
  </w:style>
  <w:style w:type="paragraph" w:styleId="754" w:customStyle="1">
    <w:name w:val="标题 71"/>
    <w:basedOn w:val="659"/>
    <w:next w:val="659"/>
    <w:link w:val="755"/>
    <w:uiPriority w:val="9"/>
    <w:unhideWhenUsed/>
    <w:qFormat/>
    <w:pPr>
      <w:keepLines/>
      <w:keepNext/>
      <w:spacing w:before="320" w:after="200"/>
      <w:outlineLvl w:val="6"/>
    </w:pPr>
    <w:rPr>
      <w:rFonts w:ascii="Arial" w:hAnsi="Arial" w:eastAsia="Arial" w:cs="Arial"/>
      <w:b/>
      <w:bCs/>
      <w:i/>
      <w:iCs/>
      <w:sz w:val="22"/>
      <w:szCs w:val="22"/>
    </w:rPr>
  </w:style>
  <w:style w:type="character" w:styleId="755" w:customStyle="1">
    <w:name w:val="标题 7 Char"/>
    <w:link w:val="754"/>
    <w:uiPriority w:val="9"/>
    <w:qFormat/>
    <w:rPr>
      <w:rFonts w:ascii="Arial" w:hAnsi="Arial" w:eastAsia="Arial" w:cs="Arial"/>
      <w:b/>
      <w:bCs/>
      <w:i/>
      <w:iCs/>
      <w:sz w:val="22"/>
      <w:szCs w:val="22"/>
    </w:rPr>
  </w:style>
  <w:style w:type="paragraph" w:styleId="756" w:customStyle="1">
    <w:name w:val="标题 81"/>
    <w:basedOn w:val="659"/>
    <w:next w:val="659"/>
    <w:link w:val="757"/>
    <w:uiPriority w:val="9"/>
    <w:unhideWhenUsed/>
    <w:qFormat/>
    <w:pPr>
      <w:keepLines/>
      <w:keepNext/>
      <w:spacing w:before="320" w:after="200"/>
      <w:outlineLvl w:val="7"/>
    </w:pPr>
    <w:rPr>
      <w:rFonts w:ascii="Arial" w:hAnsi="Arial" w:eastAsia="Arial" w:cs="Arial"/>
      <w:i/>
      <w:iCs/>
      <w:sz w:val="22"/>
      <w:szCs w:val="22"/>
    </w:rPr>
  </w:style>
  <w:style w:type="character" w:styleId="757" w:customStyle="1">
    <w:name w:val="标题 8 Char"/>
    <w:link w:val="756"/>
    <w:uiPriority w:val="9"/>
    <w:qFormat/>
    <w:rPr>
      <w:rFonts w:ascii="Arial" w:hAnsi="Arial" w:eastAsia="Arial" w:cs="Arial"/>
      <w:i/>
      <w:iCs/>
      <w:sz w:val="22"/>
      <w:szCs w:val="22"/>
    </w:rPr>
  </w:style>
  <w:style w:type="paragraph" w:styleId="758" w:customStyle="1">
    <w:name w:val="标题 91"/>
    <w:basedOn w:val="659"/>
    <w:next w:val="659"/>
    <w:link w:val="759"/>
    <w:uiPriority w:val="9"/>
    <w:unhideWhenUsed/>
    <w:qFormat/>
    <w:pPr>
      <w:keepLines/>
      <w:keepNext/>
      <w:spacing w:before="320" w:after="200"/>
      <w:outlineLvl w:val="8"/>
    </w:pPr>
    <w:rPr>
      <w:rFonts w:ascii="Arial" w:hAnsi="Arial" w:eastAsia="Arial" w:cs="Arial"/>
      <w:i/>
      <w:iCs/>
      <w:szCs w:val="21"/>
    </w:rPr>
  </w:style>
  <w:style w:type="character" w:styleId="759" w:customStyle="1">
    <w:name w:val="标题 9 Char"/>
    <w:link w:val="758"/>
    <w:uiPriority w:val="9"/>
    <w:qFormat/>
    <w:rPr>
      <w:rFonts w:ascii="Arial" w:hAnsi="Arial" w:eastAsia="Arial" w:cs="Arial"/>
      <w:i/>
      <w:iCs/>
      <w:sz w:val="21"/>
      <w:szCs w:val="21"/>
    </w:rPr>
  </w:style>
  <w:style w:type="character" w:styleId="760" w:customStyle="1">
    <w:name w:val="默认段落字体11"/>
    <w:uiPriority w:val="1"/>
    <w:unhideWhenUsed/>
    <w:qFormat/>
  </w:style>
  <w:style w:type="table" w:styleId="761" w:customStyle="1">
    <w:name w:val="普通表格11"/>
    <w:uiPriority w:val="99"/>
    <w:unhideWhenUsed/>
    <w:qFormat/>
    <w:tblPr>
      <w:tblCellMar>
        <w:left w:w="0" w:type="dxa"/>
        <w:top w:w="0" w:type="dxa"/>
        <w:right w:w="0" w:type="dxa"/>
        <w:bottom w:w="0" w:type="dxa"/>
      </w:tblCellMar>
    </w:tblPr>
  </w:style>
  <w:style w:type="paragraph" w:styleId="762" w:customStyle="1">
    <w:name w:val="目录 711"/>
    <w:basedOn w:val="659"/>
    <w:next w:val="659"/>
    <w:uiPriority w:val="39"/>
    <w:unhideWhenUsed/>
    <w:qFormat/>
    <w:pPr>
      <w:ind w:left="1701"/>
      <w:spacing w:after="57"/>
    </w:pPr>
  </w:style>
  <w:style w:type="paragraph" w:styleId="763" w:customStyle="1">
    <w:name w:val="正文缩进111"/>
    <w:basedOn w:val="659"/>
    <w:uiPriority w:val="0"/>
    <w:qFormat/>
    <w:pPr>
      <w:ind w:firstLine="420"/>
      <w:jc w:val="left"/>
      <w:widowControl/>
    </w:pPr>
    <w:rPr>
      <w:sz w:val="20"/>
    </w:rPr>
  </w:style>
  <w:style w:type="paragraph" w:styleId="764" w:customStyle="1">
    <w:name w:val="题注1"/>
    <w:basedOn w:val="659"/>
    <w:next w:val="659"/>
    <w:uiPriority w:val="35"/>
    <w:unhideWhenUsed/>
    <w:qFormat/>
    <w:pPr>
      <w:spacing w:line="276" w:lineRule="auto"/>
    </w:pPr>
    <w:rPr>
      <w:b/>
      <w:bCs/>
      <w:color w:val="4f81bd"/>
      <w:sz w:val="18"/>
      <w:szCs w:val="18"/>
    </w:rPr>
  </w:style>
  <w:style w:type="paragraph" w:styleId="765" w:customStyle="1">
    <w:name w:val="目录 511"/>
    <w:basedOn w:val="659"/>
    <w:next w:val="659"/>
    <w:uiPriority w:val="39"/>
    <w:unhideWhenUsed/>
    <w:qFormat/>
    <w:pPr>
      <w:ind w:left="1134"/>
      <w:spacing w:after="57"/>
    </w:pPr>
  </w:style>
  <w:style w:type="paragraph" w:styleId="766" w:customStyle="1">
    <w:name w:val="目录 311"/>
    <w:basedOn w:val="659"/>
    <w:next w:val="659"/>
    <w:uiPriority w:val="39"/>
    <w:unhideWhenUsed/>
    <w:qFormat/>
    <w:pPr>
      <w:ind w:left="567"/>
      <w:spacing w:after="57"/>
    </w:pPr>
  </w:style>
  <w:style w:type="paragraph" w:styleId="767" w:customStyle="1">
    <w:name w:val="纯文本12"/>
    <w:basedOn w:val="659"/>
    <w:uiPriority w:val="0"/>
    <w:qFormat/>
    <w:rPr>
      <w:rFonts w:hint="eastAsia" w:ascii="宋体" w:hAnsi="Courier New"/>
      <w:szCs w:val="21"/>
    </w:rPr>
  </w:style>
  <w:style w:type="paragraph" w:styleId="768" w:customStyle="1">
    <w:name w:val="目录 811"/>
    <w:basedOn w:val="659"/>
    <w:next w:val="659"/>
    <w:uiPriority w:val="39"/>
    <w:unhideWhenUsed/>
    <w:qFormat/>
    <w:pPr>
      <w:ind w:left="1984"/>
      <w:spacing w:after="57"/>
    </w:pPr>
  </w:style>
  <w:style w:type="paragraph" w:styleId="769" w:customStyle="1">
    <w:name w:val="尾注文本11"/>
    <w:basedOn w:val="659"/>
    <w:uiPriority w:val="99"/>
    <w:unhideWhenUsed/>
    <w:qFormat/>
    <w:rPr>
      <w:sz w:val="20"/>
    </w:rPr>
  </w:style>
  <w:style w:type="paragraph" w:styleId="770" w:customStyle="1">
    <w:name w:val="页脚12"/>
    <w:basedOn w:val="659"/>
    <w:uiPriority w:val="99"/>
    <w:unhideWhenUsed/>
    <w:qFormat/>
    <w:pPr>
      <w:tabs>
        <w:tab w:val="center" w:pos="7143" w:leader="none"/>
        <w:tab w:val="right" w:pos="14287" w:leader="none"/>
      </w:tabs>
    </w:pPr>
  </w:style>
  <w:style w:type="paragraph" w:styleId="771" w:customStyle="1">
    <w:name w:val="页眉11"/>
    <w:basedOn w:val="659"/>
    <w:uiPriority w:val="99"/>
    <w:unhideWhenUsed/>
    <w:qFormat/>
    <w:pPr>
      <w:tabs>
        <w:tab w:val="center" w:pos="7143" w:leader="none"/>
        <w:tab w:val="right" w:pos="14287" w:leader="none"/>
      </w:tabs>
    </w:pPr>
  </w:style>
  <w:style w:type="paragraph" w:styleId="772" w:customStyle="1">
    <w:name w:val="目录 111"/>
    <w:basedOn w:val="659"/>
    <w:next w:val="659"/>
    <w:uiPriority w:val="39"/>
    <w:unhideWhenUsed/>
    <w:qFormat/>
    <w:pPr>
      <w:spacing w:after="57"/>
    </w:pPr>
  </w:style>
  <w:style w:type="paragraph" w:styleId="773" w:customStyle="1">
    <w:name w:val="目录 411"/>
    <w:basedOn w:val="659"/>
    <w:next w:val="659"/>
    <w:uiPriority w:val="39"/>
    <w:unhideWhenUsed/>
    <w:qFormat/>
    <w:pPr>
      <w:ind w:left="850"/>
      <w:spacing w:after="57"/>
    </w:pPr>
  </w:style>
  <w:style w:type="paragraph" w:styleId="774" w:customStyle="1">
    <w:name w:val="副标题11"/>
    <w:basedOn w:val="659"/>
    <w:next w:val="659"/>
    <w:uiPriority w:val="11"/>
    <w:qFormat/>
    <w:pPr>
      <w:spacing w:before="200" w:after="200"/>
    </w:pPr>
    <w:rPr>
      <w:sz w:val="24"/>
      <w:szCs w:val="24"/>
    </w:rPr>
  </w:style>
  <w:style w:type="paragraph" w:styleId="775" w:customStyle="1">
    <w:name w:val="脚注文本11"/>
    <w:basedOn w:val="659"/>
    <w:uiPriority w:val="99"/>
    <w:unhideWhenUsed/>
    <w:qFormat/>
    <w:pPr>
      <w:spacing w:after="40"/>
    </w:pPr>
    <w:rPr>
      <w:sz w:val="18"/>
    </w:rPr>
  </w:style>
  <w:style w:type="paragraph" w:styleId="776" w:customStyle="1">
    <w:name w:val="目录 611"/>
    <w:basedOn w:val="659"/>
    <w:next w:val="659"/>
    <w:uiPriority w:val="39"/>
    <w:unhideWhenUsed/>
    <w:qFormat/>
    <w:pPr>
      <w:ind w:left="1417"/>
      <w:spacing w:after="57"/>
    </w:pPr>
  </w:style>
  <w:style w:type="paragraph" w:styleId="777" w:customStyle="1">
    <w:name w:val="图表目录11"/>
    <w:basedOn w:val="659"/>
    <w:next w:val="659"/>
    <w:uiPriority w:val="99"/>
    <w:unhideWhenUsed/>
    <w:qFormat/>
  </w:style>
  <w:style w:type="paragraph" w:styleId="778" w:customStyle="1">
    <w:name w:val="目录 211"/>
    <w:basedOn w:val="659"/>
    <w:next w:val="659"/>
    <w:uiPriority w:val="39"/>
    <w:unhideWhenUsed/>
    <w:qFormat/>
    <w:pPr>
      <w:ind w:left="283"/>
      <w:spacing w:after="57"/>
    </w:pPr>
  </w:style>
  <w:style w:type="paragraph" w:styleId="779" w:customStyle="1">
    <w:name w:val="目录 911"/>
    <w:basedOn w:val="659"/>
    <w:next w:val="659"/>
    <w:uiPriority w:val="39"/>
    <w:unhideWhenUsed/>
    <w:qFormat/>
    <w:pPr>
      <w:ind w:left="2268"/>
      <w:spacing w:after="57"/>
    </w:pPr>
  </w:style>
  <w:style w:type="paragraph" w:styleId="780" w:customStyle="1">
    <w:name w:val="普通(网站)11"/>
    <w:basedOn w:val="659"/>
    <w:uiPriority w:val="99"/>
    <w:unhideWhenUsed/>
    <w:qFormat/>
    <w:rPr>
      <w:sz w:val="24"/>
    </w:rPr>
  </w:style>
  <w:style w:type="paragraph" w:styleId="781" w:customStyle="1">
    <w:name w:val="标题11"/>
    <w:basedOn w:val="659"/>
    <w:next w:val="659"/>
    <w:uiPriority w:val="10"/>
    <w:qFormat/>
    <w:pPr>
      <w:contextualSpacing/>
      <w:spacing w:before="300" w:after="200"/>
    </w:pPr>
    <w:rPr>
      <w:sz w:val="48"/>
      <w:szCs w:val="48"/>
    </w:rPr>
  </w:style>
  <w:style w:type="table" w:styleId="782" w:customStyle="1">
    <w:name w:val="网格型11"/>
    <w:uiPriority w:val="59"/>
    <w:qFormat/>
    <w:tblPr>
      <w:tblCellMar>
        <w:left w:w="0" w:type="dxa"/>
        <w:top w:w="0" w:type="dxa"/>
        <w:right w:w="0" w:type="dxa"/>
        <w:bottom w:w="0" w:type="dxa"/>
      </w:tblCellMar>
    </w:tblPr>
  </w:style>
  <w:style w:type="character" w:styleId="783" w:customStyle="1">
    <w:name w:val="尾注引用11"/>
    <w:uiPriority w:val="99"/>
    <w:unhideWhenUsed/>
    <w:qFormat/>
    <w:rPr>
      <w:vertAlign w:val="superscript"/>
    </w:rPr>
  </w:style>
  <w:style w:type="character" w:styleId="784" w:customStyle="1">
    <w:name w:val="超链接11"/>
    <w:uiPriority w:val="99"/>
    <w:unhideWhenUsed/>
    <w:qFormat/>
    <w:rPr>
      <w:color w:val="0000ff"/>
      <w:u w:val="single"/>
    </w:rPr>
  </w:style>
  <w:style w:type="character" w:styleId="785" w:customStyle="1">
    <w:name w:val="脚注引用11"/>
    <w:uiPriority w:val="99"/>
    <w:unhideWhenUsed/>
    <w:qFormat/>
    <w:rPr>
      <w:vertAlign w:val="superscript"/>
    </w:rPr>
  </w:style>
  <w:style w:type="paragraph" w:styleId="786" w:customStyle="1">
    <w:name w:val="正文缩进1"/>
    <w:basedOn w:val="659"/>
    <w:link w:val="787"/>
    <w:uiPriority w:val="0"/>
    <w:unhideWhenUsed/>
    <w:qFormat/>
    <w:pPr>
      <w:ind w:firstLine="420"/>
    </w:pPr>
    <w:rPr>
      <w:szCs w:val="24"/>
    </w:rPr>
  </w:style>
  <w:style w:type="character" w:styleId="787" w:customStyle="1">
    <w:name w:val="正文缩进 Char"/>
    <w:link w:val="786"/>
    <w:uiPriority w:val="0"/>
    <w:qFormat/>
    <w:rPr>
      <w:rFonts w:ascii="Times New Roman" w:hAnsi="Times New Roman"/>
      <w:sz w:val="21"/>
      <w:szCs w:val="24"/>
    </w:rPr>
  </w:style>
  <w:style w:type="paragraph" w:styleId="788" w:customStyle="1">
    <w:name w:val="标题 11"/>
    <w:basedOn w:val="659"/>
    <w:next w:val="659"/>
    <w:link w:val="789"/>
    <w:uiPriority w:val="99"/>
    <w:qFormat/>
    <w:pPr>
      <w:jc w:val="center"/>
      <w:keepNext/>
      <w:outlineLvl w:val="0"/>
    </w:pPr>
    <w:rPr>
      <w:rFonts w:ascii="楷体_GB2312" w:eastAsia="楷体_GB2312"/>
      <w:b/>
      <w:sz w:val="28"/>
    </w:rPr>
  </w:style>
  <w:style w:type="character" w:styleId="789" w:customStyle="1">
    <w:name w:val="标题 1 Char"/>
    <w:link w:val="788"/>
    <w:uiPriority w:val="99"/>
    <w:qFormat/>
    <w:rPr>
      <w:rFonts w:ascii="楷体_GB2312" w:hAnsi="Times New Roman" w:eastAsia="楷体_GB2312" w:cs="Times New Roman"/>
      <w:b/>
      <w:sz w:val="28"/>
      <w:szCs w:val="20"/>
    </w:rPr>
  </w:style>
  <w:style w:type="paragraph" w:styleId="790" w:customStyle="1">
    <w:name w:val="标题 21"/>
    <w:basedOn w:val="659"/>
    <w:next w:val="659"/>
    <w:link w:val="791"/>
    <w:uiPriority w:val="99"/>
    <w:qFormat/>
    <w:pPr>
      <w:jc w:val="center"/>
      <w:keepNext/>
      <w:outlineLvl w:val="1"/>
    </w:pPr>
    <w:rPr>
      <w:rFonts w:ascii="楷体_GB2312" w:eastAsia="楷体_GB2312"/>
      <w:b/>
      <w:bCs/>
      <w:sz w:val="18"/>
    </w:rPr>
  </w:style>
  <w:style w:type="character" w:styleId="791" w:customStyle="1">
    <w:name w:val="标题 2 Char"/>
    <w:link w:val="790"/>
    <w:uiPriority w:val="99"/>
    <w:qFormat/>
    <w:rPr>
      <w:rFonts w:ascii="楷体_GB2312" w:hAnsi="Times New Roman" w:eastAsia="楷体_GB2312" w:cs="Times New Roman"/>
      <w:b/>
      <w:bCs/>
      <w:sz w:val="18"/>
      <w:szCs w:val="20"/>
    </w:rPr>
  </w:style>
  <w:style w:type="paragraph" w:styleId="792" w:customStyle="1">
    <w:name w:val="标题 31"/>
    <w:basedOn w:val="659"/>
    <w:next w:val="659"/>
    <w:link w:val="793"/>
    <w:uiPriority w:val="99"/>
    <w:qFormat/>
    <w:pPr>
      <w:jc w:val="center"/>
      <w:keepNext/>
      <w:outlineLvl w:val="2"/>
    </w:pPr>
    <w:rPr>
      <w:rFonts w:eastAsia="楷体_GB2312"/>
      <w:b/>
      <w:bCs/>
      <w:sz w:val="15"/>
    </w:rPr>
  </w:style>
  <w:style w:type="character" w:styleId="793" w:customStyle="1">
    <w:name w:val="标题 3 Char"/>
    <w:link w:val="792"/>
    <w:uiPriority w:val="99"/>
    <w:qFormat/>
    <w:rPr>
      <w:rFonts w:ascii="Times New Roman" w:hAnsi="Times New Roman" w:eastAsia="楷体_GB2312" w:cs="Times New Roman"/>
      <w:b/>
      <w:bCs/>
      <w:sz w:val="15"/>
      <w:szCs w:val="20"/>
    </w:rPr>
  </w:style>
  <w:style w:type="paragraph" w:styleId="794" w:customStyle="1">
    <w:name w:val="标题 41"/>
    <w:basedOn w:val="659"/>
    <w:next w:val="659"/>
    <w:link w:val="795"/>
    <w:uiPriority w:val="99"/>
    <w:qFormat/>
    <w:pPr>
      <w:jc w:val="center"/>
      <w:keepNext/>
      <w:outlineLvl w:val="3"/>
    </w:pPr>
    <w:rPr>
      <w:rFonts w:eastAsia="楷体_GB2312"/>
      <w:b/>
      <w:bCs/>
      <w:sz w:val="13"/>
    </w:rPr>
  </w:style>
  <w:style w:type="character" w:styleId="795" w:customStyle="1">
    <w:name w:val="标题 4 Char"/>
    <w:link w:val="794"/>
    <w:uiPriority w:val="99"/>
    <w:qFormat/>
    <w:rPr>
      <w:rFonts w:ascii="Times New Roman" w:hAnsi="Times New Roman" w:eastAsia="楷体_GB2312" w:cs="Times New Roman"/>
      <w:b/>
      <w:bCs/>
      <w:sz w:val="13"/>
      <w:szCs w:val="20"/>
    </w:rPr>
  </w:style>
  <w:style w:type="paragraph" w:styleId="796" w:customStyle="1">
    <w:name w:val="标题 51"/>
    <w:basedOn w:val="659"/>
    <w:next w:val="659"/>
    <w:link w:val="797"/>
    <w:uiPriority w:val="99"/>
    <w:qFormat/>
    <w:pPr>
      <w:numPr>
        <w:ilvl w:val="0"/>
        <w:numId w:val="1"/>
      </w:numPr>
      <w:keepNext/>
      <w:outlineLvl w:val="4"/>
    </w:pPr>
    <w:rPr>
      <w:rFonts w:ascii="楷体_GB2312" w:eastAsia="楷体_GB2312"/>
      <w:bCs/>
      <w:sz w:val="28"/>
    </w:rPr>
  </w:style>
  <w:style w:type="character" w:styleId="797" w:customStyle="1">
    <w:name w:val="标题 5 Char"/>
    <w:link w:val="796"/>
    <w:uiPriority w:val="99"/>
    <w:qFormat/>
    <w:rPr>
      <w:rFonts w:ascii="楷体_GB2312" w:hAnsi="Times New Roman" w:eastAsia="楷体_GB2312" w:cs="Times New Roman"/>
      <w:bCs/>
      <w:sz w:val="28"/>
      <w:szCs w:val="20"/>
    </w:rPr>
  </w:style>
  <w:style w:type="character" w:styleId="798" w:customStyle="1">
    <w:name w:val="默认段落字体1"/>
    <w:uiPriority w:val="1"/>
    <w:unhideWhenUsed/>
    <w:qFormat/>
  </w:style>
  <w:style w:type="table" w:styleId="799" w:customStyle="1">
    <w:name w:val="普通表格1"/>
    <w:uiPriority w:val="99"/>
    <w:unhideWhenUsed/>
    <w:qFormat/>
    <w:tblPr>
      <w:tblCellMar>
        <w:left w:w="0" w:type="dxa"/>
        <w:top w:w="0" w:type="dxa"/>
        <w:right w:w="0" w:type="dxa"/>
        <w:bottom w:w="0" w:type="dxa"/>
      </w:tblCellMar>
    </w:tblPr>
  </w:style>
  <w:style w:type="paragraph" w:styleId="800" w:customStyle="1">
    <w:name w:val="目录 71"/>
    <w:basedOn w:val="659"/>
    <w:next w:val="659"/>
    <w:uiPriority w:val="39"/>
    <w:unhideWhenUsed/>
    <w:qFormat/>
    <w:pPr>
      <w:ind w:left="1701"/>
      <w:spacing w:after="57"/>
    </w:pPr>
  </w:style>
  <w:style w:type="paragraph" w:styleId="801" w:customStyle="1">
    <w:name w:val="索引 51"/>
    <w:basedOn w:val="659"/>
    <w:next w:val="659"/>
    <w:uiPriority w:val="99"/>
    <w:unhideWhenUsed/>
    <w:qFormat/>
    <w:pPr>
      <w:ind w:left="800"/>
    </w:pPr>
  </w:style>
  <w:style w:type="paragraph" w:styleId="802" w:customStyle="1">
    <w:name w:val="文档结构图1"/>
    <w:basedOn w:val="659"/>
    <w:next w:val="659"/>
    <w:link w:val="803"/>
    <w:uiPriority w:val="99"/>
    <w:semiHidden/>
    <w:qFormat/>
    <w:pPr>
      <w:shd w:val="clear" w:color="auto" w:fill="000080"/>
    </w:pPr>
    <w:rPr>
      <w:sz w:val="20"/>
    </w:rPr>
  </w:style>
  <w:style w:type="character" w:styleId="803" w:customStyle="1">
    <w:name w:val="文档结构图 Char"/>
    <w:link w:val="802"/>
    <w:uiPriority w:val="99"/>
    <w:semiHidden/>
    <w:qFormat/>
    <w:rPr>
      <w:rFonts w:ascii="Times New Roman" w:hAnsi="Times New Roman" w:eastAsia="宋体" w:cs="Times New Roman"/>
      <w:szCs w:val="20"/>
      <w:shd w:val="clear" w:color="auto" w:fill="000080"/>
    </w:rPr>
  </w:style>
  <w:style w:type="paragraph" w:styleId="804" w:customStyle="1">
    <w:name w:val="批注文字1"/>
    <w:basedOn w:val="659"/>
    <w:link w:val="805"/>
    <w:uiPriority w:val="0"/>
    <w:semiHidden/>
    <w:qFormat/>
    <w:pPr>
      <w:jc w:val="left"/>
    </w:pPr>
    <w:rPr>
      <w:sz w:val="20"/>
      <w:szCs w:val="24"/>
    </w:rPr>
  </w:style>
  <w:style w:type="character" w:styleId="805" w:customStyle="1">
    <w:name w:val="批注文字 Char"/>
    <w:link w:val="804"/>
    <w:uiPriority w:val="0"/>
    <w:semiHidden/>
    <w:qFormat/>
    <w:rPr>
      <w:rFonts w:ascii="Times New Roman" w:hAnsi="Times New Roman" w:eastAsia="宋体" w:cs="Times New Roman"/>
      <w:szCs w:val="24"/>
    </w:rPr>
  </w:style>
  <w:style w:type="paragraph" w:styleId="806" w:customStyle="1">
    <w:name w:val="正文文本11"/>
    <w:basedOn w:val="659"/>
    <w:next w:val="807"/>
    <w:link w:val="808"/>
    <w:uiPriority w:val="99"/>
    <w:qFormat/>
    <w:rPr>
      <w:rFonts w:ascii="华文中宋" w:eastAsia="华文中宋"/>
      <w:bCs/>
      <w:sz w:val="28"/>
    </w:rPr>
  </w:style>
  <w:style w:type="paragraph" w:styleId="807" w:customStyle="1">
    <w:name w:val="列表1"/>
    <w:basedOn w:val="659"/>
    <w:uiPriority w:val="0"/>
    <w:qFormat/>
    <w:pPr>
      <w:numPr>
        <w:ilvl w:val="0"/>
        <w:numId w:val="2"/>
      </w:numPr>
      <w:spacing w:after="20" w:line="288" w:lineRule="auto"/>
    </w:pPr>
    <w:rPr>
      <w:lang w:val="en-GB"/>
    </w:rPr>
  </w:style>
  <w:style w:type="character" w:styleId="808" w:customStyle="1">
    <w:name w:val="正文文本 Char"/>
    <w:link w:val="806"/>
    <w:uiPriority w:val="99"/>
    <w:qFormat/>
    <w:rPr>
      <w:rFonts w:ascii="华文中宋" w:hAnsi="Times New Roman" w:eastAsia="华文中宋" w:cs="Times New Roman"/>
      <w:bCs/>
      <w:sz w:val="28"/>
      <w:szCs w:val="20"/>
    </w:rPr>
  </w:style>
  <w:style w:type="paragraph" w:styleId="809" w:customStyle="1">
    <w:name w:val="正文文本缩进1"/>
    <w:basedOn w:val="659"/>
    <w:next w:val="659"/>
    <w:link w:val="810"/>
    <w:uiPriority w:val="0"/>
    <w:qFormat/>
    <w:pPr>
      <w:ind w:firstLine="576"/>
    </w:pPr>
    <w:rPr>
      <w:b/>
      <w:sz w:val="30"/>
    </w:rPr>
  </w:style>
  <w:style w:type="character" w:styleId="810" w:customStyle="1">
    <w:name w:val="正文文本缩进 Char"/>
    <w:link w:val="809"/>
    <w:uiPriority w:val="0"/>
    <w:qFormat/>
    <w:rPr>
      <w:rFonts w:ascii="Times New Roman" w:hAnsi="Times New Roman" w:eastAsia="宋体" w:cs="Times New Roman"/>
      <w:b/>
      <w:sz w:val="30"/>
      <w:szCs w:val="20"/>
    </w:rPr>
  </w:style>
  <w:style w:type="paragraph" w:styleId="811" w:customStyle="1">
    <w:name w:val="目录 51"/>
    <w:basedOn w:val="659"/>
    <w:next w:val="659"/>
    <w:uiPriority w:val="39"/>
    <w:unhideWhenUsed/>
    <w:qFormat/>
    <w:pPr>
      <w:ind w:left="1134"/>
      <w:spacing w:after="57"/>
    </w:pPr>
  </w:style>
  <w:style w:type="paragraph" w:styleId="812" w:customStyle="1">
    <w:name w:val="目录 31"/>
    <w:basedOn w:val="659"/>
    <w:next w:val="659"/>
    <w:uiPriority w:val="39"/>
    <w:unhideWhenUsed/>
    <w:qFormat/>
    <w:pPr>
      <w:ind w:left="567"/>
      <w:spacing w:after="57"/>
    </w:pPr>
  </w:style>
  <w:style w:type="paragraph" w:styleId="813" w:customStyle="1">
    <w:name w:val="纯文本11"/>
    <w:basedOn w:val="659"/>
    <w:link w:val="814"/>
    <w:uiPriority w:val="0"/>
    <w:qFormat/>
    <w:rPr>
      <w:rFonts w:ascii="宋体" w:hAnsi="Courier New"/>
      <w:szCs w:val="21"/>
    </w:rPr>
  </w:style>
  <w:style w:type="character" w:styleId="814" w:customStyle="1">
    <w:name w:val="纯文本 Char"/>
    <w:link w:val="813"/>
    <w:uiPriority w:val="0"/>
    <w:qFormat/>
    <w:rPr>
      <w:rFonts w:ascii="宋体" w:hAnsi="Courier New"/>
      <w:sz w:val="21"/>
      <w:szCs w:val="21"/>
    </w:rPr>
  </w:style>
  <w:style w:type="paragraph" w:styleId="815" w:customStyle="1">
    <w:name w:val="目录 81"/>
    <w:basedOn w:val="659"/>
    <w:next w:val="659"/>
    <w:uiPriority w:val="39"/>
    <w:unhideWhenUsed/>
    <w:qFormat/>
    <w:pPr>
      <w:ind w:left="1984"/>
      <w:spacing w:after="57"/>
    </w:pPr>
  </w:style>
  <w:style w:type="paragraph" w:styleId="816" w:customStyle="1">
    <w:name w:val="日期1"/>
    <w:basedOn w:val="659"/>
    <w:next w:val="659"/>
    <w:link w:val="817"/>
    <w:uiPriority w:val="99"/>
    <w:qFormat/>
    <w:rPr>
      <w:rFonts w:eastAsia="黑体"/>
      <w:b/>
      <w:sz w:val="36"/>
    </w:rPr>
  </w:style>
  <w:style w:type="character" w:styleId="817" w:customStyle="1">
    <w:name w:val="日期 Char"/>
    <w:link w:val="816"/>
    <w:uiPriority w:val="99"/>
    <w:qFormat/>
    <w:rPr>
      <w:rFonts w:ascii="Times New Roman" w:hAnsi="Times New Roman" w:eastAsia="黑体" w:cs="Times New Roman"/>
      <w:b/>
      <w:sz w:val="36"/>
      <w:szCs w:val="20"/>
    </w:rPr>
  </w:style>
  <w:style w:type="paragraph" w:styleId="818" w:customStyle="1">
    <w:name w:val="正文文本缩进 21"/>
    <w:basedOn w:val="659"/>
    <w:link w:val="819"/>
    <w:uiPriority w:val="99"/>
    <w:qFormat/>
    <w:pPr>
      <w:ind w:left="900"/>
    </w:pPr>
    <w:rPr>
      <w:rFonts w:ascii="楷体_GB2312" w:eastAsia="楷体_GB2312"/>
      <w:b/>
      <w:sz w:val="28"/>
    </w:rPr>
  </w:style>
  <w:style w:type="character" w:styleId="819" w:customStyle="1">
    <w:name w:val="正文文本缩进 2 Char"/>
    <w:link w:val="818"/>
    <w:uiPriority w:val="99"/>
    <w:qFormat/>
    <w:rPr>
      <w:rFonts w:ascii="楷体_GB2312" w:hAnsi="Times New Roman" w:eastAsia="楷体_GB2312" w:cs="Times New Roman"/>
      <w:b/>
      <w:sz w:val="28"/>
      <w:szCs w:val="20"/>
    </w:rPr>
  </w:style>
  <w:style w:type="paragraph" w:styleId="820" w:customStyle="1">
    <w:name w:val="尾注文本1"/>
    <w:basedOn w:val="659"/>
    <w:link w:val="821"/>
    <w:uiPriority w:val="99"/>
    <w:unhideWhenUsed/>
    <w:qFormat/>
    <w:rPr>
      <w:sz w:val="20"/>
    </w:rPr>
  </w:style>
  <w:style w:type="character" w:styleId="821" w:customStyle="1">
    <w:name w:val="尾注文本 Char"/>
    <w:link w:val="820"/>
    <w:uiPriority w:val="99"/>
    <w:qFormat/>
    <w:rPr>
      <w:sz w:val="20"/>
    </w:rPr>
  </w:style>
  <w:style w:type="paragraph" w:styleId="822" w:customStyle="1">
    <w:name w:val="批注框文本1"/>
    <w:basedOn w:val="659"/>
    <w:link w:val="823"/>
    <w:uiPriority w:val="99"/>
    <w:unhideWhenUsed/>
    <w:qFormat/>
    <w:rPr>
      <w:sz w:val="18"/>
      <w:szCs w:val="18"/>
    </w:rPr>
  </w:style>
  <w:style w:type="character" w:styleId="823" w:customStyle="1">
    <w:name w:val="批注框文本 Char"/>
    <w:link w:val="822"/>
    <w:uiPriority w:val="99"/>
    <w:semiHidden/>
    <w:qFormat/>
    <w:rPr>
      <w:rFonts w:ascii="Times New Roman" w:hAnsi="Times New Roman" w:eastAsia="宋体" w:cs="Times New Roman"/>
      <w:sz w:val="18"/>
      <w:szCs w:val="18"/>
    </w:rPr>
  </w:style>
  <w:style w:type="paragraph" w:styleId="824" w:customStyle="1">
    <w:name w:val="页脚11"/>
    <w:basedOn w:val="659"/>
    <w:link w:val="825"/>
    <w:uiPriority w:val="99"/>
    <w:unhideWhenUsed/>
    <w:qFormat/>
    <w:pPr>
      <w:jc w:val="left"/>
      <w:tabs>
        <w:tab w:val="center" w:pos="4153" w:leader="none"/>
        <w:tab w:val="right" w:pos="8306" w:leader="none"/>
      </w:tabs>
    </w:pPr>
    <w:rPr>
      <w:sz w:val="18"/>
      <w:szCs w:val="18"/>
    </w:rPr>
  </w:style>
  <w:style w:type="character" w:styleId="825" w:customStyle="1">
    <w:name w:val="页脚 Char"/>
    <w:link w:val="824"/>
    <w:uiPriority w:val="99"/>
    <w:qFormat/>
    <w:rPr>
      <w:sz w:val="18"/>
      <w:szCs w:val="18"/>
    </w:rPr>
  </w:style>
  <w:style w:type="paragraph" w:styleId="826" w:customStyle="1">
    <w:name w:val="页眉1"/>
    <w:basedOn w:val="659"/>
    <w:link w:val="827"/>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827" w:customStyle="1">
    <w:name w:val="页眉 Char"/>
    <w:link w:val="826"/>
    <w:uiPriority w:val="0"/>
    <w:qFormat/>
    <w:rPr>
      <w:sz w:val="18"/>
      <w:szCs w:val="18"/>
    </w:rPr>
  </w:style>
  <w:style w:type="paragraph" w:styleId="828" w:customStyle="1">
    <w:name w:val="目录 11"/>
    <w:basedOn w:val="659"/>
    <w:next w:val="659"/>
    <w:uiPriority w:val="39"/>
    <w:unhideWhenUsed/>
    <w:qFormat/>
    <w:pPr>
      <w:spacing w:after="57"/>
    </w:pPr>
  </w:style>
  <w:style w:type="paragraph" w:styleId="829" w:customStyle="1">
    <w:name w:val="目录 41"/>
    <w:basedOn w:val="659"/>
    <w:next w:val="659"/>
    <w:uiPriority w:val="39"/>
    <w:unhideWhenUsed/>
    <w:qFormat/>
    <w:pPr>
      <w:ind w:left="850"/>
      <w:spacing w:after="57"/>
    </w:pPr>
  </w:style>
  <w:style w:type="paragraph" w:styleId="830" w:customStyle="1">
    <w:name w:val="副标题1"/>
    <w:basedOn w:val="659"/>
    <w:next w:val="659"/>
    <w:link w:val="831"/>
    <w:uiPriority w:val="11"/>
    <w:qFormat/>
    <w:pPr>
      <w:spacing w:before="200" w:after="200"/>
    </w:pPr>
    <w:rPr>
      <w:sz w:val="24"/>
      <w:szCs w:val="24"/>
    </w:rPr>
  </w:style>
  <w:style w:type="character" w:styleId="831" w:customStyle="1">
    <w:name w:val="副标题 Char"/>
    <w:link w:val="830"/>
    <w:uiPriority w:val="11"/>
    <w:qFormat/>
    <w:rPr>
      <w:sz w:val="24"/>
      <w:szCs w:val="24"/>
    </w:rPr>
  </w:style>
  <w:style w:type="paragraph" w:styleId="832" w:customStyle="1">
    <w:name w:val="脚注文本1"/>
    <w:basedOn w:val="659"/>
    <w:next w:val="801"/>
    <w:link w:val="833"/>
    <w:uiPriority w:val="0"/>
    <w:qFormat/>
    <w:pPr>
      <w:ind w:firstLine="425"/>
      <w:jc w:val="left"/>
      <w:spacing w:before="120" w:line="360" w:lineRule="auto"/>
    </w:pPr>
    <w:rPr>
      <w:sz w:val="18"/>
    </w:rPr>
  </w:style>
  <w:style w:type="character" w:styleId="833" w:customStyle="1">
    <w:name w:val="脚注文本 Char"/>
    <w:link w:val="832"/>
    <w:uiPriority w:val="0"/>
    <w:qFormat/>
    <w:rPr>
      <w:rFonts w:ascii="Times New Roman" w:hAnsi="Times New Roman"/>
      <w:sz w:val="18"/>
    </w:rPr>
  </w:style>
  <w:style w:type="character" w:styleId="834" w:customStyle="1">
    <w:name w:val="Footnote Text Char"/>
    <w:uiPriority w:val="99"/>
    <w:qFormat/>
    <w:rPr>
      <w:sz w:val="18"/>
    </w:rPr>
  </w:style>
  <w:style w:type="paragraph" w:styleId="835" w:customStyle="1">
    <w:name w:val="目录 61"/>
    <w:basedOn w:val="659"/>
    <w:next w:val="659"/>
    <w:uiPriority w:val="39"/>
    <w:unhideWhenUsed/>
    <w:qFormat/>
    <w:pPr>
      <w:ind w:left="1417"/>
      <w:spacing w:after="57"/>
    </w:pPr>
  </w:style>
  <w:style w:type="paragraph" w:styleId="836" w:customStyle="1">
    <w:name w:val="正文文本缩进 31"/>
    <w:basedOn w:val="659"/>
    <w:link w:val="837"/>
    <w:uiPriority w:val="99"/>
    <w:qFormat/>
    <w:pPr>
      <w:ind w:left="359" w:firstLine="359"/>
    </w:pPr>
    <w:rPr>
      <w:sz w:val="20"/>
    </w:rPr>
  </w:style>
  <w:style w:type="character" w:styleId="837" w:customStyle="1">
    <w:name w:val="正文文本缩进 3 Char"/>
    <w:link w:val="836"/>
    <w:uiPriority w:val="99"/>
    <w:qFormat/>
    <w:rPr>
      <w:rFonts w:ascii="Times New Roman" w:hAnsi="Times New Roman" w:eastAsia="宋体" w:cs="Times New Roman"/>
      <w:szCs w:val="20"/>
    </w:rPr>
  </w:style>
  <w:style w:type="paragraph" w:styleId="838" w:customStyle="1">
    <w:name w:val="图表目录1"/>
    <w:basedOn w:val="659"/>
    <w:next w:val="659"/>
    <w:uiPriority w:val="99"/>
    <w:unhideWhenUsed/>
    <w:qFormat/>
  </w:style>
  <w:style w:type="paragraph" w:styleId="839" w:customStyle="1">
    <w:name w:val="目录 21"/>
    <w:basedOn w:val="659"/>
    <w:next w:val="659"/>
    <w:uiPriority w:val="39"/>
    <w:unhideWhenUsed/>
    <w:qFormat/>
    <w:pPr>
      <w:ind w:left="283"/>
      <w:spacing w:after="57"/>
    </w:pPr>
  </w:style>
  <w:style w:type="paragraph" w:styleId="840" w:customStyle="1">
    <w:name w:val="目录 91"/>
    <w:basedOn w:val="659"/>
    <w:next w:val="659"/>
    <w:uiPriority w:val="39"/>
    <w:unhideWhenUsed/>
    <w:qFormat/>
    <w:pPr>
      <w:ind w:left="2268"/>
      <w:spacing w:after="57"/>
    </w:pPr>
  </w:style>
  <w:style w:type="paragraph" w:styleId="841" w:customStyle="1">
    <w:name w:val="正文文本 21"/>
    <w:basedOn w:val="659"/>
    <w:link w:val="842"/>
    <w:uiPriority w:val="99"/>
    <w:qFormat/>
    <w:pPr>
      <w:spacing w:after="120" w:line="480" w:lineRule="auto"/>
    </w:pPr>
    <w:rPr>
      <w:sz w:val="20"/>
    </w:rPr>
  </w:style>
  <w:style w:type="character" w:styleId="842" w:customStyle="1">
    <w:name w:val="正文文本 2 Char"/>
    <w:link w:val="841"/>
    <w:uiPriority w:val="99"/>
    <w:qFormat/>
    <w:rPr>
      <w:rFonts w:ascii="Times New Roman" w:hAnsi="Times New Roman" w:eastAsia="宋体" w:cs="Times New Roman"/>
      <w:szCs w:val="20"/>
    </w:rPr>
  </w:style>
  <w:style w:type="paragraph" w:styleId="843" w:customStyle="1">
    <w:name w:val="普通(网站)1"/>
    <w:basedOn w:val="659"/>
    <w:link w:val="844"/>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844" w:customStyle="1">
    <w:name w:val="普通(网站) Char"/>
    <w:link w:val="843"/>
    <w:uiPriority w:val="0"/>
    <w:qFormat/>
    <w:rPr>
      <w:rFonts w:ascii="宋体" w:hAnsi="宋体"/>
      <w:sz w:val="24"/>
      <w:szCs w:val="24"/>
    </w:rPr>
  </w:style>
  <w:style w:type="paragraph" w:styleId="845" w:customStyle="1">
    <w:name w:val="标题1"/>
    <w:basedOn w:val="659"/>
    <w:next w:val="659"/>
    <w:link w:val="846"/>
    <w:uiPriority w:val="10"/>
    <w:qFormat/>
    <w:pPr>
      <w:contextualSpacing/>
      <w:spacing w:before="300" w:after="200"/>
    </w:pPr>
    <w:rPr>
      <w:sz w:val="48"/>
      <w:szCs w:val="48"/>
    </w:rPr>
  </w:style>
  <w:style w:type="character" w:styleId="846" w:customStyle="1">
    <w:name w:val="标题 Char"/>
    <w:link w:val="845"/>
    <w:uiPriority w:val="10"/>
    <w:qFormat/>
    <w:rPr>
      <w:sz w:val="48"/>
      <w:szCs w:val="48"/>
    </w:rPr>
  </w:style>
  <w:style w:type="paragraph" w:styleId="847" w:customStyle="1">
    <w:name w:val="批注主题1"/>
    <w:basedOn w:val="804"/>
    <w:next w:val="804"/>
    <w:link w:val="848"/>
    <w:uiPriority w:val="0"/>
    <w:semiHidden/>
    <w:qFormat/>
    <w:rPr>
      <w:b/>
      <w:bCs/>
    </w:rPr>
  </w:style>
  <w:style w:type="character" w:styleId="848" w:customStyle="1">
    <w:name w:val="批注主题 Char"/>
    <w:link w:val="847"/>
    <w:uiPriority w:val="0"/>
    <w:semiHidden/>
    <w:qFormat/>
    <w:rPr>
      <w:rFonts w:ascii="Times New Roman" w:hAnsi="Times New Roman" w:eastAsia="宋体" w:cs="Times New Roman"/>
      <w:b/>
      <w:bCs/>
      <w:szCs w:val="24"/>
    </w:rPr>
  </w:style>
  <w:style w:type="paragraph" w:styleId="849" w:customStyle="1">
    <w:name w:val="正文首行缩进1"/>
    <w:basedOn w:val="659"/>
    <w:link w:val="850"/>
    <w:uiPriority w:val="99"/>
    <w:unhideWhenUsed/>
    <w:qFormat/>
    <w:pPr>
      <w:ind w:firstLine="420"/>
      <w:spacing w:after="120"/>
    </w:pPr>
    <w:rPr>
      <w:rFonts w:eastAsia="华文中宋"/>
    </w:rPr>
  </w:style>
  <w:style w:type="character" w:styleId="850" w:customStyle="1">
    <w:name w:val="正文首行缩进 Char"/>
    <w:link w:val="849"/>
    <w:uiPriority w:val="99"/>
    <w:semiHidden/>
    <w:qFormat/>
    <w:rPr>
      <w:rFonts w:ascii="Times New Roman" w:hAnsi="Times New Roman" w:eastAsia="华文中宋" w:cs="Times New Roman"/>
      <w:sz w:val="21"/>
      <w:szCs w:val="20"/>
    </w:rPr>
  </w:style>
  <w:style w:type="paragraph" w:styleId="851" w:customStyle="1">
    <w:name w:val="正文首行缩进 21"/>
    <w:basedOn w:val="809"/>
    <w:uiPriority w:val="0"/>
    <w:qFormat/>
    <w:pPr>
      <w:ind w:left="420" w:firstLine="420"/>
      <w:spacing w:after="120"/>
    </w:pPr>
    <w:rPr>
      <w:rFonts w:ascii="Cambria" w:hAnsi="Cambria" w:eastAsia="华文细黑"/>
      <w:sz w:val="21"/>
    </w:rPr>
  </w:style>
  <w:style w:type="table" w:styleId="852" w:customStyle="1">
    <w:name w:val="网格型1"/>
    <w:uiPriority w:val="59"/>
    <w:qFormat/>
    <w:tblPr>
      <w:tblCellMar>
        <w:left w:w="0" w:type="dxa"/>
        <w:top w:w="0" w:type="dxa"/>
        <w:right w:w="0" w:type="dxa"/>
        <w:bottom w:w="0" w:type="dxa"/>
      </w:tblCellMar>
    </w:tblPr>
  </w:style>
  <w:style w:type="character" w:styleId="853" w:customStyle="1">
    <w:name w:val="要点1"/>
    <w:uiPriority w:val="99"/>
    <w:qFormat/>
    <w:rPr>
      <w:rFonts w:cs="Times New Roman"/>
      <w:b/>
      <w:bCs/>
    </w:rPr>
  </w:style>
  <w:style w:type="character" w:styleId="854" w:customStyle="1">
    <w:name w:val="尾注引用1"/>
    <w:uiPriority w:val="99"/>
    <w:unhideWhenUsed/>
    <w:qFormat/>
    <w:rPr>
      <w:vertAlign w:val="superscript"/>
    </w:rPr>
  </w:style>
  <w:style w:type="character" w:styleId="855" w:customStyle="1">
    <w:name w:val="页码1"/>
    <w:uiPriority w:val="0"/>
    <w:qFormat/>
    <w:rPr>
      <w:rFonts w:cs="Times New Roman"/>
    </w:rPr>
  </w:style>
  <w:style w:type="character" w:styleId="856" w:customStyle="1">
    <w:name w:val="已访问的超链接1"/>
    <w:uiPriority w:val="99"/>
    <w:qFormat/>
    <w:rPr>
      <w:rFonts w:cs="Times New Roman"/>
      <w:color w:val="000000"/>
      <w:u w:val="none"/>
    </w:rPr>
  </w:style>
  <w:style w:type="character" w:styleId="857" w:customStyle="1">
    <w:name w:val="HTML 打字机1"/>
    <w:uiPriority w:val="99"/>
    <w:qFormat/>
    <w:rPr>
      <w:rFonts w:ascii="宋体" w:hAnsi="宋体" w:eastAsia="宋体" w:cs="宋体"/>
      <w:sz w:val="24"/>
      <w:szCs w:val="24"/>
    </w:rPr>
  </w:style>
  <w:style w:type="character" w:styleId="858" w:customStyle="1">
    <w:name w:val="超链接1"/>
    <w:uiPriority w:val="0"/>
    <w:qFormat/>
    <w:rPr>
      <w:color w:val="000000"/>
      <w:u w:val="none"/>
    </w:rPr>
  </w:style>
  <w:style w:type="character" w:styleId="859" w:customStyle="1">
    <w:name w:val="批注引用1"/>
    <w:uiPriority w:val="0"/>
    <w:unhideWhenUsed/>
    <w:qFormat/>
    <w:rPr>
      <w:sz w:val="21"/>
      <w:szCs w:val="21"/>
    </w:rPr>
  </w:style>
  <w:style w:type="character" w:styleId="860" w:customStyle="1">
    <w:name w:val="脚注引用1"/>
    <w:uiPriority w:val="99"/>
    <w:unhideWhenUsed/>
    <w:qFormat/>
    <w:rPr>
      <w:vertAlign w:val="superscript"/>
    </w:rPr>
  </w:style>
  <w:style w:type="character" w:styleId="861" w:customStyle="1">
    <w:name w:val="Title Char"/>
    <w:basedOn w:val="798"/>
    <w:uiPriority w:val="10"/>
    <w:qFormat/>
    <w:rPr>
      <w:sz w:val="48"/>
      <w:szCs w:val="48"/>
    </w:rPr>
  </w:style>
  <w:style w:type="character" w:styleId="862" w:customStyle="1">
    <w:name w:val="Subtitle Char"/>
    <w:basedOn w:val="798"/>
    <w:uiPriority w:val="11"/>
    <w:qFormat/>
    <w:rPr>
      <w:sz w:val="24"/>
      <w:szCs w:val="24"/>
    </w:rPr>
  </w:style>
  <w:style w:type="character" w:styleId="863" w:customStyle="1">
    <w:name w:val="Quote Char"/>
    <w:uiPriority w:val="29"/>
    <w:qFormat/>
    <w:rPr>
      <w:i/>
    </w:rPr>
  </w:style>
  <w:style w:type="character" w:styleId="864" w:customStyle="1">
    <w:name w:val="Intense Quote Char"/>
    <w:uiPriority w:val="30"/>
    <w:qFormat/>
    <w:rPr>
      <w:i/>
    </w:rPr>
  </w:style>
  <w:style w:type="character" w:styleId="865" w:customStyle="1">
    <w:name w:val="Endnote Text Char"/>
    <w:uiPriority w:val="99"/>
    <w:qFormat/>
    <w:rPr>
      <w:sz w:val="20"/>
    </w:rPr>
  </w:style>
  <w:style w:type="paragraph" w:styleId="866" w:customStyle="1">
    <w:name w:val="TOC 标题111"/>
    <w:uiPriority w:val="39"/>
    <w:unhideWhenUsed/>
    <w:qFormat/>
    <w:rPr>
      <w:rFonts w:ascii="Times New Roman" w:hAnsi="Times New Roman" w:eastAsia="宋体" w:cs="Times New Roman"/>
      <w:lang w:val="en-US" w:eastAsia="zh-CN" w:bidi="ar-SA"/>
    </w:rPr>
  </w:style>
  <w:style w:type="paragraph" w:styleId="867" w:customStyle="1">
    <w:name w:val="正文文本1"/>
    <w:basedOn w:val="659"/>
    <w:uiPriority w:val="0"/>
    <w:qFormat/>
    <w:rPr>
      <w:rFonts w:ascii="华文中宋" w:eastAsia="华文中宋"/>
      <w:bCs/>
      <w:sz w:val="28"/>
    </w:rPr>
  </w:style>
  <w:style w:type="paragraph" w:styleId="868">
    <w:name w:val="No Spacing"/>
    <w:uiPriority w:val="1"/>
    <w:qFormat/>
    <w:rPr>
      <w:rFonts w:ascii="Times New Roman" w:hAnsi="Times New Roman" w:eastAsia="宋体" w:cs="Times New Roman"/>
      <w:lang w:val="en-US" w:eastAsia="zh-CN" w:bidi="ar-SA"/>
    </w:rPr>
  </w:style>
  <w:style w:type="paragraph" w:styleId="869">
    <w:name w:val="Quote"/>
    <w:basedOn w:val="659"/>
    <w:next w:val="659"/>
    <w:link w:val="870"/>
    <w:uiPriority w:val="29"/>
    <w:qFormat/>
    <w:pPr>
      <w:ind w:left="720" w:right="720"/>
    </w:pPr>
    <w:rPr>
      <w:i/>
    </w:rPr>
  </w:style>
  <w:style w:type="character" w:styleId="870" w:customStyle="1">
    <w:name w:val="引用 字符"/>
    <w:link w:val="869"/>
    <w:uiPriority w:val="29"/>
    <w:qFormat/>
    <w:rPr>
      <w:i/>
    </w:rPr>
  </w:style>
  <w:style w:type="paragraph" w:styleId="871">
    <w:name w:val="Intense Quote"/>
    <w:basedOn w:val="659"/>
    <w:next w:val="659"/>
    <w:link w:val="8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2" w:customStyle="1">
    <w:name w:val="明显引用 字符"/>
    <w:link w:val="871"/>
    <w:uiPriority w:val="30"/>
    <w:qFormat/>
    <w:rPr>
      <w:i/>
    </w:rPr>
  </w:style>
  <w:style w:type="paragraph" w:styleId="873" w:customStyle="1">
    <w:name w:val="Header1"/>
    <w:basedOn w:val="659"/>
    <w:link w:val="874"/>
    <w:uiPriority w:val="99"/>
    <w:unhideWhenUsed/>
    <w:qFormat/>
    <w:pPr>
      <w:tabs>
        <w:tab w:val="center" w:pos="7143" w:leader="none"/>
        <w:tab w:val="right" w:pos="14287" w:leader="none"/>
      </w:tabs>
    </w:pPr>
  </w:style>
  <w:style w:type="character" w:styleId="874" w:customStyle="1">
    <w:name w:val="Header Char"/>
    <w:link w:val="873"/>
    <w:uiPriority w:val="99"/>
    <w:qFormat/>
  </w:style>
  <w:style w:type="paragraph" w:styleId="875" w:customStyle="1">
    <w:name w:val="Footer1"/>
    <w:basedOn w:val="659"/>
    <w:link w:val="876"/>
    <w:uiPriority w:val="99"/>
    <w:unhideWhenUsed/>
    <w:qFormat/>
    <w:pPr>
      <w:tabs>
        <w:tab w:val="center" w:pos="7143" w:leader="none"/>
        <w:tab w:val="right" w:pos="14287" w:leader="none"/>
      </w:tabs>
    </w:pPr>
  </w:style>
  <w:style w:type="character" w:styleId="876" w:customStyle="1">
    <w:name w:val="Caption Char"/>
    <w:link w:val="875"/>
    <w:uiPriority w:val="99"/>
    <w:qFormat/>
  </w:style>
  <w:style w:type="character" w:styleId="877" w:customStyle="1">
    <w:name w:val="Footer Char"/>
    <w:uiPriority w:val="99"/>
    <w:qFormat/>
  </w:style>
  <w:style w:type="paragraph" w:styleId="878" w:customStyle="1">
    <w:name w:val="Caption1"/>
    <w:basedOn w:val="659"/>
    <w:next w:val="659"/>
    <w:uiPriority w:val="35"/>
    <w:unhideWhenUsed/>
    <w:qFormat/>
    <w:pPr>
      <w:spacing w:line="276" w:lineRule="auto"/>
    </w:pPr>
    <w:rPr>
      <w:b/>
      <w:bCs/>
      <w:color w:val="4f81bd"/>
      <w:sz w:val="18"/>
      <w:szCs w:val="18"/>
    </w:rPr>
  </w:style>
  <w:style w:type="table" w:styleId="879" w:customStyle="1">
    <w:name w:val="Table Grid Light"/>
    <w:uiPriority w:val="59"/>
    <w:qFormat/>
    <w:tblPr>
      <w:tblCellMar>
        <w:left w:w="0" w:type="dxa"/>
        <w:top w:w="0" w:type="dxa"/>
        <w:right w:w="0" w:type="dxa"/>
        <w:bottom w:w="0" w:type="dxa"/>
      </w:tblCellMar>
    </w:tblPr>
  </w:style>
  <w:style w:type="table" w:styleId="880" w:customStyle="1">
    <w:name w:val="无格式表格 11"/>
    <w:uiPriority w:val="59"/>
    <w:qFormat/>
    <w:tblPr>
      <w:tblCellMar>
        <w:left w:w="0" w:type="dxa"/>
        <w:top w:w="0" w:type="dxa"/>
        <w:right w:w="0" w:type="dxa"/>
        <w:bottom w:w="0" w:type="dxa"/>
      </w:tblCellMar>
    </w:tblPr>
  </w:style>
  <w:style w:type="table" w:styleId="881" w:customStyle="1">
    <w:name w:val="无格式表格 21"/>
    <w:uiPriority w:val="59"/>
    <w:qFormat/>
    <w:tblPr>
      <w:tblCellMar>
        <w:left w:w="0" w:type="dxa"/>
        <w:top w:w="0" w:type="dxa"/>
        <w:right w:w="0" w:type="dxa"/>
        <w:bottom w:w="0" w:type="dxa"/>
      </w:tblCellMar>
    </w:tblPr>
  </w:style>
  <w:style w:type="table" w:styleId="882" w:customStyle="1">
    <w:name w:val="无格式表格 31"/>
    <w:uiPriority w:val="99"/>
    <w:qFormat/>
    <w:tblPr>
      <w:tblCellMar>
        <w:left w:w="0" w:type="dxa"/>
        <w:top w:w="0" w:type="dxa"/>
        <w:right w:w="0" w:type="dxa"/>
        <w:bottom w:w="0" w:type="dxa"/>
      </w:tblCellMar>
    </w:tblPr>
  </w:style>
  <w:style w:type="table" w:styleId="883" w:customStyle="1">
    <w:name w:val="无格式表格 41"/>
    <w:uiPriority w:val="99"/>
    <w:qFormat/>
    <w:tblPr>
      <w:tblCellMar>
        <w:left w:w="0" w:type="dxa"/>
        <w:top w:w="0" w:type="dxa"/>
        <w:right w:w="0" w:type="dxa"/>
        <w:bottom w:w="0" w:type="dxa"/>
      </w:tblCellMar>
    </w:tblPr>
  </w:style>
  <w:style w:type="table" w:styleId="884" w:customStyle="1">
    <w:name w:val="无格式表格 51"/>
    <w:uiPriority w:val="99"/>
    <w:qFormat/>
    <w:tblPr>
      <w:tblCellMar>
        <w:left w:w="0" w:type="dxa"/>
        <w:top w:w="0" w:type="dxa"/>
        <w:right w:w="0" w:type="dxa"/>
        <w:bottom w:w="0" w:type="dxa"/>
      </w:tblCellMar>
    </w:tblPr>
  </w:style>
  <w:style w:type="table" w:styleId="885" w:customStyle="1">
    <w:name w:val="网格表 1 浅色1"/>
    <w:uiPriority w:val="99"/>
    <w:qFormat/>
    <w:tblPr>
      <w:tblCellMar>
        <w:left w:w="0" w:type="dxa"/>
        <w:top w:w="0" w:type="dxa"/>
        <w:right w:w="0" w:type="dxa"/>
        <w:bottom w:w="0" w:type="dxa"/>
      </w:tblCellMar>
    </w:tblPr>
  </w:style>
  <w:style w:type="table" w:styleId="886" w:customStyle="1">
    <w:name w:val="Grid Table 1 Light - Accent 1"/>
    <w:uiPriority w:val="99"/>
    <w:qFormat/>
    <w:tblPr>
      <w:tblCellMar>
        <w:left w:w="0" w:type="dxa"/>
        <w:top w:w="0" w:type="dxa"/>
        <w:right w:w="0" w:type="dxa"/>
        <w:bottom w:w="0" w:type="dxa"/>
      </w:tblCellMar>
    </w:tblPr>
  </w:style>
  <w:style w:type="table" w:styleId="887" w:customStyle="1">
    <w:name w:val="Grid Table 1 Light - Accent 2"/>
    <w:uiPriority w:val="99"/>
    <w:qFormat/>
    <w:tblPr>
      <w:tblCellMar>
        <w:left w:w="0" w:type="dxa"/>
        <w:top w:w="0" w:type="dxa"/>
        <w:right w:w="0" w:type="dxa"/>
        <w:bottom w:w="0" w:type="dxa"/>
      </w:tblCellMar>
    </w:tblPr>
  </w:style>
  <w:style w:type="table" w:styleId="888" w:customStyle="1">
    <w:name w:val="Grid Table 1 Light - Accent 3"/>
    <w:uiPriority w:val="99"/>
    <w:qFormat/>
    <w:tblPr>
      <w:tblCellMar>
        <w:left w:w="0" w:type="dxa"/>
        <w:top w:w="0" w:type="dxa"/>
        <w:right w:w="0" w:type="dxa"/>
        <w:bottom w:w="0" w:type="dxa"/>
      </w:tblCellMar>
    </w:tblPr>
  </w:style>
  <w:style w:type="table" w:styleId="889" w:customStyle="1">
    <w:name w:val="Grid Table 1 Light - Accent 4"/>
    <w:uiPriority w:val="99"/>
    <w:qFormat/>
    <w:tblPr>
      <w:tblCellMar>
        <w:left w:w="0" w:type="dxa"/>
        <w:top w:w="0" w:type="dxa"/>
        <w:right w:w="0" w:type="dxa"/>
        <w:bottom w:w="0" w:type="dxa"/>
      </w:tblCellMar>
    </w:tblPr>
  </w:style>
  <w:style w:type="table" w:styleId="890" w:customStyle="1">
    <w:name w:val="Grid Table 1 Light - Accent 5"/>
    <w:uiPriority w:val="99"/>
    <w:qFormat/>
    <w:tblPr>
      <w:tblCellMar>
        <w:left w:w="0" w:type="dxa"/>
        <w:top w:w="0" w:type="dxa"/>
        <w:right w:w="0" w:type="dxa"/>
        <w:bottom w:w="0" w:type="dxa"/>
      </w:tblCellMar>
    </w:tblPr>
  </w:style>
  <w:style w:type="table" w:styleId="891" w:customStyle="1">
    <w:name w:val="Grid Table 1 Light - Accent 6"/>
    <w:uiPriority w:val="99"/>
    <w:qFormat/>
    <w:tblPr>
      <w:tblCellMar>
        <w:left w:w="0" w:type="dxa"/>
        <w:top w:w="0" w:type="dxa"/>
        <w:right w:w="0" w:type="dxa"/>
        <w:bottom w:w="0" w:type="dxa"/>
      </w:tblCellMar>
    </w:tblPr>
  </w:style>
  <w:style w:type="table" w:styleId="892" w:customStyle="1">
    <w:name w:val="网格表 21"/>
    <w:uiPriority w:val="99"/>
    <w:qFormat/>
    <w:tblPr>
      <w:tblCellMar>
        <w:left w:w="0" w:type="dxa"/>
        <w:top w:w="0" w:type="dxa"/>
        <w:right w:w="0" w:type="dxa"/>
        <w:bottom w:w="0" w:type="dxa"/>
      </w:tblCellMar>
    </w:tblPr>
  </w:style>
  <w:style w:type="table" w:styleId="893" w:customStyle="1">
    <w:name w:val="Grid Table 2 - Accent 1"/>
    <w:uiPriority w:val="99"/>
    <w:qFormat/>
    <w:tblPr>
      <w:tblCellMar>
        <w:left w:w="0" w:type="dxa"/>
        <w:top w:w="0" w:type="dxa"/>
        <w:right w:w="0" w:type="dxa"/>
        <w:bottom w:w="0" w:type="dxa"/>
      </w:tblCellMar>
    </w:tblPr>
  </w:style>
  <w:style w:type="table" w:styleId="894" w:customStyle="1">
    <w:name w:val="Grid Table 2 - Accent 2"/>
    <w:uiPriority w:val="99"/>
    <w:qFormat/>
    <w:tblPr>
      <w:tblCellMar>
        <w:left w:w="0" w:type="dxa"/>
        <w:top w:w="0" w:type="dxa"/>
        <w:right w:w="0" w:type="dxa"/>
        <w:bottom w:w="0" w:type="dxa"/>
      </w:tblCellMar>
    </w:tblPr>
  </w:style>
  <w:style w:type="table" w:styleId="895" w:customStyle="1">
    <w:name w:val="Grid Table 2 - Accent 3"/>
    <w:uiPriority w:val="99"/>
    <w:qFormat/>
    <w:tblPr>
      <w:tblCellMar>
        <w:left w:w="0" w:type="dxa"/>
        <w:top w:w="0" w:type="dxa"/>
        <w:right w:w="0" w:type="dxa"/>
        <w:bottom w:w="0" w:type="dxa"/>
      </w:tblCellMar>
    </w:tblPr>
  </w:style>
  <w:style w:type="table" w:styleId="896" w:customStyle="1">
    <w:name w:val="Grid Table 2 - Accent 4"/>
    <w:uiPriority w:val="99"/>
    <w:qFormat/>
    <w:tblPr>
      <w:tblCellMar>
        <w:left w:w="0" w:type="dxa"/>
        <w:top w:w="0" w:type="dxa"/>
        <w:right w:w="0" w:type="dxa"/>
        <w:bottom w:w="0" w:type="dxa"/>
      </w:tblCellMar>
    </w:tblPr>
  </w:style>
  <w:style w:type="table" w:styleId="897" w:customStyle="1">
    <w:name w:val="Grid Table 2 - Accent 5"/>
    <w:uiPriority w:val="99"/>
    <w:qFormat/>
    <w:tblPr>
      <w:tblCellMar>
        <w:left w:w="0" w:type="dxa"/>
        <w:top w:w="0" w:type="dxa"/>
        <w:right w:w="0" w:type="dxa"/>
        <w:bottom w:w="0" w:type="dxa"/>
      </w:tblCellMar>
    </w:tblPr>
  </w:style>
  <w:style w:type="table" w:styleId="898" w:customStyle="1">
    <w:name w:val="Grid Table 2 - Accent 6"/>
    <w:uiPriority w:val="99"/>
    <w:qFormat/>
    <w:tblPr>
      <w:tblCellMar>
        <w:left w:w="0" w:type="dxa"/>
        <w:top w:w="0" w:type="dxa"/>
        <w:right w:w="0" w:type="dxa"/>
        <w:bottom w:w="0" w:type="dxa"/>
      </w:tblCellMar>
    </w:tblPr>
  </w:style>
  <w:style w:type="table" w:styleId="899" w:customStyle="1">
    <w:name w:val="网格表 31"/>
    <w:uiPriority w:val="99"/>
    <w:qFormat/>
    <w:tblPr>
      <w:tblCellMar>
        <w:left w:w="0" w:type="dxa"/>
        <w:top w:w="0" w:type="dxa"/>
        <w:right w:w="0" w:type="dxa"/>
        <w:bottom w:w="0" w:type="dxa"/>
      </w:tblCellMar>
    </w:tblPr>
  </w:style>
  <w:style w:type="table" w:styleId="900" w:customStyle="1">
    <w:name w:val="Grid Table 3 - Accent 1"/>
    <w:uiPriority w:val="99"/>
    <w:qFormat/>
    <w:tblPr>
      <w:tblCellMar>
        <w:left w:w="0" w:type="dxa"/>
        <w:top w:w="0" w:type="dxa"/>
        <w:right w:w="0" w:type="dxa"/>
        <w:bottom w:w="0" w:type="dxa"/>
      </w:tblCellMar>
    </w:tblPr>
  </w:style>
  <w:style w:type="table" w:styleId="901" w:customStyle="1">
    <w:name w:val="Grid Table 3 - Accent 2"/>
    <w:uiPriority w:val="99"/>
    <w:qFormat/>
    <w:tblPr>
      <w:tblCellMar>
        <w:left w:w="0" w:type="dxa"/>
        <w:top w:w="0" w:type="dxa"/>
        <w:right w:w="0" w:type="dxa"/>
        <w:bottom w:w="0" w:type="dxa"/>
      </w:tblCellMar>
    </w:tblPr>
  </w:style>
  <w:style w:type="table" w:styleId="902" w:customStyle="1">
    <w:name w:val="Grid Table 3 - Accent 3"/>
    <w:uiPriority w:val="99"/>
    <w:qFormat/>
    <w:tblPr>
      <w:tblCellMar>
        <w:left w:w="0" w:type="dxa"/>
        <w:top w:w="0" w:type="dxa"/>
        <w:right w:w="0" w:type="dxa"/>
        <w:bottom w:w="0" w:type="dxa"/>
      </w:tblCellMar>
    </w:tblPr>
  </w:style>
  <w:style w:type="table" w:styleId="903" w:customStyle="1">
    <w:name w:val="Grid Table 3 - Accent 4"/>
    <w:uiPriority w:val="99"/>
    <w:qFormat/>
    <w:tblPr>
      <w:tblCellMar>
        <w:left w:w="0" w:type="dxa"/>
        <w:top w:w="0" w:type="dxa"/>
        <w:right w:w="0" w:type="dxa"/>
        <w:bottom w:w="0" w:type="dxa"/>
      </w:tblCellMar>
    </w:tblPr>
  </w:style>
  <w:style w:type="table" w:styleId="904" w:customStyle="1">
    <w:name w:val="Grid Table 3 - Accent 5"/>
    <w:uiPriority w:val="99"/>
    <w:qFormat/>
    <w:tblPr>
      <w:tblCellMar>
        <w:left w:w="0" w:type="dxa"/>
        <w:top w:w="0" w:type="dxa"/>
        <w:right w:w="0" w:type="dxa"/>
        <w:bottom w:w="0" w:type="dxa"/>
      </w:tblCellMar>
    </w:tblPr>
  </w:style>
  <w:style w:type="table" w:styleId="905" w:customStyle="1">
    <w:name w:val="Grid Table 3 - Accent 6"/>
    <w:uiPriority w:val="99"/>
    <w:qFormat/>
    <w:tblPr>
      <w:tblCellMar>
        <w:left w:w="0" w:type="dxa"/>
        <w:top w:w="0" w:type="dxa"/>
        <w:right w:w="0" w:type="dxa"/>
        <w:bottom w:w="0" w:type="dxa"/>
      </w:tblCellMar>
    </w:tblPr>
  </w:style>
  <w:style w:type="table" w:styleId="906" w:customStyle="1">
    <w:name w:val="网格表 41"/>
    <w:uiPriority w:val="59"/>
    <w:qFormat/>
    <w:tblPr>
      <w:tblCellMar>
        <w:left w:w="0" w:type="dxa"/>
        <w:top w:w="0" w:type="dxa"/>
        <w:right w:w="0" w:type="dxa"/>
        <w:bottom w:w="0" w:type="dxa"/>
      </w:tblCellMar>
    </w:tblPr>
  </w:style>
  <w:style w:type="table" w:styleId="907" w:customStyle="1">
    <w:name w:val="Grid Table 4 - Accent 1"/>
    <w:uiPriority w:val="59"/>
    <w:qFormat/>
    <w:tblPr>
      <w:tblCellMar>
        <w:left w:w="0" w:type="dxa"/>
        <w:top w:w="0" w:type="dxa"/>
        <w:right w:w="0" w:type="dxa"/>
        <w:bottom w:w="0" w:type="dxa"/>
      </w:tblCellMar>
    </w:tblPr>
  </w:style>
  <w:style w:type="table" w:styleId="908" w:customStyle="1">
    <w:name w:val="Grid Table 4 - Accent 2"/>
    <w:uiPriority w:val="59"/>
    <w:qFormat/>
    <w:tblPr>
      <w:tblCellMar>
        <w:left w:w="0" w:type="dxa"/>
        <w:top w:w="0" w:type="dxa"/>
        <w:right w:w="0" w:type="dxa"/>
        <w:bottom w:w="0" w:type="dxa"/>
      </w:tblCellMar>
    </w:tblPr>
  </w:style>
  <w:style w:type="table" w:styleId="909" w:customStyle="1">
    <w:name w:val="Grid Table 4 - Accent 3"/>
    <w:uiPriority w:val="59"/>
    <w:qFormat/>
    <w:tblPr>
      <w:tblCellMar>
        <w:left w:w="0" w:type="dxa"/>
        <w:top w:w="0" w:type="dxa"/>
        <w:right w:w="0" w:type="dxa"/>
        <w:bottom w:w="0" w:type="dxa"/>
      </w:tblCellMar>
    </w:tblPr>
  </w:style>
  <w:style w:type="table" w:styleId="910" w:customStyle="1">
    <w:name w:val="Grid Table 4 - Accent 4"/>
    <w:uiPriority w:val="59"/>
    <w:qFormat/>
    <w:tblPr>
      <w:tblCellMar>
        <w:left w:w="0" w:type="dxa"/>
        <w:top w:w="0" w:type="dxa"/>
        <w:right w:w="0" w:type="dxa"/>
        <w:bottom w:w="0" w:type="dxa"/>
      </w:tblCellMar>
    </w:tblPr>
  </w:style>
  <w:style w:type="table" w:styleId="911" w:customStyle="1">
    <w:name w:val="Grid Table 4 - Accent 5"/>
    <w:uiPriority w:val="59"/>
    <w:qFormat/>
    <w:tblPr>
      <w:tblCellMar>
        <w:left w:w="0" w:type="dxa"/>
        <w:top w:w="0" w:type="dxa"/>
        <w:right w:w="0" w:type="dxa"/>
        <w:bottom w:w="0" w:type="dxa"/>
      </w:tblCellMar>
    </w:tblPr>
  </w:style>
  <w:style w:type="table" w:styleId="912" w:customStyle="1">
    <w:name w:val="Grid Table 4 - Accent 6"/>
    <w:uiPriority w:val="59"/>
    <w:qFormat/>
    <w:tblPr>
      <w:tblCellMar>
        <w:left w:w="0" w:type="dxa"/>
        <w:top w:w="0" w:type="dxa"/>
        <w:right w:w="0" w:type="dxa"/>
        <w:bottom w:w="0" w:type="dxa"/>
      </w:tblCellMar>
    </w:tblPr>
  </w:style>
  <w:style w:type="table" w:styleId="913" w:customStyle="1">
    <w:name w:val="网格表 5 深色1"/>
    <w:uiPriority w:val="99"/>
    <w:qFormat/>
    <w:tblPr>
      <w:tblCellMar>
        <w:left w:w="0" w:type="dxa"/>
        <w:top w:w="0" w:type="dxa"/>
        <w:right w:w="0" w:type="dxa"/>
        <w:bottom w:w="0" w:type="dxa"/>
      </w:tblCellMar>
    </w:tblPr>
  </w:style>
  <w:style w:type="table" w:styleId="914" w:customStyle="1">
    <w:name w:val="Grid Table 5 Dark- Accent 1"/>
    <w:uiPriority w:val="99"/>
    <w:qFormat/>
    <w:tblPr>
      <w:tblCellMar>
        <w:left w:w="0" w:type="dxa"/>
        <w:top w:w="0" w:type="dxa"/>
        <w:right w:w="0" w:type="dxa"/>
        <w:bottom w:w="0" w:type="dxa"/>
      </w:tblCellMar>
    </w:tblPr>
  </w:style>
  <w:style w:type="table" w:styleId="915" w:customStyle="1">
    <w:name w:val="Grid Table 5 Dark - Accent 2"/>
    <w:uiPriority w:val="99"/>
    <w:qFormat/>
    <w:tblPr>
      <w:tblCellMar>
        <w:left w:w="0" w:type="dxa"/>
        <w:top w:w="0" w:type="dxa"/>
        <w:right w:w="0" w:type="dxa"/>
        <w:bottom w:w="0" w:type="dxa"/>
      </w:tblCellMar>
    </w:tblPr>
  </w:style>
  <w:style w:type="table" w:styleId="916" w:customStyle="1">
    <w:name w:val="Grid Table 5 Dark - Accent 3"/>
    <w:uiPriority w:val="99"/>
    <w:qFormat/>
    <w:tblPr>
      <w:tblCellMar>
        <w:left w:w="0" w:type="dxa"/>
        <w:top w:w="0" w:type="dxa"/>
        <w:right w:w="0" w:type="dxa"/>
        <w:bottom w:w="0" w:type="dxa"/>
      </w:tblCellMar>
    </w:tblPr>
  </w:style>
  <w:style w:type="table" w:styleId="917" w:customStyle="1">
    <w:name w:val="Grid Table 5 Dark- Accent 4"/>
    <w:uiPriority w:val="99"/>
    <w:qFormat/>
    <w:tblPr>
      <w:tblCellMar>
        <w:left w:w="0" w:type="dxa"/>
        <w:top w:w="0" w:type="dxa"/>
        <w:right w:w="0" w:type="dxa"/>
        <w:bottom w:w="0" w:type="dxa"/>
      </w:tblCellMar>
    </w:tblPr>
  </w:style>
  <w:style w:type="table" w:styleId="918" w:customStyle="1">
    <w:name w:val="Grid Table 5 Dark - Accent 5"/>
    <w:uiPriority w:val="99"/>
    <w:qFormat/>
    <w:tblPr>
      <w:tblCellMar>
        <w:left w:w="0" w:type="dxa"/>
        <w:top w:w="0" w:type="dxa"/>
        <w:right w:w="0" w:type="dxa"/>
        <w:bottom w:w="0" w:type="dxa"/>
      </w:tblCellMar>
    </w:tblPr>
  </w:style>
  <w:style w:type="table" w:styleId="919" w:customStyle="1">
    <w:name w:val="Grid Table 5 Dark - Accent 6"/>
    <w:uiPriority w:val="99"/>
    <w:qFormat/>
    <w:tblPr>
      <w:tblCellMar>
        <w:left w:w="0" w:type="dxa"/>
        <w:top w:w="0" w:type="dxa"/>
        <w:right w:w="0" w:type="dxa"/>
        <w:bottom w:w="0" w:type="dxa"/>
      </w:tblCellMar>
    </w:tblPr>
  </w:style>
  <w:style w:type="table" w:styleId="920" w:customStyle="1">
    <w:name w:val="网格表 6 彩色1"/>
    <w:uiPriority w:val="99"/>
    <w:qFormat/>
    <w:tblPr>
      <w:tblCellMar>
        <w:left w:w="0" w:type="dxa"/>
        <w:top w:w="0" w:type="dxa"/>
        <w:right w:w="0" w:type="dxa"/>
        <w:bottom w:w="0" w:type="dxa"/>
      </w:tblCellMar>
    </w:tblPr>
  </w:style>
  <w:style w:type="table" w:styleId="921" w:customStyle="1">
    <w:name w:val="Grid Table 6 Colorful - Accent 1"/>
    <w:uiPriority w:val="99"/>
    <w:qFormat/>
    <w:tblPr>
      <w:tblCellMar>
        <w:left w:w="0" w:type="dxa"/>
        <w:top w:w="0" w:type="dxa"/>
        <w:right w:w="0" w:type="dxa"/>
        <w:bottom w:w="0" w:type="dxa"/>
      </w:tblCellMar>
    </w:tblPr>
  </w:style>
  <w:style w:type="table" w:styleId="922" w:customStyle="1">
    <w:name w:val="Grid Table 6 Colorful - Accent 2"/>
    <w:uiPriority w:val="99"/>
    <w:qFormat/>
    <w:tblPr>
      <w:tblCellMar>
        <w:left w:w="0" w:type="dxa"/>
        <w:top w:w="0" w:type="dxa"/>
        <w:right w:w="0" w:type="dxa"/>
        <w:bottom w:w="0" w:type="dxa"/>
      </w:tblCellMar>
    </w:tblPr>
  </w:style>
  <w:style w:type="table" w:styleId="923" w:customStyle="1">
    <w:name w:val="Grid Table 6 Colorful - Accent 3"/>
    <w:uiPriority w:val="99"/>
    <w:qFormat/>
    <w:tblPr>
      <w:tblCellMar>
        <w:left w:w="0" w:type="dxa"/>
        <w:top w:w="0" w:type="dxa"/>
        <w:right w:w="0" w:type="dxa"/>
        <w:bottom w:w="0" w:type="dxa"/>
      </w:tblCellMar>
    </w:tblPr>
  </w:style>
  <w:style w:type="table" w:styleId="924" w:customStyle="1">
    <w:name w:val="Grid Table 6 Colorful - Accent 4"/>
    <w:uiPriority w:val="99"/>
    <w:qFormat/>
    <w:tblPr>
      <w:tblCellMar>
        <w:left w:w="0" w:type="dxa"/>
        <w:top w:w="0" w:type="dxa"/>
        <w:right w:w="0" w:type="dxa"/>
        <w:bottom w:w="0" w:type="dxa"/>
      </w:tblCellMar>
    </w:tblPr>
  </w:style>
  <w:style w:type="table" w:styleId="925" w:customStyle="1">
    <w:name w:val="Grid Table 6 Colorful - Accent 5"/>
    <w:uiPriority w:val="99"/>
    <w:qFormat/>
    <w:tblPr>
      <w:tblCellMar>
        <w:left w:w="0" w:type="dxa"/>
        <w:top w:w="0" w:type="dxa"/>
        <w:right w:w="0" w:type="dxa"/>
        <w:bottom w:w="0" w:type="dxa"/>
      </w:tblCellMar>
    </w:tblPr>
  </w:style>
  <w:style w:type="table" w:styleId="926" w:customStyle="1">
    <w:name w:val="Grid Table 6 Colorful - Accent 6"/>
    <w:uiPriority w:val="99"/>
    <w:qFormat/>
    <w:tblPr>
      <w:tblCellMar>
        <w:left w:w="0" w:type="dxa"/>
        <w:top w:w="0" w:type="dxa"/>
        <w:right w:w="0" w:type="dxa"/>
        <w:bottom w:w="0" w:type="dxa"/>
      </w:tblCellMar>
    </w:tblPr>
  </w:style>
  <w:style w:type="table" w:styleId="927" w:customStyle="1">
    <w:name w:val="网格表 7 彩色1"/>
    <w:uiPriority w:val="99"/>
    <w:qFormat/>
    <w:tblPr>
      <w:tblCellMar>
        <w:left w:w="0" w:type="dxa"/>
        <w:top w:w="0" w:type="dxa"/>
        <w:right w:w="0" w:type="dxa"/>
        <w:bottom w:w="0" w:type="dxa"/>
      </w:tblCellMar>
    </w:tblPr>
  </w:style>
  <w:style w:type="table" w:styleId="928" w:customStyle="1">
    <w:name w:val="Grid Table 7 Colorful - Accent 1"/>
    <w:uiPriority w:val="99"/>
    <w:qFormat/>
    <w:tblPr>
      <w:tblCellMar>
        <w:left w:w="0" w:type="dxa"/>
        <w:top w:w="0" w:type="dxa"/>
        <w:right w:w="0" w:type="dxa"/>
        <w:bottom w:w="0" w:type="dxa"/>
      </w:tblCellMar>
    </w:tblPr>
  </w:style>
  <w:style w:type="table" w:styleId="929" w:customStyle="1">
    <w:name w:val="Grid Table 7 Colorful - Accent 2"/>
    <w:uiPriority w:val="99"/>
    <w:qFormat/>
    <w:tblPr>
      <w:tblCellMar>
        <w:left w:w="0" w:type="dxa"/>
        <w:top w:w="0" w:type="dxa"/>
        <w:right w:w="0" w:type="dxa"/>
        <w:bottom w:w="0" w:type="dxa"/>
      </w:tblCellMar>
    </w:tblPr>
  </w:style>
  <w:style w:type="table" w:styleId="930" w:customStyle="1">
    <w:name w:val="Grid Table 7 Colorful - Accent 3"/>
    <w:uiPriority w:val="99"/>
    <w:qFormat/>
    <w:tblPr>
      <w:tblCellMar>
        <w:left w:w="0" w:type="dxa"/>
        <w:top w:w="0" w:type="dxa"/>
        <w:right w:w="0" w:type="dxa"/>
        <w:bottom w:w="0" w:type="dxa"/>
      </w:tblCellMar>
    </w:tblPr>
  </w:style>
  <w:style w:type="table" w:styleId="931" w:customStyle="1">
    <w:name w:val="Grid Table 7 Colorful - Accent 4"/>
    <w:uiPriority w:val="99"/>
    <w:qFormat/>
    <w:tblPr>
      <w:tblCellMar>
        <w:left w:w="0" w:type="dxa"/>
        <w:top w:w="0" w:type="dxa"/>
        <w:right w:w="0" w:type="dxa"/>
        <w:bottom w:w="0" w:type="dxa"/>
      </w:tblCellMar>
    </w:tblPr>
  </w:style>
  <w:style w:type="table" w:styleId="932" w:customStyle="1">
    <w:name w:val="Grid Table 7 Colorful - Accent 5"/>
    <w:uiPriority w:val="99"/>
    <w:qFormat/>
    <w:tblPr>
      <w:tblCellMar>
        <w:left w:w="0" w:type="dxa"/>
        <w:top w:w="0" w:type="dxa"/>
        <w:right w:w="0" w:type="dxa"/>
        <w:bottom w:w="0" w:type="dxa"/>
      </w:tblCellMar>
    </w:tblPr>
  </w:style>
  <w:style w:type="table" w:styleId="933" w:customStyle="1">
    <w:name w:val="Grid Table 7 Colorful - Accent 6"/>
    <w:uiPriority w:val="99"/>
    <w:qFormat/>
    <w:tblPr>
      <w:tblCellMar>
        <w:left w:w="0" w:type="dxa"/>
        <w:top w:w="0" w:type="dxa"/>
        <w:right w:w="0" w:type="dxa"/>
        <w:bottom w:w="0" w:type="dxa"/>
      </w:tblCellMar>
    </w:tblPr>
  </w:style>
  <w:style w:type="table" w:styleId="934" w:customStyle="1">
    <w:name w:val="清单表 1 浅色1"/>
    <w:uiPriority w:val="99"/>
    <w:qFormat/>
    <w:tblPr>
      <w:tblCellMar>
        <w:left w:w="0" w:type="dxa"/>
        <w:top w:w="0" w:type="dxa"/>
        <w:right w:w="0" w:type="dxa"/>
        <w:bottom w:w="0" w:type="dxa"/>
      </w:tblCellMar>
    </w:tblPr>
  </w:style>
  <w:style w:type="table" w:styleId="935" w:customStyle="1">
    <w:name w:val="List Table 1 Light - Accent 1"/>
    <w:uiPriority w:val="99"/>
    <w:qFormat/>
    <w:tblPr>
      <w:tblCellMar>
        <w:left w:w="0" w:type="dxa"/>
        <w:top w:w="0" w:type="dxa"/>
        <w:right w:w="0" w:type="dxa"/>
        <w:bottom w:w="0" w:type="dxa"/>
      </w:tblCellMar>
    </w:tblPr>
  </w:style>
  <w:style w:type="table" w:styleId="936" w:customStyle="1">
    <w:name w:val="List Table 1 Light - Accent 2"/>
    <w:uiPriority w:val="99"/>
    <w:qFormat/>
    <w:tblPr>
      <w:tblCellMar>
        <w:left w:w="0" w:type="dxa"/>
        <w:top w:w="0" w:type="dxa"/>
        <w:right w:w="0" w:type="dxa"/>
        <w:bottom w:w="0" w:type="dxa"/>
      </w:tblCellMar>
    </w:tblPr>
  </w:style>
  <w:style w:type="table" w:styleId="937" w:customStyle="1">
    <w:name w:val="List Table 1 Light - Accent 3"/>
    <w:uiPriority w:val="99"/>
    <w:qFormat/>
    <w:tblPr>
      <w:tblCellMar>
        <w:left w:w="0" w:type="dxa"/>
        <w:top w:w="0" w:type="dxa"/>
        <w:right w:w="0" w:type="dxa"/>
        <w:bottom w:w="0" w:type="dxa"/>
      </w:tblCellMar>
    </w:tblPr>
  </w:style>
  <w:style w:type="table" w:styleId="938" w:customStyle="1">
    <w:name w:val="List Table 1 Light - Accent 4"/>
    <w:uiPriority w:val="99"/>
    <w:qFormat/>
    <w:tblPr>
      <w:tblCellMar>
        <w:left w:w="0" w:type="dxa"/>
        <w:top w:w="0" w:type="dxa"/>
        <w:right w:w="0" w:type="dxa"/>
        <w:bottom w:w="0" w:type="dxa"/>
      </w:tblCellMar>
    </w:tblPr>
  </w:style>
  <w:style w:type="table" w:styleId="939" w:customStyle="1">
    <w:name w:val="List Table 1 Light - Accent 5"/>
    <w:uiPriority w:val="99"/>
    <w:qFormat/>
    <w:tblPr>
      <w:tblCellMar>
        <w:left w:w="0" w:type="dxa"/>
        <w:top w:w="0" w:type="dxa"/>
        <w:right w:w="0" w:type="dxa"/>
        <w:bottom w:w="0" w:type="dxa"/>
      </w:tblCellMar>
    </w:tblPr>
  </w:style>
  <w:style w:type="table" w:styleId="940" w:customStyle="1">
    <w:name w:val="List Table 1 Light - Accent 6"/>
    <w:uiPriority w:val="99"/>
    <w:qFormat/>
    <w:tblPr>
      <w:tblCellMar>
        <w:left w:w="0" w:type="dxa"/>
        <w:top w:w="0" w:type="dxa"/>
        <w:right w:w="0" w:type="dxa"/>
        <w:bottom w:w="0" w:type="dxa"/>
      </w:tblCellMar>
    </w:tblPr>
  </w:style>
  <w:style w:type="table" w:styleId="941" w:customStyle="1">
    <w:name w:val="清单表 21"/>
    <w:uiPriority w:val="99"/>
    <w:qFormat/>
    <w:tblPr>
      <w:tblCellMar>
        <w:left w:w="0" w:type="dxa"/>
        <w:top w:w="0" w:type="dxa"/>
        <w:right w:w="0" w:type="dxa"/>
        <w:bottom w:w="0" w:type="dxa"/>
      </w:tblCellMar>
    </w:tblPr>
  </w:style>
  <w:style w:type="table" w:styleId="942" w:customStyle="1">
    <w:name w:val="List Table 2 - Accent 1"/>
    <w:uiPriority w:val="99"/>
    <w:qFormat/>
    <w:tblPr>
      <w:tblCellMar>
        <w:left w:w="0" w:type="dxa"/>
        <w:top w:w="0" w:type="dxa"/>
        <w:right w:w="0" w:type="dxa"/>
        <w:bottom w:w="0" w:type="dxa"/>
      </w:tblCellMar>
    </w:tblPr>
  </w:style>
  <w:style w:type="table" w:styleId="943" w:customStyle="1">
    <w:name w:val="List Table 2 - Accent 2"/>
    <w:uiPriority w:val="99"/>
    <w:qFormat/>
    <w:tblPr>
      <w:tblCellMar>
        <w:left w:w="0" w:type="dxa"/>
        <w:top w:w="0" w:type="dxa"/>
        <w:right w:w="0" w:type="dxa"/>
        <w:bottom w:w="0" w:type="dxa"/>
      </w:tblCellMar>
    </w:tblPr>
  </w:style>
  <w:style w:type="table" w:styleId="944" w:customStyle="1">
    <w:name w:val="List Table 2 - Accent 3"/>
    <w:uiPriority w:val="99"/>
    <w:qFormat/>
    <w:tblPr>
      <w:tblCellMar>
        <w:left w:w="0" w:type="dxa"/>
        <w:top w:w="0" w:type="dxa"/>
        <w:right w:w="0" w:type="dxa"/>
        <w:bottom w:w="0" w:type="dxa"/>
      </w:tblCellMar>
    </w:tblPr>
  </w:style>
  <w:style w:type="table" w:styleId="945" w:customStyle="1">
    <w:name w:val="List Table 2 - Accent 4"/>
    <w:uiPriority w:val="99"/>
    <w:qFormat/>
    <w:tblPr>
      <w:tblCellMar>
        <w:left w:w="0" w:type="dxa"/>
        <w:top w:w="0" w:type="dxa"/>
        <w:right w:w="0" w:type="dxa"/>
        <w:bottom w:w="0" w:type="dxa"/>
      </w:tblCellMar>
    </w:tblPr>
  </w:style>
  <w:style w:type="table" w:styleId="946" w:customStyle="1">
    <w:name w:val="List Table 2 - Accent 5"/>
    <w:uiPriority w:val="99"/>
    <w:qFormat/>
    <w:tblPr>
      <w:tblCellMar>
        <w:left w:w="0" w:type="dxa"/>
        <w:top w:w="0" w:type="dxa"/>
        <w:right w:w="0" w:type="dxa"/>
        <w:bottom w:w="0" w:type="dxa"/>
      </w:tblCellMar>
    </w:tblPr>
  </w:style>
  <w:style w:type="table" w:styleId="947" w:customStyle="1">
    <w:name w:val="List Table 2 - Accent 6"/>
    <w:uiPriority w:val="99"/>
    <w:qFormat/>
    <w:tblPr>
      <w:tblCellMar>
        <w:left w:w="0" w:type="dxa"/>
        <w:top w:w="0" w:type="dxa"/>
        <w:right w:w="0" w:type="dxa"/>
        <w:bottom w:w="0" w:type="dxa"/>
      </w:tblCellMar>
    </w:tblPr>
  </w:style>
  <w:style w:type="table" w:styleId="948" w:customStyle="1">
    <w:name w:val="清单表 31"/>
    <w:uiPriority w:val="99"/>
    <w:qFormat/>
    <w:tblPr>
      <w:tblCellMar>
        <w:left w:w="0" w:type="dxa"/>
        <w:top w:w="0" w:type="dxa"/>
        <w:right w:w="0" w:type="dxa"/>
        <w:bottom w:w="0" w:type="dxa"/>
      </w:tblCellMar>
    </w:tblPr>
  </w:style>
  <w:style w:type="table" w:styleId="949" w:customStyle="1">
    <w:name w:val="List Table 3 - Accent 1"/>
    <w:uiPriority w:val="99"/>
    <w:qFormat/>
    <w:tblPr>
      <w:tblCellMar>
        <w:left w:w="0" w:type="dxa"/>
        <w:top w:w="0" w:type="dxa"/>
        <w:right w:w="0" w:type="dxa"/>
        <w:bottom w:w="0" w:type="dxa"/>
      </w:tblCellMar>
    </w:tblPr>
  </w:style>
  <w:style w:type="table" w:styleId="950" w:customStyle="1">
    <w:name w:val="List Table 3 - Accent 2"/>
    <w:uiPriority w:val="99"/>
    <w:qFormat/>
    <w:tblPr>
      <w:tblCellMar>
        <w:left w:w="0" w:type="dxa"/>
        <w:top w:w="0" w:type="dxa"/>
        <w:right w:w="0" w:type="dxa"/>
        <w:bottom w:w="0" w:type="dxa"/>
      </w:tblCellMar>
    </w:tblPr>
  </w:style>
  <w:style w:type="table" w:styleId="951" w:customStyle="1">
    <w:name w:val="List Table 3 - Accent 3"/>
    <w:uiPriority w:val="99"/>
    <w:qFormat/>
    <w:tblPr>
      <w:tblCellMar>
        <w:left w:w="0" w:type="dxa"/>
        <w:top w:w="0" w:type="dxa"/>
        <w:right w:w="0" w:type="dxa"/>
        <w:bottom w:w="0" w:type="dxa"/>
      </w:tblCellMar>
    </w:tblPr>
  </w:style>
  <w:style w:type="table" w:styleId="952" w:customStyle="1">
    <w:name w:val="List Table 3 - Accent 4"/>
    <w:uiPriority w:val="99"/>
    <w:qFormat/>
    <w:tblPr>
      <w:tblCellMar>
        <w:left w:w="0" w:type="dxa"/>
        <w:top w:w="0" w:type="dxa"/>
        <w:right w:w="0" w:type="dxa"/>
        <w:bottom w:w="0" w:type="dxa"/>
      </w:tblCellMar>
    </w:tblPr>
  </w:style>
  <w:style w:type="table" w:styleId="953" w:customStyle="1">
    <w:name w:val="List Table 3 - Accent 5"/>
    <w:uiPriority w:val="99"/>
    <w:qFormat/>
    <w:tblPr>
      <w:tblCellMar>
        <w:left w:w="0" w:type="dxa"/>
        <w:top w:w="0" w:type="dxa"/>
        <w:right w:w="0" w:type="dxa"/>
        <w:bottom w:w="0" w:type="dxa"/>
      </w:tblCellMar>
    </w:tblPr>
  </w:style>
  <w:style w:type="table" w:styleId="954" w:customStyle="1">
    <w:name w:val="List Table 3 - Accent 6"/>
    <w:uiPriority w:val="99"/>
    <w:qFormat/>
    <w:tblPr>
      <w:tblCellMar>
        <w:left w:w="0" w:type="dxa"/>
        <w:top w:w="0" w:type="dxa"/>
        <w:right w:w="0" w:type="dxa"/>
        <w:bottom w:w="0" w:type="dxa"/>
      </w:tblCellMar>
    </w:tblPr>
  </w:style>
  <w:style w:type="table" w:styleId="955" w:customStyle="1">
    <w:name w:val="清单表 41"/>
    <w:uiPriority w:val="99"/>
    <w:qFormat/>
    <w:tblPr>
      <w:tblCellMar>
        <w:left w:w="0" w:type="dxa"/>
        <w:top w:w="0" w:type="dxa"/>
        <w:right w:w="0" w:type="dxa"/>
        <w:bottom w:w="0" w:type="dxa"/>
      </w:tblCellMar>
    </w:tblPr>
  </w:style>
  <w:style w:type="table" w:styleId="956" w:customStyle="1">
    <w:name w:val="List Table 4 - Accent 1"/>
    <w:uiPriority w:val="99"/>
    <w:qFormat/>
    <w:tblPr>
      <w:tblCellMar>
        <w:left w:w="0" w:type="dxa"/>
        <w:top w:w="0" w:type="dxa"/>
        <w:right w:w="0" w:type="dxa"/>
        <w:bottom w:w="0" w:type="dxa"/>
      </w:tblCellMar>
    </w:tblPr>
  </w:style>
  <w:style w:type="table" w:styleId="957" w:customStyle="1">
    <w:name w:val="List Table 4 - Accent 2"/>
    <w:uiPriority w:val="99"/>
    <w:qFormat/>
    <w:tblPr>
      <w:tblCellMar>
        <w:left w:w="0" w:type="dxa"/>
        <w:top w:w="0" w:type="dxa"/>
        <w:right w:w="0" w:type="dxa"/>
        <w:bottom w:w="0" w:type="dxa"/>
      </w:tblCellMar>
    </w:tblPr>
  </w:style>
  <w:style w:type="table" w:styleId="958" w:customStyle="1">
    <w:name w:val="List Table 4 - Accent 3"/>
    <w:uiPriority w:val="99"/>
    <w:qFormat/>
    <w:tblPr>
      <w:tblCellMar>
        <w:left w:w="0" w:type="dxa"/>
        <w:top w:w="0" w:type="dxa"/>
        <w:right w:w="0" w:type="dxa"/>
        <w:bottom w:w="0" w:type="dxa"/>
      </w:tblCellMar>
    </w:tblPr>
  </w:style>
  <w:style w:type="table" w:styleId="959" w:customStyle="1">
    <w:name w:val="List Table 4 - Accent 4"/>
    <w:uiPriority w:val="99"/>
    <w:qFormat/>
    <w:tblPr>
      <w:tblCellMar>
        <w:left w:w="0" w:type="dxa"/>
        <w:top w:w="0" w:type="dxa"/>
        <w:right w:w="0" w:type="dxa"/>
        <w:bottom w:w="0" w:type="dxa"/>
      </w:tblCellMar>
    </w:tblPr>
  </w:style>
  <w:style w:type="table" w:styleId="960" w:customStyle="1">
    <w:name w:val="List Table 4 - Accent 5"/>
    <w:uiPriority w:val="99"/>
    <w:qFormat/>
    <w:tblPr>
      <w:tblCellMar>
        <w:left w:w="0" w:type="dxa"/>
        <w:top w:w="0" w:type="dxa"/>
        <w:right w:w="0" w:type="dxa"/>
        <w:bottom w:w="0" w:type="dxa"/>
      </w:tblCellMar>
    </w:tblPr>
  </w:style>
  <w:style w:type="table" w:styleId="961" w:customStyle="1">
    <w:name w:val="List Table 4 - Accent 6"/>
    <w:uiPriority w:val="99"/>
    <w:qFormat/>
    <w:tblPr>
      <w:tblCellMar>
        <w:left w:w="0" w:type="dxa"/>
        <w:top w:w="0" w:type="dxa"/>
        <w:right w:w="0" w:type="dxa"/>
        <w:bottom w:w="0" w:type="dxa"/>
      </w:tblCellMar>
    </w:tblPr>
  </w:style>
  <w:style w:type="table" w:styleId="962" w:customStyle="1">
    <w:name w:val="清单表 5 深色1"/>
    <w:uiPriority w:val="99"/>
    <w:qFormat/>
    <w:tblPr>
      <w:tblCellMar>
        <w:left w:w="0" w:type="dxa"/>
        <w:top w:w="0" w:type="dxa"/>
        <w:right w:w="0" w:type="dxa"/>
        <w:bottom w:w="0" w:type="dxa"/>
      </w:tblCellMar>
    </w:tblPr>
  </w:style>
  <w:style w:type="table" w:styleId="963" w:customStyle="1">
    <w:name w:val="List Table 5 Dark - Accent 1"/>
    <w:uiPriority w:val="99"/>
    <w:qFormat/>
    <w:tblPr>
      <w:tblCellMar>
        <w:left w:w="0" w:type="dxa"/>
        <w:top w:w="0" w:type="dxa"/>
        <w:right w:w="0" w:type="dxa"/>
        <w:bottom w:w="0" w:type="dxa"/>
      </w:tblCellMar>
    </w:tblPr>
  </w:style>
  <w:style w:type="table" w:styleId="964" w:customStyle="1">
    <w:name w:val="List Table 5 Dark - Accent 2"/>
    <w:uiPriority w:val="99"/>
    <w:qFormat/>
    <w:tblPr>
      <w:tblCellMar>
        <w:left w:w="0" w:type="dxa"/>
        <w:top w:w="0" w:type="dxa"/>
        <w:right w:w="0" w:type="dxa"/>
        <w:bottom w:w="0" w:type="dxa"/>
      </w:tblCellMar>
    </w:tblPr>
  </w:style>
  <w:style w:type="table" w:styleId="965" w:customStyle="1">
    <w:name w:val="List Table 5 Dark - Accent 3"/>
    <w:uiPriority w:val="99"/>
    <w:qFormat/>
    <w:tblPr>
      <w:tblCellMar>
        <w:left w:w="0" w:type="dxa"/>
        <w:top w:w="0" w:type="dxa"/>
        <w:right w:w="0" w:type="dxa"/>
        <w:bottom w:w="0" w:type="dxa"/>
      </w:tblCellMar>
    </w:tblPr>
  </w:style>
  <w:style w:type="table" w:styleId="966" w:customStyle="1">
    <w:name w:val="List Table 5 Dark - Accent 4"/>
    <w:uiPriority w:val="99"/>
    <w:qFormat/>
    <w:tblPr>
      <w:tblCellMar>
        <w:left w:w="0" w:type="dxa"/>
        <w:top w:w="0" w:type="dxa"/>
        <w:right w:w="0" w:type="dxa"/>
        <w:bottom w:w="0" w:type="dxa"/>
      </w:tblCellMar>
    </w:tblPr>
  </w:style>
  <w:style w:type="table" w:styleId="967" w:customStyle="1">
    <w:name w:val="List Table 5 Dark - Accent 5"/>
    <w:uiPriority w:val="99"/>
    <w:qFormat/>
    <w:tblPr>
      <w:tblCellMar>
        <w:left w:w="0" w:type="dxa"/>
        <w:top w:w="0" w:type="dxa"/>
        <w:right w:w="0" w:type="dxa"/>
        <w:bottom w:w="0" w:type="dxa"/>
      </w:tblCellMar>
    </w:tblPr>
  </w:style>
  <w:style w:type="table" w:styleId="968" w:customStyle="1">
    <w:name w:val="List Table 5 Dark - Accent 6"/>
    <w:uiPriority w:val="99"/>
    <w:qFormat/>
    <w:tblPr>
      <w:tblCellMar>
        <w:left w:w="0" w:type="dxa"/>
        <w:top w:w="0" w:type="dxa"/>
        <w:right w:w="0" w:type="dxa"/>
        <w:bottom w:w="0" w:type="dxa"/>
      </w:tblCellMar>
    </w:tblPr>
  </w:style>
  <w:style w:type="table" w:styleId="969" w:customStyle="1">
    <w:name w:val="清单表 6 彩色1"/>
    <w:uiPriority w:val="99"/>
    <w:qFormat/>
    <w:tblPr>
      <w:tblCellMar>
        <w:left w:w="0" w:type="dxa"/>
        <w:top w:w="0" w:type="dxa"/>
        <w:right w:w="0" w:type="dxa"/>
        <w:bottom w:w="0" w:type="dxa"/>
      </w:tblCellMar>
    </w:tblPr>
  </w:style>
  <w:style w:type="table" w:styleId="970" w:customStyle="1">
    <w:name w:val="List Table 6 Colorful - Accent 1"/>
    <w:uiPriority w:val="99"/>
    <w:qFormat/>
    <w:tblPr>
      <w:tblCellMar>
        <w:left w:w="0" w:type="dxa"/>
        <w:top w:w="0" w:type="dxa"/>
        <w:right w:w="0" w:type="dxa"/>
        <w:bottom w:w="0" w:type="dxa"/>
      </w:tblCellMar>
    </w:tblPr>
  </w:style>
  <w:style w:type="table" w:styleId="971" w:customStyle="1">
    <w:name w:val="List Table 6 Colorful - Accent 2"/>
    <w:uiPriority w:val="99"/>
    <w:qFormat/>
    <w:tblPr>
      <w:tblCellMar>
        <w:left w:w="0" w:type="dxa"/>
        <w:top w:w="0" w:type="dxa"/>
        <w:right w:w="0" w:type="dxa"/>
        <w:bottom w:w="0" w:type="dxa"/>
      </w:tblCellMar>
    </w:tblPr>
  </w:style>
  <w:style w:type="table" w:styleId="972" w:customStyle="1">
    <w:name w:val="List Table 6 Colorful - Accent 3"/>
    <w:uiPriority w:val="99"/>
    <w:qFormat/>
    <w:tblPr>
      <w:tblCellMar>
        <w:left w:w="0" w:type="dxa"/>
        <w:top w:w="0" w:type="dxa"/>
        <w:right w:w="0" w:type="dxa"/>
        <w:bottom w:w="0" w:type="dxa"/>
      </w:tblCellMar>
    </w:tblPr>
  </w:style>
  <w:style w:type="table" w:styleId="973" w:customStyle="1">
    <w:name w:val="List Table 6 Colorful - Accent 4"/>
    <w:uiPriority w:val="99"/>
    <w:qFormat/>
    <w:tblPr>
      <w:tblCellMar>
        <w:left w:w="0" w:type="dxa"/>
        <w:top w:w="0" w:type="dxa"/>
        <w:right w:w="0" w:type="dxa"/>
        <w:bottom w:w="0" w:type="dxa"/>
      </w:tblCellMar>
    </w:tblPr>
  </w:style>
  <w:style w:type="table" w:styleId="974" w:customStyle="1">
    <w:name w:val="List Table 6 Colorful - Accent 5"/>
    <w:uiPriority w:val="99"/>
    <w:qFormat/>
    <w:tblPr>
      <w:tblCellMar>
        <w:left w:w="0" w:type="dxa"/>
        <w:top w:w="0" w:type="dxa"/>
        <w:right w:w="0" w:type="dxa"/>
        <w:bottom w:w="0" w:type="dxa"/>
      </w:tblCellMar>
    </w:tblPr>
  </w:style>
  <w:style w:type="table" w:styleId="975" w:customStyle="1">
    <w:name w:val="List Table 6 Colorful - Accent 6"/>
    <w:uiPriority w:val="99"/>
    <w:qFormat/>
    <w:tblPr>
      <w:tblCellMar>
        <w:left w:w="0" w:type="dxa"/>
        <w:top w:w="0" w:type="dxa"/>
        <w:right w:w="0" w:type="dxa"/>
        <w:bottom w:w="0" w:type="dxa"/>
      </w:tblCellMar>
    </w:tblPr>
  </w:style>
  <w:style w:type="table" w:styleId="976" w:customStyle="1">
    <w:name w:val="清单表 7 彩色1"/>
    <w:uiPriority w:val="99"/>
    <w:qFormat/>
    <w:tblPr>
      <w:tblCellMar>
        <w:left w:w="0" w:type="dxa"/>
        <w:top w:w="0" w:type="dxa"/>
        <w:right w:w="0" w:type="dxa"/>
        <w:bottom w:w="0" w:type="dxa"/>
      </w:tblCellMar>
    </w:tblPr>
  </w:style>
  <w:style w:type="table" w:styleId="977" w:customStyle="1">
    <w:name w:val="List Table 7 Colorful - Accent 1"/>
    <w:uiPriority w:val="99"/>
    <w:qFormat/>
    <w:tblPr>
      <w:tblCellMar>
        <w:left w:w="0" w:type="dxa"/>
        <w:top w:w="0" w:type="dxa"/>
        <w:right w:w="0" w:type="dxa"/>
        <w:bottom w:w="0" w:type="dxa"/>
      </w:tblCellMar>
    </w:tblPr>
  </w:style>
  <w:style w:type="table" w:styleId="978" w:customStyle="1">
    <w:name w:val="List Table 7 Colorful - Accent 2"/>
    <w:uiPriority w:val="99"/>
    <w:qFormat/>
    <w:tblPr>
      <w:tblCellMar>
        <w:left w:w="0" w:type="dxa"/>
        <w:top w:w="0" w:type="dxa"/>
        <w:right w:w="0" w:type="dxa"/>
        <w:bottom w:w="0" w:type="dxa"/>
      </w:tblCellMar>
    </w:tblPr>
  </w:style>
  <w:style w:type="table" w:styleId="979" w:customStyle="1">
    <w:name w:val="List Table 7 Colorful - Accent 3"/>
    <w:uiPriority w:val="99"/>
    <w:qFormat/>
    <w:tblPr>
      <w:tblCellMar>
        <w:left w:w="0" w:type="dxa"/>
        <w:top w:w="0" w:type="dxa"/>
        <w:right w:w="0" w:type="dxa"/>
        <w:bottom w:w="0" w:type="dxa"/>
      </w:tblCellMar>
    </w:tblPr>
  </w:style>
  <w:style w:type="table" w:styleId="980" w:customStyle="1">
    <w:name w:val="List Table 7 Colorful - Accent 4"/>
    <w:uiPriority w:val="99"/>
    <w:qFormat/>
    <w:tblPr>
      <w:tblCellMar>
        <w:left w:w="0" w:type="dxa"/>
        <w:top w:w="0" w:type="dxa"/>
        <w:right w:w="0" w:type="dxa"/>
        <w:bottom w:w="0" w:type="dxa"/>
      </w:tblCellMar>
    </w:tblPr>
  </w:style>
  <w:style w:type="table" w:styleId="981" w:customStyle="1">
    <w:name w:val="List Table 7 Colorful - Accent 5"/>
    <w:uiPriority w:val="99"/>
    <w:qFormat/>
    <w:tblPr>
      <w:tblCellMar>
        <w:left w:w="0" w:type="dxa"/>
        <w:top w:w="0" w:type="dxa"/>
        <w:right w:w="0" w:type="dxa"/>
        <w:bottom w:w="0" w:type="dxa"/>
      </w:tblCellMar>
    </w:tblPr>
  </w:style>
  <w:style w:type="table" w:styleId="982" w:customStyle="1">
    <w:name w:val="List Table 7 Colorful - Accent 6"/>
    <w:uiPriority w:val="99"/>
    <w:qFormat/>
    <w:tblPr>
      <w:tblCellMar>
        <w:left w:w="0" w:type="dxa"/>
        <w:top w:w="0" w:type="dxa"/>
        <w:right w:w="0" w:type="dxa"/>
        <w:bottom w:w="0" w:type="dxa"/>
      </w:tblCellMar>
    </w:tblPr>
  </w:style>
  <w:style w:type="table" w:styleId="983" w:customStyle="1">
    <w:name w:val="Lined - Accent"/>
    <w:uiPriority w:val="99"/>
    <w:qFormat/>
    <w:rPr>
      <w:color w:val="404040"/>
    </w:rPr>
    <w:tblPr>
      <w:tblCellMar>
        <w:left w:w="0" w:type="dxa"/>
        <w:top w:w="0" w:type="dxa"/>
        <w:right w:w="0" w:type="dxa"/>
        <w:bottom w:w="0" w:type="dxa"/>
      </w:tblCellMar>
    </w:tblPr>
  </w:style>
  <w:style w:type="table" w:styleId="984" w:customStyle="1">
    <w:name w:val="Lined - Accent 1"/>
    <w:uiPriority w:val="99"/>
    <w:qFormat/>
    <w:rPr>
      <w:color w:val="404040"/>
    </w:rPr>
    <w:tblPr>
      <w:tblCellMar>
        <w:left w:w="0" w:type="dxa"/>
        <w:top w:w="0" w:type="dxa"/>
        <w:right w:w="0" w:type="dxa"/>
        <w:bottom w:w="0" w:type="dxa"/>
      </w:tblCellMar>
    </w:tblPr>
  </w:style>
  <w:style w:type="table" w:styleId="985" w:customStyle="1">
    <w:name w:val="Lined - Accent 2"/>
    <w:uiPriority w:val="99"/>
    <w:qFormat/>
    <w:rPr>
      <w:color w:val="404040"/>
    </w:rPr>
    <w:tblPr>
      <w:tblCellMar>
        <w:left w:w="0" w:type="dxa"/>
        <w:top w:w="0" w:type="dxa"/>
        <w:right w:w="0" w:type="dxa"/>
        <w:bottom w:w="0" w:type="dxa"/>
      </w:tblCellMar>
    </w:tblPr>
  </w:style>
  <w:style w:type="table" w:styleId="986" w:customStyle="1">
    <w:name w:val="Lined - Accent 3"/>
    <w:uiPriority w:val="99"/>
    <w:qFormat/>
    <w:rPr>
      <w:color w:val="404040"/>
    </w:rPr>
    <w:tblPr>
      <w:tblCellMar>
        <w:left w:w="0" w:type="dxa"/>
        <w:top w:w="0" w:type="dxa"/>
        <w:right w:w="0" w:type="dxa"/>
        <w:bottom w:w="0" w:type="dxa"/>
      </w:tblCellMar>
    </w:tblPr>
  </w:style>
  <w:style w:type="table" w:styleId="987" w:customStyle="1">
    <w:name w:val="Lined - Accent 4"/>
    <w:uiPriority w:val="99"/>
    <w:qFormat/>
    <w:rPr>
      <w:color w:val="404040"/>
    </w:rPr>
    <w:tblPr>
      <w:tblCellMar>
        <w:left w:w="0" w:type="dxa"/>
        <w:top w:w="0" w:type="dxa"/>
        <w:right w:w="0" w:type="dxa"/>
        <w:bottom w:w="0" w:type="dxa"/>
      </w:tblCellMar>
    </w:tblPr>
  </w:style>
  <w:style w:type="table" w:styleId="988" w:customStyle="1">
    <w:name w:val="Lined - Accent 5"/>
    <w:uiPriority w:val="99"/>
    <w:qFormat/>
    <w:rPr>
      <w:color w:val="404040"/>
    </w:rPr>
    <w:tblPr>
      <w:tblCellMar>
        <w:left w:w="0" w:type="dxa"/>
        <w:top w:w="0" w:type="dxa"/>
        <w:right w:w="0" w:type="dxa"/>
        <w:bottom w:w="0" w:type="dxa"/>
      </w:tblCellMar>
    </w:tblPr>
  </w:style>
  <w:style w:type="table" w:styleId="989" w:customStyle="1">
    <w:name w:val="Lined - Accent 6"/>
    <w:uiPriority w:val="99"/>
    <w:qFormat/>
    <w:rPr>
      <w:color w:val="404040"/>
    </w:rPr>
    <w:tblPr>
      <w:tblCellMar>
        <w:left w:w="0" w:type="dxa"/>
        <w:top w:w="0" w:type="dxa"/>
        <w:right w:w="0" w:type="dxa"/>
        <w:bottom w:w="0" w:type="dxa"/>
      </w:tblCellMar>
    </w:tblPr>
  </w:style>
  <w:style w:type="table" w:styleId="990" w:customStyle="1">
    <w:name w:val="Bordered &amp; Lined - Accent"/>
    <w:uiPriority w:val="99"/>
    <w:qFormat/>
    <w:rPr>
      <w:color w:val="404040"/>
    </w:rPr>
    <w:tblPr>
      <w:tblCellMar>
        <w:left w:w="0" w:type="dxa"/>
        <w:top w:w="0" w:type="dxa"/>
        <w:right w:w="0" w:type="dxa"/>
        <w:bottom w:w="0" w:type="dxa"/>
      </w:tblCellMar>
    </w:tblPr>
  </w:style>
  <w:style w:type="table" w:styleId="991" w:customStyle="1">
    <w:name w:val="Bordered &amp; Lined - Accent 1"/>
    <w:uiPriority w:val="99"/>
    <w:qFormat/>
    <w:rPr>
      <w:color w:val="404040"/>
    </w:rPr>
    <w:tblPr>
      <w:tblCellMar>
        <w:left w:w="0" w:type="dxa"/>
        <w:top w:w="0" w:type="dxa"/>
        <w:right w:w="0" w:type="dxa"/>
        <w:bottom w:w="0" w:type="dxa"/>
      </w:tblCellMar>
    </w:tblPr>
  </w:style>
  <w:style w:type="table" w:styleId="992" w:customStyle="1">
    <w:name w:val="Bordered &amp; Lined - Accent 2"/>
    <w:uiPriority w:val="99"/>
    <w:qFormat/>
    <w:rPr>
      <w:color w:val="404040"/>
    </w:rPr>
    <w:tblPr>
      <w:tblCellMar>
        <w:left w:w="0" w:type="dxa"/>
        <w:top w:w="0" w:type="dxa"/>
        <w:right w:w="0" w:type="dxa"/>
        <w:bottom w:w="0" w:type="dxa"/>
      </w:tblCellMar>
    </w:tblPr>
  </w:style>
  <w:style w:type="table" w:styleId="993" w:customStyle="1">
    <w:name w:val="Bordered &amp; Lined - Accent 3"/>
    <w:uiPriority w:val="99"/>
    <w:qFormat/>
    <w:rPr>
      <w:color w:val="404040"/>
    </w:rPr>
    <w:tblPr>
      <w:tblCellMar>
        <w:left w:w="0" w:type="dxa"/>
        <w:top w:w="0" w:type="dxa"/>
        <w:right w:w="0" w:type="dxa"/>
        <w:bottom w:w="0" w:type="dxa"/>
      </w:tblCellMar>
    </w:tblPr>
  </w:style>
  <w:style w:type="table" w:styleId="994" w:customStyle="1">
    <w:name w:val="Bordered &amp; Lined - Accent 4"/>
    <w:uiPriority w:val="99"/>
    <w:qFormat/>
    <w:rPr>
      <w:color w:val="404040"/>
    </w:rPr>
    <w:tblPr>
      <w:tblCellMar>
        <w:left w:w="0" w:type="dxa"/>
        <w:top w:w="0" w:type="dxa"/>
        <w:right w:w="0" w:type="dxa"/>
        <w:bottom w:w="0" w:type="dxa"/>
      </w:tblCellMar>
    </w:tblPr>
  </w:style>
  <w:style w:type="table" w:styleId="995" w:customStyle="1">
    <w:name w:val="Bordered &amp; Lined - Accent 5"/>
    <w:uiPriority w:val="99"/>
    <w:qFormat/>
    <w:rPr>
      <w:color w:val="404040"/>
    </w:rPr>
    <w:tblPr>
      <w:tblCellMar>
        <w:left w:w="0" w:type="dxa"/>
        <w:top w:w="0" w:type="dxa"/>
        <w:right w:w="0" w:type="dxa"/>
        <w:bottom w:w="0" w:type="dxa"/>
      </w:tblCellMar>
    </w:tblPr>
  </w:style>
  <w:style w:type="table" w:styleId="996" w:customStyle="1">
    <w:name w:val="Bordered &amp; Lined - Accent 6"/>
    <w:uiPriority w:val="99"/>
    <w:qFormat/>
    <w:rPr>
      <w:color w:val="404040"/>
    </w:rPr>
    <w:tblPr>
      <w:tblCellMar>
        <w:left w:w="0" w:type="dxa"/>
        <w:top w:w="0" w:type="dxa"/>
        <w:right w:w="0" w:type="dxa"/>
        <w:bottom w:w="0" w:type="dxa"/>
      </w:tblCellMar>
    </w:tblPr>
  </w:style>
  <w:style w:type="table" w:styleId="997" w:customStyle="1">
    <w:name w:val="Bordered"/>
    <w:uiPriority w:val="99"/>
    <w:qFormat/>
    <w:tblPr>
      <w:tblCellMar>
        <w:left w:w="0" w:type="dxa"/>
        <w:top w:w="0" w:type="dxa"/>
        <w:right w:w="0" w:type="dxa"/>
        <w:bottom w:w="0" w:type="dxa"/>
      </w:tblCellMar>
    </w:tblPr>
  </w:style>
  <w:style w:type="table" w:styleId="998" w:customStyle="1">
    <w:name w:val="Bordered - Accent 1"/>
    <w:uiPriority w:val="99"/>
    <w:qFormat/>
    <w:tblPr>
      <w:tblCellMar>
        <w:left w:w="0" w:type="dxa"/>
        <w:top w:w="0" w:type="dxa"/>
        <w:right w:w="0" w:type="dxa"/>
        <w:bottom w:w="0" w:type="dxa"/>
      </w:tblCellMar>
    </w:tblPr>
  </w:style>
  <w:style w:type="table" w:styleId="999" w:customStyle="1">
    <w:name w:val="Bordered - Accent 2"/>
    <w:uiPriority w:val="99"/>
    <w:qFormat/>
    <w:tblPr>
      <w:tblCellMar>
        <w:left w:w="0" w:type="dxa"/>
        <w:top w:w="0" w:type="dxa"/>
        <w:right w:w="0" w:type="dxa"/>
        <w:bottom w:w="0" w:type="dxa"/>
      </w:tblCellMar>
    </w:tblPr>
  </w:style>
  <w:style w:type="table" w:styleId="1000" w:customStyle="1">
    <w:name w:val="Bordered - Accent 3"/>
    <w:uiPriority w:val="99"/>
    <w:qFormat/>
    <w:tblPr>
      <w:tblCellMar>
        <w:left w:w="0" w:type="dxa"/>
        <w:top w:w="0" w:type="dxa"/>
        <w:right w:w="0" w:type="dxa"/>
        <w:bottom w:w="0" w:type="dxa"/>
      </w:tblCellMar>
    </w:tblPr>
  </w:style>
  <w:style w:type="table" w:styleId="1001" w:customStyle="1">
    <w:name w:val="Bordered - Accent 4"/>
    <w:uiPriority w:val="99"/>
    <w:qFormat/>
    <w:tblPr>
      <w:tblCellMar>
        <w:left w:w="0" w:type="dxa"/>
        <w:top w:w="0" w:type="dxa"/>
        <w:right w:w="0" w:type="dxa"/>
        <w:bottom w:w="0" w:type="dxa"/>
      </w:tblCellMar>
    </w:tblPr>
  </w:style>
  <w:style w:type="table" w:styleId="1002" w:customStyle="1">
    <w:name w:val="Bordered - Accent 5"/>
    <w:uiPriority w:val="99"/>
    <w:qFormat/>
    <w:tblPr>
      <w:tblCellMar>
        <w:left w:w="0" w:type="dxa"/>
        <w:top w:w="0" w:type="dxa"/>
        <w:right w:w="0" w:type="dxa"/>
        <w:bottom w:w="0" w:type="dxa"/>
      </w:tblCellMar>
    </w:tblPr>
  </w:style>
  <w:style w:type="table" w:styleId="1003" w:customStyle="1">
    <w:name w:val="Bordered - Accent 6"/>
    <w:uiPriority w:val="99"/>
    <w:qFormat/>
    <w:tblPr>
      <w:tblCellMar>
        <w:left w:w="0" w:type="dxa"/>
        <w:top w:w="0" w:type="dxa"/>
        <w:right w:w="0" w:type="dxa"/>
        <w:bottom w:w="0" w:type="dxa"/>
      </w:tblCellMar>
    </w:tblPr>
  </w:style>
  <w:style w:type="paragraph" w:styleId="1004" w:customStyle="1">
    <w:name w:val="TOC 标题11"/>
    <w:uiPriority w:val="39"/>
    <w:unhideWhenUsed/>
    <w:qFormat/>
    <w:rPr>
      <w:rFonts w:ascii="Times New Roman" w:hAnsi="Times New Roman" w:eastAsia="宋体" w:cs="Times New Roman"/>
      <w:lang w:val="en-US" w:eastAsia="zh-CN" w:bidi="ar-SA"/>
    </w:rPr>
  </w:style>
  <w:style w:type="character" w:styleId="1005" w:customStyle="1">
    <w:name w:val="批注框文本 Char1"/>
    <w:uiPriority w:val="99"/>
    <w:semiHidden/>
    <w:qFormat/>
    <w:rPr>
      <w:rFonts w:ascii="Times New Roman" w:hAnsi="Times New Roman" w:eastAsia="宋体" w:cs="Times New Roman"/>
      <w:sz w:val="18"/>
      <w:szCs w:val="18"/>
    </w:rPr>
  </w:style>
  <w:style w:type="character" w:styleId="1006" w:customStyle="1">
    <w:name w:val="正文文本 2 Char1"/>
    <w:uiPriority w:val="99"/>
    <w:semiHidden/>
    <w:qFormat/>
    <w:rPr>
      <w:rFonts w:ascii="Times New Roman" w:hAnsi="Times New Roman" w:eastAsia="宋体" w:cs="Times New Roman"/>
      <w:szCs w:val="20"/>
    </w:rPr>
  </w:style>
  <w:style w:type="character" w:styleId="1007" w:customStyle="1">
    <w:name w:val="文档结构图 Char1"/>
    <w:uiPriority w:val="99"/>
    <w:semiHidden/>
    <w:qFormat/>
    <w:rPr>
      <w:rFonts w:ascii="宋体" w:hAnsi="Times New Roman" w:eastAsia="宋体" w:cs="Times New Roman"/>
      <w:sz w:val="18"/>
      <w:szCs w:val="18"/>
    </w:rPr>
  </w:style>
  <w:style w:type="character" w:styleId="1008" w:customStyle="1">
    <w:name w:val="正文文本缩进 Char1"/>
    <w:uiPriority w:val="99"/>
    <w:semiHidden/>
    <w:qFormat/>
    <w:rPr>
      <w:rFonts w:ascii="Times New Roman" w:hAnsi="Times New Roman" w:eastAsia="宋体" w:cs="Times New Roman"/>
      <w:szCs w:val="20"/>
    </w:rPr>
  </w:style>
  <w:style w:type="character" w:styleId="1009" w:customStyle="1">
    <w:name w:val="15"/>
    <w:uiPriority w:val="0"/>
    <w:qFormat/>
    <w:rPr>
      <w:rFonts w:ascii="Times New Roman" w:hAnsi="Times New Roman" w:cs="Times New Roman"/>
    </w:rPr>
  </w:style>
  <w:style w:type="character" w:styleId="1010" w:customStyle="1">
    <w:name w:val="正文文本缩进 2 Char1"/>
    <w:uiPriority w:val="99"/>
    <w:semiHidden/>
    <w:qFormat/>
    <w:rPr>
      <w:rFonts w:ascii="Times New Roman" w:hAnsi="Times New Roman" w:eastAsia="宋体" w:cs="Times New Roman"/>
      <w:szCs w:val="20"/>
    </w:rPr>
  </w:style>
  <w:style w:type="character" w:styleId="1011" w:customStyle="1">
    <w:name w:val="日期 Char1"/>
    <w:uiPriority w:val="99"/>
    <w:semiHidden/>
    <w:qFormat/>
    <w:rPr>
      <w:rFonts w:ascii="Times New Roman" w:hAnsi="Times New Roman" w:eastAsia="宋体" w:cs="Times New Roman"/>
      <w:szCs w:val="20"/>
    </w:rPr>
  </w:style>
  <w:style w:type="character" w:styleId="1012" w:customStyle="1">
    <w:name w:val="正文文本缩进 3 Char1"/>
    <w:uiPriority w:val="99"/>
    <w:semiHidden/>
    <w:qFormat/>
    <w:rPr>
      <w:rFonts w:ascii="Times New Roman" w:hAnsi="Times New Roman" w:eastAsia="宋体" w:cs="Times New Roman"/>
      <w:sz w:val="16"/>
      <w:szCs w:val="16"/>
    </w:rPr>
  </w:style>
  <w:style w:type="paragraph" w:styleId="1013">
    <w:name w:val="List Paragraph"/>
    <w:basedOn w:val="659"/>
    <w:uiPriority w:val="0"/>
    <w:qFormat/>
    <w:pPr>
      <w:ind w:firstLine="420"/>
    </w:pPr>
    <w:rPr>
      <w:szCs w:val="21"/>
    </w:rPr>
  </w:style>
  <w:style w:type="paragraph" w:styleId="1014" w:customStyle="1">
    <w:name w:val="普通文字"/>
    <w:basedOn w:val="659"/>
    <w:next w:val="659"/>
    <w:uiPriority w:val="0"/>
    <w:qFormat/>
    <w:rPr>
      <w:rFonts w:ascii="宋体"/>
      <w:sz w:val="24"/>
    </w:rPr>
  </w:style>
  <w:style w:type="paragraph" w:styleId="1015" w:customStyle="1">
    <w:name w:val="样式 小四 段前: 5 磅 段后: 5 磅 首行缩进:  2 字符"/>
    <w:basedOn w:val="659"/>
    <w:uiPriority w:val="0"/>
    <w:qFormat/>
    <w:pPr>
      <w:jc w:val="center"/>
      <w:spacing w:line="360" w:lineRule="auto"/>
    </w:pPr>
    <w:rPr>
      <w:rFonts w:ascii="宋体" w:hAnsi="宋体"/>
      <w:bCs/>
      <w:color w:val="ff0000"/>
      <w:sz w:val="24"/>
      <w:szCs w:val="24"/>
    </w:rPr>
  </w:style>
  <w:style w:type="paragraph" w:styleId="1016" w:customStyle="1">
    <w:name w:val="列出段落1"/>
    <w:basedOn w:val="659"/>
    <w:uiPriority w:val="0"/>
    <w:qFormat/>
    <w:pPr>
      <w:ind w:firstLine="420"/>
    </w:pPr>
    <w:rPr>
      <w:szCs w:val="24"/>
    </w:rPr>
  </w:style>
  <w:style w:type="paragraph" w:styleId="1017" w:customStyle="1">
    <w:name w:val="段"/>
    <w:next w:val="659"/>
    <w:uiPriority w:val="0"/>
    <w:qFormat/>
    <w:pPr>
      <w:ind w:firstLine="200"/>
      <w:jc w:val="both"/>
    </w:pPr>
    <w:rPr>
      <w:rFonts w:ascii="宋体" w:hAnsi="Times New Roman" w:eastAsia="宋体" w:cs="Times New Roman"/>
      <w:sz w:val="21"/>
      <w:lang w:val="en-US" w:eastAsia="zh-CN" w:bidi="ar-SA"/>
    </w:rPr>
  </w:style>
  <w:style w:type="paragraph" w:styleId="1018"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019"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1020" w:customStyle="1">
    <w:name w:val="Other|1"/>
    <w:basedOn w:val="659"/>
    <w:uiPriority w:val="0"/>
    <w:qFormat/>
    <w:pPr>
      <w:ind w:firstLine="220"/>
    </w:pPr>
    <w:rPr>
      <w:rFonts w:ascii="宋体" w:hAnsi="宋体" w:cs="宋体"/>
      <w:sz w:val="20"/>
      <w:lang w:val="zh-TW" w:eastAsia="zh-TW" w:bidi="zh-TW"/>
    </w:rPr>
  </w:style>
  <w:style w:type="character" w:styleId="1021" w:customStyle="1">
    <w:name w:val="font11"/>
    <w:uiPriority w:val="0"/>
    <w:qFormat/>
    <w:rPr>
      <w:rFonts w:hint="eastAsia" w:ascii="宋体" w:hAnsi="宋体" w:eastAsia="宋体" w:cs="宋体"/>
      <w:color w:val="333333"/>
      <w:sz w:val="20"/>
      <w:szCs w:val="20"/>
      <w:u w:val="none"/>
    </w:rPr>
  </w:style>
  <w:style w:type="paragraph" w:styleId="1022" w:customStyle="1">
    <w:name w:val="纯文本1"/>
    <w:basedOn w:val="659"/>
    <w:uiPriority w:val="0"/>
    <w:qFormat/>
    <w:rPr>
      <w:rFonts w:ascii="宋体" w:hAnsi="Courier New" w:eastAsia="楷体_GB2312"/>
      <w:sz w:val="26"/>
    </w:rPr>
  </w:style>
  <w:style w:type="character" w:styleId="1023" w:customStyle="1">
    <w:name w:val="font21"/>
    <w:uiPriority w:val="0"/>
    <w:qFormat/>
    <w:rPr>
      <w:rFonts w:hint="eastAsia" w:ascii="宋体" w:hAnsi="宋体" w:eastAsia="宋体" w:cs="宋体"/>
      <w:color w:val="000000"/>
      <w:sz w:val="20"/>
      <w:szCs w:val="20"/>
      <w:u w:val="none"/>
    </w:rPr>
  </w:style>
  <w:style w:type="paragraph" w:styleId="1024" w:customStyle="1">
    <w:name w:val="列出段落2"/>
    <w:basedOn w:val="659"/>
    <w:uiPriority w:val="34"/>
    <w:qFormat/>
    <w:pPr>
      <w:ind w:firstLine="420"/>
    </w:pPr>
  </w:style>
  <w:style w:type="paragraph" w:styleId="1025" w:customStyle="1">
    <w:name w:val="正文文本2"/>
    <w:basedOn w:val="659"/>
    <w:next w:val="1026"/>
    <w:uiPriority w:val="0"/>
    <w:qFormat/>
    <w:rPr>
      <w:rFonts w:ascii="华文中宋" w:eastAsia="华文中宋"/>
      <w:bCs/>
      <w:sz w:val="28"/>
    </w:rPr>
  </w:style>
  <w:style w:type="paragraph" w:styleId="1026" w:customStyle="1">
    <w:name w:val="列表项目符号 51"/>
    <w:basedOn w:val="659"/>
    <w:uiPriority w:val="0"/>
    <w:qFormat/>
    <w:pPr>
      <w:ind w:left="2040" w:hanging="360"/>
      <w:spacing w:line="360" w:lineRule="exact"/>
      <w:widowControl/>
      <w:tabs>
        <w:tab w:val="left" w:pos="2040" w:leader="none"/>
      </w:tabs>
    </w:pPr>
    <w:rPr>
      <w:rFonts w:eastAsia="楷体_GB2312"/>
      <w:sz w:val="24"/>
    </w:rPr>
  </w:style>
  <w:style w:type="paragraph" w:styleId="1027" w:customStyle="1">
    <w:name w:val="页脚1"/>
    <w:basedOn w:val="659"/>
    <w:next w:val="659"/>
    <w:uiPriority w:val="99"/>
    <w:unhideWhenUsed/>
    <w:qFormat/>
    <w:pPr>
      <w:jc w:val="left"/>
      <w:tabs>
        <w:tab w:val="center" w:pos="4153" w:leader="none"/>
        <w:tab w:val="right" w:pos="8306" w:leader="none"/>
      </w:tabs>
    </w:pPr>
    <w:rPr>
      <w:sz w:val="18"/>
      <w:szCs w:val="18"/>
    </w:rPr>
  </w:style>
  <w:style w:type="paragraph" w:styleId="1028" w:customStyle="1">
    <w:name w:val="正文缩进11"/>
    <w:basedOn w:val="659"/>
    <w:uiPriority w:val="0"/>
    <w:qFormat/>
    <w:pPr>
      <w:ind w:firstLine="420"/>
    </w:pPr>
    <w:rPr>
      <w:szCs w:val="21"/>
    </w:rPr>
  </w:style>
  <w:style w:type="paragraph" w:styleId="1029" w:customStyle="1">
    <w:name w:val="列出段落3"/>
    <w:basedOn w:val="659"/>
    <w:uiPriority w:val="34"/>
    <w:qFormat/>
    <w:pPr>
      <w:ind w:firstLine="420"/>
    </w:pPr>
  </w:style>
  <w:style w:type="character" w:styleId="1030" w:customStyle="1">
    <w:name w:val="font151"/>
    <w:basedOn w:val="669"/>
    <w:uiPriority w:val="0"/>
    <w:qFormat/>
    <w:rPr>
      <w:rFonts w:ascii="方正仿宋_GBK" w:hAnsi="方正仿宋_GBK" w:eastAsia="方正仿宋_GBK" w:cs="方正仿宋_GBK"/>
      <w:b/>
      <w:bCs/>
      <w:color w:val="000000"/>
      <w:sz w:val="56"/>
      <w:szCs w:val="56"/>
      <w:u w:val="none"/>
    </w:rPr>
  </w:style>
  <w:style w:type="character" w:styleId="1031" w:customStyle="1">
    <w:name w:val="font51"/>
    <w:basedOn w:val="669"/>
    <w:uiPriority w:val="0"/>
    <w:qFormat/>
    <w:rPr>
      <w:rFonts w:hint="eastAsia" w:ascii="等线" w:hAnsi="等线" w:eastAsia="等线" w:cs="等线"/>
      <w:color w:val="000000"/>
      <w:sz w:val="44"/>
      <w:szCs w:val="44"/>
      <w:u w:val="none"/>
    </w:rPr>
  </w:style>
  <w:style w:type="character" w:styleId="1032" w:customStyle="1">
    <w:name w:val="font161"/>
    <w:basedOn w:val="669"/>
    <w:uiPriority w:val="0"/>
    <w:qFormat/>
    <w:rPr>
      <w:rFonts w:hint="eastAsia" w:ascii="等线" w:hAnsi="等线" w:eastAsia="等线" w:cs="等线"/>
      <w:b/>
      <w:bCs/>
      <w:color w:val="000000"/>
      <w:sz w:val="44"/>
      <w:szCs w:val="44"/>
      <w:u w:val="none"/>
    </w:rPr>
  </w:style>
  <w:style w:type="character" w:styleId="1033" w:customStyle="1">
    <w:name w:val="font61"/>
    <w:basedOn w:val="669"/>
    <w:uiPriority w:val="0"/>
    <w:qFormat/>
    <w:rPr>
      <w:rFonts w:hint="default" w:ascii="Times New Roman" w:hAnsi="Times New Roman" w:cs="Times New Roman"/>
      <w:color w:val="000000"/>
      <w:sz w:val="56"/>
      <w:szCs w:val="56"/>
      <w:u w:val="none"/>
    </w:rPr>
  </w:style>
  <w:style w:type="character" w:styleId="1034" w:customStyle="1">
    <w:name w:val="font171"/>
    <w:basedOn w:val="669"/>
    <w:uiPriority w:val="0"/>
    <w:qFormat/>
    <w:rPr>
      <w:rFonts w:hint="eastAsia" w:ascii="方正仿宋_GBK" w:hAnsi="方正仿宋_GBK" w:eastAsia="方正仿宋_GBK" w:cs="方正仿宋_GBK"/>
      <w:color w:val="000000"/>
      <w:sz w:val="56"/>
      <w:szCs w:val="56"/>
      <w:u w:val="none"/>
    </w:rPr>
  </w:style>
  <w:style w:type="character" w:styleId="1035" w:customStyle="1">
    <w:name w:val="font81"/>
    <w:basedOn w:val="669"/>
    <w:uiPriority w:val="0"/>
    <w:qFormat/>
    <w:rPr>
      <w:rFonts w:hint="eastAsia" w:ascii="等线" w:hAnsi="等线" w:eastAsia="等线" w:cs="等线"/>
      <w:b/>
      <w:bCs/>
      <w:color w:val="000000"/>
      <w:sz w:val="44"/>
      <w:szCs w:val="44"/>
      <w:u w:val="none"/>
    </w:rPr>
  </w:style>
  <w:style w:type="character" w:styleId="1036" w:customStyle="1">
    <w:name w:val="font91"/>
    <w:basedOn w:val="669"/>
    <w:uiPriority w:val="0"/>
    <w:qFormat/>
    <w:rPr>
      <w:rFonts w:hint="eastAsia" w:ascii="等线" w:hAnsi="等线" w:eastAsia="等线" w:cs="等线"/>
      <w:color w:val="000000"/>
      <w:sz w:val="44"/>
      <w:szCs w:val="44"/>
      <w:u w:val="none"/>
    </w:rPr>
  </w:style>
  <w:style w:type="character" w:styleId="1037" w:customStyle="1">
    <w:name w:val="font101"/>
    <w:basedOn w:val="669"/>
    <w:uiPriority w:val="0"/>
    <w:qFormat/>
    <w:rPr>
      <w:rFonts w:hint="eastAsia" w:ascii="等线" w:hAnsi="等线" w:eastAsia="等线" w:cs="等线"/>
      <w:color w:val="000000"/>
      <w:sz w:val="44"/>
      <w:szCs w:val="44"/>
      <w:u w:val="none"/>
    </w:rPr>
  </w:style>
  <w:style w:type="character" w:styleId="1038" w:customStyle="1">
    <w:name w:val="font181"/>
    <w:basedOn w:val="669"/>
    <w:uiPriority w:val="0"/>
    <w:qFormat/>
    <w:rPr>
      <w:rFonts w:hint="eastAsia" w:ascii="等线" w:hAnsi="等线" w:eastAsia="等线" w:cs="等线"/>
      <w:color w:val="000000"/>
      <w:sz w:val="44"/>
      <w:szCs w:val="44"/>
      <w:u w:val="none"/>
      <w:vertAlign w:val="subscript"/>
    </w:rPr>
  </w:style>
  <w:style w:type="character" w:styleId="1039" w:customStyle="1">
    <w:name w:val="font121"/>
    <w:basedOn w:val="669"/>
    <w:uiPriority w:val="0"/>
    <w:qFormat/>
    <w:rPr>
      <w:rFonts w:hint="default" w:ascii="Times New Roman" w:hAnsi="Times New Roman" w:cs="Times New Roman"/>
      <w:color w:val="000000"/>
      <w:sz w:val="56"/>
      <w:szCs w:val="56"/>
      <w:u w:val="none"/>
    </w:rPr>
  </w:style>
  <w:style w:type="character" w:styleId="1040" w:customStyle="1">
    <w:name w:val="font191"/>
    <w:basedOn w:val="669"/>
    <w:uiPriority w:val="0"/>
    <w:qFormat/>
    <w:rPr>
      <w:rFonts w:hint="eastAsia" w:ascii="方正仿宋_GBK" w:hAnsi="方正仿宋_GBK" w:eastAsia="方正仿宋_GBK" w:cs="方正仿宋_GBK"/>
      <w:color w:val="000000"/>
      <w:sz w:val="56"/>
      <w:szCs w:val="56"/>
      <w:u w:val="none"/>
    </w:rPr>
  </w:style>
  <w:style w:type="character" w:styleId="1041" w:customStyle="1">
    <w:name w:val="font112"/>
    <w:basedOn w:val="669"/>
    <w:uiPriority w:val="0"/>
    <w:qFormat/>
    <w:rPr>
      <w:rFonts w:hint="eastAsia" w:ascii="宋体" w:hAnsi="宋体" w:eastAsia="宋体" w:cs="宋体"/>
      <w:color w:val="000000"/>
      <w:sz w:val="56"/>
      <w:szCs w:val="56"/>
      <w:u w:val="none"/>
    </w:rPr>
  </w:style>
  <w:style w:type="character" w:styleId="1042" w:customStyle="1">
    <w:name w:val="font41"/>
    <w:basedOn w:val="669"/>
    <w:uiPriority w:val="0"/>
    <w:qFormat/>
    <w:rPr>
      <w:rFonts w:hint="default" w:ascii="方正黑体_GBK" w:hAnsi="方正黑体_GBK" w:eastAsia="方正黑体_GBK" w:cs="方正黑体_GBK"/>
      <w:color w:val="000000"/>
      <w:sz w:val="48"/>
      <w:szCs w:val="48"/>
      <w:u w:val="none"/>
    </w:rPr>
  </w:style>
  <w:style w:type="character" w:styleId="1043" w:customStyle="1">
    <w:name w:val="font201"/>
    <w:basedOn w:val="669"/>
    <w:uiPriority w:val="0"/>
    <w:qFormat/>
    <w:rPr>
      <w:rFonts w:hint="default" w:ascii="方正黑体_GBK" w:hAnsi="方正黑体_GBK" w:eastAsia="方正黑体_GBK" w:cs="方正黑体_GBK"/>
      <w:color w:val="000000"/>
      <w:sz w:val="48"/>
      <w:szCs w:val="48"/>
      <w:u w:val="none"/>
      <w:vertAlign w:val="subscript"/>
    </w:rPr>
  </w:style>
  <w:style w:type="character" w:styleId="1044" w:customStyle="1">
    <w:name w:val="font211"/>
    <w:basedOn w:val="669"/>
    <w:uiPriority w:val="0"/>
    <w:qFormat/>
    <w:rPr>
      <w:rFonts w:hint="default" w:ascii="方正黑体_GBK" w:hAnsi="方正黑体_GBK" w:eastAsia="方正黑体_GBK" w:cs="方正黑体_GBK"/>
      <w:color w:val="000000"/>
      <w:sz w:val="48"/>
      <w:szCs w:val="48"/>
      <w:u w:val="none"/>
    </w:rPr>
  </w:style>
  <w:style w:type="character" w:styleId="1045" w:customStyle="1">
    <w:name w:val="font131"/>
    <w:basedOn w:val="669"/>
    <w:uiPriority w:val="0"/>
    <w:qFormat/>
    <w:rPr>
      <w:rFonts w:hint="eastAsia" w:ascii="等线" w:hAnsi="等线" w:eastAsia="等线" w:cs="等线"/>
      <w:b/>
      <w:bCs/>
      <w:color w:val="000000"/>
      <w:sz w:val="44"/>
      <w:szCs w:val="44"/>
      <w:u w:val="none"/>
    </w:rPr>
  </w:style>
  <w:style w:type="character" w:styleId="1046" w:customStyle="1">
    <w:name w:val="font141"/>
    <w:basedOn w:val="669"/>
    <w:uiPriority w:val="0"/>
    <w:qFormat/>
    <w:rPr>
      <w:rFonts w:hint="default" w:ascii="Times New Roman" w:hAnsi="Times New Roman" w:cs="Times New Roman"/>
      <w:color w:val="0d0d0d"/>
      <w:sz w:val="56"/>
      <w:szCs w:val="56"/>
      <w:u w:val="none"/>
    </w:rPr>
  </w:style>
  <w:style w:type="character" w:styleId="1047" w:customStyle="1">
    <w:name w:val="font222"/>
    <w:basedOn w:val="669"/>
    <w:uiPriority w:val="0"/>
    <w:qFormat/>
    <w:rPr>
      <w:rFonts w:hint="eastAsia" w:ascii="方正仿宋_GBK" w:hAnsi="方正仿宋_GBK" w:eastAsia="方正仿宋_GBK" w:cs="方正仿宋_GBK"/>
      <w:color w:val="0d0d0d"/>
      <w:sz w:val="56"/>
      <w:szCs w:val="56"/>
      <w:u w:val="none"/>
    </w:rPr>
  </w:style>
  <w:style w:type="character" w:styleId="1048" w:customStyle="1">
    <w:name w:val="font231"/>
    <w:basedOn w:val="669"/>
    <w:uiPriority w:val="0"/>
    <w:qFormat/>
    <w:rPr>
      <w:rFonts w:hint="eastAsia" w:ascii="宋体" w:hAnsi="宋体" w:eastAsia="宋体" w:cs="宋体"/>
      <w:color w:val="000000"/>
      <w:sz w:val="56"/>
      <w:szCs w:val="56"/>
      <w:u w:val="none"/>
    </w:rPr>
  </w:style>
  <w:style w:type="character" w:styleId="1049" w:customStyle="1">
    <w:name w:val="font31"/>
    <w:basedOn w:val="669"/>
    <w:uiPriority w:val="0"/>
    <w:qFormat/>
    <w:rPr>
      <w:rFonts w:ascii="宋体-简" w:hAnsi="宋体-简" w:eastAsia="宋体-简" w:cs="宋体-简"/>
      <w:color w:val="000000"/>
      <w:sz w:val="56"/>
      <w:szCs w:val="56"/>
      <w:u w:val="none"/>
    </w:rPr>
  </w:style>
  <w:style w:type="numbering" w:styleId="65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2cb5e60f-02ff-472c-81bb-cf7a4b525e28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51F9F992</paraID>
      <start>11</start>
      <end>12</end>
      <status>unmodified</status>
      <modifiedWord/>
      <trackRevisions>false</trackRevisions>
    </reviewItem>
    <reviewItem>
      <errorID>5dbe3bfe-6348-45a7-9f78-194470f6f777</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4AD022B9</paraID>
      <start>1</start>
      <end>3</end>
      <status>unmodified</status>
      <modifiedWord/>
      <trackRevisions>false</trackRevisions>
    </reviewItem>
    <reviewItem>
      <errorID>35d20e72-cbe2-44ee-b847-5067863e56e4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FBEF877</paraID>
      <start>31</start>
      <end>32</end>
      <status>unmodified</status>
      <modifiedWord/>
      <trackRevisions>false</trackRevisions>
    </reviewItem>
    <reviewItem>
      <errorID>bee16af9-7fa7-4468-85c1-f97f7087106c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88F1A67</paraID>
      <start>11</start>
      <end>12</end>
      <status>unmodified</status>
      <modifiedWord/>
      <trackRevisions>false</trackRevisions>
    </reviewItem>
    <reviewItem>
      <errorID>8d3cb153-aa64-4907-96b9-c7942b5c9d74</errorID>
      <errorWord>（</errorWord>
      <group>L1_Word</group>
      <groupName>字词问题</groupName>
      <ability>L2_Typo</ability>
      <abilityName>字词错误</abilityName>
      <candidateList>
        <item>（在</item>
      </candidateList>
      <explain/>
      <paraID>224FDE8F</paraID>
      <start>89</start>
      <end>90</end>
      <status>unmodified</status>
      <modifiedWord/>
      <trackRevisions>false</trackRevisions>
    </reviewItem>
    <reviewItem>
      <errorID>32b48998-1f6e-4edc-a3f4-9c562eac1854</errorID>
      <errorWord>（</errorWord>
      <group>L1_Punc</group>
      <groupName>标点问题</groupName>
      <ability>L2_Punc_CN</ability>
      <abilityName>标点符号问题</abilityName>
      <candidateList/>
      <explain>同一形式括号套用。</explain>
      <paraID>224FDE8F</paraID>
      <start>115</start>
      <end>116</end>
      <status>unmodified</status>
      <modifiedWord/>
      <trackRevisions>false</trackRevisions>
    </reviewItem>
    <reviewItem>
      <errorID>9a0d80da-cbc9-4688-b795-24d3127cd18a</errorID>
      <errorWord>）</errorWord>
      <group>L1_Punc</group>
      <groupName>标点问题</groupName>
      <ability>L2_Punc_CN</ability>
      <abilityName>标点符号问题</abilityName>
      <candidateList/>
      <explain>同一形式括号套用。</explain>
      <paraID>224FDE8F</paraID>
      <start>119</start>
      <end>120</end>
      <status>unmodified</status>
      <modifiedWord/>
      <trackRevisions>false</trackRevisions>
    </reviewItem>
    <reviewItem>
      <errorID>030707ff-28b8-415d-90b4-a285f20bbab8</errorID>
      <errorWord>（</errorWord>
      <group>L1_Punc</group>
      <groupName>标点问题</groupName>
      <ability>L2_Punc_CN</ability>
      <abilityName>标点符号问题</abilityName>
      <candidateList/>
      <explain>同一形式括号套用。</explain>
      <paraID>224FDE8F</paraID>
      <start>128</start>
      <end>129</end>
      <status>unmodified</status>
      <modifiedWord/>
      <trackRevisions>false</trackRevisions>
    </reviewItem>
    <reviewItem>
      <errorID>7480e3f3-4787-48c1-a79d-e6a2c4d9768d</errorID>
      <errorWord>）</errorWord>
      <group>L1_Punc</group>
      <groupName>标点问题</groupName>
      <ability>L2_Punc_CN</ability>
      <abilityName>标点符号问题</abilityName>
      <candidateList/>
      <explain>同一形式括号套用。</explain>
      <paraID>224FDE8F</paraID>
      <start>175</start>
      <end>176</end>
      <status>unmodified</status>
      <modifiedWord/>
      <trackRevisions>false</trackRevisions>
    </reviewItem>
    <reviewItem>
      <errorID>7db8b9d1-3a36-4d93-93d4-e778358e7a91</errorID>
      <errorWord>“.</errorWord>
      <group>L1_Punc</group>
      <groupName>标点问题</groupName>
      <ability>L2_Punc_CN</ability>
      <abilityName>标点符号问题</abilityName>
      <candidateList>
        <item>“</item>
      </candidateList>
      <explain/>
      <paraID>224FDE8F</paraID>
      <start>204</start>
      <end>206</end>
      <status>unmodified</status>
      <modifiedWord/>
      <trackRevisions>false</trackRevisions>
    </reviewItem>
    <reviewItem>
      <errorID>86c69dee-ef75-4acc-ae01-1414a46b6225</errorID>
      <errorWord>“.</errorWord>
      <group>L1_Punc</group>
      <groupName>标点问题</groupName>
      <ability>L2_Punc_CN</ability>
      <abilityName>标点符号问题</abilityName>
      <candidateList>
        <item>“</item>
      </candidateList>
      <explain/>
      <paraID>58EC721C</paraID>
      <start>11</start>
      <end>13</end>
      <status>unmodified</status>
      <modifiedWord/>
      <trackRevisions>false</trackRevisions>
    </reviewItem>
    <reviewItem>
      <errorID>63e4e403-0e0d-4f50-8395-8b89df269057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28EBF402</paraID>
      <start>1</start>
      <end>3</end>
      <status>unmodified</status>
      <modifiedWord/>
      <trackRevisions>false</trackRevisions>
    </reviewItem>
    <reviewItem>
      <errorID>561f4af0-d917-4b2b-822b-f731795c0819</errorID>
      <errorWord>登陆</errorWord>
      <group>L1_Word</group>
      <groupName>字词问题</groupName>
      <ability>L2_Typo</ability>
      <abilityName>字词错误</abilityName>
      <candidateList>
        <item>登录</item>
      </candidateList>
      <explain>存在发音相同字词的误用。</explain>
      <paraID> 6AC56F9</paraID>
      <start>42</start>
      <end>44</end>
      <status>modified</status>
      <modifiedWord>登录</modifiedWord>
      <trackRevisions>false</trackRevisions>
    </reviewItem>
    <reviewItem>
      <errorID>4221dc16-efe1-4c08-8c3c-4df55185513a</errorID>
      <errorWord>做出</errorWord>
      <group>L1_Word</group>
      <groupName>字词问题</groupName>
      <ability>L2_Typo</ability>
      <abilityName>字词错误</abilityName>
      <candidateList>
        <item>作出</item>
      </candidateList>
      <explain/>
      <paraID>2E3505D5</paraID>
      <start>77</start>
      <end>79</end>
      <status>unmodified</status>
      <modifiedWord/>
      <trackRevisions>false</trackRevisions>
    </reviewItem>
    <reviewItem>
      <errorID>d6c42735-4933-4932-a50c-0f6fade73da2</errorID>
      <errorWord>100万以下</errorWord>
      <group>L1_Word</group>
      <groupName>字词问题</groupName>
      <ability>L2_Typo</ability>
      <abilityName>字词错误</abilityName>
      <candidateList>
        <item>100万元以下</item>
      </candidateList>
      <explain/>
      <paraID>6269929A</paraID>
      <start>39</start>
      <end>45</end>
      <status>unmodified</status>
      <modifiedWord/>
      <trackRevisions>false</trackRevisions>
    </reviewItem>
    <reviewItem>
      <errorID>756e5d20-4427-48ca-899e-efe5c57f92d8</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302AF42B</paraID>
      <start>1</start>
      <end>3</end>
      <status>unmodified</status>
      <modifiedWord/>
      <trackRevisions>false</trackRevisions>
    </reviewItem>
    <reviewItem>
      <errorID>b99854db-b9ed-44dd-9224-4da081f267ea</errorID>
      <errorWord>~</errorWord>
      <group>L1_Format</group>
      <groupName>格式问题</groupName>
      <ability>L2_HalfPunc_CN</ability>
      <abilityName>全半角问题</abilityName>
      <candidateList>
        <item>～</item>
      </candidateList>
      <explain>文本全半角错误。</explain>
      <paraID>4895AAE4</paraID>
      <start>97</start>
      <end>98</end>
      <status>unmodified</status>
      <modifiedWord/>
      <trackRevisions>false</trackRevisions>
    </reviewItem>
    <reviewItem>
      <errorID>3cf748bf-d43c-4509-970f-580c70890e53</errorID>
      <errorWord>任务任务</errorWord>
      <group>L1_Word</group>
      <groupName>字词问题</groupName>
      <ability>L2_Typo</ability>
      <abilityName>字词错误</abilityName>
      <candidateList>
        <item>任务</item>
      </candidateList>
      <explain/>
      <paraID>51BB16D7</paraID>
      <start>10</start>
      <end>12</end>
      <status>modified</status>
      <modifiedWord>任务</modifiedWord>
      <trackRevisions>false</trackRevisions>
    </reviewItem>
    <reviewItem>
      <errorID>9fcda38b-560c-4a4d-a726-a6f6189bbb6c</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25649C76</paraID>
      <start>0</start>
      <end>2</end>
      <status>unmodified</status>
      <modifiedWord/>
      <trackRevisions>false</trackRevisions>
    </reviewItem>
    <reviewItem>
      <errorID>0a2ad028-f68d-41eb-90c0-2b4d0be50690</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4D5892DC</paraID>
      <start>1</start>
      <end>3</end>
      <status>unmodified</status>
      <modifiedWord/>
      <trackRevisions>false</trackRevisions>
    </reviewItem>
    <reviewItem>
      <errorID>8ab0802d-186d-441e-94bf-843918f448f4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328553FF</paraID>
      <start>6</start>
      <end>7</end>
      <status>unmodified</status>
      <modifiedWord/>
      <trackRevisions>false</trackRevisions>
    </reviewItem>
    <reviewItem>
      <errorID>44ef53c3-c8b6-434b-bcce-83ff314a4877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328553FF</paraID>
      <start>60</start>
      <end>61</end>
      <status>unmodified</status>
      <modifiedWord/>
      <trackRevisions>false</trackRevisions>
    </reviewItem>
    <reviewItem>
      <errorID>1c16b4bc-c72d-4bc0-9a9c-3b00beb3ce6e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11E4FE90</paraID>
      <start>15</start>
      <end>16</end>
      <status>unmodified</status>
      <modifiedWord/>
      <trackRevisions>false</trackRevisions>
    </reviewItem>
    <reviewItem>
      <errorID>409e1a6d-bebc-46c2-8cbf-59fc1d966d18</errorID>
      <errorWord>二份</errorWord>
      <group>L1_Word</group>
      <groupName>字词问题</groupName>
      <ability>L2_Typo</ability>
      <abilityName>字词错误</abilityName>
      <candidateList>
        <item>两份</item>
      </candidateList>
      <explain/>
      <paraID>4BE7B573</paraID>
      <start>16</start>
      <end>18</end>
      <status>unmodified</status>
      <modifiedWord/>
      <trackRevisions>false</trackRevisions>
    </reviewItem>
    <reviewItem>
      <errorID>39ef265d-1b8b-4d24-aa68-1b34e076bf7b</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3C3BF961</paraID>
      <start>0</start>
      <end>2</end>
      <status>unmodified</status>
      <modifiedWord/>
      <trackRevisions>false</trackRevisions>
    </reviewItem>
    <reviewItem>
      <errorID>b1df3a49-746e-4d63-a121-42e43c2c0e5d</errorID>
      <errorWord>(</errorWord>
      <group>L1_Format</group>
      <groupName>格式问题</groupName>
      <ability>L2_HalfPunc_CN</ability>
      <abilityName>全半角问题</abilityName>
      <candidateList>
        <item>（</item>
      </candidateList>
      <explain>文本全半角错误。</explain>
      <paraID>7695ACC1</paraID>
      <start>62</start>
      <end>63</end>
      <status>modified</status>
      <modifiedWord>（</modifiedWord>
      <trackRevisions>false</trackRevisions>
    </reviewItem>
    <reviewItem>
      <errorID>52c5ebb9-e3ba-48ce-b60c-b4a0d801948e</errorID>
      <errorWord>)</errorWord>
      <group>L1_Format</group>
      <groupName>格式问题</groupName>
      <ability>L2_HalfPunc_CN</ability>
      <abilityName>全半角问题</abilityName>
      <candidateList>
        <item>）</item>
      </candidateList>
      <explain>文本全半角错误。</explain>
      <paraID>7695ACC1</paraID>
      <start>69</start>
      <end>70</end>
      <status>modified</status>
      <modifiedWord>）</modifiedWord>
      <trackRevisions>false</trackRevisions>
    </reviewItem>
    <reviewItem>
      <errorID>27fbb220-c99f-4005-bb31-66495dbc8f00</errorID>
      <errorWord>(</errorWord>
      <group>L1_Format</group>
      <groupName>格式问题</groupName>
      <ability>L2_HalfPunc_CN</ability>
      <abilityName>全半角问题</abilityName>
      <candidateList>
        <item>（</item>
      </candidateList>
      <explain>文本全半角错误。</explain>
      <paraID>56EA3611</paraID>
      <start>48</start>
      <end>49</end>
      <status>modified</status>
      <modifiedWord>（</modifiedWord>
      <trackRevisions>false</trackRevisions>
    </reviewItem>
    <reviewItem>
      <errorID>eb38137c-69ea-4113-93ba-7603f03e61b8</errorID>
      <errorWord>)</errorWord>
      <group>L1_Format</group>
      <groupName>格式问题</groupName>
      <ability>L2_HalfPunc_CN</ability>
      <abilityName>全半角问题</abilityName>
      <candidateList>
        <item>）</item>
      </candidateList>
      <explain>文本全半角错误。</explain>
      <paraID>56EA3611</paraID>
      <start>55</start>
      <end>56</end>
      <status>modified</status>
      <modifiedWord>）</modifiedWord>
      <trackRevisions>false</trackRevisions>
    </reviewItem>
    <reviewItem>
      <errorID>bd50b4b4-3b8c-49ef-a0cf-fa0802be0214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10089E63</paraID>
      <start>11</start>
      <end>12</end>
      <status>unmodified</status>
      <modifiedWord/>
      <trackRevisions>false</trackRevisions>
    </reviewItem>
    <reviewItem>
      <errorID>a3c496c0-7f74-4392-baac-c1af22de3a71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1F2E5401</paraID>
      <start>4</start>
      <end>5</end>
      <status>unmodified</status>
      <modifiedWord/>
      <trackRevisions>false</trackRevisions>
    </reviewItem>
    <reviewItem>
      <errorID>9a828944-1f73-4d30-b4c0-7a062895e9ac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1691D3D5</paraID>
      <start>0</start>
      <end>2</end>
      <status>unmodified</status>
      <modifiedWord/>
      <trackRevisions>false</trackRevisions>
    </reviewItem>
    <reviewItem>
      <errorID>d108f75d-a5b3-4da3-bf3e-3c7ce0a08427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2A50BFBC</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F5A785FD-C2AD-4ACA-9A61-A1D990F612C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邱小宇</cp:lastModifiedBy>
  <cp:revision>3</cp:revision>
  <dcterms:created xsi:type="dcterms:W3CDTF">2024-06-04T16:57:00Z</dcterms:created>
  <dcterms:modified xsi:type="dcterms:W3CDTF">2026-08-28T02:32:04Z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eyJoZGlkIjoiZGRiZWYzNTkzYmEwYTZmYjk3ZGQ3OGQwNTA0ZmI1YWIiLCJ1c2VySWQiOiIxMDI1MzcwNjcwIn0=</vt:lpwstr>
  </property>
  <property fmtid="{D5CDD505-2E9C-101B-9397-08002B2CF9AE}" pid="3" name="KSOProductBuildVer">
    <vt:lpwstr>2052-12.1.0.28043</vt:lpwstr>
  </property>
  <property fmtid="{D5CDD505-2E9C-101B-9397-08002B2CF9AE}" pid="4" name="ICV">
    <vt:lpwstr>0C69809DF1974FEE9C0736DF8F5EB564_13</vt:lpwstr>
  </property>
</Properties>
</file>