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left="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 州 政 府 采 购</w:t>
      </w:r>
      <w:r>
        <w:rPr>
          <w:rFonts w:hint="eastAsia" w:ascii="宋体" w:hAnsi="宋体" w:eastAsia="宋体" w:cs="宋体"/>
          <w:b/>
          <w:color w:val="000000"/>
          <w:sz w:val="72"/>
          <w:szCs w:val="72"/>
          <w:highlight w:val="none"/>
        </w:rPr>
      </w:r>
      <w:r/>
    </w:p>
    <w:p>
      <w:pPr>
        <w:pStyle w:val="1027"/>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1027"/>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W w:w="0" w:type="auto"/>
        <w:jc w:val="center"/>
        <w:tblInd w:w="1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5933"/>
      </w:tblGrid>
      <w:tr>
        <w:trPr>
          <w:trHeight w:val="667"/>
        </w:trPr>
        <w:tc>
          <w:tcPr>
            <w:tcW w:w="1809" w:type="dxa"/>
            <w:vAlign w:val="top"/>
            <w:textDirection w:val="lrTb"/>
            <w:noWrap w:val="false"/>
          </w:tcPr>
          <w:p>
            <w:pPr>
              <w:pStyle w:val="1027"/>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采购编号：</w:t>
            </w:r>
            <w:r>
              <w:rPr>
                <w:rStyle w:val="1067"/>
                <w:rFonts w:hint="eastAsia" w:ascii="宋体" w:hAnsi="宋体" w:eastAsia="宋体" w:cs="宋体"/>
                <w:color w:val="000000"/>
                <w:highlight w:val="none"/>
              </w:rPr>
            </w:r>
            <w:r/>
          </w:p>
        </w:tc>
        <w:tc>
          <w:tcPr>
            <w:tcW w:w="5933" w:type="dxa"/>
            <w:vAlign w:val="top"/>
            <w:textDirection w:val="lrTb"/>
            <w:noWrap w:val="false"/>
          </w:tcPr>
          <w:p>
            <w:pPr>
              <w:pStyle w:val="1027"/>
              <w:ind w:left="0"/>
              <w:spacing w:line="360" w:lineRule="auto"/>
              <w:widowControl w:val="off"/>
              <w:rPr>
                <w:rStyle w:val="1067"/>
                <w:rFonts w:hint="eastAsia" w:ascii="宋体" w:hAnsi="宋体" w:eastAsia="宋体" w:cs="宋体"/>
                <w:b/>
                <w:color w:val="000000"/>
                <w:spacing w:val="-6"/>
                <w:sz w:val="32"/>
                <w:highlight w:val="none"/>
                <w:lang w:eastAsia="zh-CN"/>
              </w:rPr>
            </w:pPr>
            <w:r>
              <w:rPr>
                <w:rFonts w:hint="eastAsia" w:ascii="宋体" w:hAnsi="宋体" w:eastAsia="宋体" w:cs="宋体"/>
                <w:b/>
                <w:color w:val="000000"/>
                <w:spacing w:val="-6"/>
                <w:sz w:val="32"/>
                <w:highlight w:val="none"/>
                <w:lang w:eastAsia="zh-CN"/>
              </w:rPr>
              <w:t xml:space="preserve">JSZC-320507-SHYS-C2026-0021</w:t>
            </w:r>
            <w:r>
              <w:rPr>
                <w:rStyle w:val="1067"/>
                <w:rFonts w:hint="eastAsia" w:ascii="宋体" w:hAnsi="宋体" w:eastAsia="宋体" w:cs="宋体"/>
                <w:b/>
                <w:color w:val="000000"/>
                <w:spacing w:val="-6"/>
                <w:sz w:val="32"/>
                <w:highlight w:val="none"/>
                <w:lang w:eastAsia="zh-CN"/>
              </w:rPr>
            </w:r>
            <w:r/>
          </w:p>
        </w:tc>
      </w:tr>
      <w:tr>
        <w:trPr/>
        <w:tc>
          <w:tcPr>
            <w:tcW w:w="1809" w:type="dxa"/>
            <w:vAlign w:val="top"/>
            <w:textDirection w:val="lrTb"/>
            <w:noWrap w:val="false"/>
          </w:tcPr>
          <w:p>
            <w:pPr>
              <w:pStyle w:val="1027"/>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采购单位：</w:t>
            </w:r>
            <w:r>
              <w:rPr>
                <w:rStyle w:val="1067"/>
                <w:rFonts w:hint="eastAsia" w:ascii="宋体" w:hAnsi="宋体" w:eastAsia="宋体" w:cs="宋体"/>
                <w:color w:val="000000"/>
                <w:highlight w:val="none"/>
              </w:rPr>
            </w:r>
            <w:r/>
          </w:p>
        </w:tc>
        <w:tc>
          <w:tcPr>
            <w:tcW w:w="5933" w:type="dxa"/>
            <w:vAlign w:val="top"/>
            <w:textDirection w:val="lrTb"/>
            <w:noWrap w:val="false"/>
          </w:tcPr>
          <w:p>
            <w:pPr>
              <w:pStyle w:val="1027"/>
              <w:ind w:left="0"/>
              <w:jc w:val="left"/>
              <w:spacing w:line="360" w:lineRule="auto"/>
              <w:widowControl w:val="off"/>
              <w:rPr>
                <w:rStyle w:val="1067"/>
                <w:rFonts w:hint="eastAsia" w:ascii="宋体" w:hAnsi="宋体" w:eastAsia="宋体" w:cs="宋体"/>
                <w:color w:val="000000"/>
                <w:highlight w:val="none"/>
                <w:lang w:eastAsia="zh-CN"/>
              </w:rPr>
            </w:pPr>
            <w:r>
              <w:rPr>
                <w:rStyle w:val="1067"/>
                <w:rFonts w:hint="eastAsia" w:ascii="宋体" w:hAnsi="宋体" w:eastAsia="宋体" w:cs="宋体"/>
                <w:b/>
                <w:color w:val="000000"/>
                <w:spacing w:val="-6"/>
                <w:sz w:val="32"/>
                <w:highlight w:val="none"/>
                <w:lang w:eastAsia="zh-CN"/>
              </w:rPr>
              <w:t xml:space="preserve">苏州市相城区元和街道社区卫生服务中心</w:t>
            </w:r>
            <w:r>
              <w:rPr>
                <w:rStyle w:val="1067"/>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27"/>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采购内容：</w:t>
            </w:r>
            <w:r>
              <w:rPr>
                <w:rStyle w:val="1067"/>
                <w:rFonts w:hint="eastAsia" w:ascii="宋体" w:hAnsi="宋体" w:eastAsia="宋体" w:cs="宋体"/>
                <w:color w:val="000000"/>
                <w:highlight w:val="none"/>
              </w:rPr>
            </w:r>
            <w:r/>
          </w:p>
        </w:tc>
        <w:tc>
          <w:tcPr>
            <w:tcW w:w="5933" w:type="dxa"/>
            <w:vAlign w:val="top"/>
            <w:textDirection w:val="lrTb"/>
            <w:noWrap w:val="false"/>
          </w:tcPr>
          <w:p>
            <w:pPr>
              <w:pStyle w:val="1027"/>
              <w:ind w:left="0"/>
              <w:jc w:val="left"/>
              <w:spacing w:line="360" w:lineRule="auto"/>
              <w:widowControl w:val="off"/>
              <w:rPr>
                <w:rStyle w:val="1067"/>
                <w:rFonts w:hint="eastAsia" w:ascii="宋体" w:hAnsi="宋体" w:eastAsia="宋体" w:cs="宋体"/>
                <w:color w:val="000000"/>
                <w:highlight w:val="none"/>
                <w:lang w:eastAsia="zh-CN"/>
              </w:rPr>
            </w:pPr>
            <w:r>
              <w:rPr>
                <w:rFonts w:hint="eastAsia" w:ascii="宋体" w:hAnsi="宋体" w:eastAsia="宋体" w:cs="宋体"/>
                <w:b/>
                <w:color w:val="000000"/>
                <w:sz w:val="32"/>
                <w:highlight w:val="none"/>
                <w:lang w:eastAsia="zh-CN"/>
              </w:rPr>
              <w:t xml:space="preserve">食堂一年期服务采购项目</w:t>
            </w:r>
            <w:r>
              <w:rPr>
                <w:rStyle w:val="1067"/>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27"/>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采购类别：</w:t>
            </w:r>
            <w:r>
              <w:rPr>
                <w:rStyle w:val="1067"/>
                <w:rFonts w:hint="eastAsia" w:ascii="宋体" w:hAnsi="宋体" w:eastAsia="宋体" w:cs="宋体"/>
                <w:color w:val="000000"/>
                <w:highlight w:val="none"/>
              </w:rPr>
            </w:r>
            <w:r/>
          </w:p>
        </w:tc>
        <w:tc>
          <w:tcPr>
            <w:tcW w:w="5933" w:type="dxa"/>
            <w:vAlign w:val="top"/>
            <w:textDirection w:val="lrTb"/>
            <w:noWrap w:val="false"/>
          </w:tcPr>
          <w:p>
            <w:pPr>
              <w:pStyle w:val="1027"/>
              <w:ind w:left="0"/>
              <w:jc w:val="left"/>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服务类</w:t>
            </w:r>
            <w:r>
              <w:rPr>
                <w:rStyle w:val="1067"/>
                <w:rFonts w:hint="eastAsia" w:ascii="宋体" w:hAnsi="宋体" w:eastAsia="宋体" w:cs="宋体"/>
                <w:color w:val="000000"/>
                <w:highlight w:val="none"/>
              </w:rPr>
            </w:r>
            <w:r/>
          </w:p>
        </w:tc>
      </w:tr>
    </w:tbl>
    <w:p>
      <w:pPr>
        <w:pStyle w:val="1027"/>
        <w:ind w:firstLine="1445"/>
        <w:jc w:val="left"/>
        <w:spacing w:line="480" w:lineRule="auto"/>
        <w:rPr>
          <w:rFonts w:hint="eastAsia" w:ascii="宋体" w:hAnsi="宋体" w:eastAsia="宋体" w:cs="宋体"/>
          <w:b/>
          <w:color w:val="000000"/>
          <w:spacing w:val="20"/>
          <w:sz w:val="32"/>
          <w:highlight w:val="none"/>
        </w:rPr>
      </w:pPr>
      <w:r>
        <w:rPr>
          <w:rFonts w:hint="eastAsia" w:ascii="宋体" w:hAnsi="宋体" w:eastAsia="宋体" w:cs="宋体"/>
          <w:b/>
          <w:color w:val="000000"/>
          <w:spacing w:val="20"/>
          <w:sz w:val="32"/>
          <w:highlight w:val="none"/>
        </w:rPr>
      </w:r>
      <w:r/>
    </w:p>
    <w:p>
      <w:pPr>
        <w:pStyle w:val="1027"/>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8" o:title=""/>
              </v:shape>
            </w:pict>
          </mc:Fallback>
        </mc:AlternateContent>
      </w:r>
      <w:r>
        <w:rPr>
          <w:rFonts w:hint="eastAsia" w:ascii="宋体" w:hAnsi="宋体" w:eastAsia="宋体" w:cs="宋体"/>
          <w:b/>
          <w:color w:val="000000"/>
          <w:sz w:val="32"/>
          <w:highlight w:val="none"/>
        </w:rPr>
      </w:r>
      <w:r/>
    </w:p>
    <w:p>
      <w:pPr>
        <w:pStyle w:val="1027"/>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27"/>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苏州合亿盛工程咨询有限公司</w:t>
      </w:r>
      <w:r>
        <w:rPr>
          <w:rFonts w:hint="eastAsia" w:ascii="宋体" w:hAnsi="宋体" w:eastAsia="宋体" w:cs="宋体"/>
          <w:b/>
          <w:color w:val="000000"/>
          <w:sz w:val="32"/>
          <w:highlight w:val="none"/>
        </w:rPr>
      </w:r>
      <w:r/>
    </w:p>
    <w:p>
      <w:pPr>
        <w:pStyle w:val="1027"/>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二〇二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九</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034"/>
        <w:ind w:left="0" w:firstLine="0"/>
        <w:rPr>
          <w:rFonts w:hint="eastAsia" w:ascii="宋体" w:hAnsi="宋体" w:eastAsia="宋体" w:cs="宋体"/>
          <w:color w:val="000000"/>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cols w:num="1" w:sep="0" w:space="1701" w:equalWidth="1"/>
          <w:docGrid w:linePitch="360"/>
        </w:sectPr>
      </w:pPr>
      <w:r>
        <w:rPr>
          <w:rFonts w:hint="eastAsia" w:ascii="宋体" w:hAnsi="宋体" w:eastAsia="宋体" w:cs="宋体"/>
          <w:color w:val="000000"/>
          <w:highlight w:val="none"/>
        </w:rPr>
      </w:r>
      <w:r/>
    </w:p>
    <w:p>
      <w:pPr>
        <w:pStyle w:val="1027"/>
        <w:ind w:left="0"/>
        <w:jc w:val="center"/>
        <w:rPr>
          <w:rFonts w:hint="eastAsia" w:ascii="宋体" w:hAnsi="宋体" w:eastAsia="宋体" w:cs="宋体"/>
          <w:color w:val="000000"/>
          <w:highlight w:val="none"/>
        </w:rPr>
      </w:pPr>
      <w:r/>
      <w:bookmarkStart w:id="0" w:name="_Toc17003"/>
      <w:r/>
      <w:bookmarkStart w:id="1" w:name="_Toc16121"/>
      <w:r/>
      <w:bookmarkStart w:id="2" w:name="_Toc12642"/>
      <w:r/>
      <w:bookmarkStart w:id="3" w:name="_Toc15681"/>
      <w:r>
        <w:rPr>
          <w:rFonts w:hint="eastAsia" w:ascii="宋体" w:hAnsi="宋体" w:eastAsia="宋体" w:cs="宋体"/>
          <w:b/>
          <w:color w:val="000000"/>
          <w:spacing w:val="20"/>
          <w:sz w:val="30"/>
          <w:highlight w:val="none"/>
        </w:rPr>
        <w:t xml:space="preserve">前 附 表</w:t>
      </w:r>
      <w:bookmarkEnd w:id="0"/>
      <w:r/>
      <w:bookmarkEnd w:id="1"/>
      <w:r/>
      <w:bookmarkEnd w:id="2"/>
      <w:r/>
      <w:bookmarkEnd w:id="3"/>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JSZC-320507-SHYS-C2026-0021</w:t>
            </w:r>
            <w:r>
              <w:rPr>
                <w:rFonts w:hint="eastAsia" w:ascii="宋体" w:hAnsi="宋体" w:eastAsia="宋体" w:cs="宋体"/>
                <w:color w:val="000000"/>
                <w:sz w:val="21"/>
                <w:szCs w:val="21"/>
                <w:highlight w:val="none"/>
                <w:lang w:eastAsia="zh-CN"/>
              </w:rPr>
            </w:r>
            <w:r/>
          </w:p>
        </w:tc>
      </w:tr>
      <w:tr>
        <w:trP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食堂一年期服务采购项目</w:t>
            </w:r>
            <w:r>
              <w:rPr>
                <w:rFonts w:hint="eastAsia" w:ascii="宋体" w:hAnsi="宋体" w:eastAsia="宋体" w:cs="宋体"/>
                <w:color w:val="000000"/>
                <w:sz w:val="21"/>
                <w:szCs w:val="21"/>
                <w:highlight w:val="none"/>
                <w:lang w:eastAsia="zh-CN"/>
              </w:rPr>
            </w:r>
            <w:r/>
          </w:p>
        </w:tc>
      </w:tr>
      <w:tr>
        <w:trPr>
          <w:trHeight w:val="3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本项目不收取磋商保证金（采购文件中涉及磋商保证金的条款均不适用）</w:t>
            </w:r>
            <w:r>
              <w:rPr>
                <w:rFonts w:hint="eastAsia" w:ascii="宋体" w:hAnsi="宋体" w:eastAsia="宋体" w:cs="宋体"/>
                <w:color w:val="000000"/>
                <w:sz w:val="21"/>
                <w:szCs w:val="21"/>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响应文件提交截止之日起九十天（日历日）</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苏州市相城区聚茂路185号活力大厦B座502</w:t>
            </w:r>
            <w:r>
              <w:rPr>
                <w:rFonts w:hint="eastAsia" w:ascii="宋体" w:hAnsi="宋体" w:eastAsia="宋体" w:cs="宋体"/>
                <w:color w:val="000000"/>
                <w:sz w:val="21"/>
                <w:szCs w:val="21"/>
                <w:highlight w:val="none"/>
              </w:rPr>
              <w:t xml:space="preserve">；电话：0512-67210880；联系人：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文件网上</w:t>
            </w:r>
            <w:r>
              <w:rPr>
                <w:rFonts w:hint="eastAsia" w:ascii="宋体" w:hAnsi="宋体" w:eastAsia="宋体" w:cs="宋体"/>
                <w:color w:val="000000"/>
                <w:sz w:val="21"/>
                <w:szCs w:val="21"/>
                <w:highlight w:val="none"/>
              </w:rPr>
            </w:r>
            <w:r/>
          </w:p>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9月21日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必须在截止时间前完成提交（上传），逾期提交（上传）的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恕不接受。</w:t>
            </w:r>
            <w:r>
              <w:rPr>
                <w:rFonts w:hint="eastAsia" w:ascii="宋体" w:hAnsi="宋体" w:eastAsia="宋体" w:cs="宋体"/>
                <w:color w:val="000000"/>
                <w:sz w:val="21"/>
                <w:szCs w:val="21"/>
                <w:highlight w:val="none"/>
              </w:rPr>
            </w:r>
            <w:r/>
          </w:p>
        </w:tc>
      </w:tr>
      <w:tr>
        <w:trP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开启时间</w:t>
            </w:r>
            <w:r>
              <w:rPr>
                <w:rFonts w:hint="eastAsia" w:ascii="宋体" w:hAnsi="宋体" w:eastAsia="宋体" w:cs="宋体"/>
                <w:color w:val="000000"/>
                <w:sz w:val="21"/>
                <w:szCs w:val="21"/>
                <w:highlight w:val="none"/>
                <w:lang w:val="en-US" w:eastAsia="zh-CN"/>
              </w:rPr>
            </w:r>
            <w:r/>
          </w:p>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开启</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9月21日</w:t>
            </w:r>
            <w:r>
              <w:rPr>
                <w:rFonts w:hint="eastAsia" w:ascii="宋体" w:hAnsi="宋体" w:eastAsia="宋体" w:cs="宋体"/>
                <w:color w:val="000000"/>
                <w:sz w:val="21"/>
                <w:szCs w:val="21"/>
                <w:highlight w:val="none"/>
                <w:lang w:eastAsia="zh-CN"/>
              </w:rPr>
              <w:t xml:space="preserve">13点30分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w:t>
            </w:r>
            <w:r>
              <w:rPr>
                <w:rFonts w:hint="eastAsia" w:ascii="宋体" w:hAnsi="宋体" w:eastAsia="宋体" w:cs="宋体"/>
                <w:color w:val="000000"/>
                <w:sz w:val="21"/>
                <w:szCs w:val="21"/>
                <w:highlight w:val="none"/>
                <w:lang w:eastAsia="zh-CN"/>
              </w:rPr>
              <w:t xml:space="preserve">https://jszfcg.jsczt.cn</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，如在系统规定的解密时间（</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提交截止时间后30分钟）内未能完成解密的视为放弃投标。</w:t>
            </w:r>
            <w:r>
              <w:rPr>
                <w:rFonts w:hint="eastAsia" w:ascii="宋体" w:hAnsi="宋体" w:eastAsia="宋体" w:cs="宋体"/>
                <w:color w:val="000000"/>
                <w:sz w:val="21"/>
                <w:szCs w:val="21"/>
                <w:highlight w:val="none"/>
              </w:rPr>
            </w:r>
            <w:r/>
          </w:p>
        </w:tc>
      </w:tr>
      <w:tr>
        <w:trPr>
          <w:trHeight w:val="6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r>
            <w:r/>
          </w:p>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2026年9月21日13点30分（北京时间）</w:t>
            </w:r>
            <w:r>
              <w:rPr>
                <w:rFonts w:hint="eastAsia" w:ascii="宋体" w:hAnsi="宋体" w:eastAsia="宋体" w:cs="宋体"/>
                <w:color w:val="000000"/>
                <w:sz w:val="21"/>
                <w:szCs w:val="21"/>
                <w:highlight w:val="none"/>
                <w:lang w:val="en-US" w:eastAsia="zh-CN"/>
              </w:rPr>
            </w:r>
            <w:r/>
          </w:p>
          <w:p>
            <w:pPr>
              <w:pStyle w:val="1027"/>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苏州市高新区邓尉路105号狮山科技馆</w:t>
            </w:r>
            <w:r>
              <w:rPr>
                <w:rFonts w:hint="eastAsia" w:ascii="宋体" w:hAnsi="宋体" w:eastAsia="宋体" w:cs="宋体"/>
                <w:color w:val="000000"/>
                <w:sz w:val="21"/>
                <w:szCs w:val="21"/>
                <w:highlight w:val="none"/>
                <w:lang w:val="en-US" w:eastAsia="zh-CN"/>
              </w:rPr>
            </w:r>
            <w:r/>
          </w:p>
        </w:tc>
      </w:tr>
      <w:tr>
        <w:trP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响应文件份数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lang w:val="en-US"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本项目不收取履约保证金（采购文件中涉及履约保证金的条款均不适用）</w:t>
            </w:r>
            <w:r>
              <w:rPr>
                <w:rFonts w:hint="eastAsia" w:ascii="宋体" w:hAnsi="宋体" w:eastAsia="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成交通知书</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7"/>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lang w:val="en-US" w:eastAsia="zh-CN"/>
              </w:rPr>
            </w:r>
            <w:r/>
          </w:p>
          <w:p>
            <w:pPr>
              <w:pStyle w:val="1027"/>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lang w:val="en-US" w:eastAsia="zh-CN"/>
              </w:rPr>
            </w:r>
            <w:r/>
          </w:p>
        </w:tc>
      </w:tr>
      <w:tr>
        <w:trPr>
          <w:trHeight w:val="41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27"/>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27"/>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因本项目采购预算已包含代理服务费，故代理服务费由</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en-US"/>
              </w:rPr>
              <w:t xml:space="preserve">单位支付。</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成交单位须按上述规定计算并支付服务费，该费用应在领取成交通知书时付清。</w:t>
            </w:r>
            <w:r>
              <w:rPr>
                <w:rFonts w:hint="eastAsia" w:ascii="宋体" w:hAnsi="宋体" w:eastAsia="宋体" w:cs="宋体"/>
                <w:color w:val="000000"/>
                <w:sz w:val="21"/>
                <w:szCs w:val="21"/>
                <w:highlight w:val="none"/>
              </w:rPr>
            </w:r>
            <w:r/>
          </w:p>
          <w:p>
            <w:pPr>
              <w:pStyle w:val="1079"/>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收款人名称：苏州合亿盛工程咨询有限公司</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开户行名称：中国农业银行股份有限公司苏州元和支行</w:t>
            </w:r>
            <w:r>
              <w:rPr>
                <w:rFonts w:hint="eastAsia" w:ascii="宋体" w:hAnsi="宋体" w:eastAsia="宋体" w:cs="宋体"/>
                <w:color w:val="000000"/>
                <w:sz w:val="21"/>
                <w:szCs w:val="21"/>
                <w:highlight w:val="none"/>
              </w:rPr>
            </w:r>
            <w:r/>
          </w:p>
          <w:p>
            <w:pPr>
              <w:pStyle w:val="1079"/>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rPr>
              <w:t xml:space="preserve">账</w:t>
            </w:r>
            <w:r>
              <w:rPr>
                <w:rFonts w:hint="eastAsia" w:ascii="宋体" w:hAnsi="宋体" w:eastAsia="宋体" w:cs="宋体"/>
                <w:color w:val="000000"/>
                <w:sz w:val="21"/>
                <w:szCs w:val="21"/>
                <w:highlight w:val="none"/>
              </w:rPr>
              <w:t xml:space="preserve">号：10541101040028625</w:t>
            </w:r>
            <w:r>
              <w:rPr>
                <w:rFonts w:hint="eastAsia" w:ascii="宋体" w:hAnsi="宋体" w:eastAsia="宋体" w:cs="宋体"/>
                <w:color w:val="000000"/>
                <w:sz w:val="21"/>
                <w:szCs w:val="21"/>
                <w:highlight w:val="none"/>
              </w:rPr>
            </w:r>
            <w:r/>
          </w:p>
        </w:tc>
      </w:tr>
    </w:tbl>
    <w:p>
      <w:pPr>
        <w:pStyle w:val="1027"/>
        <w:ind w:left="0"/>
        <w:jc w:val="center"/>
        <w:rPr>
          <w:rFonts w:hint="eastAsia" w:ascii="宋体" w:hAnsi="宋体" w:eastAsia="宋体" w:cs="宋体"/>
          <w:b/>
          <w:color w:val="000000"/>
          <w:sz w:val="44"/>
          <w:szCs w:val="44"/>
          <w:highlight w:val="none"/>
        </w:rPr>
      </w:pPr>
      <w:r/>
      <w:bookmarkStart w:id="4" w:name="_Toc7166"/>
      <w:r/>
      <w:bookmarkStart w:id="5" w:name="_Toc58248879"/>
      <w:r/>
      <w:bookmarkStart w:id="6" w:name="_Toc28592"/>
      <w:r/>
      <w:bookmarkStart w:id="7" w:name="_Toc57376405"/>
      <w:r>
        <w:rPr>
          <w:rFonts w:hint="eastAsia" w:ascii="宋体" w:hAnsi="宋体" w:eastAsia="宋体" w:cs="宋体"/>
          <w:b/>
          <w:color w:val="000000"/>
          <w:sz w:val="44"/>
          <w:szCs w:val="44"/>
          <w:highlight w:val="none"/>
        </w:rPr>
      </w:r>
      <w:r/>
    </w:p>
    <w:p>
      <w:pPr>
        <w:pStyle w:val="1027"/>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1027"/>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1"/>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_Toc19188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_Toc19188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1"/>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_Toc26337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_Toc26337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1"/>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_Toc29473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_Toc29473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1"/>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_Toc22713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_Toc22713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1"/>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_Toc18839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1"/>
        <w:ind w:firstLine="0"/>
        <w:jc w:val="center"/>
        <w:spacing w:line="480" w:lineRule="auto"/>
        <w:tabs>
          <w:tab w:val="right" w:pos="9864" w:leader="dot"/>
        </w:tabs>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_Toc4090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_Toc4090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027"/>
        <w:ind w:left="0"/>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szCs w:val="28"/>
          <w:highlight w:val="none"/>
        </w:rPr>
        <w:fldChar w:fldCharType="end"/>
      </w:r>
      <w:bookmarkStart w:id="8" w:name="_Toc6212"/>
      <w:r>
        <w:rPr>
          <w:rFonts w:hint="eastAsia" w:ascii="宋体" w:hAnsi="宋体" w:eastAsia="宋体" w:cs="宋体"/>
          <w:b/>
          <w:color w:val="000000"/>
          <w:sz w:val="44"/>
          <w:szCs w:val="44"/>
          <w:highlight w:val="none"/>
        </w:rPr>
        <w:br w:type="page" w:clear="all"/>
      </w:r>
      <w:bookmarkEnd w:id="8"/>
      <w:r/>
      <w:bookmarkStart w:id="9" w:name="_Toc19808"/>
      <w:r>
        <w:rPr>
          <w:rFonts w:hint="eastAsia" w:ascii="宋体" w:hAnsi="宋体" w:eastAsia="宋体" w:cs="宋体"/>
          <w:b/>
          <w:color w:val="000000"/>
          <w:sz w:val="44"/>
          <w:szCs w:val="44"/>
          <w:highlight w:val="none"/>
        </w:rPr>
      </w:r>
      <w:r/>
    </w:p>
    <w:p>
      <w:pPr>
        <w:pStyle w:val="1028"/>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ind w:left="0" w:firstLine="0"/>
        <w:jc w:val="center"/>
        <w:rPr>
          <w:rFonts w:hint="eastAsia" w:ascii="宋体" w:hAnsi="宋体" w:eastAsia="宋体" w:cs="宋体"/>
          <w:b/>
          <w:color w:val="000000"/>
          <w:sz w:val="44"/>
          <w:szCs w:val="44"/>
          <w:highlight w:val="none"/>
        </w:rPr>
      </w:pPr>
      <w:r/>
      <w:bookmarkStart w:id="10" w:name="_Toc19188"/>
      <w:r/>
      <w:bookmarkStart w:id="11" w:name="_Toc22054"/>
      <w:r>
        <w:rPr>
          <w:rFonts w:hint="eastAsia" w:ascii="宋体" w:hAnsi="宋体" w:eastAsia="宋体" w:cs="宋体"/>
          <w:b/>
          <w:color w:val="000000"/>
          <w:sz w:val="44"/>
          <w:szCs w:val="44"/>
          <w:highlight w:val="none"/>
        </w:rPr>
        <w:t xml:space="preserve">第一章 磋商邀请函</w:t>
      </w:r>
      <w:bookmarkEnd w:id="4"/>
      <w:r/>
      <w:bookmarkEnd w:id="5"/>
      <w:r/>
      <w:bookmarkEnd w:id="6"/>
      <w:r/>
      <w:bookmarkEnd w:id="7"/>
      <w:r/>
      <w:bookmarkEnd w:id="9"/>
      <w:r/>
      <w:bookmarkEnd w:id="10"/>
      <w:r/>
      <w:bookmarkEnd w:id="11"/>
      <w:r>
        <w:rPr>
          <w:rFonts w:hint="eastAsia" w:ascii="宋体" w:hAnsi="宋体" w:eastAsia="宋体" w:cs="宋体"/>
          <w:b/>
          <w:color w:val="000000"/>
          <w:sz w:val="44"/>
          <w:szCs w:val="44"/>
          <w:highlight w:val="none"/>
        </w:rPr>
      </w:r>
      <w:r/>
    </w:p>
    <w:p>
      <w:pPr>
        <w:pStyle w:val="1028"/>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bookmarkStart w:id="12" w:name="_Toc16571"/>
      <w:r/>
      <w:bookmarkStart w:id="13" w:name="_Toc3644"/>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苏州合亿盛工程咨询有限公司受</w:t>
      </w:r>
      <w:r>
        <w:rPr>
          <w:rFonts w:hint="eastAsia" w:ascii="宋体" w:hAnsi="宋体" w:eastAsia="宋体" w:cs="宋体"/>
          <w:color w:val="000000"/>
          <w:sz w:val="24"/>
          <w:szCs w:val="24"/>
          <w:highlight w:val="none"/>
          <w:u w:val="single"/>
          <w:lang w:eastAsia="zh-CN"/>
        </w:rPr>
        <w:t xml:space="preserve">苏州市相城区元和街道社区卫生服务中心</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eastAsia="zh-CN"/>
        </w:rPr>
        <w:t xml:space="preserve">食堂一年期服务采购项目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bookmarkEnd w:id="12"/>
      <w:r/>
      <w:bookmarkEnd w:id="13"/>
      <w:r/>
      <w:bookmarkStart w:id="14" w:name="_Toc14794"/>
      <w:r/>
      <w:bookmarkStart w:id="15" w:name="_Toc19838"/>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JSZC-320507-SHYS-C2026-0021</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食堂一年期服务采购项目</w:t>
      </w:r>
      <w:r>
        <w:rPr>
          <w:rFonts w:hint="eastAsia" w:ascii="宋体" w:hAnsi="宋体" w:eastAsia="宋体" w:cs="宋体"/>
          <w:color w:val="000000"/>
          <w:sz w:val="24"/>
          <w:szCs w:val="24"/>
          <w:highlight w:val="none"/>
          <w:lang w:eastAsia="zh-CN"/>
        </w:rPr>
      </w:r>
      <w:r/>
    </w:p>
    <w:p>
      <w:pPr>
        <w:pStyle w:val="103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4、采购预算：</w:t>
      </w:r>
      <w:r>
        <w:rPr>
          <w:rFonts w:hint="eastAsia" w:ascii="宋体" w:hAnsi="宋体" w:eastAsia="宋体" w:cs="宋体"/>
          <w:color w:val="000000"/>
          <w:sz w:val="24"/>
          <w:szCs w:val="24"/>
          <w:highlight w:val="none"/>
        </w:rPr>
      </w:r>
      <w:r/>
    </w:p>
    <w:p>
      <w:pPr>
        <w:pStyle w:val="1027"/>
        <w:ind w:left="0" w:firstLine="480"/>
        <w:spacing w:line="360" w:lineRule="auto"/>
        <w:rPr>
          <w:rStyle w:val="1067"/>
          <w:rFonts w:hint="eastAsia" w:ascii="宋体" w:hAnsi="宋体" w:eastAsia="宋体" w:cs="宋体"/>
          <w:color w:val="000000"/>
          <w:sz w:val="24"/>
          <w:szCs w:val="24"/>
          <w:highlight w:val="none"/>
          <w:lang w:val="en-US" w:eastAsia="zh-CN"/>
        </w:rPr>
      </w:pPr>
      <w:r>
        <w:rPr>
          <w:rStyle w:val="1067"/>
          <w:rFonts w:hint="eastAsia" w:ascii="宋体" w:hAnsi="宋体" w:eastAsia="宋体" w:cs="宋体"/>
          <w:color w:val="000000"/>
          <w:sz w:val="24"/>
          <w:szCs w:val="24"/>
          <w:highlight w:val="none"/>
        </w:rPr>
        <w:t xml:space="preserve">人民币（大写）：</w:t>
      </w:r>
      <w:r>
        <w:rPr>
          <w:rStyle w:val="1067"/>
          <w:rFonts w:hint="eastAsia" w:ascii="宋体" w:hAnsi="宋体" w:eastAsia="宋体" w:cs="宋体"/>
          <w:color w:val="000000"/>
          <w:sz w:val="24"/>
          <w:szCs w:val="24"/>
          <w:highlight w:val="none"/>
          <w:lang w:val="en-US" w:eastAsia="zh-CN"/>
        </w:rPr>
        <w:t xml:space="preserve">壹佰玖拾伍万元整</w:t>
      </w:r>
      <w:r>
        <w:rPr>
          <w:rStyle w:val="1067"/>
          <w:rFonts w:hint="eastAsia" w:ascii="宋体" w:hAnsi="宋体" w:eastAsia="宋体" w:cs="宋体"/>
          <w:color w:val="000000"/>
          <w:sz w:val="24"/>
          <w:szCs w:val="24"/>
          <w:highlight w:val="none"/>
          <w:lang w:val="en-US" w:eastAsia="zh-CN"/>
        </w:rPr>
      </w:r>
      <w:r/>
    </w:p>
    <w:p>
      <w:pPr>
        <w:pStyle w:val="1027"/>
        <w:ind w:left="0" w:firstLine="480"/>
        <w:spacing w:line="360" w:lineRule="auto"/>
        <w:rPr>
          <w:rStyle w:val="1067"/>
          <w:rFonts w:hint="eastAsia" w:ascii="宋体" w:hAnsi="宋体" w:eastAsia="宋体" w:cs="宋体"/>
          <w:color w:val="000000"/>
          <w:sz w:val="24"/>
          <w:szCs w:val="24"/>
          <w:highlight w:val="none"/>
          <w:lang w:val="en-US" w:eastAsia="zh-CN"/>
        </w:rPr>
      </w:pPr>
      <w:r>
        <w:rPr>
          <w:rStyle w:val="1067"/>
          <w:rFonts w:hint="eastAsia" w:ascii="宋体" w:hAnsi="宋体" w:eastAsia="宋体" w:cs="宋体"/>
          <w:color w:val="000000"/>
          <w:sz w:val="24"/>
          <w:szCs w:val="24"/>
          <w:highlight w:val="none"/>
        </w:rPr>
        <w:t xml:space="preserve">人民币（小写）：</w:t>
      </w:r>
      <w:r>
        <w:rPr>
          <w:rStyle w:val="1067"/>
          <w:rFonts w:hint="eastAsia" w:ascii="宋体" w:hAnsi="宋体" w:eastAsia="宋体" w:cs="宋体"/>
          <w:color w:val="000000"/>
          <w:sz w:val="24"/>
          <w:szCs w:val="24"/>
          <w:highlight w:val="none"/>
          <w:lang w:val="en-US" w:eastAsia="zh-CN"/>
        </w:rPr>
        <w:t xml:space="preserve">¥1950000.00</w:t>
      </w:r>
      <w:r>
        <w:rPr>
          <w:rStyle w:val="1067"/>
          <w:rFonts w:hint="eastAsia" w:ascii="宋体" w:hAnsi="宋体" w:eastAsia="宋体" w:cs="宋体"/>
          <w:color w:val="000000"/>
          <w:sz w:val="24"/>
          <w:szCs w:val="24"/>
          <w:highlight w:val="none"/>
          <w:lang w:val="en-US" w:eastAsia="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5、服务时间：自合同签订之日起一年（具体时间以采购人通知为准）。</w:t>
      </w:r>
      <w:r>
        <w:rPr>
          <w:rFonts w:hint="eastAsia" w:ascii="宋体" w:hAnsi="宋体" w:eastAsia="宋体" w:cs="宋体"/>
          <w:color w:val="000000"/>
          <w:sz w:val="24"/>
          <w:szCs w:val="24"/>
          <w:highlight w:val="none"/>
          <w:lang w:val="en-US" w:eastAsia="zh-CN"/>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bookmarkEnd w:id="14"/>
      <w:r/>
      <w:bookmarkEnd w:id="15"/>
      <w:r/>
      <w:bookmarkStart w:id="16" w:name="_Toc2412"/>
      <w:r/>
      <w:bookmarkStart w:id="17" w:name="_Toc58248880"/>
      <w:r/>
      <w:bookmarkStart w:id="18" w:name="_Toc6217"/>
      <w:r/>
      <w:bookmarkStart w:id="19" w:name="_Toc57376406"/>
      <w:r>
        <w:rPr>
          <w:rFonts w:hint="eastAsia" w:ascii="宋体" w:hAnsi="宋体" w:eastAsia="宋体" w:cs="宋体"/>
          <w:color w:val="000000"/>
          <w:sz w:val="24"/>
          <w:szCs w:val="24"/>
          <w:highlight w:val="none"/>
        </w:rPr>
        <w:t xml:space="preserve">二、申请人的资格要求：</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eastAsia="zh-CN"/>
        </w:rPr>
        <w:t xml:space="preserve">有效的食品经营许可证。</w:t>
      </w:r>
      <w:r>
        <w:rPr>
          <w:rFonts w:hint="eastAsia" w:ascii="宋体" w:hAnsi="宋体" w:eastAsia="宋体" w:cs="宋体"/>
          <w:color w:val="000000"/>
          <w:sz w:val="24"/>
          <w:szCs w:val="24"/>
          <w:highlight w:val="none"/>
          <w:lang w:val="en-US"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r>
        <w:rPr>
          <w:rFonts w:hint="eastAsia" w:ascii="宋体" w:hAnsi="宋体" w:eastAsia="宋体" w:cs="宋体"/>
          <w:color w:val="000000"/>
          <w:sz w:val="24"/>
          <w:szCs w:val="24"/>
          <w:highlight w:val="none"/>
          <w:lang w:val="en-US" w:eastAsia="zh-CN"/>
        </w:rPr>
        <w:t xml:space="preserve">下载</w:t>
      </w:r>
      <w:r>
        <w:rPr>
          <w:rFonts w:hint="eastAsia" w:ascii="宋体" w:hAnsi="宋体" w:eastAsia="宋体" w:cs="宋体"/>
          <w:color w:val="000000"/>
          <w:sz w:val="24"/>
          <w:szCs w:val="24"/>
          <w:highlight w:val="none"/>
        </w:rPr>
        <w:t xml:space="preserve">（网址：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eastAsia="zh-CN"/>
        </w:rPr>
        <w:t xml:space="preserve">https://jszfcg.jsczt.cn</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CA证书办理</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color w:val="000000"/>
          <w:sz w:val="24"/>
          <w:szCs w:val="24"/>
          <w:highlight w:val="none"/>
        </w:rPr>
        <w:t xml:space="preserve">苏州市高新区邓</w:t>
      </w:r>
      <w:r>
        <w:rPr>
          <w:rFonts w:hint="eastAsia" w:ascii="宋体" w:hAnsi="宋体" w:eastAsia="宋体" w:cs="宋体"/>
          <w:b/>
          <w:bCs/>
          <w:color w:val="000000"/>
          <w:sz w:val="24"/>
          <w:szCs w:val="24"/>
          <w:highlight w:val="none"/>
          <w:lang w:val="en-US" w:eastAsia="zh-CN"/>
        </w:rPr>
        <w:t xml:space="preserve">尉</w:t>
      </w:r>
      <w:r>
        <w:rPr>
          <w:rFonts w:hint="eastAsia" w:ascii="宋体" w:hAnsi="宋体" w:eastAsia="宋体" w:cs="宋体"/>
          <w:b/>
          <w:bCs/>
          <w:color w:val="000000"/>
          <w:sz w:val="24"/>
          <w:szCs w:val="24"/>
          <w:highlight w:val="none"/>
        </w:rPr>
        <w:t xml:space="preserve">路105号狮山科技馆一楼服务大厅，咨询电话：0512</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65737699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参与采购活动</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时间设定不符合有关法律法规规定等原因使供应商权益受损的除外。</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电子投标准备</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文件（后缀名为“.kedt”）并导入政府采购客户端工具后方可进行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文件制作和提交</w:t>
      </w:r>
      <w:r>
        <w:rPr>
          <w:rFonts w:hint="eastAsia" w:ascii="宋体" w:hAnsi="宋体" w:eastAsia="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在系统操作过程中如有疑问，请按以下方式联系：</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注册咨询：18261002950；</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CA技术咨询电话：400-608-6099；</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签章使用问题：025-83633811、025-83633812、15380932027、15371015030；</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lang w:eastAsia="zh-CN"/>
        </w:rPr>
        <w:t xml:space="preserve">18261002950；智能客服：登录苏采云系统后，联系系统右下方智能客服图标进行咨询。</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售价：免费。</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文件截止时间、开标时间和地点</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9月21日</w:t>
      </w:r>
      <w:r>
        <w:rPr>
          <w:rFonts w:hint="eastAsia" w:ascii="宋体" w:hAnsi="宋体" w:eastAsia="宋体" w:cs="宋体"/>
          <w:color w:val="000000"/>
          <w:sz w:val="24"/>
          <w:szCs w:val="24"/>
          <w:highlight w:val="none"/>
          <w:lang w:eastAsia="zh-CN"/>
        </w:rPr>
        <w:t xml:space="preserve">13点30分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9月21日</w:t>
      </w:r>
      <w:r>
        <w:rPr>
          <w:rFonts w:hint="eastAsia" w:ascii="宋体" w:hAnsi="宋体" w:eastAsia="宋体" w:cs="宋体"/>
          <w:color w:val="000000"/>
          <w:sz w:val="24"/>
          <w:szCs w:val="24"/>
          <w:highlight w:val="none"/>
          <w:lang w:eastAsia="zh-CN"/>
        </w:rPr>
        <w:t xml:space="preserve">13点30分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开标地点：“苏采云”系统（网址：</w:t>
      </w:r>
      <w:r>
        <w:rPr>
          <w:rFonts w:hint="eastAsia" w:ascii="宋体" w:hAnsi="宋体" w:eastAsia="宋体" w:cs="宋体"/>
          <w:color w:val="000000"/>
          <w:sz w:val="24"/>
          <w:szCs w:val="24"/>
          <w:highlight w:val="none"/>
          <w:lang w:eastAsia="zh-CN"/>
        </w:rPr>
        <w:t xml:space="preserve">https://jszfcg.jsczt.cn</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提交截止时间后30分钟）内未能完成解密的视为放弃投标。</w:t>
      </w:r>
      <w:r>
        <w:rPr>
          <w:rFonts w:hint="eastAsia" w:ascii="宋体" w:hAnsi="宋体" w:eastAsia="宋体" w:cs="宋体"/>
          <w:b/>
          <w:bCs/>
          <w:color w:val="000000"/>
          <w:sz w:val="24"/>
          <w:szCs w:val="24"/>
          <w:highlight w:val="none"/>
        </w:rPr>
      </w:r>
      <w:r/>
    </w:p>
    <w:p>
      <w:pPr>
        <w:pStyle w:val="1027"/>
        <w:ind w:left="0" w:firstLine="48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、其他补充事宜</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、政府采购管理监督电话：0512-67591005、0512-67591006。</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、本采购信息公告媒体：</w:t>
      </w:r>
      <w:r>
        <w:rPr>
          <w:rFonts w:hint="eastAsia" w:ascii="宋体" w:hAnsi="宋体" w:eastAsia="宋体" w:cs="宋体"/>
          <w:color w:val="000000"/>
          <w:sz w:val="24"/>
          <w:szCs w:val="24"/>
          <w:highlight w:val="none"/>
          <w:lang w:eastAsia="zh-CN"/>
        </w:rPr>
        <w:t xml:space="preserve">苏州市政府采购网、江苏政府采购网、中国政府采购网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文件截止日期之后仍可以下载</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，但截止日期之后下载的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，视为非有效方式且不作为供应商权益受到损害的证明材料和依据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27"/>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、根据《政府采购促进中小企业发展管理办法》（财库〔2020〕46号）及《中小企业划型标准</w:t>
      </w:r>
      <w:r>
        <w:rPr>
          <w:rFonts w:hint="eastAsia" w:ascii="宋体" w:hAnsi="宋体" w:eastAsia="宋体" w:cs="宋体"/>
          <w:b w:val="0"/>
          <w:bCs w:val="0"/>
          <w:color w:val="000000"/>
          <w:sz w:val="24"/>
          <w:szCs w:val="24"/>
          <w:highlight w:val="none"/>
        </w:rPr>
        <w:t xml:space="preserve">规定》（工信部联企业〔2011〕300号），本项目采购标的对应的中小企业划分标准所属行业为</w:t>
      </w:r>
      <w:r>
        <w:rPr>
          <w:rFonts w:hint="eastAsia" w:ascii="宋体" w:hAnsi="宋体" w:eastAsia="宋体" w:cs="宋体"/>
          <w:b/>
          <w:bCs/>
          <w:color w:val="000000"/>
          <w:sz w:val="24"/>
          <w:szCs w:val="24"/>
          <w:highlight w:val="none"/>
          <w:lang w:val="en-US" w:eastAsia="zh-CN"/>
        </w:rPr>
        <w:t xml:space="preserve">餐饮业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27"/>
        <w:ind w:left="0" w:firstLine="480"/>
        <w:spacing w:line="351"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8、如不同供应商的响应文件制作机器码一致，则视为无效响应。</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9、本项目支持政府采购合同信用融资。</w:t>
      </w:r>
      <w:r>
        <w:rPr>
          <w:rFonts w:hint="eastAsia" w:ascii="宋体" w:hAnsi="宋体" w:eastAsia="宋体" w:cs="宋体"/>
          <w:color w:val="000000"/>
          <w:sz w:val="24"/>
          <w:szCs w:val="24"/>
          <w:highlight w:val="none"/>
          <w:lang w:val="en-US" w:eastAsia="zh-CN"/>
        </w:rPr>
      </w:r>
      <w:r/>
    </w:p>
    <w:tbl>
      <w:tblPr>
        <w:tblW w:w="9672"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27"/>
              <w:ind w:left="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政府采购合同信用融资政策告知函</w:t>
            </w:r>
            <w:r>
              <w:rPr>
                <w:rFonts w:hint="eastAsia" w:ascii="宋体" w:hAnsi="宋体" w:eastAsia="宋体" w:cs="宋体"/>
                <w:b/>
                <w:color w:val="000000"/>
                <w:sz w:val="21"/>
                <w:szCs w:val="21"/>
                <w:highlight w:val="none"/>
              </w:rPr>
            </w:r>
            <w:r/>
          </w:p>
          <w:p>
            <w:pPr>
              <w:pStyle w:val="1027"/>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rPr>
            </w:r>
            <w:r/>
          </w:p>
          <w:p>
            <w:pPr>
              <w:pStyle w:val="1027"/>
              <w:ind w:left="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1027"/>
              <w:ind w:left="0" w:firstLine="420"/>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Cs w:val="21"/>
                <w:highlight w:val="none"/>
              </w:rPr>
            </w:r>
            <w:r/>
          </w:p>
        </w:tc>
      </w:tr>
    </w:tbl>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、凡对本次采购提出询问，请按以下方式联系：</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苏州市相城区元和街道社区卫生服务中心</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址：苏州市相城区元和街道古元路99号</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 系 人：</w:t>
      </w:r>
      <w:r>
        <w:rPr>
          <w:rFonts w:hint="eastAsia" w:ascii="宋体" w:hAnsi="宋体" w:eastAsia="宋体" w:cs="宋体"/>
          <w:bCs/>
          <w:color w:val="000000"/>
          <w:sz w:val="24"/>
          <w:szCs w:val="24"/>
          <w:highlight w:val="none"/>
          <w:lang w:val="en-US" w:eastAsia="zh-CN"/>
        </w:rPr>
        <w:t xml:space="preserve">徐荣荣</w:t>
      </w:r>
      <w:r>
        <w:rPr>
          <w:rFonts w:hint="eastAsia" w:ascii="宋体" w:hAnsi="宋体" w:eastAsia="宋体" w:cs="宋体"/>
          <w:color w:val="000000"/>
          <w:sz w:val="24"/>
          <w:szCs w:val="24"/>
          <w:highlight w:val="none"/>
          <w:lang w:val="en-US"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0512-69392603</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称：苏州合亿盛工程咨询有限公司</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苏州市相城区聚茂路185号活力大厦B座502</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联系方式：0512-67210880</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徐晓逸/胡欢/吴雯瑜</w:t>
      </w:r>
      <w:r>
        <w:rPr>
          <w:rFonts w:hint="eastAsia" w:ascii="宋体" w:hAnsi="宋体" w:eastAsia="宋体" w:cs="宋体"/>
          <w:color w:val="000000"/>
          <w:sz w:val="24"/>
          <w:szCs w:val="24"/>
          <w:highlight w:val="none"/>
          <w:lang w:eastAsia="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话：0512-67210880</w:t>
      </w:r>
      <w:r>
        <w:rPr>
          <w:rFonts w:hint="eastAsia" w:ascii="宋体" w:hAnsi="宋体" w:eastAsia="宋体" w:cs="宋体"/>
          <w:color w:val="000000"/>
          <w:sz w:val="24"/>
          <w:szCs w:val="24"/>
          <w:highlight w:val="none"/>
        </w:rPr>
      </w:r>
      <w:r/>
    </w:p>
    <w:p>
      <w:pPr>
        <w:pStyle w:val="1028"/>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20" w:name="_Toc11400"/>
      <w:r>
        <w:rPr>
          <w:rFonts w:hint="eastAsia" w:ascii="宋体" w:hAnsi="宋体" w:eastAsia="宋体" w:cs="宋体"/>
          <w:b/>
          <w:color w:val="000000"/>
          <w:sz w:val="44"/>
          <w:szCs w:val="44"/>
          <w:highlight w:val="none"/>
        </w:rPr>
      </w:r>
      <w:r/>
    </w:p>
    <w:p>
      <w:pPr>
        <w:pStyle w:val="1028"/>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jc w:val="center"/>
        <w:rPr>
          <w:rFonts w:hint="eastAsia" w:ascii="宋体" w:hAnsi="宋体" w:eastAsia="宋体" w:cs="宋体"/>
          <w:b/>
          <w:color w:val="000000"/>
          <w:sz w:val="44"/>
          <w:szCs w:val="44"/>
          <w:highlight w:val="none"/>
        </w:rPr>
      </w:pPr>
      <w:r/>
      <w:bookmarkStart w:id="21" w:name="_Toc29635"/>
      <w:r/>
      <w:bookmarkStart w:id="22" w:name="_Toc26337"/>
      <w:r>
        <w:rPr>
          <w:rFonts w:hint="eastAsia" w:ascii="宋体" w:hAnsi="宋体" w:eastAsia="宋体" w:cs="宋体"/>
          <w:b/>
          <w:color w:val="000000"/>
          <w:sz w:val="44"/>
          <w:szCs w:val="44"/>
          <w:highlight w:val="none"/>
        </w:rPr>
        <w:t xml:space="preserve">第二章 </w:t>
      </w:r>
      <w:bookmarkStart w:id="23" w:name="投标人须知"/>
      <w:r/>
      <w:bookmarkEnd w:id="23"/>
      <w:r>
        <w:rPr>
          <w:rFonts w:hint="eastAsia" w:ascii="宋体" w:hAnsi="宋体" w:eastAsia="宋体" w:cs="宋体"/>
          <w:b/>
          <w:color w:val="000000"/>
          <w:sz w:val="44"/>
          <w:szCs w:val="44"/>
          <w:highlight w:val="none"/>
        </w:rPr>
        <w:t xml:space="preserve">磋商须知</w:t>
      </w:r>
      <w:bookmarkEnd w:id="16"/>
      <w:r/>
      <w:bookmarkEnd w:id="17"/>
      <w:r/>
      <w:bookmarkEnd w:id="18"/>
      <w:r/>
      <w:bookmarkEnd w:id="19"/>
      <w:r/>
      <w:bookmarkEnd w:id="20"/>
      <w:r/>
      <w:bookmarkEnd w:id="21"/>
      <w:r/>
      <w:bookmarkEnd w:id="22"/>
      <w:r>
        <w:rPr>
          <w:rFonts w:hint="eastAsia" w:ascii="宋体" w:hAnsi="宋体" w:eastAsia="宋体" w:cs="宋体"/>
          <w:b/>
          <w:color w:val="000000"/>
          <w:sz w:val="44"/>
          <w:szCs w:val="44"/>
          <w:highlight w:val="none"/>
        </w:rPr>
      </w:r>
      <w:r/>
    </w:p>
    <w:p>
      <w:pPr>
        <w:pStyle w:val="1029"/>
        <w:ind w:left="0" w:firstLine="482"/>
        <w:keepLines w:val="0"/>
        <w:keepNext w:val="0"/>
        <w:pageBreakBefore w:val="0"/>
        <w:spacing w:before="0" w:after="0" w:line="360" w:lineRule="auto"/>
        <w:rPr>
          <w:rFonts w:hint="eastAsia" w:ascii="宋体" w:hAnsi="宋体" w:eastAsia="宋体" w:cs="宋体"/>
          <w:i w:val="0"/>
          <w:iCs w:val="0"/>
          <w:color w:val="000000"/>
          <w:sz w:val="24"/>
          <w:szCs w:val="24"/>
          <w:highlight w:val="none"/>
        </w:rPr>
      </w:pPr>
      <w:r/>
      <w:bookmarkStart w:id="24" w:name="_Toc24711"/>
      <w:r/>
      <w:bookmarkStart w:id="25" w:name="_Toc57376407"/>
      <w:r/>
      <w:bookmarkStart w:id="26" w:name="_Toc7264"/>
      <w:r/>
      <w:bookmarkStart w:id="27" w:name="_Toc58248881"/>
      <w:r>
        <w:rPr>
          <w:rFonts w:hint="eastAsia" w:ascii="宋体" w:hAnsi="宋体" w:eastAsia="宋体" w:cs="宋体"/>
          <w:i w:val="0"/>
          <w:iCs w:val="0"/>
          <w:color w:val="000000"/>
          <w:sz w:val="24"/>
          <w:szCs w:val="24"/>
          <w:highlight w:val="none"/>
        </w:rPr>
        <w:br w:type="page" w:clear="all"/>
      </w:r>
      <w:bookmarkStart w:id="28" w:name="_Toc16525"/>
      <w:r>
        <w:rPr>
          <w:rFonts w:hint="eastAsia" w:ascii="宋体" w:hAnsi="宋体" w:eastAsia="宋体" w:cs="宋体"/>
          <w:i w:val="0"/>
          <w:iCs w:val="0"/>
          <w:color w:val="000000"/>
          <w:sz w:val="24"/>
          <w:szCs w:val="24"/>
          <w:highlight w:val="none"/>
        </w:rPr>
        <w:t xml:space="preserve">一、响应文件的组成及要求</w:t>
      </w:r>
      <w:bookmarkEnd w:id="28"/>
      <w:r>
        <w:rPr>
          <w:rFonts w:hint="eastAsia" w:ascii="宋体" w:hAnsi="宋体" w:eastAsia="宋体" w:cs="宋体"/>
          <w:i w:val="0"/>
          <w:iCs w:val="0"/>
          <w:color w:val="000000"/>
          <w:sz w:val="24"/>
          <w:szCs w:val="24"/>
          <w:highlight w:val="none"/>
        </w:rPr>
      </w:r>
      <w:r/>
    </w:p>
    <w:p>
      <w:pPr>
        <w:pStyle w:val="1034"/>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1.3磋商报价明细表；</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2、响应文件二（资格及技术部分）（部分格式见第三章）：</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067"/>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067"/>
          <w:rFonts w:hint="eastAsia" w:ascii="宋体" w:hAnsi="宋体" w:eastAsia="宋体" w:cs="宋体"/>
          <w:color w:val="000000"/>
          <w:sz w:val="24"/>
          <w:szCs w:val="24"/>
          <w:highlight w:val="none"/>
        </w:rPr>
        <w:t xml:space="preserve">合格供应商的基本条件、特定条件所需提供的相应证明材料，具体包括：</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2.6.2具有良好的商业信誉和健全的财务会计制度证明。包括最近一期经审计的财务报告</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提供银行出具的资信证明；</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067"/>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2.6.4有依法缴纳税收和社会保障资金的良好记录。</w:t>
      </w:r>
      <w:r>
        <w:rPr>
          <w:rStyle w:val="1067"/>
          <w:rFonts w:hint="eastAsia" w:ascii="宋体" w:hAnsi="宋体" w:eastAsia="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67"/>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2.6.7特定资格要求：</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有效的食品经营许可证</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27"/>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2.6.</w:t>
      </w:r>
      <w:r>
        <w:rPr>
          <w:rStyle w:val="1067"/>
          <w:rFonts w:hint="eastAsia" w:ascii="宋体" w:hAnsi="宋体" w:eastAsia="宋体" w:cs="宋体"/>
          <w:color w:val="000000"/>
          <w:sz w:val="24"/>
          <w:szCs w:val="24"/>
          <w:highlight w:val="none"/>
          <w:lang w:val="en-US" w:eastAsia="zh-CN"/>
        </w:rPr>
        <w:t xml:space="preserve">8</w:t>
      </w:r>
      <w:r>
        <w:rPr>
          <w:rStyle w:val="1067"/>
          <w:rFonts w:hint="eastAsia" w:ascii="宋体" w:hAnsi="宋体" w:eastAsia="宋体" w:cs="宋体"/>
          <w:color w:val="000000"/>
          <w:sz w:val="24"/>
          <w:szCs w:val="24"/>
          <w:highlight w:val="none"/>
        </w:rPr>
        <w:t xml:space="preserve">《中小企业声明函》或《残疾人福利性单位声明函》或省级以上监狱管理局、戒毒管理局（含新疆生产建设兵团）出具的属于监狱企业的证明文件；</w:t>
      </w:r>
      <w:r>
        <w:rPr>
          <w:rStyle w:val="1067"/>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b/>
          <w:bCs/>
          <w:color w:val="000000"/>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67"/>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lang w:val="en-US" w:eastAsia="zh-CN"/>
        </w:rPr>
        <w:t xml:space="preserve">7</w:t>
      </w:r>
      <w:r>
        <w:rPr>
          <w:rStyle w:val="1067"/>
          <w:rFonts w:hint="eastAsia" w:ascii="宋体" w:hAnsi="宋体" w:eastAsia="宋体" w:cs="宋体"/>
          <w:color w:val="000000"/>
          <w:sz w:val="24"/>
          <w:szCs w:val="24"/>
          <w:highlight w:val="none"/>
        </w:rPr>
        <w:t xml:space="preserve">《拟投入本项目人员配备一览表》；</w:t>
      </w:r>
      <w:r>
        <w:rPr>
          <w:rStyle w:val="1067"/>
          <w:rFonts w:hint="eastAsia" w:ascii="宋体" w:hAnsi="宋体" w:eastAsia="宋体" w:cs="宋体"/>
          <w:color w:val="000000"/>
          <w:sz w:val="24"/>
          <w:szCs w:val="24"/>
          <w:highlight w:val="none"/>
        </w:rPr>
      </w:r>
      <w:r/>
    </w:p>
    <w:p>
      <w:pPr>
        <w:pStyle w:val="1085"/>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w:t>
      </w:r>
      <w:r>
        <w:rPr>
          <w:rStyle w:val="1067"/>
          <w:rFonts w:hint="eastAsia" w:ascii="宋体" w:hAnsi="宋体" w:eastAsia="宋体" w:cs="宋体"/>
          <w:color w:val="000000"/>
          <w:szCs w:val="24"/>
          <w:highlight w:val="none"/>
          <w:lang w:val="en-US" w:eastAsia="zh-CN"/>
        </w:rPr>
        <w:t xml:space="preserve">8</w:t>
      </w:r>
      <w:r>
        <w:rPr>
          <w:rStyle w:val="1067"/>
          <w:rFonts w:hint="eastAsia" w:ascii="宋体" w:hAnsi="宋体" w:eastAsia="宋体" w:cs="宋体"/>
          <w:color w:val="000000"/>
          <w:szCs w:val="24"/>
          <w:highlight w:val="none"/>
        </w:rPr>
        <w:t xml:space="preserve">《商务条款偏离表》</w:t>
      </w:r>
      <w:r>
        <w:rPr>
          <w:rStyle w:val="1067"/>
          <w:rFonts w:hint="eastAsia" w:ascii="宋体" w:hAnsi="宋体" w:eastAsia="宋体" w:cs="宋体"/>
          <w:color w:val="000000"/>
          <w:szCs w:val="24"/>
          <w:highlight w:val="none"/>
          <w:lang w:eastAsia="zh-CN"/>
        </w:rPr>
        <w:t xml:space="preserve">、</w:t>
      </w:r>
      <w:r>
        <w:rPr>
          <w:rStyle w:val="1067"/>
          <w:rFonts w:hint="eastAsia" w:ascii="宋体" w:hAnsi="宋体" w:eastAsia="宋体" w:cs="宋体"/>
          <w:color w:val="000000"/>
          <w:szCs w:val="24"/>
          <w:highlight w:val="none"/>
        </w:rPr>
        <w:t xml:space="preserve">《服务要求偏离表》；</w:t>
      </w:r>
      <w:r>
        <w:rPr>
          <w:rStyle w:val="1067"/>
          <w:rFonts w:hint="eastAsia" w:ascii="宋体" w:hAnsi="宋体" w:eastAsia="宋体" w:cs="宋体"/>
          <w:color w:val="000000"/>
          <w:szCs w:val="24"/>
          <w:highlight w:val="none"/>
        </w:rPr>
      </w:r>
      <w:r/>
    </w:p>
    <w:p>
      <w:pPr>
        <w:pStyle w:val="1085"/>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w:t>
      </w:r>
      <w:r>
        <w:rPr>
          <w:rStyle w:val="1067"/>
          <w:rFonts w:hint="eastAsia" w:ascii="宋体" w:hAnsi="宋体" w:eastAsia="宋体" w:cs="宋体"/>
          <w:color w:val="000000"/>
          <w:szCs w:val="24"/>
          <w:highlight w:val="none"/>
          <w:lang w:val="en-US" w:eastAsia="zh-CN"/>
        </w:rPr>
        <w:t xml:space="preserve">9</w:t>
      </w:r>
      <w:r>
        <w:rPr>
          <w:rStyle w:val="1067"/>
          <w:rFonts w:hint="eastAsia" w:ascii="宋体" w:hAnsi="宋体" w:eastAsia="宋体" w:cs="宋体"/>
          <w:color w:val="000000"/>
          <w:szCs w:val="24"/>
          <w:highlight w:val="none"/>
        </w:rPr>
        <w:t xml:space="preserve">《投标（响应）保证承诺书》</w:t>
      </w:r>
      <w:r>
        <w:rPr>
          <w:rStyle w:val="1067"/>
          <w:rFonts w:hint="eastAsia" w:ascii="宋体" w:hAnsi="宋体" w:eastAsia="宋体" w:cs="宋体"/>
          <w:color w:val="000000"/>
          <w:szCs w:val="24"/>
          <w:highlight w:val="none"/>
          <w:lang w:eastAsia="zh-CN"/>
        </w:rPr>
        <w:t xml:space="preserve">、</w:t>
      </w:r>
      <w:r>
        <w:rPr>
          <w:rStyle w:val="1067"/>
          <w:rFonts w:hint="eastAsia" w:ascii="宋体" w:hAnsi="宋体" w:eastAsia="宋体" w:cs="宋体"/>
          <w:color w:val="000000"/>
          <w:szCs w:val="24"/>
          <w:highlight w:val="none"/>
        </w:rPr>
        <w:t xml:space="preserve">《响应单位与其他单位存在控股、管理关系情况表》；</w:t>
      </w:r>
      <w:r>
        <w:rPr>
          <w:rStyle w:val="1067"/>
          <w:rFonts w:hint="eastAsia" w:ascii="宋体" w:hAnsi="宋体" w:eastAsia="宋体" w:cs="宋体"/>
          <w:color w:val="000000"/>
          <w:szCs w:val="24"/>
          <w:highlight w:val="none"/>
        </w:rPr>
      </w:r>
      <w:r/>
    </w:p>
    <w:p>
      <w:pPr>
        <w:pStyle w:val="1085"/>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0</w:t>
      </w:r>
      <w:r>
        <w:rPr>
          <w:rStyle w:val="1067"/>
          <w:rFonts w:hint="eastAsia" w:ascii="宋体" w:hAnsi="宋体" w:eastAsia="宋体" w:cs="宋体"/>
          <w:color w:val="000000"/>
          <w:szCs w:val="24"/>
          <w:highlight w:val="none"/>
        </w:rPr>
        <w:t xml:space="preserve">磋商采购文件中要求必须提供的其他相关证明材料；</w:t>
      </w:r>
      <w:r>
        <w:rPr>
          <w:rStyle w:val="1067"/>
          <w:rFonts w:hint="eastAsia" w:ascii="宋体" w:hAnsi="宋体" w:eastAsia="宋体" w:cs="宋体"/>
          <w:color w:val="000000"/>
          <w:szCs w:val="24"/>
          <w:highlight w:val="none"/>
        </w:rPr>
      </w:r>
      <w:r/>
    </w:p>
    <w:p>
      <w:pPr>
        <w:pStyle w:val="1085"/>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lang w:val="en-US" w:eastAsia="zh-CN"/>
        </w:rPr>
        <w:t xml:space="preserve">11</w:t>
      </w:r>
      <w:r>
        <w:rPr>
          <w:rStyle w:val="1067"/>
          <w:rFonts w:hint="eastAsia" w:ascii="宋体" w:hAnsi="宋体" w:eastAsia="宋体" w:cs="宋体"/>
          <w:color w:val="000000"/>
          <w:sz w:val="24"/>
          <w:szCs w:val="24"/>
          <w:highlight w:val="none"/>
        </w:rPr>
        <w:t xml:space="preserve">《实施方案》；</w:t>
      </w:r>
      <w:r>
        <w:rPr>
          <w:rStyle w:val="1067"/>
          <w:rFonts w:hint="eastAsia" w:ascii="宋体" w:hAnsi="宋体" w:eastAsia="宋体" w:cs="宋体"/>
          <w:color w:val="000000"/>
          <w:szCs w:val="24"/>
          <w:highlight w:val="none"/>
        </w:rPr>
      </w:r>
      <w:r/>
    </w:p>
    <w:p>
      <w:pPr>
        <w:pStyle w:val="1085"/>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《企业类似项目一览表》</w:t>
      </w:r>
      <w:r>
        <w:rPr>
          <w:rStyle w:val="1067"/>
          <w:rFonts w:hint="eastAsia" w:ascii="宋体" w:hAnsi="宋体" w:eastAsia="宋体" w:cs="宋体"/>
          <w:color w:val="000000"/>
          <w:szCs w:val="24"/>
          <w:highlight w:val="none"/>
        </w:rPr>
        <w:t xml:space="preserve">；</w:t>
      </w:r>
      <w:r>
        <w:rPr>
          <w:rStyle w:val="1067"/>
          <w:rFonts w:hint="eastAsia" w:ascii="宋体" w:hAnsi="宋体" w:eastAsia="宋体" w:cs="宋体"/>
          <w:color w:val="000000"/>
          <w:szCs w:val="24"/>
          <w:highlight w:val="none"/>
        </w:rPr>
      </w:r>
      <w:r/>
    </w:p>
    <w:p>
      <w:pPr>
        <w:pStyle w:val="1034"/>
        <w:numPr>
          <w:ilvl w:val="0"/>
          <w:numId w:val="0"/>
        </w:numPr>
        <w:ind w:firstLine="480"/>
        <w:keepLines w:val="0"/>
        <w:keepNext w:val="0"/>
        <w:pageBreakBefore w:val="0"/>
        <w:spacing w:line="360" w:lineRule="auto"/>
        <w:widowControl w:val="off"/>
        <w:rPr>
          <w:rStyle w:val="1067"/>
          <w:rFonts w:hint="eastAsia" w:ascii="宋体" w:hAnsi="宋体" w:eastAsia="宋体" w:cs="宋体"/>
          <w:b w:val="0"/>
          <w:bCs/>
          <w:color w:val="000000"/>
          <w:sz w:val="24"/>
          <w:szCs w:val="24"/>
          <w:highlight w:val="none"/>
          <w:lang w:val="en-US" w:eastAsia="zh-CN" w:bidi="ar-SA"/>
        </w:rPr>
        <w:outlineLvl w:val="1"/>
      </w:pPr>
      <w:r>
        <w:rPr>
          <w:rStyle w:val="1067"/>
          <w:rFonts w:hint="eastAsia" w:ascii="宋体" w:hAnsi="宋体" w:eastAsia="宋体" w:cs="宋体"/>
          <w:b w:val="0"/>
          <w:bCs/>
          <w:color w:val="000000"/>
          <w:sz w:val="24"/>
          <w:szCs w:val="24"/>
          <w:highlight w:val="none"/>
          <w:lang w:val="en-US" w:eastAsia="zh-CN" w:bidi="ar-SA"/>
        </w:rPr>
        <w:t xml:space="preserve">2.13其它有关资格证明文件：</w:t>
      </w:r>
      <w:r>
        <w:rPr>
          <w:rStyle w:val="1067"/>
          <w:rFonts w:hint="eastAsia" w:ascii="宋体" w:hAnsi="宋体" w:eastAsia="宋体" w:cs="宋体"/>
          <w:b w:val="0"/>
          <w:bCs/>
          <w:color w:val="000000"/>
          <w:sz w:val="24"/>
          <w:szCs w:val="24"/>
          <w:highlight w:val="none"/>
          <w:lang w:val="en-US" w:eastAsia="zh-CN" w:bidi="ar-SA"/>
        </w:rPr>
      </w:r>
      <w:r/>
    </w:p>
    <w:p>
      <w:pPr>
        <w:pStyle w:val="1034"/>
        <w:numPr>
          <w:ilvl w:val="0"/>
          <w:numId w:val="0"/>
        </w:numPr>
        <w:ind w:firstLine="480"/>
        <w:keepLines w:val="0"/>
        <w:keepNext w:val="0"/>
        <w:pageBreakBefore w:val="0"/>
        <w:spacing w:line="360" w:lineRule="auto"/>
        <w:widowControl w:val="off"/>
        <w:rPr>
          <w:rStyle w:val="1067"/>
          <w:rFonts w:hint="eastAsia" w:ascii="宋体" w:hAnsi="宋体" w:eastAsia="宋体" w:cs="宋体"/>
          <w:b w:val="0"/>
          <w:bCs/>
          <w:color w:val="000000"/>
          <w:sz w:val="24"/>
          <w:szCs w:val="24"/>
          <w:highlight w:val="none"/>
          <w:lang w:val="en-US" w:eastAsia="zh-CN" w:bidi="ar-SA"/>
        </w:rPr>
        <w:outlineLvl w:val="1"/>
      </w:pPr>
      <w:r>
        <w:rPr>
          <w:rStyle w:val="1067"/>
          <w:rFonts w:hint="eastAsia" w:ascii="宋体" w:hAnsi="宋体" w:eastAsia="宋体" w:cs="宋体"/>
          <w:b w:val="0"/>
          <w:bCs/>
          <w:color w:val="000000"/>
          <w:sz w:val="24"/>
          <w:szCs w:val="24"/>
          <w:highlight w:val="none"/>
          <w:lang w:val="en-US" w:eastAsia="zh-CN" w:bidi="ar-SA"/>
        </w:rPr>
        <w:t xml:space="preserve">2.13.1其他可以证明磋商供应商资信、资质和货物、服务质量的证书、文件、推荐信等资料。</w:t>
      </w:r>
      <w:r>
        <w:rPr>
          <w:rStyle w:val="1067"/>
          <w:rFonts w:hint="eastAsia" w:ascii="宋体" w:hAnsi="宋体" w:eastAsia="宋体" w:cs="宋体"/>
          <w:b w:val="0"/>
          <w:bCs/>
          <w:color w:val="000000"/>
          <w:sz w:val="24"/>
          <w:szCs w:val="24"/>
          <w:highlight w:val="none"/>
          <w:lang w:val="en-US" w:eastAsia="zh-CN" w:bidi="ar-SA"/>
        </w:rPr>
      </w:r>
      <w:r/>
    </w:p>
    <w:p>
      <w:pPr>
        <w:pStyle w:val="1034"/>
        <w:numPr>
          <w:ilvl w:val="0"/>
          <w:numId w:val="0"/>
        </w:numPr>
        <w:ind w:firstLine="482"/>
        <w:keepLines w:val="0"/>
        <w:keepNext w:val="0"/>
        <w:pageBreakBefore w:val="0"/>
        <w:spacing w:line="360" w:lineRule="auto"/>
        <w:widowControl w:val="off"/>
        <w:rPr>
          <w:rStyle w:val="1067"/>
          <w:rFonts w:hint="eastAsia" w:ascii="宋体" w:hAnsi="宋体" w:eastAsia="宋体" w:cs="宋体"/>
          <w:b/>
          <w:color w:val="000000"/>
          <w:sz w:val="24"/>
          <w:szCs w:val="24"/>
          <w:highlight w:val="none"/>
          <w:lang w:val="en-US" w:eastAsia="zh-CN" w:bidi="ar-SA"/>
        </w:rPr>
        <w:outlineLvl w:val="1"/>
      </w:pPr>
      <w:r>
        <w:rPr>
          <w:rStyle w:val="1067"/>
          <w:rFonts w:hint="eastAsia" w:ascii="宋体" w:hAnsi="宋体" w:eastAsia="宋体" w:cs="宋体"/>
          <w:b/>
          <w:color w:val="000000"/>
          <w:sz w:val="24"/>
          <w:szCs w:val="24"/>
          <w:highlight w:val="none"/>
          <w:lang w:val="en-US" w:eastAsia="zh-CN" w:bidi="ar-SA"/>
        </w:rPr>
        <w:t xml:space="preserve">注1：以上2.6.1-2.6.8为资格审查要求提供的材料，是作为对供应商资格审查、质疑身份认定的依据，响应供应商必须提供并加盖电子公章。否则，磋商响应文件将被认定为不符合资格审查要求。</w:t>
      </w:r>
      <w:r>
        <w:rPr>
          <w:rStyle w:val="1067"/>
          <w:rFonts w:hint="eastAsia" w:ascii="宋体" w:hAnsi="宋体" w:eastAsia="宋体" w:cs="宋体"/>
          <w:b/>
          <w:color w:val="000000"/>
          <w:sz w:val="24"/>
          <w:szCs w:val="24"/>
          <w:highlight w:val="none"/>
          <w:lang w:val="en-US" w:eastAsia="zh-CN" w:bidi="ar-SA"/>
        </w:rPr>
      </w:r>
      <w:r/>
    </w:p>
    <w:p>
      <w:pPr>
        <w:pStyle w:val="1034"/>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以上</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5，2.7-2.10</w:t>
      </w:r>
      <w:r>
        <w:rPr>
          <w:rFonts w:hint="eastAsia" w:ascii="宋体" w:hAnsi="宋体" w:eastAsia="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b/>
          <w:color w:val="000000"/>
          <w:sz w:val="24"/>
          <w:szCs w:val="24"/>
          <w:highlight w:val="none"/>
        </w:rPr>
      </w:r>
      <w:r/>
    </w:p>
    <w:p>
      <w:pPr>
        <w:pStyle w:val="1034"/>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制作电子响应文件时必须与</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文件制作软件目录一一对应，将相关资料上传至相应模块。</w:t>
      </w:r>
      <w:r>
        <w:rPr>
          <w:rStyle w:val="1067"/>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注</w:t>
      </w:r>
      <w:r>
        <w:rPr>
          <w:rStyle w:val="1067"/>
          <w:rFonts w:hint="eastAsia" w:ascii="宋体" w:hAnsi="宋体" w:eastAsia="宋体" w:cs="宋体"/>
          <w:b/>
          <w:bCs/>
          <w:color w:val="000000"/>
          <w:sz w:val="24"/>
          <w:szCs w:val="24"/>
          <w:highlight w:val="none"/>
          <w:lang w:val="en-US" w:eastAsia="zh-CN"/>
        </w:rPr>
        <w:t xml:space="preserve">4</w:t>
      </w:r>
      <w:r>
        <w:rPr>
          <w:rStyle w:val="1067"/>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注</w:t>
      </w:r>
      <w:r>
        <w:rPr>
          <w:rStyle w:val="1067"/>
          <w:rFonts w:hint="eastAsia" w:ascii="宋体" w:hAnsi="宋体" w:eastAsia="宋体" w:cs="宋体"/>
          <w:b/>
          <w:bCs/>
          <w:color w:val="000000"/>
          <w:sz w:val="24"/>
          <w:szCs w:val="24"/>
          <w:highlight w:val="none"/>
          <w:lang w:val="en-US" w:eastAsia="zh-CN"/>
        </w:rPr>
        <w:t xml:space="preserve">5</w:t>
      </w:r>
      <w:r>
        <w:rPr>
          <w:rStyle w:val="1067"/>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磋商过程中如有问题采购代理机构工作人员会及时</w:t>
      </w:r>
      <w:r>
        <w:rPr>
          <w:rFonts w:hint="eastAsia" w:ascii="宋体" w:hAnsi="宋体" w:eastAsia="宋体" w:cs="宋体"/>
          <w:b/>
          <w:bCs/>
          <w:color w:val="000000"/>
          <w:sz w:val="24"/>
          <w:szCs w:val="24"/>
          <w:highlight w:val="none"/>
          <w:lang w:val="en-US" w:eastAsia="zh-CN"/>
        </w:rPr>
        <w:t xml:space="preserve">通过</w:t>
      </w:r>
      <w:r>
        <w:rPr>
          <w:rFonts w:hint="eastAsia" w:ascii="宋体" w:hAnsi="宋体" w:eastAsia="宋体" w:cs="宋体"/>
          <w:b/>
          <w:bCs/>
          <w:color w:val="000000"/>
          <w:sz w:val="24"/>
          <w:szCs w:val="24"/>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29" w:name="_Toc5566"/>
      <w:r>
        <w:rPr>
          <w:rFonts w:hint="eastAsia" w:ascii="宋体" w:hAnsi="宋体" w:eastAsia="宋体" w:cs="宋体"/>
          <w:b/>
          <w:color w:val="000000"/>
          <w:sz w:val="24"/>
          <w:szCs w:val="24"/>
          <w:highlight w:val="none"/>
        </w:rPr>
        <w:t xml:space="preserve">二、磋商程序</w:t>
      </w:r>
      <w:bookmarkEnd w:id="29"/>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 w:name="_Toc7726"/>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、由磋商小组审查供应商解密的响应文件。</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eastAsia="宋体" w:cs="宋体"/>
          <w:b w:val="0"/>
          <w:bCs w:val="0"/>
          <w:color w:val="000000"/>
          <w:sz w:val="24"/>
          <w:szCs w:val="24"/>
          <w:highlight w:val="none"/>
        </w:rPr>
        <w:t xml:space="preserve">、说明或者更正。供应商的澄清、说明或者更正不得超出响应文件的范围或者改变响应文件的实质性内容。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b/>
          <w:bCs/>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color w:val="000000"/>
          <w:sz w:val="24"/>
          <w:szCs w:val="24"/>
          <w:highlight w:val="none"/>
        </w:rPr>
        <w:t xml:space="preserve">，磋商小组将在“苏采云”系统中同时通知所有参加磋商的供应商，供应商应当按照磋商文件的变动情况和磋商小组的要求在“苏采云”系统中重新提交响应文件，并加盖CA电子公章。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w:t>
      </w:r>
      <w:r>
        <w:rPr>
          <w:rFonts w:hint="eastAsia" w:ascii="宋体" w:hAnsi="宋体" w:eastAsia="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en-US"/>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en-US"/>
        </w:rPr>
        <w:t xml:space="preserve">政府采购异常低价审查</w:t>
      </w:r>
      <w:r>
        <w:rPr>
          <w:rFonts w:hint="eastAsia" w:ascii="宋体" w:hAnsi="宋体" w:eastAsia="宋体" w:cs="宋体"/>
          <w:b/>
          <w:bCs/>
          <w:color w:val="000000"/>
          <w:sz w:val="24"/>
          <w:szCs w:val="24"/>
          <w:highlight w:val="none"/>
          <w:lang w:val="zh-CN" w:eastAsia="en-US"/>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.1评审过程中出现下列情形之一的，磋商小组应当启动异常低价投标（响应）审查程序：</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（3）投标（响应）报价低于采购项目最高限价45%的，即投标（响应）报价＜采购项目最高限价×45%；</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zh-CN" w:eastAsia="zh-CN"/>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三、质疑</w:t>
      </w:r>
      <w:bookmarkEnd w:id="30"/>
      <w:r>
        <w:rPr>
          <w:rFonts w:hint="eastAsia" w:ascii="宋体" w:hAnsi="宋体" w:eastAsia="宋体" w:cs="宋体"/>
          <w:b/>
          <w:bCs/>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31" w:name="_Toc31942"/>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w:t>
      </w:r>
      <w:r>
        <w:rPr>
          <w:rFonts w:hint="eastAsia" w:ascii="宋体" w:hAnsi="宋体" w:eastAsia="宋体" w:cs="宋体"/>
          <w:b w:val="0"/>
          <w:bCs w:val="0"/>
          <w:color w:val="000000"/>
          <w:sz w:val="24"/>
          <w:szCs w:val="24"/>
          <w:highlight w:val="none"/>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eastAsia="宋体" w:cs="宋体"/>
          <w:color w:val="000000"/>
          <w:sz w:val="24"/>
          <w:szCs w:val="24"/>
          <w:highlight w:val="none"/>
        </w:rPr>
        <w:t xml:space="preserve">具体权限、期限和相关事项。</w:t>
      </w:r>
      <w:r>
        <w:rPr>
          <w:rFonts w:hint="eastAsia" w:ascii="宋体" w:hAnsi="宋体" w:eastAsia="宋体" w:cs="宋体"/>
          <w:color w:val="000000"/>
          <w:sz w:val="24"/>
          <w:szCs w:val="24"/>
          <w:highlight w:val="none"/>
        </w:rPr>
      </w:r>
      <w:r/>
    </w:p>
    <w:p>
      <w:pPr>
        <w:pStyle w:val="1034"/>
        <w:ind w:left="0" w:right="0"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sz w:val="24"/>
          <w:szCs w:val="24"/>
          <w:highlight w:val="none"/>
        </w:rPr>
        <w:t xml:space="preserve">《投标供应商确认函》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b/>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四、勘察现场</w:t>
      </w:r>
      <w:bookmarkEnd w:id="31"/>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1、本项目不组织统一勘察现场。</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hint="eastAsia" w:ascii="宋体" w:hAnsi="宋体" w:eastAsia="宋体" w:cs="宋体"/>
          <w:color w:val="000000"/>
          <w:sz w:val="24"/>
          <w:szCs w:val="24"/>
          <w:highlight w:val="none"/>
        </w:rPr>
      </w:r>
      <w:r/>
    </w:p>
    <w:p>
      <w:pPr>
        <w:pStyle w:val="1034"/>
        <w:ind w:left="0"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32" w:name="_Toc2426"/>
      <w:r>
        <w:rPr>
          <w:rFonts w:hint="eastAsia" w:ascii="宋体" w:hAnsi="宋体" w:eastAsia="宋体" w:cs="宋体"/>
          <w:b/>
          <w:color w:val="000000"/>
          <w:sz w:val="24"/>
          <w:szCs w:val="24"/>
          <w:highlight w:val="none"/>
        </w:rPr>
        <w:t xml:space="preserve">五、项目的终止</w:t>
      </w:r>
      <w:bookmarkEnd w:id="32"/>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1034"/>
        <w:ind w:left="0" w:firstLine="482"/>
        <w:keepLines w:val="0"/>
        <w:keepNext w:val="0"/>
        <w:pageBreakBefore w:val="0"/>
        <w:spacing w:line="360" w:lineRule="auto"/>
        <w:rPr>
          <w:rFonts w:hint="eastAsia" w:ascii="宋体" w:hAnsi="宋体" w:eastAsia="宋体" w:cs="宋体"/>
          <w:b/>
          <w:color w:val="000000"/>
          <w:sz w:val="24"/>
          <w:szCs w:val="24"/>
          <w:highlight w:val="none"/>
        </w:rPr>
      </w:pPr>
      <w:r/>
      <w:bookmarkStart w:id="33" w:name="_Toc31063"/>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、磋商说明：</w:t>
      </w:r>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不符合供应商资格要求的响应文件将被认定为无效响应；</w:t>
      </w:r>
      <w:r>
        <w:rPr>
          <w:rFonts w:hint="eastAsia" w:ascii="宋体" w:hAnsi="宋体" w:eastAsia="宋体" w:cs="宋体"/>
          <w:b w:val="0"/>
          <w:bCs/>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在机器码检查中，出现不同供应商响应文件机器码一致情形的，响应文件将被认定为无效响应</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34"/>
        <w:ind w:left="0" w:firstLine="480"/>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最终报价超过采购预算的不能成交；</w:t>
      </w:r>
      <w:r>
        <w:rPr>
          <w:rFonts w:hint="eastAsia" w:ascii="宋体" w:hAnsi="宋体" w:eastAsia="宋体" w:cs="宋体"/>
          <w:b w:val="0"/>
          <w:bCs/>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不实质性响应采购文件的不能成交。</w:t>
      </w:r>
      <w:r>
        <w:rPr>
          <w:rFonts w:hint="eastAsia" w:ascii="宋体" w:hAnsi="宋体" w:eastAsia="宋体" w:cs="宋体"/>
          <w:b/>
          <w:color w:val="000000"/>
          <w:sz w:val="24"/>
          <w:szCs w:val="24"/>
          <w:highlight w:val="none"/>
        </w:rPr>
      </w:r>
      <w:r/>
    </w:p>
    <w:p>
      <w:pPr>
        <w:pStyle w:val="1034"/>
        <w:ind w:left="0" w:firstLine="482"/>
        <w:keepLines w:val="0"/>
        <w:keepNext w:val="0"/>
        <w:pageBreakBefore w:val="0"/>
        <w:spacing w:line="360" w:lineRule="auto"/>
        <w:rPr>
          <w:rFonts w:hint="eastAsia" w:ascii="宋体" w:hAnsi="宋体" w:eastAsia="宋体" w:cs="宋体"/>
          <w:b/>
          <w:color w:val="000000"/>
          <w:sz w:val="24"/>
          <w:szCs w:val="24"/>
          <w:highlight w:val="none"/>
        </w:rPr>
      </w:pPr>
      <w:r/>
      <w:bookmarkEnd w:id="33"/>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、服务费及履约保证金</w:t>
      </w:r>
      <w:r>
        <w:rPr>
          <w:rFonts w:hint="eastAsia" w:ascii="宋体" w:hAnsi="宋体" w:eastAsia="宋体" w:cs="宋体"/>
          <w:b/>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27"/>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开票信息</w:t>
            </w: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报名单位公司名称</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27"/>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4"/>
        <w:ind w:lef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34" w:name="_Toc31110"/>
      <w:r>
        <w:rPr>
          <w:rFonts w:hint="eastAsia" w:ascii="宋体" w:hAnsi="宋体" w:eastAsia="宋体" w:cs="宋体"/>
          <w:b/>
          <w:bCs/>
          <w:color w:val="000000"/>
          <w:sz w:val="24"/>
          <w:szCs w:val="24"/>
          <w:highlight w:val="none"/>
        </w:rPr>
        <w:t xml:space="preserve">3、成交单位凭已缴纳代理服务费的银行回单至代理机构领取成交通知书、合同。</w:t>
      </w:r>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履约保证金：本项目无需提交履约保证金。</w:t>
      </w:r>
      <w:r>
        <w:rPr>
          <w:rFonts w:hint="eastAsia" w:ascii="宋体" w:hAnsi="宋体" w:eastAsia="宋体" w:cs="宋体"/>
          <w:b/>
          <w:bCs/>
          <w:color w:val="000000"/>
          <w:sz w:val="24"/>
          <w:szCs w:val="24"/>
          <w:highlight w:val="none"/>
        </w:rPr>
      </w:r>
      <w:r/>
    </w:p>
    <w:p>
      <w:pPr>
        <w:pStyle w:val="1027"/>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、政府采购政策</w:t>
      </w:r>
      <w:bookmarkEnd w:id="34"/>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（一）节能产品、环境标志产品</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bookmarkStart w:id="35" w:name="_Toc5270"/>
      <w:r>
        <w:rPr>
          <w:rFonts w:hint="eastAsia" w:ascii="宋体" w:hAnsi="宋体" w:eastAsia="宋体" w:cs="宋体"/>
          <w:b w:val="0"/>
          <w:bCs w:val="0"/>
          <w:color w:val="000000"/>
          <w:sz w:val="24"/>
          <w:szCs w:val="24"/>
          <w:highlight w:val="none"/>
          <w:lang w:val="en-US" w:eastAsia="zh-CN"/>
        </w:rPr>
        <w:t xml:space="preserve">（二）采购本国产品的支持政策（本项目为服务项目，不涉及货物，不适用以下内容）</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1、根据《国务院办公厅关于在政府采购中实施本国产品标准及相关政策的通知》</w:t>
      </w:r>
      <w:bookmarkStart w:id="36" w:name="OLE_LINK13"/>
      <w:r>
        <w:rPr>
          <w:rFonts w:hint="eastAsia" w:ascii="宋体" w:hAnsi="宋体" w:eastAsia="宋体" w:cs="宋体"/>
          <w:b w:val="0"/>
          <w:bCs w:val="0"/>
          <w:color w:val="000000"/>
          <w:sz w:val="24"/>
          <w:szCs w:val="24"/>
          <w:highlight w:val="none"/>
          <w:lang w:val="en-US" w:eastAsia="zh-CN"/>
        </w:rPr>
        <w:t xml:space="preserve">（国办发〔2025〕34号）</w:t>
      </w:r>
      <w:bookmarkEnd w:id="36"/>
      <w:r>
        <w:rPr>
          <w:rFonts w:hint="eastAsia" w:ascii="宋体" w:hAnsi="宋体" w:eastAsia="宋体" w:cs="宋体"/>
          <w:b w:val="0"/>
          <w:bCs w:val="0"/>
          <w:color w:val="000000"/>
          <w:sz w:val="24"/>
          <w:szCs w:val="24"/>
          <w:highlight w:val="none"/>
          <w:lang w:val="en-US" w:eastAsia="zh-CN"/>
        </w:rPr>
        <w:t xml:space="preserve">（以下简称“本国产品扶持政策”）的规定，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3、本国产品标准的适用范围</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多种产品采购时，还应提供《关于本国产品成本占比的声明函》（格式见第三章）。</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未按上述要求提供的，不享受本国产品扶持政策。</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6、若供应商提供虚假《关于符合本国产品标准的声明函》《关于本国产品成本占比的声明函》、虚假证明文件谋取中标、成交的，依照《中华人民共和国政府采购法》等法律法规规定追究相应责任。</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7、供应商提供的《关于符合本国产品标准的声明函》，或财政部会同有关部门规定的有关证明文件将随中标（成交）结果同时公告。</w:t>
      </w:r>
      <w:r>
        <w:rPr>
          <w:rFonts w:hint="eastAsia" w:ascii="宋体" w:hAnsi="宋体" w:eastAsia="宋体" w:cs="宋体"/>
          <w:b w:val="0"/>
          <w:bCs w:val="0"/>
          <w:color w:val="000000"/>
          <w:sz w:val="24"/>
          <w:szCs w:val="24"/>
          <w:highlight w:val="none"/>
          <w:lang w:val="en-US" w:eastAsia="zh-CN"/>
        </w:rPr>
      </w:r>
      <w:r/>
    </w:p>
    <w:p>
      <w:pPr>
        <w:pStyle w:val="1027"/>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、信用记录</w:t>
      </w:r>
      <w:bookmarkEnd w:id="35"/>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bCs/>
          <w:color w:val="000000"/>
          <w:sz w:val="24"/>
          <w:szCs w:val="24"/>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bookmarkStart w:id="37" w:name="_Toc14106"/>
      <w:r>
        <w:rPr>
          <w:rFonts w:hint="eastAsia" w:ascii="宋体" w:hAnsi="宋体" w:eastAsia="宋体" w:cs="宋体"/>
          <w:b/>
          <w:color w:val="000000"/>
          <w:sz w:val="24"/>
          <w:szCs w:val="24"/>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02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8"/>
        <w:jc w:val="center"/>
        <w:spacing w:before="0" w:after="0" w:line="360" w:lineRule="auto"/>
        <w:rPr>
          <w:rFonts w:hint="eastAsia" w:ascii="宋体" w:hAnsi="宋体" w:eastAsia="宋体" w:cs="宋体"/>
          <w:b/>
          <w:color w:val="000000"/>
          <w:sz w:val="44"/>
          <w:szCs w:val="44"/>
          <w:highlight w:val="none"/>
        </w:rPr>
      </w:pPr>
      <w:r/>
      <w:bookmarkStart w:id="38" w:name="_Toc29473"/>
      <w:r/>
      <w:bookmarkStart w:id="39" w:name="_Toc4028"/>
      <w:r>
        <w:rPr>
          <w:rFonts w:hint="eastAsia" w:ascii="宋体" w:hAnsi="宋体" w:eastAsia="宋体" w:cs="宋体"/>
          <w:b/>
          <w:color w:val="000000"/>
          <w:sz w:val="44"/>
          <w:szCs w:val="44"/>
          <w:highlight w:val="none"/>
        </w:rPr>
        <w:t xml:space="preserve">第三章 </w:t>
      </w:r>
      <w:bookmarkStart w:id="40" w:name="投标文件格式"/>
      <w:r/>
      <w:bookmarkEnd w:id="40"/>
      <w:r>
        <w:rPr>
          <w:rFonts w:hint="eastAsia" w:ascii="宋体" w:hAnsi="宋体" w:eastAsia="宋体" w:cs="宋体"/>
          <w:b/>
          <w:color w:val="000000"/>
          <w:sz w:val="44"/>
          <w:szCs w:val="44"/>
          <w:highlight w:val="none"/>
        </w:rPr>
        <w:t xml:space="preserve">响应文件格式</w:t>
      </w:r>
      <w:bookmarkEnd w:id="24"/>
      <w:r/>
      <w:bookmarkEnd w:id="25"/>
      <w:r/>
      <w:bookmarkEnd w:id="26"/>
      <w:r/>
      <w:bookmarkEnd w:id="27"/>
      <w:r/>
      <w:bookmarkEnd w:id="37"/>
      <w:r/>
      <w:bookmarkEnd w:id="38"/>
      <w:r/>
      <w:bookmarkEnd w:id="39"/>
      <w:r>
        <w:rPr>
          <w:rFonts w:hint="eastAsia" w:ascii="宋体" w:hAnsi="宋体" w:eastAsia="宋体" w:cs="宋体"/>
          <w:b/>
          <w:color w:val="000000"/>
          <w:sz w:val="44"/>
          <w:szCs w:val="44"/>
          <w:highlight w:val="none"/>
        </w:rPr>
      </w:r>
      <w:r/>
    </w:p>
    <w:p>
      <w:pPr>
        <w:pStyle w:val="1027"/>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ind w:left="0"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4"/>
          <w:szCs w:val="24"/>
          <w:highlight w:val="none"/>
        </w:rPr>
      </w:r>
      <w:r/>
    </w:p>
    <w:p>
      <w:pPr>
        <w:pStyle w:val="1027"/>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41" w:name="_Toc17036"/>
      <w:r/>
      <w:bookmarkStart w:id="42" w:name="_Toc3821"/>
      <w:r/>
      <w:bookmarkStart w:id="43" w:name="_Toc7097"/>
      <w:r>
        <w:rPr>
          <w:rFonts w:hint="eastAsia" w:ascii="宋体" w:hAnsi="宋体" w:eastAsia="宋体" w:cs="宋体"/>
          <w:b/>
          <w:color w:val="000000"/>
          <w:sz w:val="24"/>
          <w:szCs w:val="24"/>
          <w:highlight w:val="none"/>
        </w:rPr>
        <w:t xml:space="preserve">附件1</w:t>
      </w:r>
      <w:bookmarkEnd w:id="41"/>
      <w:r/>
      <w:bookmarkEnd w:id="42"/>
      <w:r>
        <w:rPr>
          <w:rFonts w:hint="eastAsia" w:ascii="宋体" w:hAnsi="宋体" w:eastAsia="宋体" w:cs="宋体"/>
          <w:b/>
          <w:color w:val="000000"/>
          <w:sz w:val="24"/>
          <w:szCs w:val="24"/>
          <w:highlight w:val="none"/>
        </w:rPr>
        <w:t xml:space="preserve">、磋商响应函</w:t>
      </w:r>
      <w:bookmarkEnd w:id="43"/>
      <w:r>
        <w:rPr>
          <w:rFonts w:hint="eastAsia" w:ascii="宋体" w:hAnsi="宋体" w:eastAsia="宋体" w:cs="宋体"/>
          <w:b/>
          <w:color w:val="000000"/>
          <w:sz w:val="24"/>
          <w:szCs w:val="24"/>
          <w:highlight w:val="none"/>
        </w:rPr>
      </w:r>
      <w:r/>
    </w:p>
    <w:p>
      <w:pPr>
        <w:pStyle w:val="1027"/>
        <w:ind w:left="0"/>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1027"/>
        <w:ind w:left="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苏州合亿盛工程咨询有限公司</w:t>
      </w:r>
      <w:r>
        <w:rPr>
          <w:rFonts w:hint="eastAsia" w:ascii="宋体" w:hAnsi="宋体" w:eastAsia="宋体" w:cs="宋体"/>
          <w:color w:val="000000"/>
          <w:sz w:val="24"/>
          <w:szCs w:val="24"/>
          <w:highlight w:val="none"/>
          <w:lang w:val="zh-CN"/>
        </w:rPr>
      </w:r>
      <w:r/>
    </w:p>
    <w:p>
      <w:pPr>
        <w:pStyle w:val="1027"/>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我方收到贵公司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lang w:eastAsia="zh-CN"/>
        </w:rPr>
      </w:pPr>
      <w:r>
        <w:rPr>
          <w:rStyle w:val="1067"/>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067"/>
          <w:rFonts w:hint="eastAsia" w:ascii="宋体" w:hAnsi="宋体" w:eastAsia="宋体" w:cs="宋体"/>
          <w:color w:val="000000"/>
          <w:sz w:val="24"/>
          <w:szCs w:val="24"/>
          <w:highlight w:val="none"/>
          <w:lang w:eastAsia="zh-CN"/>
        </w:rPr>
        <w:t xml:space="preserve">包括在服务期内完成该项目所需的人工费、加班费、服装、胸卡、通讯、福利费、意外险、高温费、节假日补贴、人员培训费、劳保、管理费、各种税费、保险、利润、税金、代理服务费、政策性文件规定及合同包含的所有风险、责任等各项应有费用。遇到法律法规规定的最低工资调整，其中人工费用相应浮动，由响应单位自行承担。</w:t>
      </w:r>
      <w:r>
        <w:rPr>
          <w:rStyle w:val="1067"/>
          <w:rFonts w:hint="eastAsia" w:ascii="宋体" w:hAnsi="宋体" w:eastAsia="宋体" w:cs="宋体"/>
          <w:color w:val="000000"/>
          <w:sz w:val="24"/>
          <w:szCs w:val="24"/>
          <w:highlight w:val="none"/>
          <w:lang w:eastAsia="zh-CN"/>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4、我们同意按采购文件中的规定，本磋商响应文件的有效期限为响应文件提交截止之日起90天。</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5、我们愿意提供磋商采购单位在采购文件中要求的所有资料。</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6、我们愿意遵守采购文件中所列的收费标准。</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7、我们承诺该磋商响应文件在磋商开始后的全过程中保持有效，不作任何更改和变动。</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9、我们声明：我们在参加本次政府采购活动前3年内在经营活动中没有重大违法记录。</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10、如果我们成交，我们愿意按采购文件的规定支付代理服务费。</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11、综合说明：</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所有有关磋商响应文件的函电，请按下列地址联系：</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单位：                             联系人：</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地址：                             邮政编码：</w:t>
      </w:r>
      <w:r>
        <w:rPr>
          <w:rStyle w:val="1067"/>
          <w:rFonts w:hint="eastAsia" w:ascii="宋体" w:hAnsi="宋体" w:eastAsia="宋体" w:cs="宋体"/>
          <w:color w:val="000000"/>
          <w:sz w:val="24"/>
          <w:szCs w:val="24"/>
          <w:highlight w:val="none"/>
        </w:rPr>
      </w:r>
      <w:r/>
    </w:p>
    <w:p>
      <w:pPr>
        <w:pStyle w:val="1087"/>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联系电话：                         传真：</w:t>
      </w:r>
      <w:r>
        <w:rPr>
          <w:rStyle w:val="1067"/>
          <w:rFonts w:hint="eastAsia" w:ascii="宋体" w:hAnsi="宋体" w:eastAsia="宋体" w:cs="宋体"/>
          <w:color w:val="000000"/>
          <w:sz w:val="24"/>
          <w:szCs w:val="24"/>
          <w:highlight w:val="none"/>
        </w:rPr>
      </w:r>
      <w:r/>
    </w:p>
    <w:p>
      <w:pPr>
        <w:pStyle w:val="1027"/>
        <w:ind w:left="0" w:firstLine="480"/>
        <w:widowControl w:val="off"/>
        <w:rPr>
          <w:rFonts w:hint="eastAsia" w:ascii="宋体" w:hAnsi="宋体" w:eastAsia="宋体" w:cs="宋体"/>
          <w:color w:val="000000"/>
          <w:sz w:val="24"/>
          <w:szCs w:val="24"/>
          <w:highlight w:val="none"/>
          <w:u w:val="single"/>
        </w:rPr>
      </w:pPr>
      <w:r>
        <w:rPr>
          <w:rStyle w:val="1067"/>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r>
      <w:r/>
    </w:p>
    <w:p>
      <w:pPr>
        <w:pStyle w:val="1027"/>
        <w:ind w:left="0" w:right="-200"/>
        <w:jc w:val="right"/>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7"/>
        <w:ind w:left="0"/>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4" w:name="_Toc6183"/>
      <w:r>
        <w:rPr>
          <w:rFonts w:hint="eastAsia" w:ascii="宋体" w:hAnsi="宋体" w:eastAsia="宋体" w:cs="宋体"/>
          <w:b/>
          <w:color w:val="000000"/>
          <w:sz w:val="24"/>
          <w:szCs w:val="24"/>
          <w:highlight w:val="none"/>
        </w:rPr>
        <w:t xml:space="preserve">附件2、磋商报价表</w:t>
      </w:r>
      <w:bookmarkEnd w:id="44"/>
      <w:r>
        <w:rPr>
          <w:rFonts w:hint="eastAsia" w:ascii="宋体" w:hAnsi="宋体" w:eastAsia="宋体" w:cs="宋体"/>
          <w:b/>
          <w:color w:val="000000"/>
          <w:sz w:val="24"/>
          <w:szCs w:val="24"/>
          <w:highlight w:val="none"/>
        </w:rPr>
      </w:r>
      <w:r/>
    </w:p>
    <w:p>
      <w:pPr>
        <w:pStyle w:val="10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b/>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ind w:left="0"/>
        <w:jc w:val="center"/>
        <w:spacing w:line="360" w:lineRule="auto"/>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采购编号：                                         价格单位：</w:t>
      </w:r>
      <w:r>
        <w:rPr>
          <w:rFonts w:hint="eastAsia" w:ascii="宋体" w:hAnsi="宋体" w:eastAsia="宋体" w:cs="宋体"/>
          <w:color w:val="000000"/>
          <w:sz w:val="24"/>
          <w:szCs w:val="24"/>
          <w:highlight w:val="none"/>
          <w:lang w:val="zh-CN"/>
        </w:rPr>
        <w:t xml:space="preserve">元</w:t>
      </w:r>
      <w:r>
        <w:rPr>
          <w:rStyle w:val="1067"/>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81"/>
        <w:gridCol w:w="2972"/>
        <w:gridCol w:w="2415"/>
      </w:tblGrid>
      <w:tr>
        <w:trPr>
          <w:trHeight w:val="755"/>
        </w:trPr>
        <w:tc>
          <w:tcPr>
            <w:tcW w:w="3281"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2972"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响应总报价</w:t>
            </w:r>
            <w:r>
              <w:rPr>
                <w:rFonts w:hint="eastAsia" w:ascii="宋体" w:hAnsi="宋体" w:eastAsia="宋体" w:cs="宋体"/>
                <w:color w:val="000000"/>
                <w:sz w:val="24"/>
                <w:szCs w:val="24"/>
                <w:highlight w:val="none"/>
                <w:lang w:val="zh-CN"/>
              </w:rPr>
            </w:r>
            <w:r/>
          </w:p>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c>
          <w:tcPr>
            <w:tcW w:w="2415"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tc>
      </w:tr>
      <w:tr>
        <w:trPr>
          <w:trHeight w:val="1045"/>
        </w:trPr>
        <w:tc>
          <w:tcPr>
            <w:tcW w:w="3281"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食堂一年期服务采购项目</w:t>
            </w:r>
            <w:r>
              <w:rPr>
                <w:rFonts w:hint="eastAsia" w:ascii="宋体" w:hAnsi="宋体" w:eastAsia="宋体" w:cs="宋体"/>
                <w:color w:val="000000"/>
                <w:sz w:val="24"/>
                <w:szCs w:val="24"/>
                <w:highlight w:val="none"/>
                <w:lang w:eastAsia="zh-CN"/>
              </w:rPr>
            </w:r>
            <w:r/>
          </w:p>
        </w:tc>
        <w:tc>
          <w:tcPr>
            <w:tcW w:w="2972"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5"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7"/>
        <w:ind w:left="0"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7"/>
        <w:ind w:left="0"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报价</w:t>
      </w:r>
      <w:r>
        <w:rPr>
          <w:rFonts w:hint="eastAsia" w:ascii="宋体" w:hAnsi="宋体" w:eastAsia="宋体" w:cs="宋体"/>
          <w:bCs/>
          <w:color w:val="000000"/>
          <w:sz w:val="24"/>
          <w:szCs w:val="24"/>
          <w:highlight w:val="none"/>
          <w:lang w:eastAsia="zh-CN"/>
        </w:rPr>
        <w:t xml:space="preserve">包括在服务期内完成该项目所需的人工费、加班费、服装、胸卡、通讯、福利费、意外险、高温费、节假日补贴、人员培训费、劳保、管理费、各种税费、保险、利润、税金、代理服务费、政策性文件规定及合同包含的所有风险、责任等各项应有费用。遇到法律法规规定的最低工资调整，其中人工费用相应浮动，由响应单位自行承担。</w:t>
      </w:r>
      <w:r>
        <w:rPr>
          <w:rFonts w:hint="eastAsia" w:ascii="宋体" w:hAnsi="宋体" w:eastAsia="宋体" w:cs="宋体"/>
          <w:bCs/>
          <w:color w:val="000000"/>
          <w:sz w:val="24"/>
          <w:szCs w:val="24"/>
          <w:highlight w:val="none"/>
          <w:lang w:eastAsia="zh-CN"/>
        </w:rPr>
      </w:r>
      <w:r/>
    </w:p>
    <w:p>
      <w:pPr>
        <w:pStyle w:val="1027"/>
        <w:ind w:left="0"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1063"/>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9"/>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7"/>
        <w:ind w:left="0" w:right="4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5" w:name="_Toc14239"/>
      <w:r/>
      <w:bookmarkStart w:id="46" w:name="_Toc31009"/>
      <w:r>
        <w:rPr>
          <w:rFonts w:hint="eastAsia" w:ascii="宋体" w:hAnsi="宋体" w:eastAsia="宋体" w:cs="宋体"/>
          <w:b/>
          <w:color w:val="000000"/>
          <w:sz w:val="24"/>
          <w:szCs w:val="24"/>
          <w:highlight w:val="none"/>
        </w:rPr>
        <w:t xml:space="preserve">附件3、</w:t>
      </w:r>
      <w:bookmarkEnd w:id="45"/>
      <w:r>
        <w:rPr>
          <w:rFonts w:hint="eastAsia" w:ascii="宋体" w:hAnsi="宋体" w:eastAsia="宋体" w:cs="宋体"/>
          <w:b/>
          <w:color w:val="000000"/>
          <w:sz w:val="24"/>
          <w:szCs w:val="24"/>
          <w:highlight w:val="none"/>
        </w:rPr>
        <w:t xml:space="preserve">报价明细表</w:t>
      </w:r>
      <w:r>
        <w:rPr>
          <w:rFonts w:hint="eastAsia" w:ascii="宋体" w:hAnsi="宋体" w:eastAsia="宋体" w:cs="宋体"/>
          <w:b/>
          <w:color w:val="000000"/>
          <w:sz w:val="24"/>
          <w:szCs w:val="24"/>
          <w:highlight w:val="none"/>
        </w:rPr>
      </w:r>
      <w:r/>
    </w:p>
    <w:p>
      <w:pPr>
        <w:pStyle w:val="1027"/>
        <w:ind w:left="0"/>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报价明细表（一）</w:t>
      </w:r>
      <w:r>
        <w:rPr>
          <w:rFonts w:hint="eastAsia" w:ascii="宋体" w:hAnsi="宋体" w:eastAsia="宋体" w:cs="宋体"/>
          <w:b/>
          <w:color w:val="000000"/>
          <w:sz w:val="24"/>
          <w:szCs w:val="24"/>
          <w:highlight w:val="none"/>
        </w:rPr>
      </w:r>
      <w:r/>
    </w:p>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w:t>
      </w:r>
      <w:r>
        <w:rPr>
          <w:rFonts w:hint="eastAsia" w:ascii="宋体" w:hAnsi="宋体" w:eastAsia="宋体" w:cs="宋体"/>
          <w:color w:val="000000"/>
          <w:sz w:val="24"/>
          <w:szCs w:val="24"/>
          <w:highlight w:val="none"/>
        </w:rPr>
      </w:r>
      <w:r/>
    </w:p>
    <w:tbl>
      <w:tblPr>
        <w:tblW w:w="96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095"/>
        <w:gridCol w:w="720"/>
        <w:gridCol w:w="720"/>
        <w:gridCol w:w="720"/>
        <w:gridCol w:w="720"/>
        <w:gridCol w:w="1657"/>
        <w:gridCol w:w="2041"/>
        <w:gridCol w:w="1204"/>
      </w:tblGrid>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岗位名称</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人数</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性别</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年龄</w:t>
            </w: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en-US"/>
              </w:rPr>
              <w:t xml:space="preserve">学历</w:t>
            </w: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综合单价（元/人*月）</w:t>
            </w: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响应总价（人数×综合单价×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个月）</w:t>
            </w: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rPr>
            </w:r>
            <w:r/>
          </w:p>
        </w:tc>
      </w:tr>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027"/>
              <w:ind w:left="0"/>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027"/>
              <w:ind w:left="0"/>
              <w:jc w:val="center"/>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eastAsia="宋体" w:cs="宋体"/>
                <w:b w:val="0"/>
                <w:bCs w:val="0"/>
                <w:color w:val="000000"/>
                <w:sz w:val="21"/>
                <w:szCs w:val="21"/>
                <w:highlight w:val="none"/>
                <w:lang w:val="en-US" w:eastAsia="en-US" w:bidi="ar-SA"/>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027"/>
              <w:ind w:left="0"/>
              <w:jc w:val="center"/>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eastAsia="宋体" w:cs="宋体"/>
                <w:b w:val="0"/>
                <w:bCs w:val="0"/>
                <w:color w:val="000000"/>
                <w:sz w:val="21"/>
                <w:szCs w:val="21"/>
                <w:highlight w:val="none"/>
                <w:lang w:val="en-US" w:eastAsia="en-US" w:bidi="ar-SA"/>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09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0"/>
        </w:trPr>
        <w:tc>
          <w:tcPr>
            <w:tcW w:w="7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09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7"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1"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04"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0"/>
        </w:trPr>
        <w:tc>
          <w:tcPr>
            <w:gridSpan w:val="6"/>
            <w:tcW w:w="4700" w:type="dxa"/>
            <w:vAlign w:val="center"/>
            <w:textDirection w:val="lrTb"/>
            <w:noWrap w:val="false"/>
          </w:tcPr>
          <w:p>
            <w:pPr>
              <w:pStyle w:val="1027"/>
              <w:ind w:left="0"/>
              <w:jc w:val="center"/>
              <w:widowControl w:val="off"/>
              <w:rPr>
                <w:rFonts w:hint="eastAsia" w:ascii="宋体" w:hAnsi="宋体" w:eastAsia="宋体" w:cs="宋体"/>
                <w:b/>
                <w:bCs/>
                <w:i w:val="0"/>
                <w:iCs w:val="0"/>
                <w:color w:val="000000"/>
                <w:sz w:val="21"/>
                <w:szCs w:val="21"/>
                <w:highlight w:val="none"/>
              </w:rPr>
            </w:pPr>
            <w:r>
              <w:rPr>
                <w:rFonts w:hint="eastAsia" w:ascii="宋体" w:hAnsi="宋体" w:eastAsia="宋体" w:cs="宋体"/>
                <w:b/>
                <w:bCs/>
                <w:i w:val="0"/>
                <w:iCs w:val="0"/>
                <w:color w:val="000000"/>
                <w:sz w:val="21"/>
                <w:szCs w:val="21"/>
                <w:highlight w:val="none"/>
              </w:rPr>
              <w:t xml:space="preserve">合计</w:t>
            </w:r>
            <w:r>
              <w:rPr>
                <w:rFonts w:hint="eastAsia" w:ascii="宋体" w:hAnsi="宋体" w:eastAsia="宋体" w:cs="宋体"/>
                <w:b/>
                <w:bCs/>
                <w:i w:val="0"/>
                <w:iCs w:val="0"/>
                <w:color w:val="000000"/>
                <w:sz w:val="21"/>
                <w:szCs w:val="21"/>
                <w:highlight w:val="none"/>
              </w:rPr>
            </w:r>
            <w:r/>
          </w:p>
        </w:tc>
        <w:tc>
          <w:tcPr>
            <w:gridSpan w:val="3"/>
            <w:tcW w:w="4902"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val="en-US" w:eastAsia="zh-CN"/>
              </w:rPr>
              <w:t xml:space="preserve">     （¥    ）</w:t>
            </w:r>
            <w:r>
              <w:rPr>
                <w:rFonts w:hint="eastAsia" w:ascii="宋体" w:hAnsi="宋体" w:eastAsia="宋体" w:cs="宋体"/>
                <w:color w:val="000000"/>
                <w:sz w:val="21"/>
                <w:szCs w:val="21"/>
                <w:highlight w:val="none"/>
              </w:rPr>
            </w:r>
            <w:r/>
          </w:p>
        </w:tc>
      </w:tr>
    </w:tbl>
    <w:p>
      <w:pPr>
        <w:pStyle w:val="1027"/>
        <w:ind w:left="1026" w:firstLine="483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报价明细表（二）</w:t>
      </w:r>
      <w:r>
        <w:rPr>
          <w:rFonts w:hint="eastAsia" w:ascii="宋体" w:hAnsi="宋体" w:eastAsia="宋体" w:cs="宋体"/>
          <w:b/>
          <w:color w:val="000000"/>
          <w:sz w:val="24"/>
          <w:szCs w:val="24"/>
          <w:highlight w:val="none"/>
        </w:rPr>
      </w:r>
      <w:r/>
    </w:p>
    <w:p>
      <w:pPr>
        <w:pStyle w:val="1027"/>
        <w:ind w:left="0"/>
        <w:jc w:val="center"/>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（分项报价表）</w:t>
      </w:r>
      <w:r>
        <w:rPr>
          <w:rFonts w:hint="eastAsia" w:ascii="宋体" w:hAnsi="宋体" w:eastAsia="宋体" w:cs="宋体"/>
          <w:b w:val="0"/>
          <w:bCs/>
          <w:color w:val="000000"/>
          <w:sz w:val="24"/>
          <w:szCs w:val="24"/>
          <w:highlight w:val="none"/>
        </w:rPr>
      </w:r>
      <w:r/>
    </w:p>
    <w:tbl>
      <w:tblPr>
        <w:tblW w:w="953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735"/>
        <w:gridCol w:w="2175"/>
        <w:gridCol w:w="810"/>
        <w:gridCol w:w="825"/>
        <w:gridCol w:w="810"/>
        <w:gridCol w:w="780"/>
        <w:gridCol w:w="765"/>
        <w:gridCol w:w="826"/>
      </w:tblGrid>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rPr>
                <w:rFonts w:hint="eastAsia" w:ascii="宋体" w:hAnsi="宋体" w:eastAsia="宋体" w:cs="宋体"/>
                <w:b w:val="0"/>
                <w:bCs/>
                <w:color w:val="000000"/>
                <w:sz w:val="21"/>
                <w:szCs w:val="21"/>
                <w:highlight w:val="none"/>
              </w:rPr>
            </w:r>
            <w:r/>
          </w:p>
        </w:tc>
        <w:tc>
          <w:tcPr>
            <w:tcW w:w="1735" w:type="dxa"/>
            <w:vAlign w:val="center"/>
            <w:textDirection w:val="lrTb"/>
            <w:noWrap w:val="false"/>
          </w:tcPr>
          <w:p>
            <w:pPr>
              <w:pStyle w:val="1027"/>
              <w:ind w:left="0"/>
              <w:jc w:val="center"/>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条目</w:t>
            </w:r>
            <w:r>
              <w:rPr>
                <w:rFonts w:hint="eastAsia" w:ascii="宋体" w:hAnsi="宋体" w:eastAsia="宋体" w:cs="宋体"/>
                <w:b w:val="0"/>
                <w:bCs/>
                <w:color w:val="000000"/>
                <w:sz w:val="21"/>
                <w:szCs w:val="21"/>
                <w:highlight w:val="none"/>
              </w:rPr>
            </w:r>
            <w:r/>
          </w:p>
        </w:tc>
        <w:tc>
          <w:tcPr>
            <w:tcW w:w="2175" w:type="dxa"/>
            <w:vAlign w:val="center"/>
            <w:textDirection w:val="lrTb"/>
            <w:noWrap w:val="false"/>
          </w:tcPr>
          <w:p>
            <w:pPr>
              <w:pStyle w:val="1027"/>
              <w:ind w:left="0"/>
              <w:jc w:val="center"/>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价格</w:t>
            </w:r>
            <w:r>
              <w:rPr>
                <w:rFonts w:hint="eastAsia" w:ascii="宋体" w:hAnsi="宋体" w:eastAsia="宋体" w:cs="宋体"/>
                <w:b w:val="0"/>
                <w:bCs/>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25"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80"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765"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826"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劳动保险</w:t>
            </w:r>
            <w:r>
              <w:rPr>
                <w:rFonts w:hint="eastAsia" w:ascii="宋体" w:hAnsi="宋体" w:eastAsia="宋体" w:cs="宋体"/>
                <w:color w:val="000000"/>
                <w:sz w:val="21"/>
                <w:szCs w:val="21"/>
                <w:highlight w:val="none"/>
                <w:lang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服装</w:t>
            </w:r>
            <w:r>
              <w:rPr>
                <w:rFonts w:hint="eastAsia" w:ascii="宋体" w:hAnsi="宋体" w:eastAsia="宋体" w:cs="宋体"/>
                <w:color w:val="000000"/>
                <w:sz w:val="21"/>
                <w:szCs w:val="21"/>
                <w:highlight w:val="none"/>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胸卡</w:t>
            </w:r>
            <w:r>
              <w:rPr>
                <w:rFonts w:hint="eastAsia" w:ascii="宋体" w:hAnsi="宋体" w:eastAsia="宋体" w:cs="宋体"/>
                <w:color w:val="000000"/>
                <w:sz w:val="21"/>
                <w:szCs w:val="21"/>
                <w:highlight w:val="none"/>
                <w:lang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通讯</w:t>
            </w:r>
            <w:r>
              <w:rPr>
                <w:rFonts w:hint="eastAsia" w:ascii="宋体" w:hAnsi="宋体" w:eastAsia="宋体" w:cs="宋体"/>
                <w:color w:val="000000"/>
                <w:sz w:val="21"/>
                <w:szCs w:val="21"/>
                <w:highlight w:val="none"/>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 w:type="dxa"/>
            <w:vAlign w:val="center"/>
            <w:textDirection w:val="lrTb"/>
            <w:noWrap w:val="false"/>
          </w:tcPr>
          <w:p>
            <w:pPr>
              <w:pStyle w:val="1027"/>
              <w:ind w:left="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保险</w:t>
            </w:r>
            <w:r>
              <w:rPr>
                <w:rFonts w:hint="eastAsia" w:ascii="宋体" w:hAnsi="宋体" w:eastAsia="宋体" w:cs="宋体"/>
                <w:color w:val="000000"/>
                <w:sz w:val="21"/>
                <w:szCs w:val="21"/>
                <w:highlight w:val="none"/>
                <w:lang w:val="en-US"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税金</w:t>
            </w:r>
            <w:r>
              <w:rPr>
                <w:rFonts w:hint="eastAsia" w:ascii="宋体" w:hAnsi="宋体" w:eastAsia="宋体" w:cs="宋体"/>
                <w:color w:val="000000"/>
                <w:sz w:val="21"/>
                <w:szCs w:val="21"/>
                <w:highlight w:val="none"/>
                <w:lang w:val="en-US"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管理费</w:t>
            </w:r>
            <w:r>
              <w:rPr>
                <w:rFonts w:hint="eastAsia" w:ascii="宋体" w:hAnsi="宋体" w:eastAsia="宋体" w:cs="宋体"/>
                <w:color w:val="000000"/>
                <w:sz w:val="21"/>
                <w:szCs w:val="21"/>
                <w:highlight w:val="none"/>
                <w:lang w:val="en-US"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420"/>
        </w:trPr>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73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217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82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81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765"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82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420"/>
        </w:trPr>
        <w:tc>
          <w:tcPr>
            <w:gridSpan w:val="3"/>
            <w:tcW w:w="4720" w:type="dxa"/>
            <w:vAlign w:val="center"/>
            <w:textDirection w:val="lrTb"/>
            <w:noWrap w:val="false"/>
          </w:tcPr>
          <w:p>
            <w:pPr>
              <w:pStyle w:val="1027"/>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合计</w:t>
            </w:r>
            <w:r>
              <w:rPr>
                <w:rFonts w:hint="eastAsia" w:ascii="宋体" w:hAnsi="宋体" w:eastAsia="宋体" w:cs="宋体"/>
                <w:b/>
                <w:color w:val="000000"/>
                <w:sz w:val="21"/>
                <w:szCs w:val="21"/>
                <w:highlight w:val="none"/>
              </w:rPr>
            </w:r>
            <w:r/>
          </w:p>
        </w:tc>
        <w:tc>
          <w:tcPr>
            <w:gridSpan w:val="6"/>
            <w:tcW w:w="4816" w:type="dxa"/>
            <w:vAlign w:val="center"/>
            <w:textDirection w:val="lrTb"/>
            <w:noWrap w:val="false"/>
          </w:tcPr>
          <w:p>
            <w:pPr>
              <w:pStyle w:val="1027"/>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val="en-US" w:eastAsia="zh-CN"/>
              </w:rPr>
              <w:t xml:space="preserve">     （¥    ）</w:t>
            </w:r>
            <w:r>
              <w:rPr>
                <w:rFonts w:hint="eastAsia" w:ascii="宋体" w:hAnsi="宋体" w:eastAsia="宋体" w:cs="宋体"/>
                <w:color w:val="000000"/>
                <w:sz w:val="21"/>
                <w:szCs w:val="21"/>
                <w:highlight w:val="none"/>
                <w:lang w:val="en-US" w:eastAsia="zh-CN"/>
              </w:rPr>
            </w:r>
            <w:r/>
          </w:p>
        </w:tc>
      </w:tr>
    </w:tbl>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注：</w:t>
      </w:r>
      <w:r>
        <w:rPr>
          <w:rFonts w:hint="eastAsia" w:ascii="宋体" w:hAnsi="宋体" w:eastAsia="宋体" w:cs="宋体"/>
          <w:b/>
          <w:bCs w:val="0"/>
          <w:color w:val="000000"/>
          <w:sz w:val="24"/>
          <w:szCs w:val="24"/>
          <w:highlight w:val="none"/>
        </w:rPr>
      </w:r>
      <w:r/>
    </w:p>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报价明细表（一）</w:t>
      </w:r>
      <w:r>
        <w:rPr>
          <w:rFonts w:hint="eastAsia" w:ascii="宋体" w:hAnsi="宋体" w:eastAsia="宋体" w:cs="宋体"/>
          <w:b/>
          <w:bCs w:val="0"/>
          <w:color w:val="000000"/>
          <w:sz w:val="24"/>
          <w:szCs w:val="24"/>
          <w:highlight w:val="none"/>
          <w:lang w:val="en-US" w:eastAsia="zh-CN"/>
        </w:rPr>
        <w:t xml:space="preserve"> + </w:t>
      </w:r>
      <w:r>
        <w:rPr>
          <w:rFonts w:hint="eastAsia" w:ascii="宋体" w:hAnsi="宋体" w:eastAsia="宋体" w:cs="宋体"/>
          <w:b/>
          <w:bCs w:val="0"/>
          <w:color w:val="000000"/>
          <w:sz w:val="24"/>
          <w:szCs w:val="24"/>
          <w:highlight w:val="none"/>
          <w:lang w:eastAsia="zh-CN"/>
        </w:rPr>
        <w:t xml:space="preserve">报价明细表（二）</w:t>
      </w:r>
      <w:r>
        <w:rPr>
          <w:rFonts w:hint="eastAsia" w:ascii="宋体" w:hAnsi="宋体" w:eastAsia="宋体" w:cs="宋体"/>
          <w:b/>
          <w:bCs w:val="0"/>
          <w:color w:val="000000"/>
          <w:sz w:val="24"/>
          <w:szCs w:val="24"/>
          <w:highlight w:val="none"/>
        </w:rPr>
        <w:t xml:space="preserve">合计金额应与《磋商报价表》的响应总报价一致，否则以《磋商报价表》为准。</w:t>
      </w:r>
      <w:r>
        <w:rPr>
          <w:rFonts w:hint="eastAsia" w:ascii="宋体" w:hAnsi="宋体" w:eastAsia="宋体" w:cs="宋体"/>
          <w:b/>
          <w:bCs w:val="0"/>
          <w:color w:val="000000"/>
          <w:sz w:val="24"/>
          <w:szCs w:val="24"/>
          <w:highlight w:val="none"/>
        </w:rPr>
      </w:r>
      <w:r/>
    </w:p>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、凡涉及到的费用应按劳动法规定执行。</w:t>
      </w:r>
      <w:r>
        <w:rPr>
          <w:rFonts w:hint="eastAsia" w:ascii="宋体" w:hAnsi="宋体" w:eastAsia="宋体" w:cs="宋体"/>
          <w:b/>
          <w:bCs w:val="0"/>
          <w:color w:val="000000"/>
          <w:sz w:val="24"/>
          <w:szCs w:val="24"/>
          <w:highlight w:val="none"/>
        </w:rPr>
      </w:r>
      <w:r/>
    </w:p>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3、本项目人员的月工资标准不得低于苏州市同行业最低工资标准要求，并按我国《劳动合同法》要求签订劳动合同。遇到法律法规规定的最低工资调整，其中人工费用相应浮动，由响应单位自行承担。</w:t>
      </w:r>
      <w:r>
        <w:rPr>
          <w:rFonts w:hint="eastAsia" w:ascii="宋体" w:hAnsi="宋体" w:eastAsia="宋体" w:cs="宋体"/>
          <w:b/>
          <w:bCs w:val="0"/>
          <w:color w:val="000000"/>
          <w:sz w:val="24"/>
          <w:szCs w:val="24"/>
          <w:highlight w:val="none"/>
          <w:lang w:val="en-US" w:eastAsia="zh-CN"/>
        </w:rPr>
      </w:r>
      <w:r/>
    </w:p>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、本项目所有人员须按国家规定缴纳员工的社会保险。</w:t>
      </w:r>
      <w:r>
        <w:rPr>
          <w:rFonts w:hint="eastAsia" w:ascii="宋体" w:hAnsi="宋体" w:eastAsia="宋体" w:cs="宋体"/>
          <w:b/>
          <w:bCs w:val="0"/>
          <w:color w:val="000000"/>
          <w:sz w:val="24"/>
          <w:szCs w:val="24"/>
          <w:highlight w:val="none"/>
        </w:rPr>
      </w:r>
      <w:r/>
    </w:p>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、分项报价条目可自行添加或删除。</w:t>
      </w:r>
      <w:r>
        <w:rPr>
          <w:rFonts w:hint="eastAsia" w:ascii="宋体" w:hAnsi="宋体" w:eastAsia="宋体" w:cs="宋体"/>
          <w:b/>
          <w:bCs w:val="0"/>
          <w:color w:val="000000"/>
          <w:sz w:val="24"/>
          <w:szCs w:val="24"/>
          <w:highlight w:val="none"/>
        </w:rPr>
      </w:r>
      <w:r/>
    </w:p>
    <w:p>
      <w:pPr>
        <w:pStyle w:val="102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、若事项较多，</w:t>
      </w:r>
      <w:r>
        <w:rPr>
          <w:rFonts w:hint="eastAsia" w:ascii="宋体" w:hAnsi="宋体" w:eastAsia="宋体" w:cs="宋体"/>
          <w:b/>
          <w:bCs w:val="0"/>
          <w:color w:val="000000"/>
          <w:sz w:val="24"/>
          <w:szCs w:val="24"/>
          <w:highlight w:val="none"/>
          <w:lang w:val="en-US" w:eastAsia="zh-CN"/>
        </w:rPr>
        <w:t xml:space="preserve">响应单位</w:t>
      </w:r>
      <w:r>
        <w:rPr>
          <w:rFonts w:hint="eastAsia" w:ascii="宋体" w:hAnsi="宋体" w:eastAsia="宋体" w:cs="宋体"/>
          <w:b/>
          <w:bCs w:val="0"/>
          <w:color w:val="000000"/>
          <w:sz w:val="24"/>
          <w:szCs w:val="24"/>
          <w:highlight w:val="none"/>
        </w:rPr>
        <w:t xml:space="preserve">可根据实际情况另纸说明。</w:t>
      </w:r>
      <w:r>
        <w:rPr>
          <w:rFonts w:hint="eastAsia" w:ascii="宋体" w:hAnsi="宋体" w:eastAsia="宋体" w:cs="宋体"/>
          <w:b/>
          <w:bCs w:val="0"/>
          <w:color w:val="000000"/>
          <w:sz w:val="24"/>
          <w:szCs w:val="24"/>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27"/>
        <w:ind w:left="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xml:space="preserve">附件4、法定代表人授权委托书</w:t>
      </w:r>
      <w:bookmarkEnd w:id="46"/>
      <w:r>
        <w:rPr>
          <w:rFonts w:hint="eastAsia" w:ascii="宋体" w:hAnsi="宋体" w:eastAsia="宋体" w:cs="宋体"/>
          <w:color w:val="000000"/>
          <w:sz w:val="24"/>
          <w:szCs w:val="24"/>
          <w:highlight w:val="none"/>
        </w:rPr>
      </w:r>
      <w:r/>
    </w:p>
    <w:p>
      <w:pPr>
        <w:pStyle w:val="1027"/>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single"/>
        </w:rPr>
        <w:t xml:space="preserve">加苏州合亿盛工程咨询有限公司</w:t>
      </w:r>
      <w:r>
        <w:rPr>
          <w:rFonts w:hint="eastAsia" w:ascii="宋体" w:hAnsi="宋体" w:eastAsia="宋体" w:cs="宋体"/>
          <w:color w:val="000000"/>
          <w:sz w:val="24"/>
          <w:szCs w:val="24"/>
          <w:highlight w:val="none"/>
        </w:rPr>
        <w:t xml:space="preserve">组织实施的编号为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1027"/>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1027"/>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7"/>
        <w:ind w:left="0"/>
        <w:jc w:val="left"/>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7" w:name="_Toc31308"/>
      <w:r>
        <w:rPr>
          <w:rFonts w:hint="eastAsia" w:ascii="宋体" w:hAnsi="宋体" w:eastAsia="宋体" w:cs="宋体"/>
          <w:b/>
          <w:color w:val="000000"/>
          <w:sz w:val="24"/>
          <w:szCs w:val="24"/>
          <w:highlight w:val="none"/>
        </w:rPr>
        <w:t xml:space="preserve">附件5、关于资格文件的声明函</w:t>
      </w:r>
      <w:bookmarkEnd w:id="47"/>
      <w:r>
        <w:rPr>
          <w:rFonts w:hint="eastAsia" w:ascii="宋体" w:hAnsi="宋体" w:eastAsia="宋体" w:cs="宋体"/>
          <w:color w:val="000000"/>
          <w:sz w:val="24"/>
          <w:szCs w:val="24"/>
          <w:highlight w:val="none"/>
        </w:rPr>
      </w:r>
      <w:r/>
    </w:p>
    <w:p>
      <w:pPr>
        <w:pStyle w:val="1027"/>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1027"/>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027"/>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27"/>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8" w:name="_Toc30056"/>
      <w:r>
        <w:rPr>
          <w:rFonts w:hint="eastAsia" w:ascii="宋体" w:hAnsi="宋体" w:eastAsia="宋体" w:cs="宋体"/>
          <w:b/>
          <w:color w:val="000000"/>
          <w:sz w:val="24"/>
          <w:szCs w:val="24"/>
          <w:highlight w:val="none"/>
        </w:rPr>
        <w:t xml:space="preserve">附件6、磋商响应单位基本情况表</w:t>
      </w:r>
      <w:bookmarkEnd w:id="48"/>
      <w:r>
        <w:rPr>
          <w:rFonts w:hint="eastAsia" w:ascii="宋体" w:hAnsi="宋体" w:eastAsia="宋体" w:cs="宋体"/>
          <w:b/>
          <w:color w:val="000000"/>
          <w:sz w:val="24"/>
          <w:szCs w:val="24"/>
          <w:highlight w:val="none"/>
        </w:rPr>
      </w:r>
      <w:r/>
    </w:p>
    <w:p>
      <w:pPr>
        <w:pStyle w:val="1027"/>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1"/>
          <w:szCs w:val="21"/>
          <w:highlight w:val="none"/>
        </w:rPr>
      </w:r>
      <w:r/>
    </w:p>
    <w:tbl>
      <w:tblPr>
        <w:tblW w:w="0" w:type="auto"/>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36"/>
        <w:gridCol w:w="2005"/>
        <w:gridCol w:w="1461"/>
        <w:gridCol w:w="2056"/>
        <w:gridCol w:w="1236"/>
      </w:tblGrid>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法定代表人</w:t>
            </w:r>
            <w:r>
              <w:rPr>
                <w:rStyle w:val="1067"/>
                <w:rFonts w:hint="eastAsia" w:ascii="宋体" w:hAnsi="宋体" w:eastAsia="宋体" w:cs="宋体"/>
                <w:color w:val="000000"/>
                <w:szCs w:val="24"/>
                <w:highlight w:val="none"/>
              </w:rPr>
            </w:r>
            <w:r/>
          </w:p>
        </w:tc>
        <w:tc>
          <w:tcPr>
            <w:tcW w:w="2005"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成立日期</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企业地址</w:t>
            </w:r>
            <w:r>
              <w:rPr>
                <w:rStyle w:val="1067"/>
                <w:rFonts w:hint="eastAsia" w:ascii="宋体" w:hAnsi="宋体" w:eastAsia="宋体" w:cs="宋体"/>
                <w:color w:val="000000"/>
                <w:szCs w:val="24"/>
                <w:highlight w:val="none"/>
              </w:rPr>
            </w:r>
            <w:r/>
          </w:p>
        </w:tc>
        <w:tc>
          <w:tcPr>
            <w:tcW w:w="2005"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注册资本</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5"/>
              <w:ind w:left="0" w:firstLine="120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万元</w:t>
            </w: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经营范围</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职工人数</w:t>
            </w:r>
            <w:r>
              <w:rPr>
                <w:rStyle w:val="1067"/>
                <w:rFonts w:hint="eastAsia" w:ascii="宋体" w:hAnsi="宋体" w:eastAsia="宋体" w:cs="宋体"/>
                <w:color w:val="000000"/>
                <w:szCs w:val="24"/>
                <w:highlight w:val="none"/>
              </w:rPr>
            </w:r>
            <w:r/>
          </w:p>
        </w:tc>
        <w:tc>
          <w:tcPr>
            <w:tcW w:w="2005"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gridSpan w:val="2"/>
            <w:tcW w:w="3517"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其中：有中高级以上职称的人数</w:t>
            </w:r>
            <w:r>
              <w:rPr>
                <w:rStyle w:val="1067"/>
                <w:rFonts w:hint="eastAsia" w:ascii="宋体" w:hAnsi="宋体" w:eastAsia="宋体" w:cs="宋体"/>
                <w:color w:val="000000"/>
                <w:szCs w:val="24"/>
                <w:highlight w:val="none"/>
              </w:rPr>
            </w:r>
            <w:r/>
          </w:p>
        </w:tc>
        <w:tc>
          <w:tcPr>
            <w:tcW w:w="1236"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资产总计</w:t>
            </w:r>
            <w:r>
              <w:rPr>
                <w:rStyle w:val="1067"/>
                <w:rFonts w:hint="eastAsia" w:ascii="宋体" w:hAnsi="宋体" w:eastAsia="宋体" w:cs="宋体"/>
                <w:color w:val="000000"/>
                <w:szCs w:val="24"/>
                <w:highlight w:val="none"/>
              </w:rPr>
            </w:r>
            <w:r/>
          </w:p>
        </w:tc>
        <w:tc>
          <w:tcPr>
            <w:tcW w:w="2005" w:type="dxa"/>
            <w:vAlign w:val="center"/>
            <w:textDirection w:val="lrTb"/>
            <w:noWrap w:val="false"/>
          </w:tcPr>
          <w:p>
            <w:pPr>
              <w:pStyle w:val="1085"/>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c>
          <w:tcPr>
            <w:tcW w:w="1461"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净资产</w:t>
            </w:r>
            <w:r>
              <w:rPr>
                <w:rStyle w:val="1067"/>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5"/>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r>
      <w:tr>
        <w:trPr>
          <w:cantSplit/>
          <w:trHeight w:val="269"/>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股东权益</w:t>
            </w:r>
            <w:r>
              <w:rPr>
                <w:rStyle w:val="1067"/>
                <w:rFonts w:hint="eastAsia" w:ascii="宋体" w:hAnsi="宋体" w:eastAsia="宋体" w:cs="宋体"/>
                <w:color w:val="000000"/>
                <w:szCs w:val="24"/>
                <w:highlight w:val="none"/>
              </w:rPr>
            </w:r>
            <w:r/>
          </w:p>
        </w:tc>
        <w:tc>
          <w:tcPr>
            <w:tcW w:w="2005" w:type="dxa"/>
            <w:vAlign w:val="center"/>
            <w:textDirection w:val="lrTb"/>
            <w:noWrap w:val="false"/>
          </w:tcPr>
          <w:p>
            <w:pPr>
              <w:pStyle w:val="1085"/>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c>
          <w:tcPr>
            <w:tcW w:w="1461"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销售收入</w:t>
            </w:r>
            <w:r>
              <w:rPr>
                <w:rStyle w:val="1067"/>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5"/>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202</w:t>
            </w:r>
            <w:r>
              <w:rPr>
                <w:rStyle w:val="1067"/>
                <w:rFonts w:hint="eastAsia" w:ascii="宋体" w:hAnsi="宋体" w:eastAsia="宋体" w:cs="宋体"/>
                <w:color w:val="000000"/>
                <w:szCs w:val="24"/>
                <w:highlight w:val="none"/>
                <w:lang w:val="en-US" w:eastAsia="zh-CN"/>
              </w:rPr>
              <w:t xml:space="preserve">5</w:t>
            </w:r>
            <w:r>
              <w:rPr>
                <w:rStyle w:val="1067"/>
                <w:rFonts w:hint="eastAsia" w:ascii="宋体" w:hAnsi="宋体" w:eastAsia="宋体" w:cs="宋体"/>
                <w:color w:val="000000"/>
                <w:szCs w:val="24"/>
                <w:highlight w:val="none"/>
              </w:rPr>
              <w:t xml:space="preserve">年          万元</w:t>
            </w: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实现利润</w:t>
            </w:r>
            <w:r>
              <w:rPr>
                <w:rStyle w:val="1067"/>
                <w:rFonts w:hint="eastAsia" w:ascii="宋体" w:hAnsi="宋体" w:eastAsia="宋体" w:cs="宋体"/>
                <w:color w:val="000000"/>
                <w:szCs w:val="24"/>
                <w:highlight w:val="none"/>
              </w:rPr>
            </w:r>
            <w:r/>
          </w:p>
        </w:tc>
        <w:tc>
          <w:tcPr>
            <w:tcW w:w="2005"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202</w:t>
            </w:r>
            <w:r>
              <w:rPr>
                <w:rStyle w:val="1067"/>
                <w:rFonts w:hint="eastAsia" w:ascii="宋体" w:hAnsi="宋体" w:eastAsia="宋体" w:cs="宋体"/>
                <w:color w:val="000000"/>
                <w:szCs w:val="24"/>
                <w:highlight w:val="none"/>
                <w:lang w:val="en-US" w:eastAsia="zh-CN"/>
              </w:rPr>
              <w:t xml:space="preserve">5</w:t>
            </w:r>
            <w:r>
              <w:rPr>
                <w:rStyle w:val="1067"/>
                <w:rFonts w:hint="eastAsia" w:ascii="宋体" w:hAnsi="宋体" w:eastAsia="宋体" w:cs="宋体"/>
                <w:color w:val="000000"/>
                <w:szCs w:val="24"/>
                <w:highlight w:val="none"/>
              </w:rPr>
              <w:t xml:space="preserve">年    万元</w:t>
            </w: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营业面积（含厂房面积）</w:t>
            </w:r>
            <w:r>
              <w:rPr>
                <w:rStyle w:val="1067"/>
                <w:rFonts w:hint="eastAsia" w:ascii="宋体" w:hAnsi="宋体" w:eastAsia="宋体" w:cs="宋体"/>
                <w:color w:val="000000"/>
                <w:szCs w:val="24"/>
                <w:highlight w:val="none"/>
              </w:rPr>
            </w:r>
            <w:r/>
          </w:p>
        </w:tc>
        <w:tc>
          <w:tcPr>
            <w:tcW w:w="2005"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平方米</w:t>
            </w: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其中：</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自有面积         平方米</w:t>
            </w:r>
            <w:r>
              <w:rPr>
                <w:rStyle w:val="1067"/>
                <w:rFonts w:hint="eastAsia" w:ascii="宋体" w:hAnsi="宋体" w:eastAsia="宋体" w:cs="宋体"/>
                <w:color w:val="000000"/>
                <w:szCs w:val="24"/>
                <w:highlight w:val="none"/>
              </w:rPr>
            </w:r>
            <w:r/>
          </w:p>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承租面积         平方米</w:t>
            </w: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单位简历及内设机构情况</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单位优势及特长</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近三年来完成或正在履行的重大合同情况</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最近3年内在经营过程中受到何种奖励或处分（包括情况和结果）</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最近3年内主要负责人有无因经济犯罪被司法机关追究的情况及说明</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获得技术认证的工程师及简介</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560"/>
        </w:trPr>
        <w:tc>
          <w:tcPr>
            <w:tcW w:w="2736" w:type="dxa"/>
            <w:vAlign w:val="center"/>
            <w:textDirection w:val="lrTb"/>
            <w:noWrap w:val="false"/>
          </w:tcPr>
          <w:p>
            <w:pPr>
              <w:pStyle w:val="1085"/>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其他需要说明的情况</w:t>
            </w:r>
            <w:r>
              <w:rPr>
                <w:rStyle w:val="1067"/>
                <w:rFonts w:hint="eastAsia" w:ascii="宋体" w:hAnsi="宋体" w:eastAsia="宋体" w:cs="宋体"/>
                <w:color w:val="000000"/>
                <w:szCs w:val="24"/>
                <w:highlight w:val="none"/>
              </w:rPr>
            </w:r>
            <w:r/>
          </w:p>
        </w:tc>
        <w:tc>
          <w:tcPr>
            <w:gridSpan w:val="4"/>
            <w:tcW w:w="6758" w:type="dxa"/>
            <w:vAlign w:val="top"/>
            <w:textDirection w:val="lrTb"/>
            <w:noWrap w:val="false"/>
          </w:tcPr>
          <w:p>
            <w:pPr>
              <w:pStyle w:val="1085"/>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bl>
    <w:p>
      <w:pPr>
        <w:pStyle w:val="1027"/>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right="-200"/>
        <w:jc w:val="left"/>
        <w:spacing w:line="360" w:lineRule="auto"/>
        <w:widowControl w:val="off"/>
        <w:rPr>
          <w:rFonts w:hint="eastAsia" w:ascii="宋体" w:hAnsi="宋体" w:eastAsia="宋体" w:cs="宋体"/>
          <w:color w:val="000000"/>
          <w:sz w:val="24"/>
          <w:szCs w:val="24"/>
          <w:highlight w:val="none"/>
        </w:rPr>
      </w:pPr>
      <w:r/>
      <w:bookmarkStart w:id="49" w:name="_Toc7945"/>
      <w:r/>
      <w:bookmarkStart w:id="50" w:name="_Toc241"/>
      <w:r>
        <w:rPr>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5"/>
        <w:ind w:left="0" w:firstLine="0"/>
        <w:jc w:val="both"/>
        <w:widowControl w:val="off"/>
        <w:rPr>
          <w:rStyle w:val="1067"/>
          <w:rFonts w:hint="eastAsia" w:ascii="宋体" w:hAnsi="宋体" w:eastAsia="宋体" w:cs="宋体"/>
          <w:b/>
          <w:color w:val="000000"/>
          <w:szCs w:val="24"/>
          <w:highlight w:val="none"/>
        </w:rPr>
        <w:outlineLvl w:val="1"/>
      </w:pPr>
      <w:r/>
      <w:bookmarkEnd w:id="49"/>
      <w:r/>
      <w:bookmarkEnd w:id="50"/>
      <w:r/>
      <w:bookmarkStart w:id="51" w:name="_Toc19621"/>
      <w:r/>
      <w:bookmarkStart w:id="52" w:name="_Toc21574"/>
      <w:r>
        <w:rPr>
          <w:rFonts w:hint="eastAsia" w:ascii="宋体" w:hAnsi="宋体" w:eastAsia="宋体" w:cs="宋体"/>
          <w:b/>
          <w:color w:val="000000"/>
          <w:sz w:val="21"/>
          <w:szCs w:val="21"/>
          <w:highlight w:val="none"/>
        </w:rPr>
        <w:br w:type="page" w:clear="all"/>
      </w:r>
      <w:r>
        <w:rPr>
          <w:rStyle w:val="1067"/>
          <w:rFonts w:hint="eastAsia" w:ascii="宋体" w:hAnsi="宋体" w:eastAsia="宋体" w:cs="宋体"/>
          <w:b/>
          <w:color w:val="000000"/>
          <w:szCs w:val="24"/>
          <w:highlight w:val="none"/>
        </w:rPr>
        <w:t xml:space="preserve">附件7、服务要求偏离表</w:t>
      </w:r>
      <w:r>
        <w:rPr>
          <w:rStyle w:val="1067"/>
          <w:rFonts w:hint="eastAsia" w:ascii="宋体" w:hAnsi="宋体" w:eastAsia="宋体" w:cs="宋体"/>
          <w:b/>
          <w:color w:val="000000"/>
          <w:szCs w:val="24"/>
          <w:highlight w:val="none"/>
        </w:rPr>
      </w:r>
      <w:r/>
    </w:p>
    <w:p>
      <w:pPr>
        <w:pStyle w:val="1027"/>
        <w:ind w:left="0"/>
        <w:jc w:val="center"/>
        <w:spacing w:line="360" w:lineRule="auto"/>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t xml:space="preserve">服务要求偏离表</w:t>
      </w:r>
      <w:r>
        <w:rPr>
          <w:rStyle w:val="1067"/>
          <w:rFonts w:hint="eastAsia" w:ascii="宋体" w:hAnsi="宋体" w:eastAsia="宋体" w:cs="宋体"/>
          <w:b/>
          <w:color w:val="000000"/>
          <w:sz w:val="24"/>
          <w:szCs w:val="24"/>
          <w:highlight w:val="none"/>
        </w:rPr>
      </w:r>
      <w:r/>
    </w:p>
    <w:p>
      <w:pPr>
        <w:pStyle w:val="1027"/>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项目名称</w:t>
            </w: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采购要求</w:t>
            </w: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响应要求</w:t>
            </w: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偏离/响应</w:t>
            </w: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说明</w:t>
            </w: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27"/>
        <w:ind w:left="0" w:firstLine="482"/>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t xml:space="preserve">注：1.响应人应对照磋商文件服务要求等要求，所投标的物与磋商文件的规定有偏离的，应在此表中申明与服务要求条文的偏差和例外。</w:t>
      </w:r>
      <w:r>
        <w:rPr>
          <w:rStyle w:val="1067"/>
          <w:rFonts w:hint="eastAsia" w:ascii="宋体" w:hAnsi="宋体" w:eastAsia="宋体" w:cs="宋体"/>
          <w:b/>
          <w:color w:val="000000"/>
          <w:sz w:val="24"/>
          <w:szCs w:val="24"/>
          <w:highlight w:val="none"/>
        </w:rPr>
      </w:r>
      <w:r/>
    </w:p>
    <w:p>
      <w:pPr>
        <w:pStyle w:val="1027"/>
        <w:ind w:left="0" w:firstLine="482"/>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67"/>
          <w:rFonts w:hint="eastAsia" w:ascii="宋体" w:hAnsi="宋体" w:eastAsia="宋体" w:cs="宋体"/>
          <w:color w:val="000000"/>
          <w:sz w:val="24"/>
          <w:szCs w:val="24"/>
          <w:highlight w:val="none"/>
        </w:rPr>
      </w:r>
      <w:r/>
    </w:p>
    <w:p>
      <w:pPr>
        <w:pStyle w:val="1027"/>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63"/>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5"/>
        <w:ind w:left="0" w:firstLine="0"/>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b/>
          <w:color w:val="000000"/>
          <w:szCs w:val="24"/>
          <w:highlight w:val="none"/>
        </w:rPr>
        <w:br w:type="page" w:clear="all"/>
      </w:r>
      <w:bookmarkStart w:id="53" w:name="_Toc6051"/>
      <w:r>
        <w:rPr>
          <w:rStyle w:val="1067"/>
          <w:rFonts w:hint="eastAsia" w:ascii="宋体" w:hAnsi="宋体" w:eastAsia="宋体" w:cs="宋体"/>
          <w:b/>
          <w:color w:val="000000"/>
          <w:szCs w:val="24"/>
          <w:highlight w:val="none"/>
        </w:rPr>
        <w:t xml:space="preserve">附件8、商务条款偏离表</w:t>
      </w:r>
      <w:bookmarkEnd w:id="53"/>
      <w:r>
        <w:rPr>
          <w:rStyle w:val="1067"/>
          <w:rFonts w:hint="eastAsia" w:ascii="宋体" w:hAnsi="宋体" w:eastAsia="宋体" w:cs="宋体"/>
          <w:b/>
          <w:color w:val="000000"/>
          <w:szCs w:val="24"/>
          <w:highlight w:val="none"/>
        </w:rPr>
      </w:r>
      <w:r/>
    </w:p>
    <w:p>
      <w:pPr>
        <w:pStyle w:val="1086"/>
        <w:ind w:left="0" w:firstLine="0"/>
        <w:jc w:val="center"/>
        <w:widowControl w:val="off"/>
        <w:rPr>
          <w:rStyle w:val="1067"/>
          <w:rFonts w:hint="eastAsia" w:ascii="宋体" w:hAnsi="宋体" w:eastAsia="宋体" w:cs="宋体"/>
          <w:b/>
          <w:color w:val="000000"/>
          <w:highlight w:val="none"/>
        </w:rPr>
      </w:pPr>
      <w:r>
        <w:rPr>
          <w:rStyle w:val="1067"/>
          <w:rFonts w:hint="eastAsia" w:ascii="宋体" w:hAnsi="宋体" w:eastAsia="宋体" w:cs="宋体"/>
          <w:b/>
          <w:color w:val="000000"/>
          <w:highlight w:val="none"/>
        </w:rPr>
        <w:t xml:space="preserve">商务条款偏离表</w:t>
      </w:r>
      <w:r>
        <w:rPr>
          <w:rStyle w:val="1067"/>
          <w:rFonts w:hint="eastAsia" w:ascii="宋体" w:hAnsi="宋体" w:eastAsia="宋体" w:cs="宋体"/>
          <w:b/>
          <w:color w:val="000000"/>
          <w:highlight w:val="none"/>
        </w:rPr>
      </w:r>
      <w:r/>
    </w:p>
    <w:p>
      <w:pPr>
        <w:pStyle w:val="1027"/>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磋商文件条目号</w:t>
            </w: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磋商文件的商务条款</w:t>
            </w: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响应文件的商务条款</w:t>
            </w: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说明</w:t>
            </w: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27"/>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86"/>
        <w:ind w:left="0" w:firstLine="482"/>
        <w:spacing w:line="240" w:lineRule="auto"/>
        <w:widowControl w:val="off"/>
        <w:rPr>
          <w:rStyle w:val="1067"/>
          <w:rFonts w:hint="eastAsia" w:ascii="宋体" w:hAnsi="宋体" w:eastAsia="宋体" w:cs="宋体"/>
          <w:b/>
          <w:color w:val="000000"/>
          <w:highlight w:val="none"/>
        </w:rPr>
      </w:pPr>
      <w:r>
        <w:rPr>
          <w:rStyle w:val="1067"/>
          <w:rFonts w:hint="eastAsia" w:ascii="宋体" w:hAnsi="宋体" w:eastAsia="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67"/>
          <w:rFonts w:hint="eastAsia" w:ascii="宋体" w:hAnsi="宋体" w:eastAsia="宋体" w:cs="宋体"/>
          <w:b/>
          <w:color w:val="000000"/>
          <w:highlight w:val="none"/>
        </w:rPr>
      </w:r>
      <w:r/>
    </w:p>
    <w:p>
      <w:pPr>
        <w:pStyle w:val="1027"/>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27"/>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85"/>
        <w:ind w:left="0" w:firstLine="0"/>
        <w:jc w:val="both"/>
        <w:spacing w:line="360" w:lineRule="auto"/>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b/>
          <w:color w:val="000000"/>
          <w:sz w:val="21"/>
          <w:szCs w:val="21"/>
          <w:highlight w:val="none"/>
        </w:rPr>
        <w:br w:type="page" w:clear="all"/>
      </w:r>
      <w:bookmarkStart w:id="54" w:name="_Toc5258"/>
      <w:r/>
      <w:bookmarkStart w:id="55" w:name="_Toc23227"/>
      <w:r>
        <w:rPr>
          <w:rStyle w:val="1067"/>
          <w:rFonts w:hint="eastAsia" w:ascii="宋体" w:hAnsi="宋体" w:eastAsia="宋体" w:cs="宋体"/>
          <w:b/>
          <w:color w:val="000000"/>
          <w:szCs w:val="24"/>
          <w:highlight w:val="none"/>
        </w:rPr>
        <w:t xml:space="preserve">附件9</w:t>
      </w:r>
      <w:r>
        <w:rPr>
          <w:rStyle w:val="1067"/>
          <w:rFonts w:hint="eastAsia" w:ascii="宋体" w:hAnsi="宋体" w:eastAsia="宋体" w:cs="宋体"/>
          <w:b/>
          <w:bCs/>
          <w:color w:val="000000"/>
          <w:szCs w:val="24"/>
          <w:highlight w:val="none"/>
        </w:rPr>
        <w:t xml:space="preserve">、</w:t>
      </w:r>
      <w:r>
        <w:rPr>
          <w:rStyle w:val="1067"/>
          <w:rFonts w:hint="eastAsia" w:ascii="宋体" w:hAnsi="宋体" w:eastAsia="宋体" w:cs="宋体"/>
          <w:b/>
          <w:color w:val="000000"/>
          <w:szCs w:val="24"/>
          <w:highlight w:val="none"/>
        </w:rPr>
        <w:t xml:space="preserve">实施方案</w:t>
      </w:r>
      <w:r>
        <w:rPr>
          <w:rStyle w:val="1067"/>
          <w:rFonts w:hint="eastAsia" w:ascii="宋体" w:hAnsi="宋体" w:eastAsia="宋体" w:cs="宋体"/>
          <w:b/>
          <w:color w:val="000000"/>
          <w:szCs w:val="24"/>
          <w:highlight w:val="none"/>
        </w:rPr>
      </w:r>
      <w:r/>
    </w:p>
    <w:p>
      <w:pPr>
        <w:pStyle w:val="1085"/>
        <w:ind w:left="0" w:firstLine="0"/>
        <w:jc w:val="center"/>
        <w:spacing w:line="360" w:lineRule="auto"/>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t xml:space="preserve">实施方案</w:t>
      </w:r>
      <w:r>
        <w:rPr>
          <w:rStyle w:val="1067"/>
          <w:rFonts w:hint="eastAsia" w:ascii="宋体" w:hAnsi="宋体" w:eastAsia="宋体" w:cs="宋体"/>
          <w:b/>
          <w:color w:val="000000"/>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076"/>
        </w:trPr>
        <w:tc>
          <w:tcPr>
            <w:tcW w:w="8482" w:type="dxa"/>
            <w:vAlign w:val="top"/>
            <w:textDirection w:val="lrTb"/>
            <w:noWrap w:val="false"/>
          </w:tcPr>
          <w:p>
            <w:pPr>
              <w:pStyle w:val="1087"/>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提示：</w:t>
            </w:r>
            <w:r>
              <w:rPr>
                <w:rStyle w:val="1067"/>
                <w:rFonts w:hint="eastAsia" w:ascii="宋体" w:hAnsi="宋体" w:eastAsia="宋体" w:cs="宋体"/>
                <w:color w:val="000000"/>
                <w:sz w:val="24"/>
                <w:szCs w:val="24"/>
                <w:highlight w:val="none"/>
              </w:rPr>
            </w:r>
            <w:r/>
          </w:p>
          <w:p>
            <w:pPr>
              <w:pStyle w:val="1087"/>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1.供应商应根据本次采购项目要求，对所投服务进行详细的说明与描述。</w:t>
            </w:r>
            <w:r>
              <w:rPr>
                <w:rStyle w:val="1067"/>
                <w:rFonts w:hint="eastAsia" w:ascii="宋体" w:hAnsi="宋体" w:eastAsia="宋体" w:cs="宋体"/>
                <w:color w:val="000000"/>
                <w:sz w:val="24"/>
                <w:szCs w:val="24"/>
                <w:highlight w:val="none"/>
              </w:rPr>
            </w:r>
            <w:r/>
          </w:p>
          <w:p>
            <w:pPr>
              <w:pStyle w:val="1087"/>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2.供应商可根据自身情况编写，本页不够可另加页附后。</w:t>
            </w:r>
            <w:r>
              <w:rPr>
                <w:rStyle w:val="1067"/>
                <w:rFonts w:hint="eastAsia" w:ascii="宋体" w:hAnsi="宋体" w:eastAsia="宋体" w:cs="宋体"/>
                <w:color w:val="000000"/>
                <w:sz w:val="24"/>
                <w:szCs w:val="24"/>
                <w:highlight w:val="none"/>
              </w:rPr>
            </w:r>
            <w:r/>
          </w:p>
        </w:tc>
      </w:tr>
      <w:tr>
        <w:trPr>
          <w:trHeight w:val="8144"/>
        </w:trPr>
        <w:tc>
          <w:tcPr>
            <w:tcW w:w="8482" w:type="dxa"/>
            <w:vAlign w:val="bottom"/>
            <w:textDirection w:val="lrTb"/>
            <w:noWrap w:val="false"/>
          </w:tcPr>
          <w:p>
            <w:pPr>
              <w:pStyle w:val="1027"/>
              <w:ind w:left="0" w:firstLine="240"/>
              <w:widowControl w:val="off"/>
              <w:tabs>
                <w:tab w:val="left" w:pos="1320" w:leader="none"/>
              </w:tabs>
              <w:rPr>
                <w:rStyle w:val="1067"/>
                <w:rFonts w:hint="eastAsia" w:ascii="宋体" w:hAnsi="宋体" w:eastAsia="宋体" w:cs="宋体"/>
                <w:color w:val="000000"/>
                <w:sz w:val="24"/>
                <w:szCs w:val="24"/>
                <w:highlight w:val="none"/>
                <w:u w:val="single"/>
              </w:rPr>
            </w:pPr>
            <w:r>
              <w:rPr>
                <w:rStyle w:val="1067"/>
                <w:rFonts w:hint="eastAsia" w:ascii="宋体" w:hAnsi="宋体" w:eastAsia="宋体" w:cs="宋体"/>
                <w:color w:val="000000"/>
                <w:sz w:val="24"/>
                <w:szCs w:val="24"/>
                <w:highlight w:val="none"/>
                <w:u w:val="single"/>
              </w:rPr>
            </w:r>
            <w:r/>
          </w:p>
        </w:tc>
      </w:tr>
    </w:tbl>
    <w:p>
      <w:pPr>
        <w:pStyle w:val="1085"/>
        <w:ind w:firstLine="0"/>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85"/>
        <w:ind w:firstLine="0"/>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spacing w:line="360" w:lineRule="auto"/>
        <w:widowControl w:val="off"/>
        <w:rPr>
          <w:rStyle w:val="1067"/>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67"/>
          <w:rFonts w:hint="eastAsia" w:ascii="宋体" w:hAnsi="宋体" w:eastAsia="宋体" w:cs="宋体"/>
          <w:b/>
          <w:color w:val="000000"/>
          <w:sz w:val="24"/>
          <w:szCs w:val="24"/>
          <w:highlight w:val="none"/>
        </w:rPr>
      </w:r>
      <w:r/>
    </w:p>
    <w:p>
      <w:pPr>
        <w:pStyle w:val="1086"/>
        <w:ind w:left="0" w:firstLine="0"/>
        <w:widowControl w:val="off"/>
        <w:rPr>
          <w:rStyle w:val="1067"/>
          <w:rFonts w:hint="eastAsia" w:ascii="宋体" w:hAnsi="宋体" w:eastAsia="宋体" w:cs="宋体"/>
          <w:color w:val="000000"/>
          <w:szCs w:val="24"/>
          <w:highlight w:val="none"/>
        </w:rPr>
        <w:outlineLvl w:val="1"/>
      </w:pPr>
      <w:r>
        <w:rPr>
          <w:rStyle w:val="1067"/>
          <w:rFonts w:hint="eastAsia" w:ascii="宋体" w:hAnsi="宋体" w:eastAsia="宋体" w:cs="宋体"/>
          <w:b/>
          <w:color w:val="000000"/>
          <w:szCs w:val="24"/>
          <w:highlight w:val="none"/>
        </w:rPr>
        <w:br w:type="page" w:clear="all"/>
      </w:r>
      <w:r>
        <w:rPr>
          <w:rStyle w:val="1067"/>
          <w:rFonts w:hint="eastAsia" w:ascii="宋体" w:hAnsi="宋体" w:eastAsia="宋体" w:cs="宋体"/>
          <w:b/>
          <w:color w:val="000000"/>
          <w:szCs w:val="24"/>
          <w:highlight w:val="none"/>
        </w:rPr>
        <w:t xml:space="preserve">附件</w:t>
      </w:r>
      <w:r>
        <w:rPr>
          <w:rStyle w:val="1067"/>
          <w:rFonts w:hint="eastAsia" w:ascii="宋体" w:hAnsi="宋体" w:eastAsia="宋体" w:cs="宋体"/>
          <w:b/>
          <w:color w:val="000000"/>
          <w:szCs w:val="24"/>
          <w:highlight w:val="none"/>
          <w:lang w:val="en-US" w:eastAsia="zh-CN"/>
        </w:rPr>
        <w:t xml:space="preserve">1</w:t>
      </w:r>
      <w:r>
        <w:rPr>
          <w:rStyle w:val="1067"/>
          <w:rFonts w:hint="eastAsia" w:ascii="宋体" w:hAnsi="宋体" w:eastAsia="宋体" w:cs="宋体"/>
          <w:b/>
          <w:color w:val="000000"/>
          <w:szCs w:val="24"/>
          <w:highlight w:val="none"/>
          <w:lang w:val="en-US" w:eastAsia="zh-CN"/>
        </w:rPr>
        <w:t xml:space="preserve">0</w:t>
      </w:r>
      <w:r>
        <w:rPr>
          <w:rStyle w:val="1067"/>
          <w:rFonts w:hint="eastAsia" w:ascii="宋体" w:hAnsi="宋体" w:eastAsia="宋体" w:cs="宋体"/>
          <w:b/>
          <w:color w:val="000000"/>
          <w:szCs w:val="24"/>
          <w:highlight w:val="none"/>
        </w:rPr>
        <w:t xml:space="preserve">、拟投入本项目人员配备一览表</w:t>
      </w:r>
      <w:bookmarkEnd w:id="54"/>
      <w:r/>
      <w:bookmarkEnd w:id="55"/>
      <w:r>
        <w:rPr>
          <w:rStyle w:val="1067"/>
          <w:rFonts w:hint="eastAsia" w:ascii="宋体" w:hAnsi="宋体" w:eastAsia="宋体" w:cs="宋体"/>
          <w:color w:val="000000"/>
          <w:szCs w:val="24"/>
          <w:highlight w:val="none"/>
        </w:rPr>
      </w:r>
      <w:r/>
    </w:p>
    <w:p>
      <w:pPr>
        <w:pStyle w:val="1027"/>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r>
      <w:r/>
    </w:p>
    <w:p>
      <w:pPr>
        <w:pStyle w:val="1086"/>
        <w:ind w:left="0" w:firstLine="0"/>
        <w:jc w:val="center"/>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t xml:space="preserve">拟投入本项目人员配备一览表</w:t>
      </w:r>
      <w:r>
        <w:rPr>
          <w:rStyle w:val="1067"/>
          <w:rFonts w:hint="eastAsia" w:ascii="宋体" w:hAnsi="宋体" w:eastAsia="宋体" w:cs="宋体"/>
          <w:b/>
          <w:color w:val="000000"/>
          <w:szCs w:val="24"/>
          <w:highlight w:val="none"/>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项目组所任职务</w:t>
            </w: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姓名</w:t>
            </w: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性别</w:t>
            </w: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年龄</w:t>
            </w: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职称</w:t>
            </w: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专业/资格</w:t>
            </w: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从事本工作时间</w:t>
            </w: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典型业务与技术专长</w:t>
            </w: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0"/>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27"/>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86"/>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p>
      <w:pPr>
        <w:pStyle w:val="1027"/>
        <w:ind w:firstLine="482"/>
        <w:spacing w:line="360" w:lineRule="auto"/>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86"/>
        <w:ind w:left="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szCs w:val="24"/>
          <w:highlight w:val="none"/>
        </w:rPr>
      </w:r>
      <w:r/>
    </w:p>
    <w:p>
      <w:pPr>
        <w:pStyle w:val="1086"/>
        <w:ind w:left="0" w:firstLine="0"/>
        <w:widowControl w:val="off"/>
        <w:rPr>
          <w:rStyle w:val="1067"/>
          <w:rFonts w:hint="eastAsia" w:ascii="宋体" w:hAnsi="宋体" w:eastAsia="宋体" w:cs="宋体"/>
          <w:b/>
          <w:color w:val="000000"/>
          <w:highlight w:val="none"/>
        </w:rPr>
        <w:outlineLvl w:val="1"/>
      </w:pPr>
      <w:r>
        <w:rPr>
          <w:rStyle w:val="1067"/>
          <w:rFonts w:hint="eastAsia" w:ascii="宋体" w:hAnsi="宋体" w:eastAsia="宋体" w:cs="宋体"/>
          <w:color w:val="000000"/>
          <w:sz w:val="21"/>
          <w:szCs w:val="21"/>
          <w:highlight w:val="none"/>
        </w:rPr>
        <w:br w:type="page" w:clear="all"/>
      </w:r>
      <w:bookmarkStart w:id="56" w:name="_Toc5921"/>
      <w:r>
        <w:rPr>
          <w:rStyle w:val="1067"/>
          <w:rFonts w:hint="eastAsia" w:ascii="宋体" w:hAnsi="宋体" w:eastAsia="宋体" w:cs="宋体"/>
          <w:b/>
          <w:color w:val="000000"/>
          <w:highlight w:val="none"/>
        </w:rPr>
        <w:t xml:space="preserve">附件</w:t>
      </w:r>
      <w:r>
        <w:rPr>
          <w:rStyle w:val="1067"/>
          <w:rFonts w:hint="eastAsia" w:ascii="宋体" w:hAnsi="宋体" w:eastAsia="宋体" w:cs="宋体"/>
          <w:b/>
          <w:color w:val="000000"/>
          <w:highlight w:val="none"/>
          <w:lang w:val="en-US" w:eastAsia="zh-CN"/>
        </w:rPr>
        <w:t xml:space="preserve">1</w:t>
      </w:r>
      <w:r>
        <w:rPr>
          <w:rStyle w:val="1067"/>
          <w:rFonts w:hint="eastAsia" w:ascii="宋体" w:hAnsi="宋体" w:eastAsia="宋体" w:cs="宋体"/>
          <w:b/>
          <w:color w:val="000000"/>
          <w:highlight w:val="none"/>
          <w:lang w:val="en-US" w:eastAsia="zh-CN"/>
        </w:rPr>
        <w:t xml:space="preserve">1</w:t>
      </w:r>
      <w:r>
        <w:rPr>
          <w:rStyle w:val="1067"/>
          <w:rFonts w:hint="eastAsia" w:ascii="宋体" w:hAnsi="宋体" w:eastAsia="宋体" w:cs="宋体"/>
          <w:b/>
          <w:color w:val="000000"/>
          <w:highlight w:val="none"/>
        </w:rPr>
        <w:t xml:space="preserve">、企业类似项目一览表</w:t>
      </w:r>
      <w:r>
        <w:rPr>
          <w:rStyle w:val="1067"/>
          <w:rFonts w:hint="eastAsia" w:ascii="宋体" w:hAnsi="宋体" w:eastAsia="宋体" w:cs="宋体"/>
          <w:b/>
          <w:color w:val="000000"/>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企业类似项目一览表</w:t>
      </w:r>
      <w:r>
        <w:rPr>
          <w:rFonts w:hint="eastAsia" w:ascii="宋体" w:hAnsi="宋体" w:eastAsia="宋体" w:cs="宋体"/>
          <w:b/>
          <w:color w:val="000000"/>
          <w:sz w:val="24"/>
          <w:szCs w:val="24"/>
          <w:highlight w:val="none"/>
        </w:rPr>
      </w:r>
      <w:r/>
    </w:p>
    <w:p>
      <w:pPr>
        <w:pStyle w:val="1027"/>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839"/>
        </w:trPr>
        <w:tc>
          <w:tcPr>
            <w:tcW w:w="861"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27"/>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5"/>
        <w:ind w:firstLine="0"/>
        <w:jc w:val="both"/>
        <w:spacing w:line="360" w:lineRule="auto"/>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86"/>
        <w:ind w:left="0"/>
        <w:widowControl w:val="off"/>
        <w:rPr>
          <w:rStyle w:val="1067"/>
          <w:rFonts w:hint="eastAsia" w:ascii="宋体" w:hAnsi="宋体" w:eastAsia="宋体" w:cs="宋体"/>
          <w:color w:val="000000"/>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highlight w:val="none"/>
        </w:rPr>
      </w:r>
      <w:r/>
    </w:p>
    <w:p>
      <w:pPr>
        <w:pStyle w:val="1085"/>
        <w:ind w:left="0" w:firstLine="0"/>
        <w:jc w:val="both"/>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附件</w:t>
      </w:r>
      <w:r>
        <w:rPr>
          <w:rFonts w:hint="eastAsia" w:ascii="宋体" w:hAnsi="宋体" w:eastAsia="宋体" w:cs="宋体"/>
          <w:b/>
          <w:color w:val="000000"/>
          <w:szCs w:val="24"/>
          <w:highlight w:val="none"/>
          <w:lang w:val="en-US" w:eastAsia="zh-CN"/>
        </w:rPr>
        <w:t xml:space="preserve">1</w:t>
      </w:r>
      <w:r>
        <w:rPr>
          <w:rFonts w:hint="eastAsia" w:ascii="宋体" w:hAnsi="宋体" w:eastAsia="宋体" w:cs="宋体"/>
          <w:b/>
          <w:color w:val="000000"/>
          <w:szCs w:val="24"/>
          <w:highlight w:val="none"/>
          <w:lang w:val="en-US" w:eastAsia="zh-CN"/>
        </w:rPr>
        <w:t xml:space="preserve">2</w:t>
      </w:r>
      <w:r>
        <w:rPr>
          <w:rFonts w:hint="eastAsia" w:ascii="宋体" w:hAnsi="宋体" w:eastAsia="宋体" w:cs="宋体"/>
          <w:b/>
          <w:color w:val="000000"/>
          <w:szCs w:val="24"/>
          <w:highlight w:val="none"/>
        </w:rPr>
        <w:t xml:space="preserve">、中小企业声明函</w:t>
      </w:r>
      <w:bookmarkEnd w:id="51"/>
      <w:r/>
      <w:bookmarkEnd w:id="52"/>
      <w:r/>
      <w:bookmarkEnd w:id="56"/>
      <w:r>
        <w:rPr>
          <w:rFonts w:hint="eastAsia" w:ascii="宋体" w:hAnsi="宋体" w:eastAsia="宋体" w:cs="宋体"/>
          <w:b/>
          <w:color w:val="000000"/>
          <w:sz w:val="21"/>
          <w:szCs w:val="21"/>
          <w:highlight w:val="none"/>
        </w:rPr>
      </w:r>
      <w:r/>
    </w:p>
    <w:p>
      <w:pPr>
        <w:pStyle w:val="1027"/>
        <w:ind w:left="0"/>
        <w:jc w:val="center"/>
        <w:spacing w:line="400" w:lineRule="exact"/>
        <w:widowControl w:val="off"/>
        <w:rPr>
          <w:rStyle w:val="1067"/>
          <w:rFonts w:hint="eastAsia" w:ascii="宋体" w:hAnsi="宋体" w:eastAsia="宋体" w:cs="宋体"/>
          <w:b/>
          <w:bCs/>
          <w:color w:val="000000"/>
          <w:sz w:val="24"/>
          <w:szCs w:val="24"/>
          <w:highlight w:val="none"/>
          <w:lang w:val="zh-CN"/>
        </w:rPr>
      </w:pPr>
      <w:r>
        <w:rPr>
          <w:rStyle w:val="1067"/>
          <w:rFonts w:hint="eastAsia" w:ascii="宋体" w:hAnsi="宋体" w:eastAsia="宋体" w:cs="宋体"/>
          <w:b/>
          <w:bCs/>
          <w:color w:val="000000"/>
          <w:sz w:val="24"/>
          <w:szCs w:val="24"/>
          <w:highlight w:val="none"/>
          <w:lang w:val="zh-CN"/>
        </w:rPr>
        <w:t xml:space="preserve">中小企业声明函</w:t>
      </w:r>
      <w:r>
        <w:rPr>
          <w:rStyle w:val="1067"/>
          <w:rFonts w:hint="eastAsia" w:ascii="宋体" w:hAnsi="宋体" w:eastAsia="宋体" w:cs="宋体"/>
          <w:b/>
          <w:bCs/>
          <w:color w:val="000000"/>
          <w:sz w:val="24"/>
          <w:szCs w:val="24"/>
          <w:highlight w:val="none"/>
          <w:lang w:val="zh-CN"/>
        </w:rPr>
      </w:r>
      <w:r/>
    </w:p>
    <w:p>
      <w:pPr>
        <w:pStyle w:val="1027"/>
        <w:ind w:left="0" w:firstLine="480"/>
        <w:spacing w:line="360" w:lineRule="auto"/>
        <w:widowControl w:val="off"/>
        <w:rPr>
          <w:rStyle w:val="1067"/>
          <w:rFonts w:hint="eastAsia" w:ascii="宋体" w:hAnsi="宋体" w:eastAsia="宋体" w:cs="宋体"/>
          <w:color w:val="000000"/>
          <w:sz w:val="24"/>
          <w:szCs w:val="24"/>
          <w:highlight w:val="none"/>
          <w:lang w:val="zh-CN"/>
        </w:rPr>
      </w:pPr>
      <w:r>
        <w:rPr>
          <w:rStyle w:val="1067"/>
          <w:rFonts w:hint="eastAsia" w:ascii="宋体" w:hAnsi="宋体" w:eastAsia="宋体" w:cs="宋体"/>
          <w:color w:val="000000"/>
          <w:sz w:val="24"/>
          <w:szCs w:val="24"/>
          <w:highlight w:val="none"/>
          <w:lang w:val="zh-CN"/>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餐饮业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，从业人员__人，营业收入为__万元，资产总额为__万元，属于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餐饮业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人，营业收入为___万元，资产总额为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3"/>
        <w:ind w:firstLine="480"/>
        <w:rPr>
          <w:rFonts w:hint="eastAsia" w:ascii="宋体" w:hAnsi="宋体" w:eastAsia="宋体" w:cs="宋体"/>
          <w:color w:val="000000"/>
          <w:sz w:val="21"/>
          <w:szCs w:val="21"/>
          <w:highlight w:val="none"/>
        </w:rPr>
      </w:pPr>
      <w:r>
        <w:rPr>
          <w:rFonts w:hint="eastAsia" w:ascii="宋体" w:hAnsi="宋体" w:eastAsia="宋体" w:cs="宋体"/>
          <w:color w:val="000000"/>
          <w:szCs w:val="24"/>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34"/>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4"/>
        <w:ind w:left="0" w:firstLine="0"/>
        <w:jc w:val="left"/>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57" w:name="_Toc14042"/>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sz w:val="21"/>
          <w:szCs w:val="21"/>
          <w:highlight w:val="none"/>
        </w:rPr>
      </w:r>
      <w:r/>
    </w:p>
    <w:p>
      <w:pPr>
        <w:pStyle w:val="1034"/>
        <w:ind w:left="0" w:firstLine="0"/>
        <w:jc w:val="left"/>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val="0"/>
          <w:bCs w:val="0"/>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57"/>
      <w:r>
        <w:rPr>
          <w:rFonts w:hint="eastAsia" w:ascii="宋体" w:hAnsi="宋体" w:eastAsia="宋体" w:cs="宋体"/>
          <w:b/>
          <w:bCs/>
          <w:color w:val="000000"/>
          <w:sz w:val="24"/>
          <w:szCs w:val="24"/>
          <w:highlight w:val="none"/>
        </w:rPr>
      </w:r>
      <w:r/>
    </w:p>
    <w:p>
      <w:pPr>
        <w:pStyle w:val="1079"/>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27"/>
        <w:ind w:left="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75"/>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1027"/>
        <w:ind w:left="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7"/>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27"/>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27"/>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firstLine="0"/>
        <w:spacing w:line="360" w:lineRule="auto"/>
        <w:rPr>
          <w:rFonts w:hint="eastAsia" w:ascii="宋体" w:hAnsi="宋体" w:eastAsia="宋体" w:cs="宋体"/>
          <w:b/>
          <w:color w:val="000000"/>
          <w:sz w:val="24"/>
          <w:szCs w:val="24"/>
          <w:highlight w:val="none"/>
          <w:shd w:val="clear" w:color="auto" w:fill="ffffff"/>
        </w:rPr>
        <w:outlineLvl w:val="2"/>
      </w:pPr>
      <w:r>
        <w:rPr>
          <w:rFonts w:hint="eastAsia" w:ascii="宋体" w:hAnsi="宋体" w:eastAsia="宋体" w:cs="宋体"/>
          <w:color w:val="000000"/>
          <w:sz w:val="21"/>
          <w:szCs w:val="21"/>
          <w:highlight w:val="none"/>
        </w:rPr>
        <w:br w:type="page" w:clear="all"/>
      </w:r>
      <w:bookmarkStart w:id="58" w:name="_Toc7573"/>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shd w:val="clear" w:color="auto" w:fill="ffffff"/>
        </w:rPr>
        <w:t xml:space="preserve">关于符合本国产品标准的声明函</w:t>
      </w:r>
      <w:r>
        <w:rPr>
          <w:rFonts w:hint="eastAsia" w:ascii="宋体" w:hAnsi="宋体" w:eastAsia="宋体" w:cs="宋体"/>
          <w:b/>
          <w:color w:val="000000"/>
          <w:sz w:val="24"/>
          <w:szCs w:val="24"/>
          <w:highlight w:val="none"/>
          <w:shd w:val="clear" w:color="auto" w:fill="ffffff"/>
        </w:rPr>
      </w:r>
      <w:r/>
    </w:p>
    <w:p>
      <w:pPr>
        <w:pStyle w:val="1027"/>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10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4"/>
        <w:ind w:left="0"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54"/>
        <w:ind w:left="0"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4824095</wp:posOffset>
                </wp:positionH>
                <wp:positionV relativeFrom="paragraph">
                  <wp:posOffset>77470</wp:posOffset>
                </wp:positionV>
                <wp:extent cx="667385" cy="1206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67385" cy="1206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79.8pt;mso-position-horizontal:absolute;mso-position-vertical-relative:text;margin-top:6.1pt;mso-position-vertical:absolute;width:52.5pt;height:9.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705485</wp:posOffset>
                </wp:positionH>
                <wp:positionV relativeFrom="paragraph">
                  <wp:posOffset>701040</wp:posOffset>
                </wp:positionV>
                <wp:extent cx="788035" cy="1219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55.5pt;mso-position-horizontal:absolute;mso-position-vertical-relative:text;margin-top:55.2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4427220</wp:posOffset>
                </wp:positionH>
                <wp:positionV relativeFrom="paragraph">
                  <wp:posOffset>405765</wp:posOffset>
                </wp:positionV>
                <wp:extent cx="742950" cy="1143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348.6pt;mso-position-horizontal:absolute;mso-position-vertical-relative:text;margin-top:31.9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3310890</wp:posOffset>
                </wp:positionH>
                <wp:positionV relativeFrom="paragraph">
                  <wp:posOffset>408940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60.7pt;mso-position-horizontal:absolute;mso-position-vertical-relative:text;margin-top:32.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2146300</wp:posOffset>
                </wp:positionH>
                <wp:positionV relativeFrom="paragraph">
                  <wp:posOffset>406400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9.0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1630680</wp:posOffset>
                </wp:positionH>
                <wp:positionV relativeFrom="paragraph">
                  <wp:posOffset>633730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60"/>
          <w:rFonts w:hint="eastAsia" w:ascii="宋体" w:hAnsi="宋体" w:eastAsia="宋体" w:cs="宋体"/>
          <w:i w:val="0"/>
          <w:color w:val="000000"/>
          <w:sz w:val="24"/>
          <w:szCs w:val="24"/>
          <w:highlight w:val="none"/>
          <w:u w:val="single"/>
          <w:shd w:val="clear" w:color="auto" w:fill="ffffff"/>
        </w:rPr>
        <w:t xml:space="preserve">（产品名称1）</w:t>
      </w:r>
      <w:r>
        <w:rPr>
          <w:rStyle w:val="1060"/>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60"/>
          <w:rFonts w:hint="eastAsia" w:ascii="宋体" w:hAnsi="宋体" w:eastAsia="宋体" w:cs="宋体"/>
          <w:i w:val="0"/>
          <w:color w:val="000000"/>
          <w:sz w:val="24"/>
          <w:szCs w:val="24"/>
          <w:highlight w:val="none"/>
          <w:u w:val="single"/>
          <w:shd w:val="clear" w:color="auto" w:fill="ffffff"/>
        </w:rPr>
        <w:t xml:space="preserve">（厂名）</w:t>
      </w:r>
      <w:r>
        <w:rPr>
          <w:rStyle w:val="1060"/>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6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60"/>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60"/>
          <w:rFonts w:hint="eastAsia" w:ascii="宋体" w:hAnsi="宋体" w:eastAsia="宋体" w:cs="宋体"/>
          <w:i w:val="0"/>
          <w:color w:val="000000"/>
          <w:sz w:val="24"/>
          <w:szCs w:val="24"/>
          <w:highlight w:val="none"/>
          <w:u w:val="single"/>
          <w:shd w:val="clear" w:color="auto" w:fill="ffffff"/>
        </w:rPr>
        <w:t xml:space="preserve">（规定比例）</w:t>
      </w:r>
      <w:r>
        <w:rPr>
          <w:rStyle w:val="1060"/>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6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60"/>
          <w:rFonts w:hint="eastAsia" w:ascii="宋体" w:hAnsi="宋体" w:eastAsia="宋体" w:cs="宋体"/>
          <w:i w:val="0"/>
          <w:color w:val="000000"/>
          <w:sz w:val="24"/>
          <w:szCs w:val="24"/>
          <w:highlight w:val="none"/>
          <w:u w:val="single"/>
          <w:shd w:val="clear" w:color="auto" w:fill="ffffff"/>
        </w:rPr>
        <w:t xml:space="preserve">（关键组件）</w:t>
      </w:r>
      <w:r>
        <w:rPr>
          <w:rStyle w:val="1060"/>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6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60"/>
          <w:rFonts w:hint="eastAsia" w:ascii="宋体" w:hAnsi="宋体" w:eastAsia="宋体" w:cs="宋体"/>
          <w:i w:val="0"/>
          <w:color w:val="000000"/>
          <w:sz w:val="24"/>
          <w:szCs w:val="24"/>
          <w:highlight w:val="none"/>
          <w:u w:val="single"/>
          <w:shd w:val="clear" w:color="auto" w:fill="ffffff"/>
        </w:rPr>
        <w:t xml:space="preserve">（关键工序）</w:t>
      </w:r>
      <w:r>
        <w:rPr>
          <w:rStyle w:val="1060"/>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posOffset>410845</wp:posOffset>
                </wp:positionH>
                <wp:positionV relativeFrom="paragraph">
                  <wp:posOffset>709930</wp:posOffset>
                </wp:positionV>
                <wp:extent cx="806450" cy="1073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margin;margin-left:32.4pt;mso-position-horizontal:absolute;mso-position-vertical-relative:text;margin-top:55.9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1477010</wp:posOffset>
                </wp:positionH>
                <wp:positionV relativeFrom="paragraph">
                  <wp:posOffset>737870</wp:posOffset>
                </wp:positionV>
                <wp:extent cx="79502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9502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16.3pt;mso-position-horizontal:absolute;mso-position-vertical-relative:text;margin-top:58.1pt;mso-position-vertical:absolute;width:62.6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1878330</wp:posOffset>
                </wp:positionH>
                <wp:positionV relativeFrom="paragraph">
                  <wp:posOffset>387350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47.9pt;mso-position-horizontal:absolute;mso-position-vertical-relative:text;margin-top:30.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4133215</wp:posOffset>
                </wp:positionH>
                <wp:positionV relativeFrom="paragraph">
                  <wp:posOffset>395605</wp:posOffset>
                </wp:positionV>
                <wp:extent cx="751205"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25.4pt;mso-position-horizontal:absolute;mso-position-vertical-relative:text;margin-top:31.1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2975610</wp:posOffset>
                </wp:positionH>
                <wp:positionV relativeFrom="paragraph">
                  <wp:posOffset>401320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34.3pt;mso-position-horizontal:absolute;mso-position-vertical-relative:text;margin-top:31.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4618990</wp:posOffset>
                </wp:positionH>
                <wp:positionV relativeFrom="paragraph">
                  <wp:posOffset>97790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3.7pt;mso-position-horizontal:absolute;mso-position-vertical-relative:text;margin-top:7.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w:t xml:space="preserve">2.</w:t>
      </w:r>
      <w:r>
        <w:rPr>
          <w:rStyle w:val="1060"/>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Style w:val="1060"/>
          <w:rFonts w:hint="eastAsia" w:ascii="宋体" w:hAnsi="宋体" w:eastAsia="宋体" w:cs="宋体"/>
          <w:i w:val="0"/>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Style w:val="1060"/>
          <w:rFonts w:hint="eastAsia" w:ascii="宋体" w:hAnsi="宋体" w:eastAsia="宋体" w:cs="宋体"/>
          <w:i w:val="0"/>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Style w:val="1060"/>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Style w:val="1060"/>
          <w:rFonts w:hint="eastAsia" w:ascii="宋体" w:hAnsi="宋体" w:eastAsia="宋体" w:cs="宋体"/>
          <w:i w:val="0"/>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Style w:val="1060"/>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60"/>
          <w:rFonts w:hint="eastAsia" w:ascii="宋体" w:hAnsi="宋体" w:eastAsia="宋体" w:cs="宋体"/>
          <w:i w:val="0"/>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Style w:val="1060"/>
          <w:rFonts w:hint="eastAsia" w:ascii="宋体" w:hAnsi="宋体" w:eastAsia="宋体" w:cs="宋体"/>
          <w:i w:val="0"/>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Style w:val="1060"/>
          <w:rFonts w:hint="eastAsia" w:ascii="宋体" w:hAnsi="宋体" w:eastAsia="宋体" w:cs="宋体"/>
          <w:i w:val="0"/>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1.产品如有型号，请在“产品名称”栏一并填写。</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2.生产厂址应与生产厂营业执照载明的相关信息保持一致。</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4.该产品的关键组件要求实施前，“关键组件”栏可不填，下同。</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5.该产品的关键工序要求实施前，“关键工序”栏可不填，下同。</w:t>
      </w:r>
      <w:r>
        <w:rPr>
          <w:rFonts w:hint="eastAsia" w:ascii="宋体" w:hAnsi="宋体" w:eastAsia="宋体" w:cs="宋体"/>
          <w:color w:val="000000"/>
          <w:sz w:val="24"/>
          <w:szCs w:val="24"/>
          <w:highlight w:val="none"/>
          <w:lang w:val="zh-CN"/>
        </w:rPr>
      </w:r>
      <w:r/>
    </w:p>
    <w:p>
      <w:pPr>
        <w:pStyle w:val="1054"/>
        <w:ind w:left="0" w:firstLine="480"/>
        <w:jc w:val="both"/>
        <w:spacing w:before="0" w:beforeAutospacing="0" w:after="0" w:afterAutospacing="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本公司（单位）对上述声明内容的真实性负责。如有虚假，愿承担相应法律责任。</w:t>
      </w:r>
      <w:r>
        <w:rPr>
          <w:rFonts w:hint="eastAsia" w:ascii="宋体" w:hAnsi="宋体" w:eastAsia="宋体" w:cs="宋体"/>
          <w:color w:val="000000"/>
          <w:sz w:val="24"/>
          <w:szCs w:val="24"/>
          <w:highlight w:val="none"/>
          <w:lang w:val="zh-CN"/>
        </w:rPr>
      </w:r>
      <w:r/>
    </w:p>
    <w:p>
      <w:pPr>
        <w:pStyle w:val="102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公司（单位）名称（盖章）：</w:t>
      </w:r>
      <w:r>
        <w:rPr>
          <w:rFonts w:hint="eastAsia" w:ascii="宋体" w:hAnsi="宋体" w:eastAsia="宋体" w:cs="宋体"/>
          <w:color w:val="000000"/>
          <w:sz w:val="24"/>
          <w:szCs w:val="24"/>
          <w:highlight w:val="none"/>
          <w:lang w:val="zh-CN"/>
        </w:rPr>
      </w:r>
      <w:r/>
    </w:p>
    <w:p>
      <w:pPr>
        <w:pStyle w:val="1027"/>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lang w:val="zh-CN"/>
        </w:rPr>
      </w:r>
      <w:r/>
    </w:p>
    <w:p>
      <w:pPr>
        <w:pStyle w:val="1027"/>
        <w:ind w:left="0"/>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、响应保证承诺书</w:t>
      </w:r>
      <w:bookmarkEnd w:id="58"/>
      <w:r>
        <w:rPr>
          <w:rFonts w:hint="eastAsia" w:ascii="宋体" w:hAnsi="宋体" w:eastAsia="宋体" w:cs="宋体"/>
          <w:b/>
          <w:color w:val="000000"/>
          <w:sz w:val="24"/>
          <w:szCs w:val="24"/>
          <w:highlight w:val="none"/>
        </w:rPr>
      </w:r>
      <w:r/>
    </w:p>
    <w:p>
      <w:pPr>
        <w:pStyle w:val="1027"/>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27"/>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1027"/>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1027"/>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1027"/>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27"/>
        <w:ind w:left="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9" w:name="_Toc9516"/>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、响应单位与其他单位存在控股、管理关系情况表</w:t>
      </w:r>
      <w:bookmarkEnd w:id="59"/>
      <w:r>
        <w:rPr>
          <w:rFonts w:hint="eastAsia" w:ascii="宋体" w:hAnsi="宋体" w:eastAsia="宋体" w:cs="宋体"/>
          <w:b/>
          <w:color w:val="000000"/>
          <w:sz w:val="24"/>
          <w:szCs w:val="24"/>
          <w:highlight w:val="none"/>
        </w:rPr>
      </w:r>
      <w:r/>
    </w:p>
    <w:p>
      <w:pPr>
        <w:pStyle w:val="1038"/>
        <w:ind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与响应单位存在控股、管理关系的单位名称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27"/>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1027"/>
        <w:ind w:left="0" w:firstLine="482"/>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1027"/>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6"/>
        <w:ind w:left="0" w:firstLine="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、关于响应报价合理性的澄清说明</w:t>
      </w:r>
      <w:r>
        <w:rPr>
          <w:rStyle w:val="1067"/>
          <w:rFonts w:hint="eastAsia" w:ascii="宋体" w:hAnsi="宋体" w:eastAsia="宋体" w:cs="宋体"/>
          <w:color w:val="000000"/>
          <w:szCs w:val="24"/>
          <w:highlight w:val="none"/>
        </w:rPr>
      </w:r>
      <w:r/>
    </w:p>
    <w:p>
      <w:pPr>
        <w:pStyle w:val="1038"/>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38"/>
        <w:ind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关于响应报价合理性的澄清说明</w:t>
      </w:r>
      <w:r>
        <w:rPr>
          <w:rFonts w:hint="eastAsia" w:ascii="宋体" w:hAnsi="宋体" w:eastAsia="宋体" w:cs="宋体"/>
          <w:b/>
          <w:bCs/>
          <w:color w:val="000000"/>
          <w:sz w:val="24"/>
          <w:szCs w:val="24"/>
          <w:highlight w:val="none"/>
          <w:lang w:val="en-US" w:eastAsia="zh-CN" w:bidi="ar-SA"/>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27"/>
              <w:ind w:left="0"/>
              <w:jc w:val="center"/>
              <w:spacing w:line="60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34"/>
        <w:ind w:left="0" w:firstLine="422"/>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val="0"/>
          <w:bCs w:val="0"/>
          <w:color w:val="000000"/>
          <w:sz w:val="21"/>
          <w:szCs w:val="21"/>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27"/>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3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center"/>
        <w:spacing w:line="360" w:lineRule="auto"/>
        <w:rPr>
          <w:rFonts w:hint="eastAsia" w:ascii="宋体" w:hAnsi="宋体" w:eastAsia="宋体" w:cs="宋体"/>
          <w:b/>
          <w:color w:val="000000"/>
          <w:sz w:val="44"/>
          <w:szCs w:val="44"/>
          <w:highlight w:val="none"/>
        </w:rPr>
      </w:pPr>
      <w:r/>
      <w:bookmarkStart w:id="60" w:name="_Toc23660"/>
      <w:r/>
      <w:bookmarkStart w:id="61" w:name="_Toc4098"/>
      <w:r/>
      <w:bookmarkStart w:id="62" w:name="_Toc58248882"/>
      <w:r/>
      <w:bookmarkStart w:id="63" w:name="_Toc57376408"/>
      <w:r/>
      <w:bookmarkStart w:id="64" w:name="_Toc6898"/>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numPr>
          <w:ilvl w:val="0"/>
          <w:numId w:val="3"/>
        </w:numPr>
        <w:ind w:left="0"/>
        <w:jc w:val="center"/>
        <w:spacing w:line="360" w:lineRule="auto"/>
        <w:rPr>
          <w:rFonts w:hint="eastAsia" w:ascii="宋体" w:hAnsi="宋体" w:eastAsia="宋体" w:cs="宋体"/>
          <w:b/>
          <w:color w:val="000000"/>
          <w:sz w:val="44"/>
          <w:szCs w:val="44"/>
          <w:highlight w:val="none"/>
        </w:rPr>
        <w:outlineLvl w:val="0"/>
      </w:pPr>
      <w:r/>
      <w:bookmarkEnd w:id="60"/>
      <w:r/>
      <w:bookmarkEnd w:id="61"/>
      <w:r/>
      <w:bookmarkEnd w:id="62"/>
      <w:r/>
      <w:bookmarkEnd w:id="63"/>
      <w:r/>
      <w:bookmarkStart w:id="65" w:name="招标书"/>
      <w:r/>
      <w:bookmarkEnd w:id="65"/>
      <w:r/>
      <w:bookmarkStart w:id="66" w:name="_Toc19236"/>
      <w:r>
        <w:rPr>
          <w:rFonts w:hint="eastAsia" w:ascii="宋体" w:hAnsi="宋体" w:eastAsia="宋体" w:cs="宋体"/>
          <w:b/>
          <w:color w:val="000000"/>
          <w:sz w:val="44"/>
          <w:szCs w:val="44"/>
          <w:highlight w:val="none"/>
        </w:rPr>
        <w:t xml:space="preserve"> </w:t>
      </w:r>
      <w:bookmarkStart w:id="67" w:name="_Toc22713"/>
      <w:r>
        <w:rPr>
          <w:rFonts w:hint="eastAsia" w:ascii="宋体" w:hAnsi="宋体" w:eastAsia="宋体" w:cs="宋体"/>
          <w:b/>
          <w:color w:val="000000"/>
          <w:sz w:val="44"/>
          <w:szCs w:val="44"/>
          <w:highlight w:val="none"/>
        </w:rPr>
        <w:t xml:space="preserve">采购内容</w:t>
      </w:r>
      <w:bookmarkEnd w:id="64"/>
      <w:r/>
      <w:bookmarkEnd w:id="66"/>
      <w:r/>
      <w:bookmarkEnd w:id="67"/>
      <w:r>
        <w:rPr>
          <w:rFonts w:hint="eastAsia" w:ascii="宋体" w:hAnsi="宋体" w:eastAsia="宋体" w:cs="宋体"/>
          <w:b/>
          <w:color w:val="000000"/>
          <w:sz w:val="44"/>
          <w:szCs w:val="44"/>
          <w:highlight w:val="none"/>
        </w:rPr>
      </w:r>
      <w:r/>
    </w:p>
    <w:p>
      <w:pPr>
        <w:pStyle w:val="1038"/>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Style w:val="1067"/>
          <w:rFonts w:hint="eastAsia" w:ascii="宋体" w:hAnsi="宋体" w:eastAsia="宋体" w:cs="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rPr>
        <w:t xml:space="preserve">苏州合亿盛工程咨询有限公司受</w:t>
      </w:r>
      <w:r>
        <w:rPr>
          <w:rFonts w:hint="eastAsia" w:ascii="宋体" w:hAnsi="宋体" w:eastAsia="宋体" w:cs="宋体"/>
          <w:color w:val="000000"/>
          <w:sz w:val="24"/>
          <w:szCs w:val="24"/>
          <w:highlight w:val="none"/>
          <w:u w:val="single"/>
          <w:lang w:eastAsia="zh-CN"/>
        </w:rPr>
        <w:t xml:space="preserve">苏州市相城区元和街道社区卫生服务中心</w:t>
      </w:r>
      <w:r>
        <w:rPr>
          <w:rFonts w:hint="eastAsia" w:ascii="宋体" w:hAnsi="宋体" w:eastAsia="宋体" w:cs="宋体"/>
          <w:color w:val="000000"/>
          <w:sz w:val="24"/>
          <w:szCs w:val="24"/>
          <w:highlight w:val="none"/>
        </w:rPr>
        <w:t xml:space="preserve">的委托，就其拟采购的</w:t>
      </w:r>
      <w:r>
        <w:rPr>
          <w:rFonts w:hint="eastAsia" w:ascii="宋体" w:hAnsi="宋体" w:eastAsia="宋体" w:cs="宋体"/>
          <w:color w:val="000000"/>
          <w:sz w:val="24"/>
          <w:szCs w:val="24"/>
          <w:highlight w:val="none"/>
          <w:u w:val="single"/>
          <w:lang w:eastAsia="zh-CN"/>
        </w:rPr>
        <w:t xml:space="preserve">食堂一年期服务采购项目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1"/>
          <w:szCs w:val="21"/>
          <w:highlight w:val="none"/>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68" w:name="_Toc30080"/>
      <w:r/>
      <w:bookmarkStart w:id="69" w:name="_Toc14261"/>
      <w:r/>
      <w:bookmarkStart w:id="70" w:name="_Toc63066515"/>
      <w:r/>
      <w:bookmarkStart w:id="71" w:name="_Toc57376410"/>
      <w:r/>
      <w:bookmarkStart w:id="72" w:name="_Toc8564"/>
      <w:r/>
      <w:bookmarkStart w:id="73" w:name="_Toc27667"/>
      <w:r/>
      <w:bookmarkStart w:id="74" w:name="_Toc58248884"/>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eastAsia="zh-CN"/>
        </w:rPr>
        <w:t xml:space="preserve">JSZC-320507-SHYS-C2026-0021</w:t>
      </w:r>
      <w:r>
        <w:rPr>
          <w:rFonts w:hint="eastAsia" w:ascii="宋体" w:hAnsi="宋体" w:eastAsia="宋体" w:cs="宋体"/>
          <w:b/>
          <w:bCs/>
          <w:color w:val="000000"/>
          <w:sz w:val="24"/>
          <w:szCs w:val="24"/>
          <w:highlight w:val="none"/>
        </w:rPr>
        <w:t xml:space="preserve">号</w:t>
      </w:r>
      <w:bookmarkEnd w:id="68"/>
      <w:r/>
      <w:bookmarkEnd w:id="69"/>
      <w:r>
        <w:rPr>
          <w:rFonts w:hint="eastAsia" w:ascii="宋体" w:hAnsi="宋体" w:eastAsia="宋体" w:cs="宋体"/>
          <w:b/>
          <w:bCs/>
          <w:color w:val="000000"/>
          <w:sz w:val="24"/>
          <w:szCs w:val="24"/>
          <w:highlight w:val="none"/>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bookmarkStart w:id="75" w:name="_Toc22665"/>
      <w:r/>
      <w:bookmarkStart w:id="76" w:name="_Toc8029"/>
      <w:r>
        <w:rPr>
          <w:rFonts w:hint="eastAsia" w:ascii="宋体" w:hAnsi="宋体" w:eastAsia="宋体" w:cs="宋体"/>
          <w:b/>
          <w:bCs/>
          <w:color w:val="000000"/>
          <w:sz w:val="24"/>
          <w:szCs w:val="24"/>
          <w:highlight w:val="none"/>
        </w:rPr>
        <w:t xml:space="preserve">二、项目名称：</w:t>
      </w:r>
      <w:bookmarkEnd w:id="75"/>
      <w:r/>
      <w:bookmarkEnd w:id="76"/>
      <w:r>
        <w:rPr>
          <w:rFonts w:hint="eastAsia" w:ascii="宋体" w:hAnsi="宋体" w:eastAsia="宋体" w:cs="宋体"/>
          <w:b/>
          <w:bCs/>
          <w:color w:val="000000"/>
          <w:sz w:val="24"/>
          <w:szCs w:val="24"/>
          <w:highlight w:val="none"/>
          <w:lang w:eastAsia="zh-CN"/>
        </w:rPr>
        <w:t xml:space="preserve">食堂一年期服务采购项目</w:t>
      </w:r>
      <w:r>
        <w:rPr>
          <w:rFonts w:hint="eastAsia" w:ascii="宋体" w:hAnsi="宋体" w:eastAsia="宋体" w:cs="宋体"/>
          <w:b/>
          <w:bCs/>
          <w:color w:val="000000"/>
          <w:sz w:val="24"/>
          <w:szCs w:val="24"/>
          <w:highlight w:val="none"/>
          <w:lang w:eastAsia="zh-CN"/>
        </w:rPr>
      </w:r>
      <w:r/>
    </w:p>
    <w:p>
      <w:pPr>
        <w:pStyle w:val="1027"/>
        <w:ind w:left="0" w:firstLine="482"/>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77" w:name="_Toc31907"/>
      <w:r>
        <w:rPr>
          <w:rFonts w:hint="eastAsia" w:ascii="宋体" w:hAnsi="宋体" w:eastAsia="宋体" w:cs="宋体"/>
          <w:b/>
          <w:bCs/>
          <w:color w:val="000000"/>
          <w:sz w:val="24"/>
          <w:szCs w:val="24"/>
          <w:highlight w:val="none"/>
        </w:rPr>
        <w:t xml:space="preserve">三、采购需求：</w:t>
      </w:r>
      <w:bookmarkEnd w:id="77"/>
      <w:r>
        <w:rPr>
          <w:rFonts w:hint="eastAsia" w:ascii="宋体" w:hAnsi="宋体" w:eastAsia="宋体" w:cs="宋体"/>
          <w:color w:val="000000"/>
          <w:sz w:val="24"/>
          <w:szCs w:val="24"/>
          <w:highlight w:val="none"/>
          <w:lang w:val="en-US" w:eastAsia="zh-CN"/>
        </w:rPr>
      </w:r>
      <w:r/>
    </w:p>
    <w:p>
      <w:pPr>
        <w:pStyle w:val="1027"/>
        <w:ind w:lef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项目概况</w:t>
      </w:r>
      <w:r>
        <w:rPr>
          <w:rFonts w:hint="eastAsia" w:ascii="宋体" w:hAnsi="宋体" w:eastAsia="宋体" w:cs="宋体"/>
          <w:b/>
          <w:bCs/>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本次</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项</w:t>
      </w:r>
      <w:r>
        <w:rPr>
          <w:rFonts w:hint="eastAsia" w:ascii="宋体" w:hAnsi="宋体" w:eastAsia="宋体" w:cs="宋体"/>
          <w:color w:val="000000"/>
          <w:sz w:val="24"/>
          <w:szCs w:val="24"/>
          <w:highlight w:val="none"/>
        </w:rPr>
        <w:t xml:space="preserve">目为</w:t>
      </w:r>
      <w:r>
        <w:rPr>
          <w:rFonts w:hint="eastAsia" w:ascii="宋体" w:hAnsi="宋体" w:eastAsia="宋体" w:cs="宋体"/>
          <w:color w:val="000000"/>
          <w:sz w:val="24"/>
          <w:szCs w:val="24"/>
          <w:highlight w:val="none"/>
          <w:lang w:eastAsia="zh-CN"/>
        </w:rPr>
        <w:t xml:space="preserve">食堂一年期服务采购项目</w:t>
      </w:r>
      <w:r>
        <w:rPr>
          <w:rFonts w:hint="eastAsia" w:ascii="宋体" w:hAnsi="宋体" w:eastAsia="宋体" w:cs="宋体"/>
          <w:color w:val="000000"/>
          <w:sz w:val="24"/>
          <w:szCs w:val="24"/>
          <w:highlight w:val="none"/>
        </w:rPr>
        <w:t xml:space="preserve">，具体为医院工作人员食堂、病人家属食堂、病房(病员)订送餐、包厢服务等。本项目采取双赢和健康的合作发展模式，实行全承包经营服务方式。</w:t>
      </w:r>
      <w:r>
        <w:rPr>
          <w:rFonts w:hint="eastAsia" w:ascii="宋体" w:hAnsi="宋体" w:eastAsia="宋体" w:cs="宋体"/>
          <w:color w:val="000000"/>
          <w:sz w:val="24"/>
          <w:szCs w:val="24"/>
          <w:highlight w:val="none"/>
        </w:rPr>
      </w:r>
      <w:r/>
    </w:p>
    <w:p>
      <w:pPr>
        <w:pStyle w:val="1027"/>
        <w:numPr>
          <w:ilvl w:val="0"/>
          <w:numId w:val="0"/>
        </w:numPr>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食堂就餐人员数量预测</w:t>
      </w:r>
      <w:r>
        <w:rPr>
          <w:rFonts w:hint="eastAsia" w:ascii="宋体" w:hAnsi="宋体" w:eastAsia="宋体" w:cs="宋体"/>
          <w:b/>
          <w:bCs/>
          <w:color w:val="000000"/>
          <w:sz w:val="24"/>
          <w:szCs w:val="24"/>
          <w:highlight w:val="none"/>
        </w:rPr>
      </w:r>
      <w:r/>
    </w:p>
    <w:p>
      <w:pPr>
        <w:pStyle w:val="1027"/>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本院职工人数约2</w:t>
      </w:r>
      <w:r>
        <w:rPr>
          <w:rFonts w:hint="eastAsia" w:ascii="宋体" w:hAnsi="宋体" w:eastAsia="宋体" w:cs="宋体"/>
          <w:color w:val="000000"/>
          <w:sz w:val="24"/>
          <w:szCs w:val="24"/>
          <w:highlight w:val="none"/>
          <w:lang w:val="en-US" w:eastAsia="zh-CN"/>
        </w:rPr>
        <w:t xml:space="preserve">86</w:t>
      </w:r>
      <w:r>
        <w:rPr>
          <w:rFonts w:hint="eastAsia" w:ascii="宋体" w:hAnsi="宋体" w:eastAsia="宋体" w:cs="宋体"/>
          <w:color w:val="000000"/>
          <w:sz w:val="24"/>
          <w:szCs w:val="24"/>
          <w:highlight w:val="none"/>
        </w:rPr>
        <w:t xml:space="preserve">人，拥有病床约82张。</w:t>
      </w:r>
      <w:r>
        <w:rPr>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食堂设备</w:t>
      </w:r>
      <w:r>
        <w:rPr>
          <w:rFonts w:hint="eastAsia" w:ascii="宋体" w:hAnsi="宋体" w:eastAsia="宋体" w:cs="宋体"/>
          <w:b/>
          <w:bCs/>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医院辅楼一楼为餐厅，主要厨房设备，如灶具、冰箱、冰柜、开水炉、蒸箱、消毒柜、保温柜、储藏橱柜及清洗设施等均由采购人提供(具体以现场交接清单为准)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其所有权归采购人所有，由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支配使用。如需增加其它设备及配套设施由采购人负责，新增设备及设施的所有权归采购人所有。采购餐具、小型工具等由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自行采购，所有权归</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所有。</w:t>
      </w:r>
      <w:r>
        <w:rPr>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（四）供餐要求</w:t>
      </w:r>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每天</w:t>
      </w:r>
      <w:r>
        <w:rPr>
          <w:rFonts w:hint="eastAsia" w:ascii="宋体" w:hAnsi="宋体" w:eastAsia="宋体" w:cs="宋体"/>
          <w:color w:val="000000"/>
          <w:sz w:val="24"/>
          <w:szCs w:val="24"/>
          <w:highlight w:val="none"/>
        </w:rPr>
        <w:t xml:space="preserve">需要提供早餐（用餐时间6:30-7:45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用餐人数约40人）、午餐（用餐时间1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0-12:00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用餐人数约80人）、晚餐（用餐时间17:00-18:00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用餐人数约10人）以及特殊病人餐。每周餐单需提前给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审核。开餐前核对餐单与供应的是否符合，并定期更换新的品种。</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正餐以自选菜模式、零点、面食、小炒供应(具体价格及套餐结构根据实际情况进场后双方协商确定)</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提供的自制糕点、包子、菜品等需要多样化</w:t>
      </w:r>
      <w:r>
        <w:rPr>
          <w:rFonts w:hint="eastAsia" w:ascii="宋体" w:hAnsi="宋体" w:eastAsia="宋体" w:cs="宋体"/>
          <w:color w:val="000000"/>
          <w:sz w:val="24"/>
          <w:szCs w:val="24"/>
          <w:highlight w:val="none"/>
          <w:lang w:eastAsia="zh-CN"/>
        </w:rPr>
        <w:t xml:space="preserve">。早餐</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lang w:eastAsia="zh-CN"/>
        </w:rPr>
        <w:t xml:space="preserve">为6-9元，健康体检早餐标准6元。</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val="en-US" w:eastAsia="zh-CN"/>
        </w:rPr>
        <w:t xml:space="preserve">晚</w:t>
      </w:r>
      <w:r>
        <w:rPr>
          <w:rFonts w:hint="eastAsia" w:ascii="宋体" w:hAnsi="宋体" w:eastAsia="宋体" w:cs="宋体"/>
          <w:color w:val="000000"/>
          <w:sz w:val="24"/>
          <w:szCs w:val="24"/>
          <w:highlight w:val="none"/>
        </w:rPr>
        <w:t xml:space="preserve">餐为自选菜形式任意选</w:t>
      </w:r>
      <w:r>
        <w:rPr>
          <w:rFonts w:hint="eastAsia" w:ascii="宋体" w:hAnsi="宋体" w:eastAsia="宋体" w:cs="宋体"/>
          <w:color w:val="000000"/>
          <w:sz w:val="24"/>
          <w:szCs w:val="24"/>
          <w:highlight w:val="none"/>
          <w:lang w:eastAsia="zh-CN"/>
        </w:rPr>
        <w:t xml:space="preserve">，正餐</w:t>
      </w:r>
      <w:r>
        <w:rPr>
          <w:rFonts w:hint="eastAsia" w:ascii="宋体" w:hAnsi="宋体" w:eastAsia="宋体" w:cs="宋体"/>
          <w:color w:val="000000"/>
          <w:sz w:val="24"/>
          <w:szCs w:val="24"/>
          <w:highlight w:val="none"/>
        </w:rPr>
        <w:t xml:space="preserve">标准12元，大荤7元、小荤3元、素菜1元、米饭1元，荤素搭配应合理，</w:t>
      </w:r>
      <w:r>
        <w:rPr>
          <w:rFonts w:hint="eastAsia" w:ascii="宋体" w:hAnsi="宋体" w:eastAsia="宋体" w:cs="宋体"/>
          <w:color w:val="000000"/>
          <w:sz w:val="24"/>
          <w:szCs w:val="24"/>
          <w:highlight w:val="none"/>
          <w:lang w:eastAsia="zh-CN"/>
        </w:rPr>
        <w:t xml:space="preserve">正餐</w:t>
      </w:r>
      <w:r>
        <w:rPr>
          <w:rFonts w:hint="eastAsia" w:ascii="宋体" w:hAnsi="宋体" w:eastAsia="宋体" w:cs="宋体"/>
          <w:color w:val="000000"/>
          <w:sz w:val="24"/>
          <w:szCs w:val="24"/>
          <w:highlight w:val="none"/>
        </w:rPr>
        <w:t xml:space="preserve">至少提供10个菜品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三个大荤、三个小荤、三个素菜、一份汤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供选择，特色餐品种根据季节变化提供适合的菜品。每日菜价明码公示。</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住院病人：在临床营养科的指导下，保证特殊饮食供应，对入住本院内的患者，根据医院需要提供病员餐(特殊饮食)如：糖尿病饮食、低蛋白饮食、低脂饮食、低盐饮食等治疗饮食；代谢膳食；流质、半流质、软食等普通饮食；均需符合等级医院评审要求。要求做到营养均衡，饭菜可口。病人提前点餐，提前付款，餐厅工作人员需要按时送到病房(订、送餐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值班人员、急诊室等需要提供送餐服务。</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需要，提供包厢工作餐服务，品种为冷菜、热炒、点心、汤羹类；价格需由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审核后实施。</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需根据</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要求提供各种公务、会务用餐服务。</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就餐人数和餐菜种类根据</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实际情况增减，以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管理人员通知为准。</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有临时或重大活动时，需要加班的，</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有义务配合</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（五）人员要求</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总服务人员配置不少于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人，所有服务人员必须持有健康证上岗。负责人必须为实际长驻医院食堂的服务人员，承担主厨工作职责，不得兼职。</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需承诺所有工作人员待遇不低于苏州市最低工资标准，并按规定给人员缴纳社保及保险等。</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有关服务工种的人员，必须按国家规定具备相关工种的上岗证和健康证条件，并按国家有关部门规定，定期体检且有年审合格记录。</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各岗位人员按岗位职责分别负责各项工作内容。</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还需负责食堂日常保洁、水电气日常管理等职责。</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如有服务人员变更情况，须经</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同意后方可变更。</w:t>
      </w:r>
      <w:r>
        <w:rPr>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（六）其他说明</w:t>
      </w:r>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负责监督成交单位遵守食品卫生法等法律法规要求，查验采购，食品质量及相关食品合格证明。指导建立有关食品卫生台账。并负责如下管理监督职责</w:t>
      </w:r>
      <w:r>
        <w:rPr>
          <w:rFonts w:hint="eastAsia" w:ascii="宋体" w:hAnsi="宋体" w:eastAsia="宋体" w:cs="宋体"/>
          <w:color w:val="000000"/>
          <w:sz w:val="24"/>
          <w:szCs w:val="24"/>
          <w:highlight w:val="none"/>
        </w:rPr>
        <w:t xml:space="preserve">：①监督审批</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的服务品种和价格；②对</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采购的米、油、蔬菜、荤菜等定期抽样检查（原则上食材实行当天采购，其中冷冻</w:t>
      </w:r>
      <w:r>
        <w:rPr>
          <w:rFonts w:hint="eastAsia" w:ascii="宋体" w:hAnsi="宋体" w:eastAsia="宋体" w:cs="宋体"/>
          <w:color w:val="000000"/>
          <w:sz w:val="24"/>
          <w:szCs w:val="24"/>
          <w:highlight w:val="none"/>
          <w:lang w:eastAsia="zh-CN"/>
        </w:rPr>
        <w:t xml:space="preserve">、腌制</w:t>
      </w:r>
      <w:r>
        <w:rPr>
          <w:rFonts w:hint="eastAsia" w:ascii="宋体" w:hAnsi="宋体" w:eastAsia="宋体" w:cs="宋体"/>
          <w:color w:val="000000"/>
          <w:sz w:val="24"/>
          <w:szCs w:val="24"/>
          <w:highlight w:val="none"/>
        </w:rPr>
        <w:t xml:space="preserve">类荤菜品种不得大于30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）；③检查监督食堂的卫生安全工作；④抽查评价服务品种的质量，对违规行为予以处罚；⑤管理售饭卡、充值系统，每月向</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结付餐费(结算时间：次月15日前)；⑥协调员工就餐秩序。</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2、采购人</w:t>
      </w:r>
      <w:r>
        <w:rPr>
          <w:rFonts w:hint="eastAsia" w:ascii="宋体" w:hAnsi="宋体" w:eastAsia="宋体" w:cs="宋体"/>
          <w:b w:val="0"/>
          <w:bCs w:val="0"/>
          <w:color w:val="000000"/>
          <w:sz w:val="24"/>
          <w:szCs w:val="24"/>
          <w:highlight w:val="none"/>
        </w:rPr>
        <w:t xml:space="preserve">职工食堂的食品卫生由</w:t>
      </w:r>
      <w:r>
        <w:rPr>
          <w:rFonts w:hint="eastAsia" w:ascii="宋体" w:hAnsi="宋体" w:eastAsia="宋体" w:cs="宋体"/>
          <w:b w:val="0"/>
          <w:bCs w:val="0"/>
          <w:color w:val="000000"/>
          <w:sz w:val="24"/>
          <w:szCs w:val="24"/>
          <w:highlight w:val="none"/>
          <w:lang w:eastAsia="zh-CN"/>
        </w:rPr>
        <w:t xml:space="preserve">成交单位</w:t>
      </w:r>
      <w:r>
        <w:rPr>
          <w:rFonts w:hint="eastAsia" w:ascii="宋体" w:hAnsi="宋体" w:eastAsia="宋体" w:cs="宋体"/>
          <w:b w:val="0"/>
          <w:bCs w:val="0"/>
          <w:color w:val="000000"/>
          <w:sz w:val="24"/>
          <w:szCs w:val="24"/>
          <w:highlight w:val="none"/>
        </w:rPr>
        <w:t xml:space="preserve">负责。管理人员负责检查监督，</w:t>
      </w:r>
      <w:r>
        <w:rPr>
          <w:rFonts w:hint="eastAsia" w:ascii="宋体" w:hAnsi="宋体" w:eastAsia="宋体" w:cs="宋体"/>
          <w:b w:val="0"/>
          <w:bCs w:val="0"/>
          <w:color w:val="000000"/>
          <w:sz w:val="24"/>
          <w:szCs w:val="24"/>
          <w:highlight w:val="none"/>
          <w:lang w:eastAsia="zh-CN"/>
        </w:rPr>
        <w:t xml:space="preserve">成交单位</w:t>
      </w:r>
      <w:r>
        <w:rPr>
          <w:rFonts w:hint="eastAsia" w:ascii="宋体" w:hAnsi="宋体" w:eastAsia="宋体" w:cs="宋体"/>
          <w:b w:val="0"/>
          <w:bCs w:val="0"/>
          <w:color w:val="000000"/>
          <w:sz w:val="24"/>
          <w:szCs w:val="24"/>
          <w:highlight w:val="none"/>
        </w:rPr>
        <w:t xml:space="preserve">必须无条件的服务上级有关部门的各项检查指导。</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用餐卡上的金额原则上应在食堂用餐使用，如职工有特殊情况不在食堂用餐，其用餐卡上的金额可以在食堂购买日常用品，为了保障食堂的正常运转，食堂经营者可在日常用品上加价出卖，但加价幅度不得超过</w:t>
      </w:r>
      <w:r>
        <w:rPr>
          <w:rFonts w:hint="eastAsia" w:ascii="宋体" w:hAnsi="宋体" w:eastAsia="宋体" w:cs="宋体"/>
          <w:b w:val="0"/>
          <w:bCs w:val="0"/>
          <w:color w:val="000000"/>
          <w:sz w:val="24"/>
          <w:szCs w:val="24"/>
          <w:highlight w:val="none"/>
          <w:lang w:val="en-US" w:eastAsia="zh-CN"/>
        </w:rPr>
        <w:t xml:space="preserve">周边</w:t>
      </w:r>
      <w:r>
        <w:rPr>
          <w:rFonts w:hint="eastAsia" w:ascii="宋体" w:hAnsi="宋体" w:eastAsia="宋体" w:cs="宋体"/>
          <w:b w:val="0"/>
          <w:bCs w:val="0"/>
          <w:color w:val="000000"/>
          <w:sz w:val="24"/>
          <w:szCs w:val="24"/>
          <w:highlight w:val="none"/>
        </w:rPr>
        <w:t xml:space="preserve">超市零售价的</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（七）费用</w:t>
      </w:r>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在运营期间，</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须对</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财务公开，接受</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财务监督。</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餐厅所需要的水、电费用由医院承担</w:t>
      </w:r>
      <w:r>
        <w:rPr>
          <w:rFonts w:hint="eastAsia" w:ascii="宋体" w:hAnsi="宋体" w:eastAsia="宋体" w:cs="宋体"/>
          <w:color w:val="000000"/>
          <w:sz w:val="24"/>
          <w:szCs w:val="24"/>
          <w:highlight w:val="none"/>
          <w:lang w:eastAsia="zh-CN"/>
        </w:rPr>
        <w:t xml:space="preserve">，但成交单位不得浪费</w:t>
      </w:r>
      <w:r>
        <w:rPr>
          <w:rFonts w:hint="eastAsia" w:ascii="宋体" w:hAnsi="宋体" w:eastAsia="宋体" w:cs="宋体"/>
          <w:color w:val="000000"/>
          <w:sz w:val="24"/>
          <w:szCs w:val="24"/>
          <w:highlight w:val="none"/>
        </w:rPr>
        <w:t xml:space="preserve">。燃气</w:t>
      </w:r>
      <w:r>
        <w:rPr>
          <w:rFonts w:hint="eastAsia" w:ascii="宋体" w:hAnsi="宋体" w:eastAsia="宋体" w:cs="宋体"/>
          <w:color w:val="000000"/>
          <w:sz w:val="24"/>
          <w:szCs w:val="24"/>
          <w:highlight w:val="none"/>
          <w:lang w:eastAsia="zh-CN"/>
        </w:rPr>
        <w:t xml:space="preserve">费</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统一负责制作就餐卡、充值系统、刷卡器，(包厢用餐除外)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用餐餐具由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提供并负责常规清洗、消毒。</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5、房屋设施修缮、采购人提供的主要厨房设备正常使用过程中产生的维修维护费用由采购人承担；未按操作规程导致的故障或人为损坏的由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lang w:val="en-US" w:eastAsia="zh-CN"/>
        </w:rPr>
        <w:t xml:space="preserve">承担维修费用；产权属于</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lang w:val="en-US" w:eastAsia="zh-CN"/>
        </w:rPr>
        <w:t xml:space="preserve">的设施设备由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lang w:val="en-US" w:eastAsia="zh-CN"/>
        </w:rPr>
        <w:t xml:space="preserve">负责维修维护；双方认可的食堂内部改造费用、燃气安装检修费用由采购人承担，油烟管道等的清洗(由专业机构进行内部清洗并出具清洗合同)费用</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食堂洗涤用品、消毒药水、卫生用品等所有易耗品由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负责食品原料的采购，并检查货物的卫生及质量，以确保服务质量。</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负责餐厨垃圾清运管理，并做好“门前三包”的卫生工作。</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应按照相关规定落实安全生产工作，做好食品卫生、消防安全、及食品采购等相关台帐。</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10、成交单位须按照本采购文件的要求对该项目进行食堂服务外包工作。</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11、如遇采购人有特殊情况和任务，必须服从安排。</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若</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在服务期间，违反下列规定将被解除相关综合服务合同。</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①未经采购人许可，将承包的服务转包他人；</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②严重违反采购人的有关规定；</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③出现食物中毒（应当承担相应的法律与经济责任）、卫生检查不合格等重大事故或问题。</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13、食堂工作流程管理：</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制订菜单：成交单位根据市场、季节、营养、采购人要求等综合因素制定下周食谱及菜单同时报送采购人备案。</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采购：食堂采购由成交单位自主采购，但必须保</w:t>
      </w:r>
      <w:r>
        <w:rPr>
          <w:rFonts w:hint="eastAsia" w:ascii="宋体" w:hAnsi="宋体" w:eastAsia="宋体" w:cs="宋体"/>
          <w:color w:val="000000"/>
          <w:sz w:val="24"/>
          <w:szCs w:val="24"/>
          <w:highlight w:val="none"/>
          <w:lang w:val="en-US" w:eastAsia="zh-CN"/>
        </w:rPr>
        <w:t xml:space="preserve">证：具有可追溯性。渠道合法、安全，必须到持有卫生许可证的经营单位采购食品，到相对固定食品采购的场所，并按照国家规定索证索票，以保证质量，得到采购人认可；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④其他不符合卫生标准或感官标准。采购人食堂管理人员有权力对成交单位采购食品进行随机检查。</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3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饭菜加工。每餐饭菜必须在就餐前15分钟准备好，加工后的饭菜要注意保热、保洁。</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餐后及时清洗、清理与打扫。餐后要对餐桌、厨具、餐具进行清洗，消毒，并分类放在固定位置，厨房、餐厅进行打扫、冲洗；对剩余饭菜进行处理。</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6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每周五要进行厨具、餐具的清洗及厨房、餐厅及周边环境的大扫除。</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7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⑦</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泔水等食堂废弃物由成交单位统一处理，相关费用由成交单位承担。</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8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⑧</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按标准做好食品留样并按规定登记备查。</w:t>
      </w:r>
      <w:r>
        <w:rPr>
          <w:rFonts w:hint="eastAsia" w:ascii="宋体" w:hAnsi="宋体" w:eastAsia="宋体" w:cs="宋体"/>
          <w:color w:val="000000"/>
          <w:sz w:val="24"/>
          <w:szCs w:val="24"/>
          <w:highlight w:val="none"/>
          <w:lang w:val="en-US" w:eastAsia="zh-CN"/>
        </w:rPr>
      </w:r>
      <w:r/>
    </w:p>
    <w:p>
      <w:pPr>
        <w:pStyle w:val="1027"/>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）食堂工作制度</w:t>
      </w:r>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食堂工作人员按规范程序招聘、录用，按时上、下班，坚守工作岗位。所有食堂工作人员必须社会背景清楚，身体健康。所有食堂工作人员必须到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备案，提供健康证明。更换、补充人员必须经过备案。</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将不定期的对人员上岗情况进行考核，考核如在1个月内达不到要求，</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有权对</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进行惩罚。</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养成良好的工作习惯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各种厨具、餐具要固定放置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使用完毕后及时放回原处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各种物品不随处乱放。</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爱护公物。使用锅炉、压面机等械具要严格遵守操作规程，清洗餐具、厨具要细心细致。</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做好食堂卫生工作。工作期间必须穿工作服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注意做好食品卫生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餐具卫生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环境卫生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个人卫生工作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如有咳嗽、腹泻、发烧、呕吐等疾病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应向食堂管理人员请假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离开食堂工作岗位。</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食堂工作人员要服务规范、语言文明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工作期间不打闹、不与员工争吵。</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食堂卫生制度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不购买不新鲜食品，严禁购买及使用腐烂变质的食物，以及其他感官性状异常食物。</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要做到生品与成品、熟品相隔离，成品与半成品相隔离，食品与杂物相隔离。冷藏时要做到荤腥类食品与其他食品相隔离。</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3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食物制作及销售过程中要注意防蝇、防灰尘，以避免杂物混入食品。</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隔餐食物如可食用，必须经过回锅加热。</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各种调料不宜久置，装盛调料各种器具应经常洗涤。</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6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刀、墩、板、桶、盆、筐、灶、锅、抹布等厨具要每餐清洗，保持厨具的清洁。餐具用后要一洗二刷三冲四消毒四类。</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7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⑦</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厨具和餐具要固定摆好。</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8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⑧</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环境卫生：要经常性打扫和清洗食堂地面，做到地面无杂物和积水；储藏室要保持干净、干燥和通风，储藏间不得存放其他杂物及个人物件，物品存放要离地，隔墙，分类；对食堂周围的阴沟、角落、泔水桶，垃圾堆要经常性清理，预防细菌感染食物；对存放厨具，餐具的各个角落要经常抹洗。</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9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⑨</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食堂工作人员个人卫生：食堂工作人员要做到"四勤"勤洗手，剪指甲；勤洗衣服，被褥；勤洗澡，理发；勤换工作服。在工作前及处理食品原料后、便后要用肥皂及流动清水洗手，直接用手接触入口食品之前(如抓粉条，切菜，加工面粉等)应用热水消毒。不得在食品加工期间及销售食品前抽烟，不正对食品咳嗽、打喷嚏，不随处吐痰。</w:t>
      </w:r>
      <w:r>
        <w:rPr>
          <w:rFonts w:hint="eastAsia" w:ascii="宋体" w:hAnsi="宋体" w:eastAsia="宋体" w:cs="宋体"/>
          <w:color w:val="000000"/>
          <w:sz w:val="24"/>
          <w:szCs w:val="24"/>
          <w:highlight w:val="none"/>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四、综合说明：</w:t>
      </w:r>
      <w:r>
        <w:rPr>
          <w:rFonts w:hint="eastAsia" w:ascii="宋体" w:hAnsi="宋体" w:eastAsia="宋体" w:cs="宋体"/>
          <w:b/>
          <w:bCs/>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1、磋商供应商需在响应文件中明确服务内容和服务方案。</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4、其他要求：</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4.1供应商在项目进行过程中产生的任何安全、损坏等责</w:t>
      </w:r>
      <w:r>
        <w:rPr>
          <w:rFonts w:hint="eastAsia" w:ascii="宋体" w:hAnsi="宋体" w:eastAsia="宋体" w:cs="宋体"/>
          <w:color w:val="000000"/>
          <w:sz w:val="24"/>
          <w:szCs w:val="24"/>
          <w:highlight w:val="none"/>
        </w:rPr>
        <w:t xml:space="preserve">任事故一律由供应商自行承担。如遇突发情况，供应商需协助采购人完成需要配合的服务。</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4.3本项目不允许转包、分包，发现查实者一律取消合同。</w:t>
      </w:r>
      <w:r>
        <w:rPr>
          <w:rFonts w:hint="eastAsia" w:ascii="宋体" w:hAnsi="宋体" w:eastAsia="宋体" w:cs="宋体"/>
          <w:color w:val="000000"/>
          <w:sz w:val="24"/>
          <w:szCs w:val="24"/>
          <w:highlight w:val="none"/>
        </w:rPr>
      </w:r>
      <w:r/>
    </w:p>
    <w:p>
      <w:pPr>
        <w:pStyle w:val="10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4.4供应商应对服务危险性、潜在危险认真考虑周全，对所有项目安全负责，并承担由此可能产生的一切费用，采购人不承担任何责任；如需采购人配合的工作，供应商需及时通知采购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5、本项目报价</w:t>
      </w:r>
      <w:r>
        <w:rPr>
          <w:rFonts w:hint="eastAsia" w:ascii="宋体" w:hAnsi="宋体" w:eastAsia="宋体" w:cs="宋体"/>
          <w:bCs/>
          <w:color w:val="000000"/>
          <w:sz w:val="24"/>
          <w:szCs w:val="24"/>
          <w:highlight w:val="none"/>
          <w:lang w:eastAsia="zh-CN"/>
        </w:rPr>
        <w:t xml:space="preserve">包括在服务期内完成该项目所需的人工费、加班费、服装、胸卡、通讯、福利费、意外险、高温费、节假日补贴、人员培训费、劳保、管理费、各种税费、保险、利润、税金、代理服务费、政策性文件规定及合同包含的所有风险、责任等各项应有费用。遇到法律法规规定的最低工资调整，其中人工费用相应浮动，由响应单位自行承担。</w:t>
      </w:r>
      <w:r>
        <w:rPr>
          <w:rFonts w:hint="eastAsia" w:ascii="宋体" w:hAnsi="宋体" w:eastAsia="宋体" w:cs="宋体"/>
          <w:color w:val="000000"/>
          <w:sz w:val="24"/>
          <w:szCs w:val="24"/>
          <w:highlight w:val="none"/>
          <w:lang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自合同签订之日起一年（具体时间以采购人通知为准）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、服务地点：采购人指定地点。</w:t>
      </w:r>
      <w:r>
        <w:rPr>
          <w:rFonts w:hint="eastAsia" w:ascii="宋体" w:hAnsi="宋体" w:eastAsia="宋体" w:cs="宋体"/>
          <w:color w:val="000000"/>
          <w:sz w:val="24"/>
          <w:szCs w:val="24"/>
          <w:highlight w:val="none"/>
        </w:rPr>
      </w:r>
      <w:r/>
    </w:p>
    <w:p>
      <w:pPr>
        <w:pStyle w:val="102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p>
      <w:pPr>
        <w:pStyle w:val="102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8.1政府采购合同签订后，</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向</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szCs w:val="24"/>
          <w:highlight w:val="none"/>
          <w:lang w:val="en-US" w:eastAsia="zh-CN"/>
        </w:rPr>
        <w:t xml:space="preserve">支付采购预算的10%作为预付款；</w:t>
      </w:r>
      <w:r>
        <w:rPr>
          <w:rFonts w:hint="eastAsia" w:ascii="宋体" w:hAnsi="宋体" w:eastAsia="宋体" w:cs="宋体"/>
          <w:color w:val="000000"/>
          <w:sz w:val="24"/>
          <w:szCs w:val="24"/>
          <w:highlight w:val="none"/>
          <w:lang w:val="en-US" w:eastAsia="zh-CN"/>
        </w:rPr>
      </w:r>
      <w:r/>
    </w:p>
    <w:p>
      <w:pPr>
        <w:pStyle w:val="1034"/>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eastAsia="zh-CN"/>
        </w:rPr>
        <w:t xml:space="preserve">服务费按</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结算，</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在次月收到食堂餐费发票(采购人招待就餐餐费需另开具)并确认无误后15日内支付上月费用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1034"/>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注：在签订合同时，成交</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rPr>
        <w:t xml:space="preserve">明确表示无需预付款或者主动要求降低预付款比例的，采购人可不适用上述关于预付款的规定。</w:t>
      </w:r>
      <w:r>
        <w:rPr>
          <w:rFonts w:hint="eastAsia" w:ascii="宋体" w:hAnsi="宋体" w:eastAsia="宋体" w:cs="宋体"/>
          <w:b/>
          <w:bCs/>
          <w:color w:val="000000"/>
          <w:sz w:val="24"/>
          <w:szCs w:val="24"/>
          <w:highlight w:val="none"/>
        </w:rPr>
      </w:r>
      <w:r/>
    </w:p>
    <w:p>
      <w:pPr>
        <w:pStyle w:val="1027"/>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付款前，</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lang w:val="en-US" w:eastAsia="zh-CN"/>
        </w:rPr>
        <w:t xml:space="preserve">单位</w:t>
      </w:r>
      <w:r>
        <w:rPr>
          <w:rStyle w:val="1067"/>
          <w:rFonts w:hint="eastAsia" w:ascii="宋体" w:hAnsi="宋体" w:eastAsia="宋体" w:cs="宋体"/>
          <w:color w:val="000000"/>
          <w:sz w:val="24"/>
          <w:szCs w:val="24"/>
          <w:highlight w:val="none"/>
        </w:rPr>
        <w:t xml:space="preserve">需先向</w:t>
      </w:r>
      <w:r>
        <w:rPr>
          <w:rFonts w:hint="eastAsia" w:ascii="宋体" w:hAnsi="宋体" w:eastAsia="宋体" w:cs="宋体"/>
          <w:color w:val="000000"/>
          <w:sz w:val="24"/>
          <w:szCs w:val="24"/>
          <w:highlight w:val="none"/>
        </w:rPr>
        <w:t xml:space="preserve">采购人</w:t>
      </w:r>
      <w:r>
        <w:rPr>
          <w:rStyle w:val="1067"/>
          <w:rFonts w:hint="eastAsia" w:ascii="宋体" w:hAnsi="宋体" w:eastAsia="宋体" w:cs="宋体"/>
          <w:color w:val="000000"/>
          <w:sz w:val="24"/>
          <w:szCs w:val="24"/>
          <w:highlight w:val="none"/>
        </w:rPr>
        <w:t xml:space="preserve">提供：</w:t>
      </w:r>
      <w:r>
        <w:rPr>
          <w:rStyle w:val="1067"/>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（1）合格的发票；</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供需</w:t>
      </w:r>
      <w:r>
        <w:rPr>
          <w:rFonts w:hint="eastAsia" w:ascii="宋体" w:hAnsi="宋体" w:eastAsia="宋体" w:cs="宋体"/>
          <w:color w:val="000000"/>
          <w:sz w:val="24"/>
          <w:szCs w:val="24"/>
          <w:highlight w:val="none"/>
        </w:rPr>
        <w:t xml:space="preserve">双方签章的</w:t>
      </w:r>
      <w:r>
        <w:rPr>
          <w:rFonts w:hint="eastAsia" w:ascii="宋体" w:hAnsi="宋体" w:eastAsia="宋体" w:cs="宋体"/>
          <w:color w:val="000000"/>
          <w:sz w:val="24"/>
          <w:szCs w:val="24"/>
          <w:highlight w:val="none"/>
          <w:lang w:eastAsia="zh-CN"/>
        </w:rPr>
        <w:t xml:space="preserve">《政府采购履约验收书》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、凡涉及采购文件的补充说明和修改，均以最后在苏州市政府采购网发布的内容为准。</w:t>
      </w:r>
      <w:r>
        <w:rPr>
          <w:rFonts w:hint="eastAsia" w:ascii="宋体" w:hAnsi="宋体" w:eastAsia="宋体" w:cs="宋体"/>
          <w:color w:val="000000"/>
          <w:sz w:val="24"/>
          <w:szCs w:val="24"/>
          <w:highlight w:val="none"/>
        </w:rPr>
      </w:r>
      <w:r/>
    </w:p>
    <w:p>
      <w:pPr>
        <w:pStyle w:val="102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4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4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numPr>
          <w:ilvl w:val="0"/>
          <w:numId w:val="3"/>
        </w:numPr>
        <w:ind w:left="0"/>
        <w:jc w:val="center"/>
        <w:spacing w:before="340" w:after="330" w:line="579" w:lineRule="auto"/>
        <w:rPr>
          <w:rFonts w:hint="eastAsia" w:ascii="宋体" w:hAnsi="宋体" w:eastAsia="宋体" w:cs="宋体"/>
          <w:b/>
          <w:color w:val="000000"/>
          <w:sz w:val="44"/>
          <w:szCs w:val="44"/>
          <w:highlight w:val="none"/>
        </w:rPr>
        <w:outlineLvl w:val="0"/>
      </w:pPr>
      <w:r/>
      <w:bookmarkStart w:id="78" w:name="合同的特殊条款"/>
      <w:r/>
      <w:bookmarkEnd w:id="78"/>
      <w:r/>
      <w:bookmarkStart w:id="79" w:name="_Toc3589"/>
      <w:r>
        <w:rPr>
          <w:rFonts w:hint="eastAsia" w:ascii="宋体" w:hAnsi="宋体" w:eastAsia="宋体" w:cs="宋体"/>
          <w:b/>
          <w:color w:val="000000"/>
          <w:sz w:val="44"/>
          <w:szCs w:val="44"/>
          <w:highlight w:val="none"/>
        </w:rPr>
        <w:t xml:space="preserve"> </w:t>
      </w:r>
      <w:bookmarkStart w:id="80" w:name="_Toc18839"/>
      <w:r>
        <w:rPr>
          <w:rFonts w:hint="eastAsia" w:ascii="宋体" w:hAnsi="宋体" w:eastAsia="宋体" w:cs="宋体"/>
          <w:b/>
          <w:color w:val="000000"/>
          <w:sz w:val="44"/>
          <w:szCs w:val="44"/>
          <w:highlight w:val="none"/>
        </w:rPr>
        <w:t xml:space="preserve">合同及主要条款</w:t>
      </w:r>
      <w:bookmarkEnd w:id="70"/>
      <w:r/>
      <w:bookmarkEnd w:id="79"/>
      <w:r/>
      <w:bookmarkEnd w:id="80"/>
      <w:r>
        <w:rPr>
          <w:rFonts w:hint="eastAsia" w:ascii="宋体" w:hAnsi="宋体" w:eastAsia="宋体" w:cs="宋体"/>
          <w:b/>
          <w:color w:val="000000"/>
          <w:sz w:val="44"/>
          <w:szCs w:val="44"/>
          <w:highlight w:val="none"/>
        </w:rPr>
      </w:r>
      <w:r/>
    </w:p>
    <w:p>
      <w:pPr>
        <w:pStyle w:val="103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7"/>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81" w:name="_Toc32730"/>
      <w:r>
        <w:rPr>
          <w:rFonts w:hint="eastAsia" w:ascii="宋体" w:hAnsi="宋体" w:eastAsia="宋体" w:cs="宋体"/>
          <w:b/>
          <w:color w:val="000000"/>
          <w:sz w:val="32"/>
          <w:szCs w:val="32"/>
          <w:highlight w:val="none"/>
        </w:rPr>
        <w:t xml:space="preserve">合同主要条款</w:t>
      </w:r>
      <w:r>
        <w:rPr>
          <w:rFonts w:hint="eastAsia" w:ascii="宋体" w:hAnsi="宋体" w:eastAsia="宋体" w:cs="宋体"/>
          <w:b/>
          <w:color w:val="000000"/>
          <w:sz w:val="44"/>
          <w:szCs w:val="4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依据甲方委托</w:t>
      </w:r>
      <w:r>
        <w:rPr>
          <w:rFonts w:hint="eastAsia" w:ascii="宋体" w:hAnsi="宋体" w:eastAsia="宋体" w:cs="宋体"/>
          <w:color w:val="000000"/>
          <w:sz w:val="24"/>
          <w:szCs w:val="24"/>
          <w:highlight w:val="none"/>
        </w:rPr>
        <w:t xml:space="preserve">苏州合亿盛工程咨询</w:t>
      </w:r>
      <w:r>
        <w:rPr>
          <w:rFonts w:hint="eastAsia" w:ascii="宋体" w:hAnsi="宋体" w:eastAsia="宋体" w:cs="宋体"/>
          <w:color w:val="000000"/>
          <w:sz w:val="24"/>
          <w:szCs w:val="24"/>
          <w:highlight w:val="none"/>
          <w:lang w:val="zh-CN"/>
        </w:rPr>
        <w:t xml:space="preserve">有限公司进行本项目政府采购（采购编号：</w:t>
      </w:r>
      <w:r>
        <w:rPr>
          <w:rFonts w:hint="eastAsia" w:ascii="宋体" w:hAnsi="宋体" w:eastAsia="宋体" w:cs="宋体"/>
          <w:color w:val="000000"/>
          <w:sz w:val="24"/>
          <w:szCs w:val="24"/>
          <w:highlight w:val="none"/>
          <w:u w:val="single"/>
          <w:lang w:eastAsia="zh-CN"/>
        </w:rPr>
        <w:t xml:space="preserve">JSZC-320507-SHYS-C2026-0021</w:t>
      </w:r>
      <w:r>
        <w:rPr>
          <w:rFonts w:hint="eastAsia" w:ascii="宋体" w:hAnsi="宋体" w:eastAsia="宋体" w:cs="宋体"/>
          <w:color w:val="000000"/>
          <w:sz w:val="24"/>
          <w:szCs w:val="24"/>
          <w:highlight w:val="none"/>
          <w:lang w:val="zh-CN"/>
        </w:rPr>
        <w:t xml:space="preserve">）的采购结果，确定乙方为本次成交供应商，现依照采购文件、乙方的响应文件及相关文件的内容，签订本合同书。</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一、合同标的物和合同价格组成</w:t>
      </w:r>
      <w:r>
        <w:rPr>
          <w:rFonts w:hint="eastAsia" w:ascii="宋体" w:hAnsi="宋体" w:eastAsia="宋体" w:cs="宋体"/>
          <w:b w:val="0"/>
          <w:bCs w:val="0"/>
          <w:color w:val="000000"/>
          <w:sz w:val="24"/>
          <w:szCs w:val="24"/>
          <w:highlight w:val="none"/>
        </w:rPr>
      </w:r>
      <w:r/>
    </w:p>
    <w:p>
      <w:pPr>
        <w:pStyle w:val="1034"/>
        <w:ind w:left="0" w:firstLine="480"/>
        <w:keepLines w:val="0"/>
        <w:keepNext w:val="0"/>
        <w:pageBreakBefore w:val="0"/>
        <w:spacing w:line="348" w:lineRule="auto"/>
        <w:widowControl w:val="off"/>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采购的服务内容概述</w:t>
      </w:r>
      <w:r>
        <w:rPr>
          <w:rFonts w:hint="eastAsia" w:ascii="宋体" w:hAnsi="宋体" w:eastAsia="宋体" w:cs="宋体"/>
          <w:color w:val="000000"/>
          <w:sz w:val="24"/>
          <w:szCs w:val="24"/>
          <w:highlight w:val="none"/>
          <w:lang w:eastAsia="zh-CN"/>
        </w:rPr>
        <w:t xml:space="preserve">：苏州市相城区元和街道社区卫生服务中心食堂一年期服务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自合同签订之日起一年（具体时间以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通知为准）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合同价款的组成：合同价款包含甲方应付乙方的全部款项，</w:t>
      </w:r>
      <w:r>
        <w:rPr>
          <w:rFonts w:hint="eastAsia" w:ascii="宋体" w:hAnsi="宋体" w:eastAsia="宋体" w:cs="宋体"/>
          <w:color w:val="000000"/>
          <w:sz w:val="24"/>
          <w:szCs w:val="24"/>
          <w:highlight w:val="none"/>
          <w:lang w:eastAsia="zh-CN"/>
        </w:rPr>
        <w:t xml:space="preserve">包括在服务期内完成该项目所需的人工费、加班费、服装、胸卡、通讯、福利费、意外险、高温费、节假日补贴、人员培训费、劳保、管理费、各种税费、保险、利润、税金、代理服务费、政策性文件规定及合同包含的所有风险、责任等各项应有费用。遇到法律法规规定的最低工资调整，其中人工费用相应浮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自行承担。</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5、满意度调查标准及要求详见附件1；满意度调查表详见附件2。</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二、下列文件为本合同不可分割部分</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乙方在磋商过程中所作的其它承诺、声明、书面澄清等。</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三、合同价格支付</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付款方式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详见第四章</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3、乙方要求付款应提供以下资料：</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（1）合格的发票；</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（2）由甲乙双方签章的《政府采购履约验收书》。</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4、支付方式：银行转账、银行汇票或转账支票，具体支付方式甲方有权根据财务安排自主选择。</w:t>
      </w:r>
      <w:r>
        <w:rPr>
          <w:rFonts w:hint="eastAsia" w:ascii="宋体" w:hAnsi="宋体" w:eastAsia="宋体" w:cs="宋体"/>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四、服务工作管理：</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详见第四章。</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五、验收</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1、甲方将根据《江苏省财政厅关于印发&lt;江苏省政府采购履约验收管理办法&gt;的通知》（苏财规〔2024〕7号）相关要求，组织项目履约验收基本工作。</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验收组织方式：验收小组验收。</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履约验收时间：乙方提出验收申请之日起10日内组织验收。</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履约验收程序：采购项目科室按照合同规定对服务实施情况进行考核。</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履约验收内容：服务质量、服务进度、服务承诺、合同履行。</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履约验收标准：根据国家相关法律法规、行业相关标准、采购文件要求、乙方的响应文件和承诺进行验收。</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2、采购文件、响应文件、政府采购合同等是履约验收工作的重要依据。在政府采购合同约定的履行验收条件达到时，乙方可以主动联系甲方启动履约验收工作。</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甲方在组织履约验收前，将根据项目特点制定详细验收方案，明确履约验收的时间、方式、程序等内容，并可以根据项目特点对服务期内的服务实施情况进行分期考核，综合考核情况和服务效果进行验收。乙方应根据验收方案内容做好相应配合工作。</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、甲、乙双方的责任</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甲方责任：</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1.1依本合同约定按期支付合同款项；</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1.2依本合同约定及时组织验收；</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1.3协助乙方进行项目的相关协调工作及约定期限内提供相关资料以利于开展项目。</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1.4检查监督乙方经营服务工作的执行情况，有权要求乙方改进工作中存在的问题，同时积极协助乙方搞好和外界的联系协调等工作。</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1.5甲方提供办理食堂运行所需所有合法证件的相关资料。</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1.6协议期间，甲方保证水、电、管道煤气、蒸汽的正常供应，以确保乙方工作正常运转。</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1.7甲方听取就餐者意见，定期与乙方商讨有关问题，监督乙方对合理意见及建议的限时整改并复查。由甲方牵头，乙方共同参与，定期开展满意度调查(调查方案见附件),作为对乙方服务质量的评价。</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1.8甲方确保医院职工就餐卡服务及系统的正常工作。</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1.9甲方有权随时抽查乙方的食品安全、消防、治安等制度的执行情况。</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1.10甲方有权对乙方的服务提出合理化建议，乙方应在五个工作日内对甲方的建议予以响应。</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1.11甲方有权监督乙方的用工及薪资发放情况，若出现乙方擅自截留员工薪资并影响医院食堂运营的，甲方可对乙方营业额进行扣押。</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乙方责任：</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乙方负责完成本次采购要求的全部服务工作，乙方应按</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文件以及合同约定的技术规范、标准进行实施，并保证按期、保质保量完成项目的实施工作，对提交的项目质量负责。</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2.1乙方负责办理食堂运行所需的所有合法证件。</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2.2乙方的经营管理活动必须坚持“安全第一，服务第一”的宗旨，以满足甲方的需求为己任。</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2.3房产及设施设备的管理。乙方对甲方提供的房产及设施设备，应精心维护，保证无事故隐患，因故意或疏于管理而引起的损失由乙方承担。</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2.4乙方负责原材料及低值易耗品的采购。</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2.5食堂须严格实行食品菜肴售价核准制度，售价由双方按照有关毛利控制的行业标准进行产品售价核算。</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人员管理：组建高质量的项目管理班子，其中主要成员需事先告之甲方并备案。做好招工及培训工作，招聘员工的年龄男性应在60周岁以下，女性应在55周岁以下，有一定的文化水平。培训合格后上岗，同时要保证人员相对稳定，各类管理服务人员要挂牌上岗，统一着装，遵守职业道德，操作程序规范、语言文明得体，服务热情主动，同时按规定为工作人员办理健康证并定期复审。</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建立健全各项管理制度，合法经营，严防各类事故的发生。协议期间，乙方应充分重视卫生防疫、消防、治安等工作。认真贯彻执行国家《食品安全法》,食品卫生各项指标达到A级单位标准，杜绝食物中毒事件；严格执行有关消防规定，保证各种消防设施的正常运作。同时建立相关的台帐，进一步完善可追溯体系。如发生食品卫生防疫事故、消防事故或治安、刑事案件等，乙方均应承担相应责任。</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2.8不断提高服务质量。充分利用甲方提供的餐饮场所、设备，在积极配合做好卫生工作的基础上，优化经营服务项目，提高伙食质量，增加花色品种，不断调整口味，满足不同层次和不同时间的就餐要求。</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日常采用五常法管理内部事务，加强各项监督体系建设。随时接受、积极配合甲方职能部门以及医院膳食管理委员会的监督管理工作，认真落实各项整改措施。全力以赴配合医院通过各项检查(如A级单位评审，等级医院评审以及各级行政卫生监督部门、行业组织的检查评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并备有相关书面材料可供查阅。</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2.10乙方有义务根据甲方的安排做好假期值班等服务工作，并为甲方参观、活动等使用食堂场地提供方便。</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2.11乙方采购食品及原料时须向供货方索取有效的工商营业执照、卫生许可证、产品检验、检疫合格证等材料备查。做好每日每样食品的采购记录，便于溯源。</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2.12乙方必须做好食品留样管理。做到每餐、每份菜品留样，留样时间48小时，采用专用冰箱、专人管理。</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2.13乙方必须对所有餐具进行严格消毒，专人负责并做好记录。</w:t>
      </w:r>
      <w:r>
        <w:rPr>
          <w:rFonts w:hint="eastAsia" w:ascii="宋体" w:hAnsi="宋体" w:eastAsia="宋体" w:cs="宋体"/>
          <w:b w:val="0"/>
          <w:bCs w:val="0"/>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2.14采购添置厨房设备、涉及食堂改造提升的，均需提前向甲方报告，征得甲方同意后方可实施。</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七、不可抗力</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1、因不可抗力不能履行合同的，根据不可抗力的影响，部分或者全部免除责任。但合同一方延迟履行后发生不可抗力的，不能免除责任。</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八、合同的解除和转让</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1、甲方和乙方协商一致，可以解除合同。</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2、有下列情形之一，合同一方可以解除合同：</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2.1因不可抗力致使不能实现合同目的，未受不可抗力影响的一方有权解除合同；</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2.2因合同一方违约导致合同不能履行，另一方有权解除合同；</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2.3因乙方在履行合同过程中造成社会不良影响的，甲方有权解除合同。</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4、合同的部分和全部都不得转让。</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九、违约责任</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48"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2、甲方违约责任：</w:t>
      </w: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2.1在合同生效后，甲方无故要求解除合同的，应向乙方偿付合同总价款5%的违约金，违约金不足以补偿损失的，乙方有权要求甲方补足。</w:t>
      </w: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2.2甲方逾期付款的应按照逾期付款金额的每天万分之四支付逾期付款违约金，总额不超总价款的5%。</w:t>
      </w: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3、乙方违约责任：</w:t>
      </w: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3.1在合同生效后，乙方无故要求解除合同的，应向甲方偿付合同总价款5%的违约金，违约金不足以补偿损失的，甲方有权要求乙方补足。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3.2乙方未按合同规定的要求提供服务，不能完成合同时，甲方有权解除合同，乙方向甲方偿付合同总价款5%的违约金，违约金不足以补偿损失的甲方有权要求乙方补足。</w:t>
      </w: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3.3乙方逾期提供服务的应在服务前与甲方和政府采购管理部门协商，甲方仍需求的，乙方应立即提供服务并应按照逾期服务金额的每天万分之四支付逾期服务违约金，同时承担甲方因此遭致的损失费用。</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3.4乙方必须自己完成合同内容，不得自行分包，否则，甲方有权按乙方不能完成合同处理。</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3.5其他特殊情况甲乙双方协商解决。</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十、争议解决办法</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因本合同或与本合同有关的一切事项发生争议，由双方友好协商解决。协商不成的，任何一方均可以向甲方所在地人民法院起诉。</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十一、合同生效</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本合同在双方签字盖章后生效。</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十二、其他</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十三、附则</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1、合同份数：本合同一式六份，甲方两份，乙方两份，采购代理机构一份，政府采购管理部门一份。</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2、本合同文件使用中文书写、解释和说明。</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3、本合同履行过程中产生的纪要、协议以及成交通知书、响应文件和采购文件为本合同的附件，与合同具有同等效力。</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4、未尽事宜</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4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本合同未尽事宜应按照《中华人民共和国民法典》、《中华人民共和国政府采购法》之规定解释。</w:t>
      </w:r>
      <w:r>
        <w:rPr>
          <w:rFonts w:hint="eastAsia" w:ascii="宋体" w:hAnsi="宋体" w:eastAsia="宋体" w:cs="宋体"/>
          <w:b w:val="0"/>
          <w:bCs w:val="0"/>
          <w:color w:val="000000"/>
          <w:sz w:val="24"/>
          <w:szCs w:val="24"/>
          <w:highlight w:val="none"/>
          <w:lang w:val="en-US" w:eastAsia="zh-CN"/>
        </w:rPr>
      </w:r>
      <w:r/>
    </w:p>
    <w:p>
      <w:pPr>
        <w:pStyle w:val="1027"/>
        <w:ind w:left="0" w:firstLine="0"/>
        <w:jc w:val="left"/>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附件1：满意度调查标准及要求</w:t>
      </w:r>
      <w:r>
        <w:rPr>
          <w:rFonts w:hint="eastAsia" w:ascii="宋体" w:hAnsi="宋体" w:eastAsia="宋体" w:cs="宋体"/>
          <w:b/>
          <w:bCs/>
          <w:color w:val="000000"/>
          <w:sz w:val="24"/>
          <w:szCs w:val="24"/>
          <w:highlight w:val="none"/>
          <w:lang w:val="en-US" w:eastAsia="zh-CN"/>
        </w:rPr>
      </w:r>
      <w:r/>
    </w:p>
    <w:p>
      <w:pPr>
        <w:pStyle w:val="1027"/>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27"/>
        <w:ind w:left="0" w:firstLine="480"/>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食堂供餐满意度调查方案</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(用于评价经营方经营服务质量)</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一、使用《满意度调查表》(另附)随机调查用餐人员，每次不少于30人，按职工：病员或家属9:1比例分配被调查人员数量。</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二、满意度调查每季度不少于1次，需要时增加调查频次(由医院膳食管理委员会确定)。</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三、满意度调查由院方和经营方双方共同组织实施，并认可调查流程，做到公开透明。</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四、调查结果应用：</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1、≥80分：满意；70~79分：基本满意；60~69分：不满意；≤59分：差。</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2、满意度=(满意人数+基本满意人数)/调查总人数*100%,满意度≥80%为合格，&lt;80%为不合格。</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3、70%≤满意度＜80%，进行约谈并限期整改。</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4、满意度＜70%,每低1个百分点扣1000元，单次调查可扣上限10000元。</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5、单次满意度＜30%或调查满意度不合格≥3次的，甲方有权解除合同。</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五、如果乙方对满意度调查结果有异议或调查结果存在明显失实情况，交由膳食管理委员会讨论，必要时重新调查一次。</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考虑到实施食堂满意度调查过程中可能存在的不确定性等问题，医院膳食管理委员会或职代会保留对本调查方案以及《满意度调查表》完善、修改的权力，包括相关条款、满意度标准、调查流程、满意度应用等，乙方应当无条件接受。</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27"/>
        <w:ind w:left="0" w:firstLine="0"/>
        <w:jc w:val="left"/>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val="en-US" w:eastAsia="zh-CN"/>
        </w:rPr>
        <w:t xml:space="preserve">附件2：满意度调查表</w:t>
      </w:r>
      <w:r>
        <w:rPr>
          <w:rFonts w:hint="eastAsia" w:ascii="宋体" w:hAnsi="宋体" w:eastAsia="宋体" w:cs="宋体"/>
          <w:b/>
          <w:bCs/>
          <w:color w:val="000000"/>
          <w:sz w:val="24"/>
          <w:szCs w:val="24"/>
          <w:highlight w:val="none"/>
          <w:lang w:val="en-US" w:eastAsia="zh-CN"/>
        </w:rPr>
      </w:r>
      <w:r/>
    </w:p>
    <w:p>
      <w:pPr>
        <w:pStyle w:val="1027"/>
        <w:ind w:left="0" w:firstLine="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27"/>
        <w:ind w:left="0" w:firstLine="0"/>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食堂供餐满意度调查表</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您好!非常感谢您对医院食堂管理的关注。为了进一步了解您对食堂伙食的期望，希望您能抽出几分钟的时间填写一下问卷，针对医院食堂各方面(菜式的质量和卫生、工作人员服务态度、就餐环境卫生、就餐模式和标准等内容)提供一些宝贵意见，我们将会认真总结、分析并加以改进，努力把食堂工作做得更好，感谢您的支持!</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备注：每道题分值10分，总分100分。</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总分=80分为满意；70~79分为基本满意；60~69分为不满意；59分为差。</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总分：</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1、请您对医院食堂工作人员的服务态度评分。(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2、请您对医院食堂打的饭菜份量评分。(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3、请您对医院食堂饭菜新鲜度评分。(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4、请您对医院食堂工作人员个人卫生及环境卫生评分。(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5、请您对医院食堂供应饭菜及时情况评分。(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6、请您对医院食堂每餐供应的免费汤味道评分。(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7、请您对医院食堂饭菜口味评分。(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8、请您对医院食堂餐具的卫生消毒情况评分。(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9、请您对医院食堂的菜类更新评分。(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10、请您对目前医院食堂总体服务评分。(        )</w:t>
      </w:r>
      <w:r>
        <w:rPr>
          <w:rFonts w:hint="eastAsia" w:ascii="宋体" w:hAnsi="宋体" w:eastAsia="宋体" w:cs="宋体"/>
          <w:b w:val="0"/>
          <w:bCs w:val="0"/>
          <w:color w:val="000000"/>
          <w:sz w:val="24"/>
          <w:szCs w:val="24"/>
          <w:highlight w:val="none"/>
          <w:lang w:val="en-US" w:eastAsia="zh-CN"/>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请问您对医院食堂目前运行状况有何建议?</w:t>
      </w:r>
      <w:r>
        <w:rPr>
          <w:rFonts w:hint="eastAsia" w:ascii="宋体" w:hAnsi="宋体" w:eastAsia="宋体" w:cs="宋体"/>
          <w:b w:val="0"/>
          <w:bCs w:val="0"/>
          <w:color w:val="000000"/>
          <w:sz w:val="24"/>
          <w:szCs w:val="24"/>
          <w:highlight w:val="none"/>
          <w:lang w:val="en-US" w:eastAsia="zh-CN"/>
        </w:rPr>
      </w:r>
      <w:r/>
    </w:p>
    <w:p>
      <w:pPr>
        <w:pStyle w:val="102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7"/>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测评科室：                     测评人：                 测评时间：</w:t>
      </w:r>
      <w:r>
        <w:rPr>
          <w:rFonts w:hint="eastAsia" w:ascii="宋体" w:hAnsi="宋体" w:eastAsia="宋体" w:cs="宋体"/>
          <w:b w:val="0"/>
          <w:bCs w:val="0"/>
          <w:color w:val="000000"/>
          <w:sz w:val="24"/>
          <w:szCs w:val="24"/>
          <w:highlight w:val="none"/>
          <w:lang w:val="en-US" w:eastAsia="zh-CN"/>
        </w:rPr>
      </w:r>
      <w:r/>
    </w:p>
    <w:p>
      <w:pPr>
        <w:pStyle w:val="1027"/>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27"/>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pStyle w:val="1028"/>
        <w:ind w:left="0" w:firstLine="0"/>
        <w:jc w:val="center"/>
        <w:rPr>
          <w:rFonts w:hint="eastAsia" w:ascii="宋体" w:hAnsi="宋体" w:eastAsia="宋体" w:cs="宋体"/>
          <w:b/>
          <w:color w:val="000000"/>
          <w:sz w:val="44"/>
          <w:szCs w:val="44"/>
          <w:highlight w:val="none"/>
        </w:rPr>
      </w:pPr>
      <w:r/>
      <w:bookmarkStart w:id="82" w:name="评分要点"/>
      <w:r/>
      <w:bookmarkEnd w:id="82"/>
      <w:r>
        <w:rPr>
          <w:rFonts w:hint="eastAsia" w:ascii="宋体" w:hAnsi="宋体" w:eastAsia="宋体" w:cs="宋体"/>
          <w:b/>
          <w:color w:val="000000"/>
          <w:sz w:val="44"/>
          <w:szCs w:val="44"/>
          <w:highlight w:val="none"/>
        </w:rPr>
      </w:r>
      <w:r/>
    </w:p>
    <w:p>
      <w:pPr>
        <w:pStyle w:val="1028"/>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8"/>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numPr>
          <w:ilvl w:val="0"/>
          <w:numId w:val="3"/>
        </w:numPr>
        <w:ind w:left="0" w:firstLine="0"/>
        <w:jc w:val="center"/>
        <w:spacing w:line="579"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bookmarkStart w:id="83" w:name="_Toc27775"/>
      <w:r/>
      <w:bookmarkStart w:id="84" w:name="_Toc4090"/>
      <w:r>
        <w:rPr>
          <w:rFonts w:hint="eastAsia" w:ascii="宋体" w:hAnsi="宋体" w:eastAsia="宋体" w:cs="宋体"/>
          <w:b/>
          <w:color w:val="000000"/>
          <w:sz w:val="44"/>
          <w:szCs w:val="44"/>
          <w:highlight w:val="none"/>
        </w:rPr>
        <w:t xml:space="preserve">评审办法</w:t>
      </w:r>
      <w:bookmarkEnd w:id="71"/>
      <w:r/>
      <w:bookmarkEnd w:id="72"/>
      <w:r/>
      <w:bookmarkEnd w:id="73"/>
      <w:r/>
      <w:bookmarkEnd w:id="74"/>
      <w:r/>
      <w:bookmarkEnd w:id="81"/>
      <w:r/>
      <w:bookmarkEnd w:id="83"/>
      <w:r/>
      <w:bookmarkEnd w:id="84"/>
      <w:r>
        <w:rPr>
          <w:rFonts w:hint="eastAsia" w:ascii="宋体" w:hAnsi="宋体" w:eastAsia="宋体" w:cs="宋体"/>
          <w:b/>
          <w:color w:val="000000"/>
          <w:sz w:val="44"/>
          <w:szCs w:val="44"/>
          <w:highlight w:val="none"/>
        </w:rPr>
      </w:r>
      <w:r/>
    </w:p>
    <w:p>
      <w:pPr>
        <w:pStyle w:val="10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一、评审方法</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2、评审小组各成员独立对每个进入打分程序的有效磋商供应商的响应文件技术和资质部分以打分的形式进行评审和评价。</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3、对评委的评分（除价格分外）进行统计汇总，直接算术平均计算出每个磋商供应商的得分，加上价格得分即为每个磋商供应商的综合得分。</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zh-CN"/>
        </w:rPr>
        <w:t xml:space="preserve">4、如出现评审总得分最高的磋商供应商有两个或两个以上的，以磋商报价较低者优先作为成交候选人，如果磋商报价也相同的，则由采购人组织以抽签方式确定成交候选人。</w:t>
      </w:r>
      <w:r>
        <w:rPr>
          <w:rStyle w:val="1067"/>
          <w:rFonts w:hint="eastAsia" w:ascii="宋体" w:hAnsi="宋体" w:eastAsia="宋体" w:cs="宋体"/>
          <w:b/>
          <w:bCs/>
          <w:color w:val="000000"/>
          <w:sz w:val="24"/>
          <w:highlight w:val="none"/>
        </w:rPr>
      </w:r>
      <w:r/>
    </w:p>
    <w:p>
      <w:pPr>
        <w:pStyle w:val="1027"/>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lang w:eastAsia="zh-CN"/>
        </w:rPr>
      </w:pPr>
      <w:r>
        <w:rPr>
          <w:rStyle w:val="1067"/>
          <w:rFonts w:hint="eastAsia" w:ascii="宋体" w:hAnsi="宋体" w:eastAsia="宋体" w:cs="宋体"/>
          <w:b/>
          <w:bCs/>
          <w:color w:val="000000"/>
          <w:sz w:val="24"/>
          <w:highlight w:val="none"/>
        </w:rPr>
        <w:t xml:space="preserve">二、评分标准</w:t>
      </w:r>
      <w:r>
        <w:rPr>
          <w:rStyle w:val="1067"/>
          <w:rFonts w:hint="eastAsia" w:ascii="宋体" w:hAnsi="宋体" w:eastAsia="宋体" w:cs="宋体"/>
          <w:b/>
          <w:bCs/>
          <w:color w:val="000000"/>
          <w:sz w:val="24"/>
          <w:highlight w:val="none"/>
          <w:lang w:eastAsia="zh-CN"/>
        </w:rPr>
      </w:r>
      <w:r/>
    </w:p>
    <w:p>
      <w:pPr>
        <w:pStyle w:val="1027"/>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Style w:val="1067"/>
          <w:rFonts w:hint="eastAsia" w:ascii="宋体" w:hAnsi="宋体" w:eastAsia="宋体" w:cs="宋体"/>
          <w:b/>
          <w:bCs/>
          <w:color w:val="000000"/>
          <w:sz w:val="24"/>
          <w:highlight w:val="none"/>
        </w:rPr>
        <w:t xml:space="preserve">（一）价格基准分：</w:t>
      </w:r>
      <w:r>
        <w:rPr>
          <w:rStyle w:val="1067"/>
          <w:rFonts w:hint="eastAsia" w:ascii="宋体" w:hAnsi="宋体" w:eastAsia="宋体" w:cs="宋体"/>
          <w:b/>
          <w:bCs/>
          <w:color w:val="000000"/>
          <w:sz w:val="24"/>
          <w:highlight w:val="none"/>
          <w:lang w:val="en-US" w:eastAsia="zh-CN"/>
        </w:rPr>
        <w:t xml:space="preserve">20</w:t>
      </w:r>
      <w:r>
        <w:rPr>
          <w:rStyle w:val="1067"/>
          <w:rFonts w:hint="eastAsia" w:ascii="宋体" w:hAnsi="宋体" w:eastAsia="宋体" w:cs="宋体"/>
          <w:b/>
          <w:bCs/>
          <w:color w:val="000000"/>
          <w:sz w:val="24"/>
          <w:highlight w:val="none"/>
        </w:rPr>
        <w:t xml:space="preserve">分</w:t>
      </w:r>
      <w:r>
        <w:rPr>
          <w:rStyle w:val="1067"/>
          <w:rFonts w:hint="eastAsia" w:ascii="宋体" w:hAnsi="宋体" w:eastAsia="宋体" w:cs="宋体"/>
          <w:b/>
          <w:bCs/>
          <w:color w:val="000000"/>
          <w:sz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第一步：磋商报价低于或等于财政预算价格的，为有效磋商报价。超财政预算的磋商报价文件为未实质性响应文件，不参与评审。</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第二步：在所有有效磋商报价中满足采购文件要求，且磋商价格最低的磋商报价为评审基准价，其价格分为</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rPr>
        <w:t xml:space="preserve">分，其他磋商供应商的价格分按照下列公式计算（计算结果四舍五入保留两位小数）。</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磋商报价得分＝（评审基准价/磋商报价）×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rPr>
        <w:t xml:space="preserve">%×100。</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实施方案比较</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rPr>
        <w:t xml:space="preserve">针对本项目原料采购方案比较（</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采购的管理办法明确、采购渠道的确立及索证索票制度完善的得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分；采购的管理办法较明确、采购渠道的确立及索证索票制度较完善的得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分；采购的管理办法简单、采购渠道的确立及索证索票制度不完善、内容</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63"/>
        <w:keepLines w:val="0"/>
        <w:keepNext w:val="0"/>
        <w:pageBreakBefore w:val="0"/>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rPr>
        <w:t xml:space="preserve">提供的菜肴、点心品种比较（8分）</w:t>
      </w:r>
      <w:r>
        <w:rPr>
          <w:rFonts w:hint="eastAsia" w:ascii="宋体" w:hAnsi="宋体" w:eastAsia="宋体" w:cs="宋体"/>
          <w:b/>
          <w:bCs/>
          <w:color w:val="000000"/>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菜肴、点心品种丰富、荤、素搭配科学合理、质量标准高的得8分；菜肴、点心品种较丰富、荤、素搭配较合理、质量标准较高的得5分；菜色品种较简单、荤、素搭配一般、质量标准一般的得2分；其他情况不得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3、创新与特色服务方案</w:t>
      </w:r>
      <w:r>
        <w:rPr>
          <w:rFonts w:hint="eastAsia" w:ascii="宋体" w:hAnsi="宋体" w:eastAsia="宋体" w:cs="宋体"/>
          <w:b/>
          <w:bCs/>
          <w:color w:val="000000"/>
          <w:sz w:val="24"/>
          <w:szCs w:val="24"/>
          <w:highlight w:val="none"/>
          <w:lang w:val="en-US" w:eastAsia="zh-CN"/>
        </w:rPr>
        <w:t xml:space="preserve">比较</w:t>
      </w:r>
      <w:r>
        <w:rPr>
          <w:rFonts w:hint="eastAsia" w:ascii="宋体" w:hAnsi="宋体" w:eastAsia="宋体" w:cs="宋体"/>
          <w:b/>
          <w:bCs/>
          <w:color w:val="000000"/>
          <w:sz w:val="24"/>
          <w:szCs w:val="24"/>
          <w:highlight w:val="none"/>
          <w:lang w:val="en-US" w:eastAsia="zh-CN"/>
        </w:rPr>
        <w:t xml:space="preserve">（8分）</w:t>
      </w:r>
      <w:r>
        <w:rPr>
          <w:rFonts w:hint="eastAsia" w:ascii="宋体" w:hAnsi="宋体" w:eastAsia="宋体" w:cs="宋体"/>
          <w:b/>
          <w:bCs/>
          <w:color w:val="000000"/>
          <w:sz w:val="24"/>
          <w:szCs w:val="24"/>
          <w:highlight w:val="none"/>
          <w:lang w:val="en-US" w:eastAsia="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方案合理、完整、可操作性强的得8分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方案合理、完整、有一定可行性的得5分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方案简单，针对性不强的得2分；其他情况不得分。</w:t>
      </w:r>
      <w:r>
        <w:rPr>
          <w:rFonts w:hint="eastAsia" w:ascii="宋体" w:hAnsi="宋体" w:eastAsia="宋体" w:cs="宋体"/>
          <w:color w:val="000000"/>
          <w:sz w:val="24"/>
          <w:szCs w:val="24"/>
          <w:highlight w:val="none"/>
          <w:lang w:val="en-US" w:eastAsia="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、食品质量标准和控制方法比较（</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质量标准和控制方法清晰、合理、全面的得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分；质量标准和控制方法较完整、责任较为清晰、合理、但有缺陷的得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分；质量标准和控制方法不</w:t>
      </w:r>
      <w:r>
        <w:rPr>
          <w:rFonts w:hint="eastAsia" w:ascii="宋体" w:hAnsi="宋体" w:eastAsia="宋体" w:cs="宋体"/>
          <w:color w:val="000000"/>
          <w:sz w:val="24"/>
          <w:szCs w:val="24"/>
          <w:highlight w:val="none"/>
          <w:lang w:val="en-US" w:eastAsia="zh-CN"/>
        </w:rPr>
        <w:t xml:space="preserve">太</w:t>
      </w:r>
      <w:r>
        <w:rPr>
          <w:rFonts w:hint="eastAsia" w:ascii="宋体" w:hAnsi="宋体" w:eastAsia="宋体" w:cs="宋体"/>
          <w:color w:val="000000"/>
          <w:sz w:val="24"/>
          <w:szCs w:val="24"/>
          <w:highlight w:val="none"/>
          <w:lang w:val="zh-CN"/>
        </w:rPr>
        <w:t xml:space="preserve">清晰、</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、清洁卫生管理方案比较（</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包括但不限于人员卫生、环境卫生等方案。方案完整、责任清晰、合理、全面的得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分；方案较完整、责任较为清晰、合理、但有缺陷的得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分；方案不够完整、责任不够明确、</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、针对本项目紧急情况制定的应急预案比较（</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包括但不限于食品安全（如食物中毒）、突发事件、灾害事件等应急预案。预案详细可行，针对性、可操作性强的得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分；预案较为详细可行、具有可操作性的得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分；预案不够详细</w:t>
      </w:r>
      <w:r>
        <w:rPr>
          <w:rFonts w:hint="eastAsia" w:ascii="宋体" w:hAnsi="宋体" w:eastAsia="宋体" w:cs="宋体"/>
          <w:color w:val="000000"/>
          <w:sz w:val="24"/>
          <w:szCs w:val="24"/>
          <w:highlight w:val="none"/>
          <w:lang w:val="en-US" w:eastAsia="zh-CN"/>
        </w:rPr>
        <w:t xml:space="preserve">可行</w:t>
      </w:r>
      <w:r>
        <w:rPr>
          <w:rFonts w:hint="eastAsia" w:ascii="宋体" w:hAnsi="宋体" w:eastAsia="宋体" w:cs="宋体"/>
          <w:color w:val="000000"/>
          <w:sz w:val="24"/>
          <w:szCs w:val="24"/>
          <w:highlight w:val="none"/>
          <w:lang w:val="zh-CN"/>
        </w:rPr>
        <w:t xml:space="preserve">、针对性</w:t>
      </w:r>
      <w:r>
        <w:rPr>
          <w:rFonts w:hint="eastAsia" w:ascii="宋体" w:hAnsi="宋体" w:eastAsia="宋体" w:cs="宋体"/>
          <w:color w:val="000000"/>
          <w:sz w:val="24"/>
          <w:szCs w:val="24"/>
          <w:highlight w:val="none"/>
          <w:lang w:val="en-US" w:eastAsia="zh-CN"/>
        </w:rPr>
        <w:t xml:space="preserve">及可操作性一般</w:t>
      </w:r>
      <w:r>
        <w:rPr>
          <w:rFonts w:hint="eastAsia" w:ascii="宋体" w:hAnsi="宋体" w:eastAsia="宋体" w:cs="宋体"/>
          <w:color w:val="000000"/>
          <w:sz w:val="24"/>
          <w:szCs w:val="24"/>
          <w:highlight w:val="none"/>
          <w:lang w:val="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、食堂节能节约计划和管理措施的方案比较（</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方案内容详细、针对性强、实施可行性强的得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分；方案内容</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val="zh-CN"/>
        </w:rPr>
        <w:t xml:space="preserve">详细、针对性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val="zh-CN"/>
        </w:rPr>
        <w:t xml:space="preserve">强、实施可行性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val="zh-CN"/>
        </w:rPr>
        <w:t xml:space="preserve">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分；方案描述简单、针对性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val="zh-CN"/>
        </w:rPr>
        <w:t xml:space="preserve">可行性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、食堂资产管理措施方案的比较（</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厨房设备维护、餐具管理、食堂设施管理方案针对性强，实施可行性强的得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分；厨房设备维护、餐具管理、食堂设施管理方案针对性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val="zh-CN"/>
        </w:rPr>
        <w:t xml:space="preserve">强，实施可行性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val="zh-CN"/>
        </w:rPr>
        <w:t xml:space="preserve">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分；厨房设备维护、餐具管理、食堂设施管理方案</w:t>
      </w:r>
      <w:r>
        <w:rPr>
          <w:rFonts w:hint="eastAsia" w:ascii="宋体" w:hAnsi="宋体" w:eastAsia="宋体" w:cs="宋体"/>
          <w:color w:val="000000"/>
          <w:sz w:val="24"/>
          <w:szCs w:val="24"/>
          <w:highlight w:val="none"/>
          <w:lang w:val="en-US" w:eastAsia="zh-CN"/>
        </w:rPr>
        <w:t xml:space="preserve">针对性及</w:t>
      </w:r>
      <w:r>
        <w:rPr>
          <w:rFonts w:hint="eastAsia" w:ascii="宋体" w:hAnsi="宋体" w:eastAsia="宋体" w:cs="宋体"/>
          <w:color w:val="000000"/>
          <w:sz w:val="24"/>
          <w:szCs w:val="24"/>
          <w:highlight w:val="none"/>
          <w:lang w:val="zh-CN"/>
        </w:rPr>
        <w:t xml:space="preserve">可行性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分；其他情况不得分。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拟投入本</w:t>
      </w:r>
      <w:r>
        <w:rPr>
          <w:rFonts w:hint="eastAsia" w:ascii="宋体" w:hAnsi="宋体" w:eastAsia="宋体" w:cs="宋体"/>
          <w:b/>
          <w:bCs/>
          <w:color w:val="000000"/>
          <w:sz w:val="24"/>
          <w:szCs w:val="24"/>
          <w:highlight w:val="none"/>
          <w:lang w:val="zh-CN"/>
        </w:rPr>
        <w:t xml:space="preserve">项目</w:t>
      </w:r>
      <w:r>
        <w:rPr>
          <w:rFonts w:hint="eastAsia" w:ascii="宋体" w:hAnsi="宋体" w:eastAsia="宋体" w:cs="宋体"/>
          <w:b/>
          <w:bCs/>
          <w:color w:val="000000"/>
          <w:sz w:val="24"/>
          <w:szCs w:val="24"/>
          <w:highlight w:val="none"/>
          <w:lang w:val="en-US" w:eastAsia="zh-CN"/>
        </w:rPr>
        <w:t xml:space="preserve">人员配备</w:t>
      </w:r>
      <w:r>
        <w:rPr>
          <w:rFonts w:hint="eastAsia" w:ascii="宋体" w:hAnsi="宋体" w:eastAsia="宋体" w:cs="宋体"/>
          <w:b/>
          <w:bCs/>
          <w:color w:val="000000"/>
          <w:sz w:val="24"/>
          <w:szCs w:val="24"/>
          <w:highlight w:val="none"/>
          <w:lang w:val="zh-CN"/>
        </w:rPr>
        <w:t xml:space="preserve">比较：</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1、项目经理：具有</w:t>
      </w:r>
      <w:r>
        <w:rPr>
          <w:rFonts w:hint="eastAsia" w:ascii="宋体" w:hAnsi="宋体" w:eastAsia="宋体" w:cs="宋体"/>
          <w:color w:val="000000"/>
          <w:sz w:val="24"/>
          <w:szCs w:val="24"/>
          <w:highlight w:val="none"/>
          <w:lang w:val="en-US" w:eastAsia="zh-CN"/>
        </w:rPr>
        <w:t xml:space="preserve">本科</w:t>
      </w:r>
      <w:r>
        <w:rPr>
          <w:rFonts w:hint="eastAsia" w:ascii="宋体" w:hAnsi="宋体" w:eastAsia="宋体" w:cs="宋体"/>
          <w:color w:val="000000"/>
          <w:sz w:val="24"/>
          <w:szCs w:val="24"/>
          <w:highlight w:val="none"/>
          <w:lang w:val="zh-CN"/>
        </w:rPr>
        <w:t xml:space="preserve">及以上学历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2、厨师长：具有大专及以上学历得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分；具有三级及以上营养配餐员</w:t>
      </w:r>
      <w:r>
        <w:rPr>
          <w:rFonts w:hint="eastAsia" w:ascii="宋体" w:hAnsi="宋体" w:eastAsia="宋体" w:cs="宋体"/>
          <w:color w:val="000000"/>
          <w:sz w:val="24"/>
          <w:szCs w:val="24"/>
          <w:highlight w:val="none"/>
          <w:lang w:val="en-US" w:eastAsia="zh-CN"/>
        </w:rPr>
        <w:t xml:space="preserve">证书的</w:t>
      </w:r>
      <w:r>
        <w:rPr>
          <w:rFonts w:hint="eastAsia" w:ascii="宋体" w:hAnsi="宋体" w:eastAsia="宋体" w:cs="宋体"/>
          <w:color w:val="000000"/>
          <w:sz w:val="24"/>
          <w:szCs w:val="24"/>
          <w:highlight w:val="none"/>
          <w:lang w:val="zh-CN"/>
        </w:rPr>
        <w:t xml:space="preserve">得2分；具有三级及以上</w:t>
      </w:r>
      <w:r>
        <w:rPr>
          <w:rFonts w:hint="eastAsia" w:ascii="宋体" w:hAnsi="宋体" w:eastAsia="宋体" w:cs="宋体"/>
          <w:color w:val="000000"/>
          <w:sz w:val="24"/>
          <w:szCs w:val="24"/>
          <w:highlight w:val="none"/>
          <w:lang w:val="en-US" w:eastAsia="zh-CN"/>
        </w:rPr>
        <w:t xml:space="preserve">中式</w:t>
      </w:r>
      <w:r>
        <w:rPr>
          <w:rFonts w:hint="eastAsia" w:ascii="宋体" w:hAnsi="宋体" w:eastAsia="宋体" w:cs="宋体"/>
          <w:color w:val="000000"/>
          <w:sz w:val="24"/>
          <w:szCs w:val="24"/>
          <w:highlight w:val="none"/>
          <w:lang w:val="zh-CN"/>
        </w:rPr>
        <w:t xml:space="preserve">烹调师</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zh-CN"/>
        </w:rPr>
        <w:t xml:space="preserve">的得2分；具有三级及以上中式面点师</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zh-CN"/>
        </w:rPr>
        <w:t xml:space="preserve">的得2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val="zh-CN"/>
        </w:rPr>
        <w:t xml:space="preserve">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27"/>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Style w:val="1067"/>
          <w:rFonts w:hint="eastAsia" w:ascii="宋体" w:hAnsi="宋体" w:eastAsia="宋体" w:cs="宋体"/>
          <w:b/>
          <w:bCs/>
          <w:color w:val="000000"/>
          <w:sz w:val="24"/>
          <w:highlight w:val="none"/>
          <w:lang w:val="en-US" w:eastAsia="zh-CN"/>
        </w:rPr>
        <w:t xml:space="preserve">注：上述1-2项响应文件中提供证书复印件以及响应单位为上述人员缴纳的近一个月的社保证明复印件。材料未提供或提供不全或提供材料无法认定的，对应项不得分。</w:t>
      </w:r>
      <w:r>
        <w:rPr>
          <w:rFonts w:hint="eastAsia" w:ascii="宋体" w:hAnsi="宋体" w:eastAsia="宋体" w:cs="宋体"/>
          <w:b/>
          <w:bCs/>
          <w:color w:val="000000"/>
          <w:sz w:val="24"/>
          <w:szCs w:val="24"/>
          <w:highlight w:val="none"/>
          <w:lang w:val="zh-CN"/>
        </w:rPr>
      </w:r>
      <w:r/>
    </w:p>
    <w:p>
      <w:pPr>
        <w:pStyle w:val="1027"/>
        <w:ind w:left="0" w:firstLine="482"/>
        <w:keepLines w:val="0"/>
        <w:keepNext w:val="0"/>
        <w:pageBreakBefore w:val="0"/>
        <w:spacing w:line="360" w:lineRule="auto"/>
        <w:widowControl w:val="off"/>
        <w:rPr>
          <w:rStyle w:val="1067"/>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（四）响应单位综合实力比较：12分</w:t>
      </w:r>
      <w:r>
        <w:rPr>
          <w:rStyle w:val="1067"/>
          <w:rFonts w:hint="eastAsia" w:ascii="宋体" w:hAnsi="宋体" w:eastAsia="宋体" w:cs="宋体"/>
          <w:color w:val="000000"/>
          <w:sz w:val="24"/>
          <w:highlight w:val="none"/>
          <w:lang w:val="en-US" w:eastAsia="zh-CN"/>
        </w:rPr>
      </w:r>
      <w:r/>
    </w:p>
    <w:p>
      <w:pPr>
        <w:pStyle w:val="1027"/>
        <w:ind w:left="0" w:firstLine="480"/>
        <w:keepLines w:val="0"/>
        <w:keepNext w:val="0"/>
        <w:pageBreakBefore w:val="0"/>
        <w:spacing w:line="360" w:lineRule="auto"/>
        <w:widowControl w:val="off"/>
        <w:rPr>
          <w:rStyle w:val="1067"/>
          <w:rFonts w:hint="eastAsia" w:ascii="宋体" w:hAnsi="宋体" w:eastAsia="宋体" w:cs="宋体"/>
          <w:color w:val="000000"/>
          <w:sz w:val="24"/>
          <w:highlight w:val="none"/>
          <w:lang w:val="en-US" w:eastAsia="zh-CN"/>
        </w:rPr>
      </w:pPr>
      <w:r>
        <w:rPr>
          <w:rStyle w:val="1067"/>
          <w:rFonts w:hint="eastAsia" w:ascii="宋体" w:hAnsi="宋体" w:eastAsia="宋体" w:cs="宋体"/>
          <w:color w:val="000000"/>
          <w:sz w:val="24"/>
          <w:highlight w:val="none"/>
          <w:lang w:val="en-US" w:eastAsia="zh-CN"/>
        </w:rPr>
        <w:t xml:space="preserve">1、响应单位具有有效期内的</w:t>
      </w:r>
      <w:r>
        <w:rPr>
          <w:rStyle w:val="1067"/>
          <w:rFonts w:hint="eastAsia" w:ascii="宋体" w:hAnsi="宋体" w:eastAsia="宋体" w:cs="宋体"/>
          <w:color w:val="000000"/>
          <w:sz w:val="24"/>
          <w:highlight w:val="none"/>
        </w:rPr>
        <w:t xml:space="preserve">质量管理体系认证证书、环境管理体系认证证书、职业健康安全管理体系认证证书</w:t>
      </w:r>
      <w:r>
        <w:rPr>
          <w:rStyle w:val="1067"/>
          <w:rFonts w:hint="eastAsia" w:ascii="宋体" w:hAnsi="宋体" w:eastAsia="宋体" w:cs="宋体"/>
          <w:color w:val="000000"/>
          <w:sz w:val="24"/>
          <w:highlight w:val="none"/>
          <w:lang w:val="en-US" w:eastAsia="zh-CN"/>
        </w:rPr>
        <w:t xml:space="preserve">，每提供一份得2分，最高得6分。</w:t>
      </w:r>
      <w:r>
        <w:rPr>
          <w:rStyle w:val="1067"/>
          <w:rFonts w:hint="eastAsia" w:ascii="宋体" w:hAnsi="宋体" w:eastAsia="宋体" w:cs="宋体"/>
          <w:color w:val="000000"/>
          <w:sz w:val="24"/>
          <w:highlight w:val="none"/>
          <w:lang w:val="en-US" w:eastAsia="zh-CN"/>
        </w:rPr>
      </w:r>
      <w:r/>
    </w:p>
    <w:p>
      <w:pPr>
        <w:pStyle w:val="1027"/>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lang w:val="en-US" w:eastAsia="zh-CN"/>
        </w:rPr>
      </w:pPr>
      <w:r>
        <w:rPr>
          <w:rStyle w:val="1067"/>
          <w:rFonts w:hint="eastAsia" w:ascii="宋体" w:hAnsi="宋体" w:eastAsia="宋体" w:cs="宋体"/>
          <w:b/>
          <w:bCs/>
          <w:color w:val="000000"/>
          <w:sz w:val="24"/>
          <w:highlight w:val="none"/>
        </w:rPr>
        <w:t xml:space="preserve">注：响应文件中提供证书复印件，同时需提供该证书在中国国家认证认可监督管理委员会网站http</w:t>
      </w:r>
      <w:r>
        <w:rPr>
          <w:rStyle w:val="1067"/>
          <w:rFonts w:hint="eastAsia" w:ascii="宋体" w:hAnsi="宋体" w:eastAsia="宋体" w:cs="宋体"/>
          <w:b/>
          <w:bCs/>
          <w:color w:val="000000"/>
          <w:sz w:val="24"/>
          <w:highlight w:val="none"/>
          <w:lang w:val="en-US" w:eastAsia="zh-CN"/>
        </w:rPr>
        <w:t xml:space="preserve">s</w:t>
      </w:r>
      <w:r>
        <w:rPr>
          <w:rStyle w:val="1067"/>
          <w:rFonts w:hint="eastAsia" w:ascii="宋体" w:hAnsi="宋体" w:eastAsia="宋体" w:cs="宋体"/>
          <w:b/>
          <w:bCs/>
          <w:color w:val="000000"/>
          <w:sz w:val="24"/>
          <w:highlight w:val="none"/>
        </w:rPr>
        <w:t xml:space="preserve">://www.cnca.gov.cn/上查询的页面截图。</w:t>
      </w:r>
      <w:r>
        <w:rPr>
          <w:rStyle w:val="1067"/>
          <w:rFonts w:hint="eastAsia" w:ascii="宋体" w:hAnsi="宋体" w:eastAsia="宋体" w:cs="宋体"/>
          <w:b/>
          <w:bCs/>
          <w:color w:val="000000"/>
          <w:sz w:val="24"/>
          <w:highlight w:val="none"/>
          <w:lang w:val="en-US" w:eastAsia="zh-CN"/>
        </w:rPr>
        <w:t xml:space="preserve">材料未提供或提供不全或提供材料无法认定的，对应项不得分。</w:t>
      </w:r>
      <w:r>
        <w:rPr>
          <w:rStyle w:val="1067"/>
          <w:rFonts w:hint="eastAsia" w:ascii="宋体" w:hAnsi="宋体" w:eastAsia="宋体" w:cs="宋体"/>
          <w:b/>
          <w:bCs/>
          <w:color w:val="000000"/>
          <w:sz w:val="24"/>
          <w:highlight w:val="none"/>
          <w:lang w:val="en-US" w:eastAsia="zh-CN"/>
        </w:rPr>
      </w:r>
      <w:r/>
    </w:p>
    <w:p>
      <w:pPr>
        <w:pStyle w:val="1027"/>
        <w:ind w:left="0" w:firstLine="480"/>
        <w:keepLines w:val="0"/>
        <w:keepNext w:val="0"/>
        <w:pageBreakBefore w:val="0"/>
        <w:spacing w:line="360" w:lineRule="auto"/>
        <w:widowControl w:val="off"/>
        <w:rPr>
          <w:rStyle w:val="1067"/>
          <w:rFonts w:hint="eastAsia" w:ascii="宋体" w:hAnsi="宋体" w:eastAsia="宋体" w:cs="宋体"/>
          <w:color w:val="000000"/>
          <w:sz w:val="24"/>
          <w:highlight w:val="none"/>
          <w:lang w:eastAsia="zh-CN"/>
        </w:rPr>
      </w:pPr>
      <w:r>
        <w:rPr>
          <w:rStyle w:val="1067"/>
          <w:rFonts w:hint="eastAsia" w:ascii="宋体" w:hAnsi="宋体" w:eastAsia="宋体" w:cs="宋体"/>
          <w:color w:val="000000"/>
          <w:sz w:val="24"/>
          <w:highlight w:val="none"/>
          <w:lang w:val="en-US" w:eastAsia="zh-CN"/>
        </w:rPr>
        <w:t xml:space="preserve">2、</w:t>
      </w:r>
      <w:r>
        <w:rPr>
          <w:rStyle w:val="1067"/>
          <w:rFonts w:hint="eastAsia" w:ascii="宋体" w:hAnsi="宋体" w:eastAsia="宋体" w:cs="宋体"/>
          <w:color w:val="000000"/>
          <w:sz w:val="24"/>
          <w:highlight w:val="none"/>
        </w:rPr>
        <w:t xml:space="preserve">响应单位自</w:t>
      </w:r>
      <w:r>
        <w:rPr>
          <w:rStyle w:val="1067"/>
          <w:rFonts w:hint="eastAsia" w:ascii="宋体" w:hAnsi="宋体" w:eastAsia="宋体" w:cs="宋体"/>
          <w:color w:val="000000"/>
          <w:sz w:val="24"/>
          <w:highlight w:val="none"/>
          <w:lang w:eastAsia="zh-CN"/>
        </w:rPr>
        <w:t xml:space="preserve">20</w:t>
      </w:r>
      <w:r>
        <w:rPr>
          <w:rStyle w:val="1067"/>
          <w:rFonts w:hint="eastAsia" w:ascii="宋体" w:hAnsi="宋体" w:eastAsia="宋体" w:cs="宋体"/>
          <w:color w:val="000000"/>
          <w:sz w:val="24"/>
          <w:highlight w:val="none"/>
          <w:lang w:val="en-US" w:eastAsia="zh-CN"/>
        </w:rPr>
        <w:t xml:space="preserve">23</w:t>
      </w:r>
      <w:r>
        <w:rPr>
          <w:rStyle w:val="1067"/>
          <w:rFonts w:hint="eastAsia" w:ascii="宋体" w:hAnsi="宋体" w:eastAsia="宋体" w:cs="宋体"/>
          <w:color w:val="000000"/>
          <w:sz w:val="24"/>
          <w:highlight w:val="none"/>
          <w:lang w:eastAsia="zh-CN"/>
        </w:rPr>
        <w:t xml:space="preserve">年1月1日至今承担</w:t>
      </w:r>
      <w:r>
        <w:rPr>
          <w:rStyle w:val="1067"/>
          <w:rFonts w:hint="eastAsia" w:ascii="宋体" w:hAnsi="宋体" w:eastAsia="宋体" w:cs="宋体"/>
          <w:color w:val="000000"/>
          <w:sz w:val="24"/>
          <w:highlight w:val="none"/>
          <w:lang w:val="en-US" w:eastAsia="zh-CN"/>
        </w:rPr>
        <w:t xml:space="preserve">过</w:t>
      </w:r>
      <w:r>
        <w:rPr>
          <w:rStyle w:val="1067"/>
          <w:rFonts w:hint="eastAsia" w:ascii="宋体" w:hAnsi="宋体" w:eastAsia="宋体" w:cs="宋体"/>
          <w:color w:val="000000"/>
          <w:sz w:val="24"/>
          <w:highlight w:val="none"/>
          <w:lang w:eastAsia="zh-CN"/>
        </w:rPr>
        <w:t xml:space="preserve">类似项目业绩</w:t>
      </w:r>
      <w:r>
        <w:rPr>
          <w:rStyle w:val="1067"/>
          <w:rFonts w:hint="eastAsia" w:ascii="宋体" w:hAnsi="宋体" w:eastAsia="宋体" w:cs="宋体"/>
          <w:color w:val="000000"/>
          <w:sz w:val="24"/>
          <w:highlight w:val="none"/>
          <w:lang w:val="en-US" w:eastAsia="zh-CN"/>
        </w:rPr>
        <w:t xml:space="preserve">的</w:t>
      </w:r>
      <w:r>
        <w:rPr>
          <w:rStyle w:val="1067"/>
          <w:rFonts w:hint="eastAsia" w:ascii="宋体" w:hAnsi="宋体" w:eastAsia="宋体" w:cs="宋体"/>
          <w:color w:val="000000"/>
          <w:sz w:val="24"/>
          <w:highlight w:val="none"/>
          <w:lang w:eastAsia="zh-CN"/>
        </w:rPr>
        <w:t xml:space="preserve">，</w:t>
      </w:r>
      <w:r>
        <w:rPr>
          <w:rStyle w:val="1067"/>
          <w:rFonts w:hint="eastAsia" w:ascii="宋体" w:hAnsi="宋体" w:eastAsia="宋体" w:cs="宋体"/>
          <w:color w:val="000000"/>
          <w:sz w:val="24"/>
          <w:highlight w:val="none"/>
          <w:lang w:val="en-US" w:eastAsia="zh-CN"/>
        </w:rPr>
        <w:t xml:space="preserve">每</w:t>
      </w:r>
      <w:r>
        <w:rPr>
          <w:rStyle w:val="1067"/>
          <w:rFonts w:hint="eastAsia" w:ascii="宋体" w:hAnsi="宋体" w:eastAsia="宋体" w:cs="宋体"/>
          <w:color w:val="000000"/>
          <w:sz w:val="24"/>
          <w:highlight w:val="none"/>
          <w:lang w:eastAsia="zh-CN"/>
        </w:rPr>
        <w:t xml:space="preserve">提供一份得</w:t>
      </w:r>
      <w:r>
        <w:rPr>
          <w:rStyle w:val="1067"/>
          <w:rFonts w:hint="eastAsia" w:ascii="宋体" w:hAnsi="宋体" w:eastAsia="宋体" w:cs="宋体"/>
          <w:color w:val="000000"/>
          <w:sz w:val="24"/>
          <w:highlight w:val="none"/>
          <w:lang w:val="en-US" w:eastAsia="zh-CN"/>
        </w:rPr>
        <w:t xml:space="preserve">2</w:t>
      </w:r>
      <w:r>
        <w:rPr>
          <w:rStyle w:val="1067"/>
          <w:rFonts w:hint="eastAsia" w:ascii="宋体" w:hAnsi="宋体" w:eastAsia="宋体" w:cs="宋体"/>
          <w:color w:val="000000"/>
          <w:sz w:val="24"/>
          <w:highlight w:val="none"/>
          <w:lang w:eastAsia="zh-CN"/>
        </w:rPr>
        <w:t xml:space="preserve">分，</w:t>
      </w:r>
      <w:r>
        <w:rPr>
          <w:rStyle w:val="1067"/>
          <w:rFonts w:hint="eastAsia" w:ascii="宋体" w:hAnsi="宋体" w:eastAsia="宋体" w:cs="宋体"/>
          <w:color w:val="000000"/>
          <w:sz w:val="24"/>
          <w:highlight w:val="none"/>
          <w:lang w:val="en-US" w:eastAsia="zh-CN"/>
        </w:rPr>
        <w:t xml:space="preserve">本项</w:t>
      </w:r>
      <w:r>
        <w:rPr>
          <w:rStyle w:val="1067"/>
          <w:rFonts w:hint="eastAsia" w:ascii="宋体" w:hAnsi="宋体" w:eastAsia="宋体" w:cs="宋体"/>
          <w:color w:val="000000"/>
          <w:sz w:val="24"/>
          <w:highlight w:val="none"/>
          <w:lang w:eastAsia="zh-CN"/>
        </w:rPr>
        <w:t xml:space="preserve">最高得</w:t>
      </w:r>
      <w:r>
        <w:rPr>
          <w:rStyle w:val="1067"/>
          <w:rFonts w:hint="eastAsia" w:ascii="宋体" w:hAnsi="宋体" w:eastAsia="宋体" w:cs="宋体"/>
          <w:color w:val="000000"/>
          <w:sz w:val="24"/>
          <w:highlight w:val="none"/>
          <w:lang w:val="en-US" w:eastAsia="zh-CN"/>
        </w:rPr>
        <w:t xml:space="preserve">6</w:t>
      </w:r>
      <w:r>
        <w:rPr>
          <w:rStyle w:val="1067"/>
          <w:rFonts w:hint="eastAsia" w:ascii="宋体" w:hAnsi="宋体" w:eastAsia="宋体" w:cs="宋体"/>
          <w:color w:val="000000"/>
          <w:sz w:val="24"/>
          <w:highlight w:val="none"/>
          <w:lang w:eastAsia="zh-CN"/>
        </w:rPr>
        <w:t xml:space="preserve">分。</w:t>
      </w:r>
      <w:r>
        <w:rPr>
          <w:rStyle w:val="1067"/>
          <w:rFonts w:hint="eastAsia" w:ascii="宋体" w:hAnsi="宋体" w:eastAsia="宋体" w:cs="宋体"/>
          <w:color w:val="000000"/>
          <w:sz w:val="24"/>
          <w:highlight w:val="none"/>
          <w:lang w:eastAsia="zh-CN"/>
        </w:rPr>
      </w:r>
      <w:r/>
    </w:p>
    <w:p>
      <w:pPr>
        <w:pStyle w:val="1027"/>
        <w:ind w:left="0" w:firstLine="482"/>
        <w:keepLines w:val="0"/>
        <w:keepNext w:val="0"/>
        <w:pageBreakBefore w:val="0"/>
        <w:spacing w:line="360" w:lineRule="auto"/>
        <w:widowControl w:val="off"/>
        <w:rPr>
          <w:rStyle w:val="1067"/>
          <w:rFonts w:hint="eastAsia" w:ascii="宋体" w:hAnsi="宋体" w:eastAsia="宋体" w:cs="宋体"/>
          <w:color w:val="000000"/>
          <w:sz w:val="24"/>
          <w:highlight w:val="none"/>
        </w:rPr>
      </w:pPr>
      <w:r>
        <w:rPr>
          <w:rStyle w:val="1067"/>
          <w:rFonts w:hint="eastAsia" w:ascii="宋体" w:hAnsi="宋体" w:eastAsia="宋体" w:cs="宋体"/>
          <w:b/>
          <w:bCs/>
          <w:color w:val="000000"/>
          <w:sz w:val="24"/>
          <w:highlight w:val="none"/>
          <w:lang w:val="en-US" w:eastAsia="zh-CN"/>
        </w:rPr>
        <w:t xml:space="preserve">注：①时间以合同签订日期为准；②响应文件中提供合同的复印件。材料未提供或提供不全或提供材料无法认定的，此项不得分。</w:t>
      </w:r>
      <w:r>
        <w:rPr>
          <w:rStyle w:val="1067"/>
          <w:rFonts w:hint="eastAsia" w:ascii="宋体" w:hAnsi="宋体" w:eastAsia="宋体" w:cs="宋体"/>
          <w:color w:val="000000"/>
          <w:sz w:val="24"/>
          <w:highlight w:val="none"/>
        </w:rPr>
      </w:r>
      <w:r/>
    </w:p>
    <w:p>
      <w:pPr>
        <w:pStyle w:val="1027"/>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3"/>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27"/>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3"/>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027"/>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Fonts w:hint="eastAsia" w:ascii="宋体" w:hAnsi="宋体" w:eastAsia="宋体" w:cs="宋体"/>
          <w:b/>
          <w:color w:val="000000"/>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Style w:val="1067"/>
          <w:rFonts w:hint="eastAsia" w:ascii="宋体" w:hAnsi="宋体" w:eastAsia="宋体" w:cs="宋体"/>
          <w:b/>
          <w:bCs/>
          <w:color w:val="000000"/>
          <w:sz w:val="24"/>
          <w:highlight w:val="none"/>
        </w:rPr>
      </w:r>
      <w:r/>
    </w:p>
    <w:p>
      <w:pPr>
        <w:pStyle w:val="1027"/>
        <w:ind w:left="0"/>
        <w:jc w:val="right"/>
        <w:spacing w:line="336" w:lineRule="auto"/>
        <w:widowControl w:val="off"/>
        <w:tabs>
          <w:tab w:val="left" w:pos="8417" w:leader="none"/>
          <w:tab w:val="right" w:pos="9983" w:leader="none"/>
        </w:tabs>
        <w:rPr>
          <w:rStyle w:val="1067"/>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（全文完）</w:t>
      </w:r>
      <w:r/>
    </w:p>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p>
    <w:pPr>
      <w:pStyle w:val="1027"/>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59"/>
      </w:rPr>
      <w:framePr w:wrap="around" w:vAnchor="text" w:hAnchor="margin" w:xAlign="center" w:y="1"/>
    </w:pPr>
    <w:r>
      <w:fldChar w:fldCharType="begin"/>
    </w:r>
    <w:r>
      <w:rPr>
        <w:rStyle w:val="1059"/>
      </w:rPr>
      <w:instrText xml:space="preserve"> PAGE </w:instrText>
    </w:r>
    <w:r>
      <w:fldChar w:fldCharType="end"/>
    </w:r>
    <w:r>
      <w:rPr>
        <w:rStyle w:val="1059"/>
      </w:rPr>
    </w:r>
    <w:r/>
  </w:p>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etween w:val="none" w:color="000000" w:sz="8" w:space="0"/>
      </w:pBdr>
      <w:framePr w:wrap="around" w:vAnchor="text" w:hAnchor="margin" w:xAlign="center" w:y="1"/>
    </w:pPr>
    <w:r>
      <w:fldChar w:fldCharType="begin"/>
    </w:r>
    <w:r>
      <w:rPr>
        <w:rStyle w:val="1059"/>
      </w:rPr>
      <w:instrText xml:space="preserve"> PAGE </w:instrText>
    </w:r>
    <w:r>
      <w:fldChar w:fldCharType="separate"/>
    </w:r>
    <w:r>
      <w:rPr>
        <w:rStyle w:val="1059"/>
      </w:rPr>
      <w:t xml:space="preserve">- 0 -</w:t>
    </w:r>
    <w:r>
      <w:fldChar w:fldCharType="end"/>
    </w:r>
    <w:r/>
  </w:p>
  <w:p>
    <w:pPr>
      <w:pStyle w:val="10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57</w:t>
                          </w:r>
                          <w:r>
                            <w:t xml:space="preserve">页</w:t>
                          </w:r>
                          <w:r/>
                        </w:p>
                        <w:p>
                          <w:pPr>
                            <w:pStyle w:val="102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57</w:t>
                    </w:r>
                    <w:r>
                      <w:t xml:space="preserve">页</w:t>
                    </w:r>
                    <w:r/>
                  </w:p>
                  <w:p>
                    <w:pPr>
                      <w:pStyle w:val="1027"/>
                    </w:pPr>
                    <w:r/>
                    <w:r/>
                  </w:p>
                </w:txbxContent>
              </v:textbox>
            </v:shape>
          </w:pict>
        </mc:Fallback>
      </mc:AlternateContent>
    </w: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etween w:val="none" w:color="000000" w:sz="8" w:space="0"/>
      </w:pBdr>
      <w:framePr w:wrap="around" w:vAnchor="text" w:hAnchor="margin" w:xAlign="center" w:y="1"/>
    </w:pPr>
    <w:r>
      <w:fldChar w:fldCharType="begin"/>
    </w:r>
    <w:r>
      <w:rPr>
        <w:rStyle w:val="1059"/>
      </w:rPr>
      <w:instrText xml:space="preserve"> PAGE </w:instrText>
    </w:r>
    <w:r>
      <w:fldChar w:fldCharType="separate"/>
    </w:r>
    <w:r>
      <w:rPr>
        <w:rStyle w:val="1059"/>
      </w:rPr>
      <w:t xml:space="preserve">1</w:t>
    </w:r>
    <w:r>
      <w:fldChar w:fldCharType="end"/>
    </w:r>
    <w:r/>
  </w:p>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7"/>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7"/>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JSZC-320507-SHYS-C2026-0021</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left="0" w:right="703"/>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JSZC-320507-SHYS-C2026-0021</w:t>
    </w:r>
    <w:r>
      <w:rPr>
        <w:rFonts w:hint="eastAsia" w:ascii="宋体" w:hAnsi="宋体"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jc w:val="left"/>
      <w:rPr>
        <w:rFonts w:hint="eastAsia"/>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JSZC-320507-SHYS-C2026-0021</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9"/>
      <w:isLgl w:val="false"/>
      <w:suff w:val="tab"/>
      <w:lvlText w:val="%1."/>
      <w:lvlJc w:val="left"/>
      <w:pPr>
        <w:pStyle w:val="1027"/>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3"/>
      <w:isLgl w:val="false"/>
      <w:suff w:val="tab"/>
      <w:lvlText w:val=""/>
      <w:lvlJc w:val="left"/>
      <w:pPr>
        <w:pStyle w:val="102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7"/>
    <w:next w:val="1027"/>
    <w:link w:val="850"/>
    <w:uiPriority w:val="9"/>
    <w:qFormat/>
    <w:pPr>
      <w:keepLines/>
      <w:keepNext/>
      <w:spacing w:before="480" w:after="200"/>
      <w:outlineLvl w:val="0"/>
    </w:pPr>
    <w:rPr>
      <w:rFonts w:ascii="Arial" w:hAnsi="Arial" w:eastAsia="Arial" w:cs="Arial"/>
      <w:sz w:val="40"/>
      <w:szCs w:val="40"/>
    </w:rPr>
  </w:style>
  <w:style w:type="character" w:styleId="850">
    <w:name w:val="Heading 1 Char"/>
    <w:link w:val="849"/>
    <w:uiPriority w:val="9"/>
    <w:rPr>
      <w:rFonts w:ascii="Arial" w:hAnsi="Arial" w:eastAsia="Arial" w:cs="Arial"/>
      <w:sz w:val="40"/>
      <w:szCs w:val="40"/>
    </w:rPr>
  </w:style>
  <w:style w:type="paragraph" w:styleId="851">
    <w:name w:val="Heading 2"/>
    <w:basedOn w:val="1027"/>
    <w:next w:val="1027"/>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link w:val="851"/>
    <w:uiPriority w:val="9"/>
    <w:rPr>
      <w:rFonts w:ascii="Arial" w:hAnsi="Arial" w:eastAsia="Arial" w:cs="Arial"/>
      <w:sz w:val="34"/>
    </w:rPr>
  </w:style>
  <w:style w:type="paragraph" w:styleId="853">
    <w:name w:val="Heading 3"/>
    <w:basedOn w:val="1027"/>
    <w:next w:val="1027"/>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link w:val="853"/>
    <w:uiPriority w:val="9"/>
    <w:rPr>
      <w:rFonts w:ascii="Arial" w:hAnsi="Arial" w:eastAsia="Arial" w:cs="Arial"/>
      <w:sz w:val="30"/>
      <w:szCs w:val="30"/>
    </w:rPr>
  </w:style>
  <w:style w:type="paragraph" w:styleId="855">
    <w:name w:val="Heading 4"/>
    <w:basedOn w:val="1027"/>
    <w:next w:val="1027"/>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link w:val="855"/>
    <w:uiPriority w:val="9"/>
    <w:rPr>
      <w:rFonts w:ascii="Arial" w:hAnsi="Arial" w:eastAsia="Arial" w:cs="Arial"/>
      <w:b/>
      <w:bCs/>
      <w:sz w:val="26"/>
      <w:szCs w:val="26"/>
    </w:rPr>
  </w:style>
  <w:style w:type="paragraph" w:styleId="857">
    <w:name w:val="Heading 5"/>
    <w:basedOn w:val="1027"/>
    <w:next w:val="1027"/>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link w:val="857"/>
    <w:uiPriority w:val="9"/>
    <w:rPr>
      <w:rFonts w:ascii="Arial" w:hAnsi="Arial" w:eastAsia="Arial" w:cs="Arial"/>
      <w:b/>
      <w:bCs/>
      <w:sz w:val="24"/>
      <w:szCs w:val="24"/>
    </w:rPr>
  </w:style>
  <w:style w:type="paragraph" w:styleId="859">
    <w:name w:val="Heading 6"/>
    <w:basedOn w:val="1027"/>
    <w:next w:val="102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link w:val="859"/>
    <w:uiPriority w:val="9"/>
    <w:rPr>
      <w:rFonts w:ascii="Arial" w:hAnsi="Arial" w:eastAsia="Arial" w:cs="Arial"/>
      <w:b/>
      <w:bCs/>
      <w:sz w:val="22"/>
      <w:szCs w:val="22"/>
    </w:rPr>
  </w:style>
  <w:style w:type="paragraph" w:styleId="861">
    <w:name w:val="Heading 7"/>
    <w:basedOn w:val="1027"/>
    <w:next w:val="102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link w:val="861"/>
    <w:uiPriority w:val="9"/>
    <w:rPr>
      <w:rFonts w:ascii="Arial" w:hAnsi="Arial" w:eastAsia="Arial" w:cs="Arial"/>
      <w:b/>
      <w:bCs/>
      <w:i/>
      <w:iCs/>
      <w:sz w:val="22"/>
      <w:szCs w:val="22"/>
    </w:rPr>
  </w:style>
  <w:style w:type="paragraph" w:styleId="863">
    <w:name w:val="Heading 8"/>
    <w:basedOn w:val="1027"/>
    <w:next w:val="102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link w:val="863"/>
    <w:uiPriority w:val="9"/>
    <w:rPr>
      <w:rFonts w:ascii="Arial" w:hAnsi="Arial" w:eastAsia="Arial" w:cs="Arial"/>
      <w:i/>
      <w:iCs/>
      <w:sz w:val="22"/>
      <w:szCs w:val="22"/>
    </w:rPr>
  </w:style>
  <w:style w:type="paragraph" w:styleId="865">
    <w:name w:val="Heading 9"/>
    <w:basedOn w:val="1027"/>
    <w:next w:val="102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link w:val="865"/>
    <w:uiPriority w:val="9"/>
    <w:rPr>
      <w:rFonts w:ascii="Arial" w:hAnsi="Arial" w:eastAsia="Arial" w:cs="Arial"/>
      <w:i/>
      <w:iCs/>
      <w:sz w:val="21"/>
      <w:szCs w:val="21"/>
    </w:rPr>
  </w:style>
  <w:style w:type="paragraph" w:styleId="867">
    <w:name w:val="List Paragraph"/>
    <w:basedOn w:val="1027"/>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7"/>
    <w:next w:val="1027"/>
    <w:link w:val="870"/>
    <w:uiPriority w:val="10"/>
    <w:qFormat/>
    <w:pPr>
      <w:contextualSpacing/>
      <w:spacing w:before="300" w:after="200"/>
    </w:pPr>
    <w:rPr>
      <w:sz w:val="48"/>
      <w:szCs w:val="48"/>
    </w:rPr>
  </w:style>
  <w:style w:type="character" w:styleId="870">
    <w:name w:val="Title Char"/>
    <w:link w:val="869"/>
    <w:uiPriority w:val="10"/>
    <w:rPr>
      <w:sz w:val="48"/>
      <w:szCs w:val="48"/>
    </w:rPr>
  </w:style>
  <w:style w:type="paragraph" w:styleId="871">
    <w:name w:val="Subtitle"/>
    <w:basedOn w:val="1027"/>
    <w:next w:val="1027"/>
    <w:link w:val="872"/>
    <w:uiPriority w:val="11"/>
    <w:qFormat/>
    <w:pPr>
      <w:spacing w:before="200" w:after="200"/>
    </w:pPr>
    <w:rPr>
      <w:sz w:val="24"/>
      <w:szCs w:val="24"/>
    </w:rPr>
  </w:style>
  <w:style w:type="character" w:styleId="872">
    <w:name w:val="Subtitle Char"/>
    <w:link w:val="871"/>
    <w:uiPriority w:val="11"/>
    <w:rPr>
      <w:sz w:val="24"/>
      <w:szCs w:val="24"/>
    </w:rPr>
  </w:style>
  <w:style w:type="paragraph" w:styleId="873">
    <w:name w:val="Quote"/>
    <w:basedOn w:val="1027"/>
    <w:next w:val="1027"/>
    <w:link w:val="874"/>
    <w:uiPriority w:val="29"/>
    <w:qFormat/>
    <w:pPr>
      <w:ind w:left="720" w:right="720"/>
    </w:pPr>
    <w:rPr>
      <w:i/>
    </w:rPr>
  </w:style>
  <w:style w:type="character" w:styleId="874">
    <w:name w:val="Quote Char"/>
    <w:link w:val="873"/>
    <w:uiPriority w:val="29"/>
    <w:rPr>
      <w:i/>
    </w:rPr>
  </w:style>
  <w:style w:type="paragraph" w:styleId="875">
    <w:name w:val="Intense Quote"/>
    <w:basedOn w:val="1027"/>
    <w:next w:val="1027"/>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7"/>
    <w:link w:val="878"/>
    <w:uiPriority w:val="99"/>
    <w:unhideWhenUsed/>
    <w:pPr>
      <w:spacing w:after="0" w:line="240" w:lineRule="auto"/>
      <w:tabs>
        <w:tab w:val="center" w:pos="7143" w:leader="none"/>
        <w:tab w:val="right" w:pos="14287" w:leader="none"/>
      </w:tabs>
    </w:pPr>
  </w:style>
  <w:style w:type="character" w:styleId="878">
    <w:name w:val="Header Char"/>
    <w:link w:val="877"/>
    <w:uiPriority w:val="99"/>
  </w:style>
  <w:style w:type="paragraph" w:styleId="879">
    <w:name w:val="Footer"/>
    <w:basedOn w:val="1027"/>
    <w:link w:val="882"/>
    <w:uiPriority w:val="99"/>
    <w:unhideWhenUsed/>
    <w:pPr>
      <w:spacing w:after="0" w:line="240" w:lineRule="auto"/>
      <w:tabs>
        <w:tab w:val="center" w:pos="7143" w:leader="none"/>
        <w:tab w:val="right" w:pos="14287" w:leader="none"/>
      </w:tabs>
    </w:pPr>
  </w:style>
  <w:style w:type="character" w:styleId="880">
    <w:name w:val="Footer Char"/>
    <w:link w:val="879"/>
    <w:uiPriority w:val="99"/>
  </w:style>
  <w:style w:type="paragraph" w:styleId="881">
    <w:name w:val="Caption"/>
    <w:basedOn w:val="1027"/>
    <w:next w:val="1027"/>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7"/>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uiPriority w:val="99"/>
    <w:unhideWhenUsed/>
    <w:rPr>
      <w:vertAlign w:val="superscript"/>
    </w:rPr>
  </w:style>
  <w:style w:type="paragraph" w:styleId="1013">
    <w:name w:val="endnote text"/>
    <w:basedOn w:val="1027"/>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uiPriority w:val="99"/>
    <w:semiHidden/>
    <w:unhideWhenUsed/>
    <w:rPr>
      <w:vertAlign w:val="superscript"/>
    </w:rPr>
  </w:style>
  <w:style w:type="paragraph" w:styleId="1016">
    <w:name w:val="toc 1"/>
    <w:basedOn w:val="1027"/>
    <w:next w:val="1027"/>
    <w:uiPriority w:val="39"/>
    <w:unhideWhenUsed/>
    <w:pPr>
      <w:ind w:left="0" w:right="0" w:firstLine="0"/>
      <w:spacing w:after="57"/>
    </w:p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next w:val="1033"/>
    <w:link w:val="1027"/>
    <w:qFormat/>
    <w:pPr>
      <w:ind w:left="1024"/>
      <w:jc w:val="both"/>
    </w:pPr>
    <w:rPr>
      <w:rFonts w:ascii="Calibri" w:hAnsi="Calibri"/>
      <w:lang w:val="en-US" w:eastAsia="zh-CN" w:bidi="ar-SA"/>
    </w:rPr>
  </w:style>
  <w:style w:type="paragraph" w:styleId="1028">
    <w:name w:val="标题 1"/>
    <w:basedOn w:val="1027"/>
    <w:next w:val="1027"/>
    <w:link w:val="1027"/>
    <w:qFormat/>
    <w:pPr>
      <w:ind w:left="432" w:firstLine="18"/>
      <w:spacing w:before="340" w:after="330" w:line="578" w:lineRule="auto"/>
      <w:outlineLvl w:val="0"/>
    </w:pPr>
    <w:rPr>
      <w:rFonts w:ascii="Calibri" w:hAnsi="Calibri" w:eastAsia="宋体" w:cs="Times New Roman"/>
      <w:lang w:val="en-US" w:eastAsia="zh-CN" w:bidi="ar-SA"/>
    </w:rPr>
  </w:style>
  <w:style w:type="paragraph" w:styleId="1029">
    <w:name w:val="标题 2"/>
    <w:basedOn w:val="1027"/>
    <w:next w:val="1027"/>
    <w:link w:val="1027"/>
    <w:qFormat/>
    <w:pPr>
      <w:keepNext/>
      <w:spacing w:before="240" w:after="60"/>
      <w:outlineLvl w:val="1"/>
    </w:pPr>
    <w:rPr>
      <w:rFonts w:ascii="Arial" w:hAnsi="Arial"/>
      <w:b/>
      <w:bCs/>
      <w:i/>
      <w:iCs/>
      <w:sz w:val="28"/>
      <w:szCs w:val="28"/>
    </w:rPr>
  </w:style>
  <w:style w:type="paragraph" w:styleId="1030">
    <w:name w:val="标题 3"/>
    <w:basedOn w:val="1027"/>
    <w:next w:val="1027"/>
    <w:link w:val="1027"/>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31">
    <w:name w:val="默认段落字体"/>
    <w:next w:val="1031"/>
    <w:link w:val="1027"/>
    <w:semiHidden/>
    <w:qFormat/>
  </w:style>
  <w:style w:type="table" w:styleId="1032">
    <w:name w:val="普通表格"/>
    <w:next w:val="1032"/>
    <w:link w:val="1027"/>
    <w:semiHidden/>
    <w:qFormat/>
    <w:tblPr/>
  </w:style>
  <w:style w:type="paragraph" w:styleId="1033">
    <w:name w:val="正文文本缩进"/>
    <w:basedOn w:val="1027"/>
    <w:next w:val="1027"/>
    <w:link w:val="1027"/>
    <w:qFormat/>
    <w:pPr>
      <w:ind w:left="420" w:firstLine="1188"/>
      <w:spacing w:before="0" w:after="0" w:line="360" w:lineRule="exact"/>
    </w:pPr>
  </w:style>
  <w:style w:type="paragraph" w:styleId="1034">
    <w:name w:val="正文缩进"/>
    <w:basedOn w:val="1027"/>
    <w:next w:val="1027"/>
    <w:link w:val="1027"/>
    <w:qFormat/>
    <w:pPr>
      <w:ind w:left="420" w:firstLine="4772"/>
    </w:pPr>
  </w:style>
  <w:style w:type="paragraph" w:styleId="1035">
    <w:name w:val="文档结构图"/>
    <w:basedOn w:val="1027"/>
    <w:next w:val="1035"/>
    <w:link w:val="1027"/>
    <w:qFormat/>
    <w:pPr>
      <w:shd w:val="clear" w:color="auto" w:fill="000080"/>
    </w:pPr>
    <w:rPr>
      <w:rFonts w:eastAsia="@楷体_GB2312"/>
    </w:rPr>
  </w:style>
  <w:style w:type="paragraph" w:styleId="1036">
    <w:name w:val="批注文字"/>
    <w:basedOn w:val="1027"/>
    <w:next w:val="1027"/>
    <w:link w:val="1037"/>
    <w:qFormat/>
    <w:pPr>
      <w:ind w:left="0" w:firstLine="3584"/>
      <w:spacing w:before="0" w:after="0" w:line="360" w:lineRule="auto"/>
    </w:pPr>
  </w:style>
  <w:style w:type="character" w:styleId="1037">
    <w:name w:val="批注文字 Char"/>
    <w:basedOn w:val="1031"/>
    <w:next w:val="1037"/>
    <w:link w:val="1036"/>
    <w:rPr>
      <w:rFonts w:ascii="Calibri" w:hAnsi="Calibri"/>
    </w:rPr>
  </w:style>
  <w:style w:type="paragraph" w:styleId="1038">
    <w:name w:val="正文文本"/>
    <w:basedOn w:val="1027"/>
    <w:next w:val="1038"/>
    <w:link w:val="1027"/>
    <w:qFormat/>
    <w:pPr>
      <w:ind w:left="0" w:firstLine="2560"/>
    </w:pPr>
  </w:style>
  <w:style w:type="paragraph" w:styleId="1039">
    <w:name w:val="列表编号 3"/>
    <w:basedOn w:val="1028"/>
    <w:next w:val="1027"/>
    <w:link w:val="1027"/>
    <w:pPr>
      <w:numPr>
        <w:ilvl w:val="0"/>
        <w:numId w:val="1"/>
      </w:numPr>
      <w:tabs>
        <w:tab w:val="left" w:pos="1200" w:leader="none"/>
      </w:tabs>
    </w:pPr>
  </w:style>
  <w:style w:type="paragraph" w:styleId="1040">
    <w:name w:val="文本块"/>
    <w:basedOn w:val="1027"/>
    <w:next w:val="1027"/>
    <w:link w:val="1027"/>
    <w:qFormat/>
    <w:pPr>
      <w:ind w:left="420" w:right="33" w:firstLine="2560"/>
    </w:pPr>
  </w:style>
  <w:style w:type="paragraph" w:styleId="1041">
    <w:name w:val="目录 3"/>
    <w:basedOn w:val="1027"/>
    <w:next w:val="1027"/>
    <w:link w:val="1027"/>
    <w:qFormat/>
    <w:pPr>
      <w:ind w:left="840"/>
    </w:pPr>
  </w:style>
  <w:style w:type="paragraph" w:styleId="1042">
    <w:name w:val="纯文本"/>
    <w:basedOn w:val="1027"/>
    <w:next w:val="1042"/>
    <w:link w:val="1027"/>
    <w:qFormat/>
    <w:rPr>
      <w:rFonts w:hAnsi="Courier New"/>
      <w:sz w:val="21"/>
    </w:rPr>
  </w:style>
  <w:style w:type="paragraph" w:styleId="1043">
    <w:name w:val="列表项目符号 5"/>
    <w:basedOn w:val="1028"/>
    <w:next w:val="1044"/>
    <w:link w:val="1027"/>
    <w:pPr>
      <w:numPr>
        <w:ilvl w:val="0"/>
        <w:numId w:val="2"/>
      </w:numPr>
      <w:tabs>
        <w:tab w:val="left" w:pos="2040" w:leader="none"/>
      </w:tabs>
    </w:pPr>
  </w:style>
  <w:style w:type="paragraph" w:styleId="1044">
    <w:name w:val="正文首行缩进1"/>
    <w:next w:val="1039"/>
    <w:link w:val="1027"/>
    <w:qFormat/>
    <w:pPr>
      <w:ind w:left="420" w:firstLine="2724"/>
      <w:spacing w:after="120" w:line="360" w:lineRule="auto"/>
    </w:pPr>
    <w:rPr>
      <w:rFonts w:ascii="Calibri" w:hAnsi="Calibri"/>
      <w:lang w:val="en-US" w:eastAsia="zh-CN" w:bidi="ar-SA"/>
    </w:rPr>
  </w:style>
  <w:style w:type="paragraph" w:styleId="1045">
    <w:name w:val="日期"/>
    <w:basedOn w:val="1028"/>
    <w:next w:val="1027"/>
    <w:link w:val="1027"/>
    <w:qFormat/>
    <w:pPr>
      <w:ind w:left="0" w:firstLine="2560"/>
      <w:spacing w:before="0" w:after="0" w:line="240" w:lineRule="auto"/>
    </w:pPr>
  </w:style>
  <w:style w:type="paragraph" w:styleId="1046">
    <w:name w:val="批注框文本"/>
    <w:basedOn w:val="1027"/>
    <w:next w:val="1046"/>
    <w:link w:val="1027"/>
    <w:unhideWhenUsed/>
    <w:qFormat/>
    <w:rPr>
      <w:sz w:val="18"/>
      <w:szCs w:val="18"/>
    </w:rPr>
  </w:style>
  <w:style w:type="paragraph" w:styleId="1047">
    <w:name w:val="页脚"/>
    <w:basedOn w:val="1028"/>
    <w:next w:val="1048"/>
    <w:link w:val="1027"/>
    <w:uiPriority w:val="99"/>
    <w:qFormat/>
    <w:pPr>
      <w:ind w:left="0" w:firstLine="3584"/>
      <w:spacing w:before="0" w:after="0" w:line="240" w:lineRule="auto"/>
    </w:pPr>
  </w:style>
  <w:style w:type="paragraph" w:styleId="1048">
    <w:name w:val="Char Char Char Char Char Char Char Char Char Char Char Char Char"/>
    <w:basedOn w:val="1028"/>
    <w:next w:val="1027"/>
    <w:link w:val="1027"/>
    <w:qFormat/>
    <w:pPr>
      <w:ind w:left="0" w:firstLine="3584"/>
      <w:spacing w:before="0" w:after="160" w:line="240" w:lineRule="exact"/>
    </w:pPr>
  </w:style>
  <w:style w:type="paragraph" w:styleId="1049">
    <w:name w:val="寄信人地址"/>
    <w:basedOn w:val="1027"/>
    <w:next w:val="1049"/>
    <w:link w:val="1027"/>
    <w:uiPriority w:val="99"/>
    <w:unhideWhenUsed/>
    <w:qFormat/>
    <w:rPr>
      <w:rFonts w:ascii="Arial" w:hAnsi="Arial"/>
    </w:rPr>
  </w:style>
  <w:style w:type="paragraph" w:styleId="1050">
    <w:name w:val="页眉"/>
    <w:basedOn w:val="1028"/>
    <w:next w:val="1045"/>
    <w:link w:val="1027"/>
    <w:uiPriority w:val="99"/>
    <w:qFormat/>
    <w:pPr>
      <w:ind w:left="0" w:firstLine="3584"/>
      <w:jc w:val="center"/>
      <w:spacing w:before="0" w:after="0" w:line="240" w:lineRule="auto"/>
      <w:pBdr>
        <w:bottom w:val="none" w:color="000000" w:sz="0" w:space="0"/>
      </w:pBdr>
    </w:pPr>
  </w:style>
  <w:style w:type="paragraph" w:styleId="1051">
    <w:name w:val="目录 1"/>
    <w:basedOn w:val="1028"/>
    <w:next w:val="1027"/>
    <w:link w:val="1027"/>
    <w:uiPriority w:val="39"/>
    <w:qFormat/>
    <w:pPr>
      <w:ind w:left="0" w:firstLine="4608"/>
      <w:spacing w:before="0" w:after="0" w:line="240" w:lineRule="auto"/>
    </w:pPr>
  </w:style>
  <w:style w:type="paragraph" w:styleId="1052">
    <w:name w:val="正文文本缩进 3"/>
    <w:basedOn w:val="1027"/>
    <w:next w:val="1052"/>
    <w:link w:val="1027"/>
    <w:qFormat/>
    <w:pPr>
      <w:ind w:firstLine="480"/>
      <w:spacing w:line="400" w:lineRule="exact"/>
    </w:pPr>
    <w:rPr>
      <w:rFonts w:ascii="Times New Roman" w:hAnsi="Times New Roman"/>
    </w:rPr>
  </w:style>
  <w:style w:type="paragraph" w:styleId="1053">
    <w:name w:val="目录 2"/>
    <w:basedOn w:val="1027"/>
    <w:next w:val="1027"/>
    <w:link w:val="1027"/>
    <w:pPr>
      <w:ind w:left="420"/>
    </w:pPr>
  </w:style>
  <w:style w:type="paragraph" w:styleId="1054">
    <w:name w:val="普通(网站)"/>
    <w:basedOn w:val="1027"/>
    <w:next w:val="1054"/>
    <w:link w:val="1027"/>
    <w:qFormat/>
    <w:pPr>
      <w:jc w:val="left"/>
      <w:spacing w:before="100" w:beforeAutospacing="1" w:after="100" w:afterAutospacing="1"/>
    </w:pPr>
    <w:rPr>
      <w:rFonts w:ascii="Calibri" w:hAnsi="Calibri" w:eastAsia="楷体_GB2312"/>
      <w:szCs w:val="22"/>
    </w:rPr>
  </w:style>
  <w:style w:type="paragraph" w:styleId="1055">
    <w:name w:val="批注主题"/>
    <w:basedOn w:val="1036"/>
    <w:next w:val="1036"/>
    <w:link w:val="1056"/>
    <w:pPr>
      <w:ind w:left="1024" w:firstLine="0"/>
      <w:jc w:val="left"/>
      <w:spacing w:line="240" w:lineRule="auto"/>
    </w:pPr>
    <w:rPr>
      <w:b/>
      <w:bCs/>
    </w:rPr>
  </w:style>
  <w:style w:type="character" w:styleId="1056">
    <w:name w:val="批注主题 Char"/>
    <w:basedOn w:val="1037"/>
    <w:next w:val="1056"/>
    <w:link w:val="1055"/>
  </w:style>
  <w:style w:type="paragraph" w:styleId="1057">
    <w:name w:val="正文首行缩进 2"/>
    <w:basedOn w:val="1033"/>
    <w:next w:val="1057"/>
    <w:link w:val="1027"/>
    <w:qFormat/>
    <w:pPr>
      <w:ind w:left="420" w:firstLine="420"/>
      <w:spacing w:after="120" w:line="240" w:lineRule="auto"/>
    </w:pPr>
    <w:rPr>
      <w:rFonts w:ascii="等线" w:cs="Times New Roman"/>
      <w:sz w:val="21"/>
      <w:szCs w:val="24"/>
    </w:rPr>
  </w:style>
  <w:style w:type="table" w:styleId="1058">
    <w:name w:val="网格型"/>
    <w:basedOn w:val="1032"/>
    <w:next w:val="1058"/>
    <w:link w:val="1027"/>
    <w:uiPriority w:val="59"/>
    <w:qFormat/>
    <w:tblPr/>
  </w:style>
  <w:style w:type="character" w:styleId="1059">
    <w:name w:val="页码"/>
    <w:next w:val="1059"/>
    <w:link w:val="1027"/>
    <w:qFormat/>
    <w:rPr>
      <w:sz w:val="20"/>
    </w:rPr>
  </w:style>
  <w:style w:type="character" w:styleId="1060">
    <w:name w:val="强调"/>
    <w:basedOn w:val="1031"/>
    <w:next w:val="1060"/>
    <w:link w:val="1027"/>
    <w:qFormat/>
    <w:rPr>
      <w:i/>
    </w:rPr>
  </w:style>
  <w:style w:type="character" w:styleId="1061">
    <w:name w:val="超链接"/>
    <w:next w:val="1061"/>
    <w:link w:val="1027"/>
    <w:uiPriority w:val="99"/>
    <w:qFormat/>
    <w:rPr>
      <w:color w:val="0000ff"/>
      <w:sz w:val="20"/>
      <w:u w:val="single"/>
    </w:rPr>
  </w:style>
  <w:style w:type="character" w:styleId="1062">
    <w:name w:val="批注引用"/>
    <w:basedOn w:val="1031"/>
    <w:next w:val="1062"/>
    <w:link w:val="1027"/>
    <w:rPr>
      <w:sz w:val="21"/>
      <w:szCs w:val="21"/>
    </w:rPr>
  </w:style>
  <w:style w:type="paragraph" w:styleId="1063">
    <w:name w:val="段"/>
    <w:next w:val="1027"/>
    <w:link w:val="1027"/>
    <w:qFormat/>
    <w:pPr>
      <w:ind w:firstLine="200"/>
      <w:jc w:val="both"/>
      <w:spacing w:line="360" w:lineRule="auto"/>
    </w:pPr>
    <w:rPr>
      <w:rFonts w:ascii="宋体" w:hAnsi="Calibri"/>
      <w:sz w:val="24"/>
      <w:szCs w:val="22"/>
      <w:lang w:val="en-US" w:eastAsia="zh-CN" w:bidi="ar-SA"/>
    </w:rPr>
  </w:style>
  <w:style w:type="character" w:styleId="1064">
    <w:name w:val="font11"/>
    <w:basedOn w:val="1031"/>
    <w:next w:val="1064"/>
    <w:link w:val="1027"/>
    <w:qFormat/>
    <w:rPr>
      <w:rFonts w:ascii="Times New Roman" w:hAnsi="Times New Roman" w:cs="Times New Roman"/>
      <w:color w:val="000000"/>
      <w:sz w:val="21"/>
      <w:szCs w:val="21"/>
      <w:u w:val="none"/>
    </w:rPr>
  </w:style>
  <w:style w:type="character" w:styleId="1065">
    <w:name w:val="font31"/>
    <w:basedOn w:val="1031"/>
    <w:next w:val="1065"/>
    <w:link w:val="1027"/>
    <w:rPr>
      <w:rFonts w:ascii="Arial" w:hAnsi="Arial" w:cs="Arial"/>
      <w:i w:val="0"/>
      <w:iCs w:val="0"/>
      <w:color w:val="000000"/>
      <w:sz w:val="20"/>
      <w:szCs w:val="20"/>
      <w:u w:val="none"/>
    </w:rPr>
  </w:style>
  <w:style w:type="character" w:styleId="1066">
    <w:name w:val="font21"/>
    <w:basedOn w:val="1031"/>
    <w:next w:val="1066"/>
    <w:link w:val="1027"/>
    <w:qFormat/>
    <w:rPr>
      <w:rFonts w:hint="eastAsia" w:ascii="宋体" w:hAnsi="宋体" w:eastAsia="宋体" w:cs="宋体"/>
      <w:color w:val="000000"/>
      <w:sz w:val="21"/>
      <w:szCs w:val="21"/>
      <w:u w:val="none"/>
    </w:rPr>
  </w:style>
  <w:style w:type="character" w:styleId="1067">
    <w:name w:val="NormalCharacter1"/>
    <w:next w:val="1067"/>
    <w:link w:val="1068"/>
    <w:semiHidden/>
    <w:qFormat/>
    <w:rPr>
      <w:rFonts w:ascii="Calibri" w:hAnsi="Calibri" w:eastAsia="宋体" w:cs="Times New Roman"/>
    </w:rPr>
  </w:style>
  <w:style w:type="paragraph" w:styleId="1068">
    <w:name w:val="UserStyle_3"/>
    <w:basedOn w:val="1027"/>
    <w:next w:val="1068"/>
    <w:link w:val="1067"/>
    <w:qFormat/>
    <w:pPr>
      <w:ind w:left="0"/>
      <w:jc w:val="left"/>
      <w:spacing w:line="360" w:lineRule="auto"/>
      <w:shd w:val="clear" w:color="auto" w:fill="000080"/>
    </w:pPr>
    <w:rPr>
      <w:rFonts w:ascii="Calibri" w:hAnsi="Calibri" w:eastAsia="宋体" w:cs="Times New Roman"/>
    </w:rPr>
  </w:style>
  <w:style w:type="paragraph" w:styleId="1069">
    <w:name w:val="PlainText1"/>
    <w:basedOn w:val="1027"/>
    <w:next w:val="1069"/>
    <w:link w:val="1027"/>
    <w:qFormat/>
    <w:rPr>
      <w:rFonts w:ascii="宋体" w:hAnsi="Courier New"/>
    </w:rPr>
  </w:style>
  <w:style w:type="paragraph" w:styleId="1070">
    <w:name w:val="Plain Text1"/>
    <w:basedOn w:val="1027"/>
    <w:next w:val="1070"/>
    <w:link w:val="1027"/>
    <w:qFormat/>
    <w:pPr>
      <w:widowControl w:val="off"/>
    </w:pPr>
    <w:rPr>
      <w:rFonts w:hint="eastAsia" w:ascii="宋体" w:hAnsi="Courier New"/>
      <w:sz w:val="28"/>
    </w:rPr>
  </w:style>
  <w:style w:type="paragraph" w:styleId="1071">
    <w:name w:val="WPSOffice手动目录 1"/>
    <w:next w:val="1071"/>
    <w:link w:val="1027"/>
    <w:rPr>
      <w:lang w:val="en-US" w:eastAsia="zh-CN" w:bidi="ar-SA"/>
    </w:rPr>
  </w:style>
  <w:style w:type="paragraph" w:styleId="1072">
    <w:name w:val="Andy_正文"/>
    <w:basedOn w:val="1027"/>
    <w:next w:val="1072"/>
    <w:link w:val="1027"/>
    <w:qFormat/>
    <w:pPr>
      <w:ind w:firstLine="480"/>
      <w:spacing w:line="360" w:lineRule="auto"/>
      <w:widowControl w:val="off"/>
    </w:pPr>
    <w:rPr>
      <w:rFonts w:ascii="Calibri" w:hAnsi="Calibri" w:eastAsia="宋体"/>
      <w:sz w:val="24"/>
    </w:rPr>
  </w:style>
  <w:style w:type="paragraph" w:styleId="1073">
    <w:name w:val="正文1"/>
    <w:basedOn w:val="1027"/>
    <w:next w:val="1027"/>
    <w:link w:val="1027"/>
    <w:qFormat/>
    <w:pPr>
      <w:ind w:left="420" w:firstLine="527"/>
      <w:jc w:val="both"/>
      <w:spacing w:before="120" w:line="360" w:lineRule="auto"/>
      <w:widowControl w:val="off"/>
    </w:pPr>
    <w:rPr>
      <w:rFonts w:ascii="宋体" w:hAnsi="宋体"/>
      <w:szCs w:val="20"/>
    </w:rPr>
  </w:style>
  <w:style w:type="paragraph" w:styleId="1074">
    <w:name w:val="纯文本1"/>
    <w:basedOn w:val="1027"/>
    <w:next w:val="1074"/>
    <w:link w:val="1027"/>
    <w:qFormat/>
    <w:rPr>
      <w:rFonts w:hAnsi="Courier New" w:eastAsia="KaiTi_GB2312"/>
      <w:sz w:val="28"/>
    </w:rPr>
  </w:style>
  <w:style w:type="paragraph" w:styleId="1075">
    <w:name w:val="纯文本3"/>
    <w:basedOn w:val="1027"/>
    <w:next w:val="1075"/>
    <w:link w:val="1027"/>
    <w:qFormat/>
    <w:rPr>
      <w:rFonts w:ascii="宋体" w:hAnsi="Courier New"/>
    </w:rPr>
  </w:style>
  <w:style w:type="paragraph" w:styleId="1076">
    <w:name w:val="纯文本31"/>
    <w:basedOn w:val="1027"/>
    <w:next w:val="1076"/>
    <w:link w:val="1027"/>
    <w:qFormat/>
    <w:pPr>
      <w:jc w:val="left"/>
      <w:widowControl/>
    </w:pPr>
    <w:rPr>
      <w:rFonts w:ascii="宋体" w:hAnsi="Courier New" w:eastAsia="KaiTi_GB2312"/>
      <w:sz w:val="26"/>
      <w:szCs w:val="20"/>
    </w:rPr>
  </w:style>
  <w:style w:type="paragraph" w:styleId="1077">
    <w:name w:val="Default"/>
    <w:next w:val="1043"/>
    <w:link w:val="1027"/>
    <w:qFormat/>
    <w:pPr>
      <w:ind w:firstLine="5120"/>
      <w:widowControl w:val="off"/>
    </w:pPr>
    <w:rPr>
      <w:rFonts w:ascii="Calibri" w:hAnsi="Calibri"/>
      <w:lang w:val="en-US" w:eastAsia="zh-CN" w:bidi="ar-SA"/>
    </w:rPr>
  </w:style>
  <w:style w:type="paragraph" w:styleId="1078">
    <w:name w:val="正文文本缩进1"/>
    <w:basedOn w:val="1027"/>
    <w:next w:val="1078"/>
    <w:link w:val="1027"/>
    <w:qFormat/>
    <w:pPr>
      <w:ind w:firstLine="435"/>
      <w:spacing w:line="480" w:lineRule="exact"/>
    </w:pPr>
    <w:rPr>
      <w:szCs w:val="32"/>
    </w:rPr>
  </w:style>
  <w:style w:type="paragraph" w:styleId="1079">
    <w:name w:val="首行缩进"/>
    <w:basedOn w:val="1027"/>
    <w:next w:val="1079"/>
    <w:link w:val="1027"/>
    <w:qFormat/>
    <w:pPr>
      <w:ind w:firstLine="480"/>
    </w:pPr>
    <w:rPr>
      <w:lang w:val="zh-CN"/>
    </w:rPr>
  </w:style>
  <w:style w:type="paragraph" w:styleId="1080">
    <w:name w:val="Acetate1"/>
    <w:basedOn w:val="1027"/>
    <w:next w:val="1080"/>
    <w:link w:val="1027"/>
    <w:semiHidden/>
    <w:qFormat/>
    <w:rPr>
      <w:sz w:val="18"/>
      <w:szCs w:val="18"/>
    </w:rPr>
  </w:style>
  <w:style w:type="paragraph" w:styleId="1081">
    <w:name w:val="纯文本4"/>
    <w:basedOn w:val="1027"/>
    <w:next w:val="1081"/>
    <w:link w:val="1027"/>
    <w:pPr>
      <w:widowControl w:val="off"/>
    </w:pPr>
    <w:rPr>
      <w:rFonts w:ascii="宋体" w:hAnsi="Courier New"/>
      <w:szCs w:val="20"/>
      <w:lang w:val="zh-CN" w:eastAsia="zh-CN"/>
    </w:rPr>
  </w:style>
  <w:style w:type="paragraph" w:styleId="1082">
    <w:name w:val="_Style 6"/>
    <w:basedOn w:val="1028"/>
    <w:next w:val="1027"/>
    <w:link w:val="1027"/>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83">
    <w:name w:val="UserStyle_34"/>
    <w:basedOn w:val="1027"/>
    <w:next w:val="1083"/>
    <w:link w:val="1027"/>
    <w:qFormat/>
    <w:pPr>
      <w:ind w:firstLine="200"/>
      <w:spacing w:before="50" w:after="50" w:line="360" w:lineRule="auto"/>
    </w:pPr>
    <w:rPr>
      <w:rFonts w:eastAsia="宋体"/>
      <w:sz w:val="24"/>
      <w:szCs w:val="24"/>
    </w:rPr>
  </w:style>
  <w:style w:type="paragraph" w:styleId="1084">
    <w:name w:val="纯文本11"/>
    <w:basedOn w:val="1027"/>
    <w:next w:val="1084"/>
    <w:link w:val="1027"/>
    <w:qFormat/>
    <w:rPr>
      <w:rFonts w:hAnsi="Courier New" w:eastAsia="KaiTi_GB2312"/>
      <w:sz w:val="26"/>
      <w:szCs w:val="20"/>
    </w:rPr>
  </w:style>
  <w:style w:type="paragraph" w:styleId="1085">
    <w:name w:val="NormalIndent1"/>
    <w:basedOn w:val="1027"/>
    <w:next w:val="1085"/>
    <w:link w:val="1027"/>
    <w:qFormat/>
    <w:pPr>
      <w:ind w:firstLine="420"/>
      <w:jc w:val="left"/>
    </w:pPr>
    <w:rPr>
      <w:sz w:val="24"/>
    </w:rPr>
  </w:style>
  <w:style w:type="paragraph" w:styleId="1086">
    <w:name w:val="UserStyle_28"/>
    <w:basedOn w:val="1027"/>
    <w:next w:val="1086"/>
    <w:link w:val="1027"/>
    <w:qFormat/>
    <w:pPr>
      <w:ind w:firstLine="480"/>
      <w:spacing w:line="360" w:lineRule="auto"/>
    </w:pPr>
    <w:rPr>
      <w:rFonts w:ascii="Calibri" w:hAnsi="Calibri" w:eastAsia="宋体"/>
      <w:sz w:val="24"/>
    </w:rPr>
  </w:style>
  <w:style w:type="paragraph" w:styleId="1087">
    <w:name w:val="UserStyle_62"/>
    <w:basedOn w:val="1027"/>
    <w:next w:val="1087"/>
    <w:link w:val="1027"/>
    <w:qFormat/>
    <w:rPr>
      <w:rFonts w:ascii="宋体" w:hAnsi="Courier New"/>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胡欢</cp:lastModifiedBy>
  <cp:revision>6</cp:revision>
  <dcterms:created xsi:type="dcterms:W3CDTF">2021-11-15T01:50:00Z</dcterms:created>
  <dcterms:modified xsi:type="dcterms:W3CDTF">2026-09-09T06:20:41Z</dcterms:modified>
</cp:coreProperties>
</file>