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spacing w:before="120" w:beforeAutospacing="0" w:after="120" w:afterAutospacing="0" w:line="360" w:lineRule="auto"/>
        <w:rPr>
          <w:color w:val="auto"/>
          <w:highlight w:val="none"/>
        </w:rPr>
      </w:pPr>
      <w:r>
        <w:rPr>
          <w:color w:val="auto"/>
          <w:highlight w:val="none"/>
        </w:rPr>
        <w:t xml:space="preserve"> </w:t>
      </w:r>
      <w:r/>
    </w:p>
    <w:p>
      <w:pPr>
        <w:pStyle w:val="863"/>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63"/>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63"/>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项目名称：</w:t>
      </w:r>
      <w:r>
        <w:rPr>
          <w:b/>
          <w:color w:val="auto"/>
          <w:sz w:val="30"/>
          <w:szCs w:val="30"/>
          <w:highlight w:val="none"/>
        </w:rPr>
        <w:t xml:space="preserve">滨海县公安局2026年DNA实验室耗材采购项目</w:t>
      </w:r>
      <w:r/>
    </w:p>
    <w:p>
      <w:pPr>
        <w:pStyle w:val="863"/>
        <w:jc w:val="both"/>
        <w:spacing w:before="120" w:beforeAutospacing="0" w:after="120" w:afterAutospacing="0" w:line="360" w:lineRule="auto"/>
        <w:rPr>
          <w:rFonts w:hint="default" w:eastAsiaTheme="minorEastAsia"/>
          <w:color w:val="auto"/>
          <w:sz w:val="30"/>
          <w:szCs w:val="30"/>
          <w:highlight w:val="none"/>
          <w:lang w:val="en-US" w:eastAsia="zh-CN"/>
        </w:rPr>
      </w:pPr>
      <w:r>
        <w:rPr>
          <w:rFonts w:ascii="Arial" w:hAnsi="Arial" w:cs="Arial"/>
          <w:b/>
          <w:color w:val="auto"/>
          <w:sz w:val="32"/>
          <w:szCs w:val="32"/>
          <w:highlight w:val="none"/>
        </w:rPr>
        <w:t xml:space="preserve">项目编号：</w:t>
      </w:r>
      <w:r>
        <w:rPr>
          <w:b/>
          <w:color w:val="auto"/>
          <w:sz w:val="30"/>
          <w:szCs w:val="30"/>
          <w:highlight w:val="none"/>
        </w:rPr>
        <w:t xml:space="preserve">JSZC-320922-ZQYC-G2026-</w:t>
      </w:r>
      <w:r>
        <w:rPr>
          <w:rFonts w:hint="eastAsia"/>
          <w:b/>
          <w:color w:val="auto"/>
          <w:sz w:val="30"/>
          <w:szCs w:val="30"/>
          <w:highlight w:val="none"/>
          <w:lang w:val="en-US" w:eastAsia="zh-CN"/>
        </w:rPr>
        <w:t xml:space="preserve">0018</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spacing w:beforeAutospacing="0" w:afterAutospacing="0" w:line="360" w:lineRule="auto"/>
        <w:rPr>
          <w:color w:val="auto"/>
          <w:highlight w:val="none"/>
        </w:rPr>
      </w:pPr>
      <w:r>
        <w:rPr>
          <w:color w:val="auto"/>
          <w:highlight w:val="none"/>
        </w:rPr>
        <w:t xml:space="preserve"> </w:t>
      </w:r>
      <w:r/>
    </w:p>
    <w:p>
      <w:pPr>
        <w:pStyle w:val="863"/>
        <w:jc w:val="center"/>
        <w:spacing w:before="120" w:beforeAutospacing="0" w:after="120" w:afterAutospacing="0" w:line="360" w:lineRule="auto"/>
        <w:rPr>
          <w:rFonts w:ascii="Arial" w:hAnsi="Arial" w:cs="Arial"/>
          <w:b/>
          <w:color w:val="auto"/>
          <w:sz w:val="32"/>
          <w:szCs w:val="32"/>
          <w:highlight w:val="none"/>
        </w:rPr>
      </w:pPr>
      <w:r>
        <w:rPr>
          <w:rFonts w:hint="eastAsia" w:ascii="Arial" w:hAnsi="Arial" w:cs="Arial"/>
          <w:b/>
          <w:color w:val="auto"/>
          <w:sz w:val="32"/>
          <w:szCs w:val="32"/>
          <w:highlight w:val="none"/>
        </w:rPr>
        <w:t xml:space="preserve">滨海县公安局</w:t>
      </w:r>
      <w:r/>
    </w:p>
    <w:p>
      <w:pPr>
        <w:pStyle w:val="863"/>
        <w:jc w:val="center"/>
        <w:spacing w:before="120" w:beforeAutospacing="0" w:after="120" w:afterAutospacing="0" w:line="360" w:lineRule="auto"/>
        <w:rPr>
          <w:color w:val="auto"/>
          <w:highlight w:val="none"/>
        </w:rPr>
      </w:pPr>
      <w:r>
        <w:rPr>
          <w:rFonts w:ascii="Arial" w:hAnsi="Arial" w:cs="Arial"/>
          <w:b/>
          <w:color w:val="auto"/>
          <w:sz w:val="32"/>
          <w:szCs w:val="32"/>
          <w:highlight w:val="none"/>
        </w:rPr>
        <w:t xml:space="preserve">2026年</w:t>
      </w:r>
      <w:r>
        <w:rPr>
          <w:rFonts w:hint="eastAsia" w:ascii="Arial" w:hAnsi="Arial" w:cs="Arial"/>
          <w:b/>
          <w:color w:val="auto"/>
          <w:sz w:val="32"/>
          <w:szCs w:val="32"/>
          <w:highlight w:val="none"/>
          <w:lang w:val="en-US" w:eastAsia="zh-CN"/>
        </w:rPr>
        <w:t xml:space="preserve">9</w:t>
      </w:r>
      <w:r>
        <w:rPr>
          <w:rFonts w:ascii="Arial" w:hAnsi="Arial" w:cs="Arial"/>
          <w:b/>
          <w:color w:val="auto"/>
          <w:sz w:val="32"/>
          <w:szCs w:val="32"/>
          <w:highlight w:val="none"/>
        </w:rPr>
        <w:t xml:space="preserve">月</w:t>
      </w:r>
      <w:r/>
    </w:p>
    <w:p>
      <w:pPr>
        <w:pStyle w:val="863"/>
        <w:spacing w:before="120" w:beforeAutospacing="0" w:after="120" w:afterAutospacing="0" w:line="360" w:lineRule="auto"/>
        <w:rPr>
          <w:color w:val="auto"/>
          <w:highlight w:val="none"/>
        </w:rPr>
      </w:pPr>
      <w:r>
        <w:rPr>
          <w:rFonts w:ascii="Arial" w:hAnsi="Arial" w:cs="Arial"/>
          <w:color w:val="auto"/>
          <w:highlight w:val="none"/>
        </w:rPr>
        <w:t xml:space="preserve">                        </w:t>
      </w:r>
      <w:r/>
    </w:p>
    <w:p>
      <w:pPr>
        <w:pStyle w:val="863"/>
        <w:jc w:val="center"/>
        <w:spacing w:before="120" w:beforeAutospacing="0" w:after="120" w:afterAutospacing="0" w:line="360" w:lineRule="auto"/>
        <w:rPr>
          <w:color w:val="auto"/>
          <w:highlight w:val="none"/>
        </w:rPr>
      </w:pPr>
      <w:r>
        <w:rPr>
          <w:color w:val="auto"/>
          <w:highlight w:val="none"/>
        </w:rPr>
        <w:t xml:space="preserve"> </w:t>
      </w:r>
      <w:r/>
    </w:p>
    <w:p>
      <w:pPr>
        <w:pStyle w:val="863"/>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br w:type="page" w:clear="all"/>
      </w:r>
      <w:r>
        <w:rPr>
          <w:rFonts w:ascii="Times New Roman" w:hAnsi="Times New Roman"/>
          <w:color w:val="auto"/>
          <w:sz w:val="21"/>
          <w:szCs w:val="21"/>
          <w:highlight w:val="none"/>
        </w:rPr>
        <w:t xml:space="preserve"> </w:t>
      </w:r>
      <w:bookmarkStart w:id="0" w:name="_Toc513029200"/>
      <w:r/>
      <w:bookmarkStart w:id="1" w:name="_Toc20823272"/>
      <w:r/>
      <w:bookmarkStart w:id="2" w:name="_Toc523127445"/>
      <w:r/>
      <w:bookmarkStart w:id="3" w:name="_Toc120614210"/>
      <w:r/>
      <w:bookmarkStart w:id="4" w:name="_Toc16938516"/>
      <w:r/>
      <w:bookmarkStart w:id="5" w:name="_Toc479757206"/>
      <w:r/>
      <w:r/>
    </w:p>
    <w:p>
      <w:pPr>
        <w:pStyle w:val="863"/>
        <w:jc w:val="center"/>
        <w:spacing w:beforeAutospacing="0" w:afterAutospacing="0" w:line="480" w:lineRule="auto"/>
        <w:rPr>
          <w:rFonts w:ascii="Times New Roman" w:hAnsi="Times New Roman"/>
          <w:color w:val="auto"/>
          <w:sz w:val="21"/>
          <w:szCs w:val="21"/>
          <w:highlight w:val="none"/>
        </w:rPr>
      </w:pPr>
      <w:r>
        <w:rPr>
          <w:rFonts w:ascii="Times New Roman" w:hAnsi="Times New Roman"/>
          <w:color w:val="auto"/>
          <w:sz w:val="21"/>
          <w:szCs w:val="21"/>
          <w:highlight w:val="none"/>
        </w:rPr>
      </w:r>
      <w:r/>
    </w:p>
    <w:p>
      <w:pPr>
        <w:pStyle w:val="863"/>
        <w:jc w:val="center"/>
        <w:spacing w:beforeAutospacing="0" w:afterAutospacing="0" w:line="480" w:lineRule="auto"/>
        <w:rPr>
          <w:color w:val="auto"/>
          <w:highlight w:val="none"/>
        </w:rPr>
      </w:pP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第一章 招标公告</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3</w:t>
      </w:r>
      <w:r>
        <w:rPr>
          <w:rFonts w:hint="eastAsia" w:ascii="黑体" w:hAnsi="宋体" w:eastAsia="黑体" w:cs="黑体"/>
          <w:color w:val="auto"/>
          <w:sz w:val="36"/>
          <w:szCs w:val="36"/>
          <w:highlight w:val="none"/>
        </w:rPr>
        <w:t xml:space="preserve"> </w:t>
      </w:r>
      <w:r/>
    </w:p>
    <w:p>
      <w:pPr>
        <w:pStyle w:val="863"/>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第二章 </w:t>
      </w:r>
      <w:r>
        <w:rPr>
          <w:rFonts w:hint="eastAsia" w:ascii="黑体" w:hAnsi="宋体" w:eastAsia="黑体" w:cs="黑体"/>
          <w:color w:val="auto"/>
          <w:sz w:val="36"/>
          <w:szCs w:val="36"/>
          <w:highlight w:val="none"/>
        </w:rPr>
        <w:t xml:space="preserve">投标人须知…………………………</w:t>
      </w:r>
      <w:r>
        <w:rPr>
          <w:rFonts w:hint="eastAsia" w:ascii="黑体" w:hAnsi="宋体" w:eastAsia="黑体" w:cs="黑体"/>
          <w:color w:val="auto"/>
          <w:sz w:val="36"/>
          <w:szCs w:val="36"/>
          <w:highlight w:val="none"/>
          <w:lang w:val="en-US" w:eastAsia="zh-CN"/>
        </w:rPr>
        <w:t xml:space="preserve">6</w:t>
      </w:r>
      <w:r>
        <w:rPr>
          <w:rFonts w:hint="eastAsia" w:ascii="黑体" w:hAnsi="宋体" w:eastAsia="黑体" w:cs="黑体"/>
          <w:color w:val="auto"/>
          <w:sz w:val="36"/>
          <w:szCs w:val="36"/>
          <w:highlight w:val="none"/>
        </w:rPr>
        <w:t xml:space="preserve">  </w:t>
      </w:r>
      <w:r/>
    </w:p>
    <w:p>
      <w:pPr>
        <w:pStyle w:val="863"/>
        <w:jc w:val="both"/>
        <w:spacing w:beforeAutospacing="0" w:afterAutospacing="0" w:line="480" w:lineRule="auto"/>
        <w:tabs>
          <w:tab w:val="left" w:pos="1441" w:leader="none"/>
        </w:tabs>
        <w:rPr>
          <w:rFonts w:hint="default" w:ascii="黑体" w:hAnsi="宋体" w:eastAsia="黑体" w:cs="黑体"/>
          <w:color w:val="auto"/>
          <w:sz w:val="36"/>
          <w:szCs w:val="36"/>
          <w:highlight w:val="none"/>
          <w:lang w:val="en-US" w:eastAsia="zh-CN"/>
        </w:rPr>
      </w:pPr>
      <w:r>
        <w:rPr>
          <w:rFonts w:hint="eastAsia" w:ascii="黑体" w:hAnsi="宋体" w:eastAsia="黑体" w:cs="黑体"/>
          <w:color w:val="auto"/>
          <w:sz w:val="36"/>
          <w:szCs w:val="36"/>
          <w:highlight w:val="none"/>
          <w:lang w:val="en-US" w:eastAsia="zh-CN"/>
        </w:rPr>
        <w:t xml:space="preserve">第三章 </w:t>
      </w:r>
      <w:r>
        <w:rPr>
          <w:rFonts w:hint="eastAsia" w:ascii="黑体" w:hAnsi="宋体" w:eastAsia="黑体" w:cs="黑体"/>
          <w:color w:val="auto"/>
          <w:sz w:val="36"/>
          <w:szCs w:val="36"/>
          <w:highlight w:val="none"/>
        </w:rPr>
        <w:t xml:space="preserve">合同</w:t>
      </w:r>
      <w:r>
        <w:rPr>
          <w:rFonts w:hint="eastAsia" w:ascii="黑体" w:hAnsi="宋体" w:eastAsia="黑体" w:cs="黑体"/>
          <w:color w:val="auto"/>
          <w:sz w:val="36"/>
          <w:szCs w:val="36"/>
          <w:highlight w:val="none"/>
          <w:lang w:eastAsia="zh-CN"/>
        </w:rPr>
        <w:t xml:space="preserve">条款</w:t>
      </w:r>
      <w:r>
        <w:rPr>
          <w:rFonts w:hint="eastAsia" w:ascii="黑体" w:hAnsi="宋体" w:eastAsia="黑体" w:cs="黑体"/>
          <w:color w:val="auto"/>
          <w:sz w:val="36"/>
          <w:szCs w:val="36"/>
          <w:highlight w:val="none"/>
        </w:rPr>
        <w:t xml:space="preserve">…………………………</w:t>
      </w:r>
      <w:r>
        <w:rPr>
          <w:rFonts w:hint="eastAsia" w:ascii="黑体" w:hAnsi="宋体" w:eastAsia="黑体" w:cs="黑体"/>
          <w:color w:val="auto"/>
          <w:sz w:val="36"/>
          <w:szCs w:val="36"/>
          <w:highlight w:val="none"/>
          <w:lang w:val="en-US" w:eastAsia="zh-CN"/>
        </w:rPr>
        <w:t xml:space="preserve"> 18</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第四章 </w:t>
      </w:r>
      <w:r>
        <w:rPr>
          <w:rFonts w:hint="eastAsia" w:ascii="黑体" w:hAnsi="宋体" w:eastAsia="黑体" w:cs="黑体"/>
          <w:color w:val="auto"/>
          <w:sz w:val="36"/>
          <w:szCs w:val="36"/>
          <w:highlight w:val="none"/>
        </w:rPr>
        <w:t xml:space="preserve">采购需求…………………………</w:t>
      </w:r>
      <w:r>
        <w:rPr>
          <w:rFonts w:hint="eastAsia" w:ascii="黑体" w:hAnsi="宋体" w:eastAsia="黑体" w:cs="黑体"/>
          <w:color w:val="auto"/>
          <w:sz w:val="36"/>
          <w:szCs w:val="36"/>
          <w:highlight w:val="none"/>
          <w:lang w:val="en-US" w:eastAsia="zh-CN"/>
        </w:rPr>
        <w:t xml:space="preserve"> 40</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第五章 </w:t>
      </w:r>
      <w:r>
        <w:rPr>
          <w:rFonts w:hint="eastAsia" w:ascii="黑体" w:hAnsi="宋体" w:eastAsia="黑体" w:cs="黑体"/>
          <w:color w:val="auto"/>
          <w:sz w:val="36"/>
          <w:szCs w:val="36"/>
          <w:highlight w:val="none"/>
        </w:rPr>
        <w:t xml:space="preserve">评标方法与评标标准……………</w:t>
      </w:r>
      <w:r>
        <w:rPr>
          <w:rFonts w:hint="eastAsia" w:ascii="黑体" w:hAnsi="宋体" w:eastAsia="黑体" w:cs="黑体"/>
          <w:color w:val="auto"/>
          <w:sz w:val="36"/>
          <w:szCs w:val="36"/>
          <w:highlight w:val="none"/>
          <w:lang w:val="en-US" w:eastAsia="zh-CN"/>
        </w:rPr>
        <w:t xml:space="preserve"> 46</w:t>
      </w:r>
      <w:r/>
    </w:p>
    <w:p>
      <w:pPr>
        <w:pStyle w:val="863"/>
        <w:jc w:val="both"/>
        <w:spacing w:beforeAutospacing="0" w:afterAutospacing="0" w:line="480" w:lineRule="auto"/>
        <w:tabs>
          <w:tab w:val="left" w:pos="1441" w:leader="none"/>
        </w:tabs>
        <w:rPr>
          <w:rFonts w:hint="default" w:eastAsia="黑体"/>
          <w:color w:val="auto"/>
          <w:highlight w:val="none"/>
          <w:lang w:val="en-US" w:eastAsia="zh-CN"/>
        </w:rPr>
      </w:pPr>
      <w:r>
        <w:rPr>
          <w:rFonts w:hint="eastAsia" w:ascii="黑体" w:hAnsi="宋体" w:eastAsia="黑体" w:cs="黑体"/>
          <w:color w:val="auto"/>
          <w:sz w:val="36"/>
          <w:szCs w:val="36"/>
          <w:highlight w:val="none"/>
          <w:lang w:val="en-US" w:eastAsia="zh-CN"/>
        </w:rPr>
        <w:t xml:space="preserve">第六章 </w:t>
      </w:r>
      <w:r>
        <w:rPr>
          <w:rFonts w:hint="eastAsia" w:ascii="黑体" w:hAnsi="宋体" w:eastAsia="黑体" w:cs="黑体"/>
          <w:color w:val="auto"/>
          <w:sz w:val="36"/>
          <w:szCs w:val="36"/>
          <w:highlight w:val="none"/>
        </w:rPr>
        <w:t xml:space="preserve">投标文件格式……………………</w:t>
      </w:r>
      <w:r>
        <w:rPr>
          <w:rFonts w:hint="eastAsia" w:ascii="黑体" w:hAnsi="宋体" w:eastAsia="黑体" w:cs="黑体"/>
          <w:color w:val="auto"/>
          <w:sz w:val="36"/>
          <w:szCs w:val="36"/>
          <w:highlight w:val="none"/>
          <w:lang w:val="en-US" w:eastAsia="zh-CN"/>
        </w:rPr>
        <w:t xml:space="preserve"> 51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center"/>
        <w:keepLines w:val="0"/>
        <w:keepNext/>
        <w:pageBreakBefore w:val="0"/>
        <w:spacing w:beforeAutospacing="0" w:afterAutospacing="0" w:line="560" w:lineRule="exact"/>
        <w:widowControl w:val="off"/>
        <w:rPr>
          <w:rFonts w:hint="default" w:eastAsia="黑体"/>
          <w:color w:val="auto"/>
          <w:highlight w:val="none"/>
          <w:lang w:val="en-US" w:eastAsia="zh-CN"/>
        </w:rPr>
      </w:pPr>
      <w: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b/>
          <w:color w:val="auto"/>
          <w:sz w:val="24"/>
          <w:szCs w:val="24"/>
          <w:highlight w:val="none"/>
          <w:u w:val="single"/>
        </w:rPr>
        <w:t xml:space="preserve">滨海县公安局2026年DNA实验室耗材采购项目招标项目的潜在投标人应在“苏采云”系统内免费下载（投标人必须在苏采云系统中获取采购文件，方能参与政府采购项目），并于</w:t>
      </w:r>
      <w:r>
        <w:rPr>
          <w:rFonts w:hint="eastAsia" w:ascii="宋体" w:hAnsi="宋体" w:eastAsia="宋体" w:cs="宋体"/>
          <w:b/>
          <w:color w:val="auto"/>
          <w:sz w:val="24"/>
          <w:szCs w:val="24"/>
          <w:highlight w:val="none"/>
          <w:u w:val="single"/>
        </w:rPr>
        <w:t xml:space="preserve">2026年</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rPr>
        <w:t xml:space="preserve">29日</w:t>
      </w:r>
      <w:r>
        <w:rPr>
          <w:rFonts w:hint="eastAsia" w:ascii="宋体" w:hAnsi="宋体" w:eastAsia="宋体" w:cs="宋体"/>
          <w:b/>
          <w:color w:val="auto"/>
          <w:sz w:val="24"/>
          <w:szCs w:val="24"/>
          <w:highlight w:val="none"/>
          <w:u w:val="single"/>
        </w:rPr>
        <w:t xml:space="preserve">09点</w:t>
      </w:r>
      <w:r>
        <w:rPr>
          <w:rFonts w:hint="eastAsia" w:ascii="宋体" w:hAnsi="宋体" w:eastAsia="宋体" w:cs="宋体"/>
          <w:b/>
          <w:color w:val="auto"/>
          <w:sz w:val="24"/>
          <w:szCs w:val="24"/>
          <w:highlight w:val="none"/>
          <w:u w:val="single"/>
          <w:lang w:val="en-US" w:eastAsia="zh-CN"/>
        </w:rPr>
        <w:t xml:space="preserve">00</w:t>
      </w:r>
      <w:r>
        <w:rPr>
          <w:rFonts w:hint="eastAsia" w:ascii="宋体" w:hAnsi="宋体" w:eastAsia="宋体" w:cs="宋体"/>
          <w:b/>
          <w:color w:val="auto"/>
          <w:sz w:val="24"/>
          <w:szCs w:val="24"/>
          <w:highlight w:val="none"/>
          <w:u w:val="single"/>
        </w:rPr>
        <w:t xml:space="preserve">分00</w:t>
      </w:r>
      <w:r>
        <w:rPr>
          <w:rFonts w:hint="eastAsia" w:ascii="宋体" w:hAnsi="宋体" w:eastAsia="宋体" w:cs="宋体"/>
          <w:b/>
          <w:color w:val="auto"/>
          <w:sz w:val="24"/>
          <w:szCs w:val="24"/>
          <w:highlight w:val="none"/>
          <w:u w:val="single"/>
        </w:rPr>
        <w:t xml:space="preserve">秒</w:t>
      </w:r>
      <w:r>
        <w:rPr>
          <w:rFonts w:hint="eastAsia" w:ascii="宋体" w:hAnsi="宋体" w:eastAsia="宋体" w:cs="宋体"/>
          <w:b/>
          <w:color w:val="auto"/>
          <w:sz w:val="24"/>
          <w:szCs w:val="24"/>
          <w:highlight w:val="none"/>
          <w:u w:val="single"/>
        </w:rPr>
        <w:t xml:space="preserve">（北京时间）前递交投标文件。</w:t>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bookmarkStart w:id="7" w:name="_Toc38985263"/>
      <w:r/>
      <w:bookmarkStart w:id="8" w:name="_Toc35393790"/>
      <w:r/>
      <w:bookmarkStart w:id="9" w:name="_Toc28359079"/>
      <w:r/>
      <w:bookmarkStart w:id="10" w:name="_Hlk24379207"/>
      <w:r/>
      <w:bookmarkStart w:id="11" w:name="_Toc35393621"/>
      <w:r/>
      <w:bookmarkStart w:id="12" w:name="_Toc28359002"/>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bookmarkStart w:id="199" w:name="_GoBack"/>
      <w:r/>
      <w:bookmarkEnd w:id="199"/>
      <w:r/>
      <w:r/>
    </w:p>
    <w:p>
      <w:pPr>
        <w:pStyle w:val="863"/>
        <w:ind w:firstLine="480"/>
        <w:jc w:val="both"/>
        <w:pageBreakBefore w:val="0"/>
        <w:spacing w:beforeAutospacing="0" w:afterAutospacing="0" w:line="380" w:lineRule="exact"/>
        <w:rPr>
          <w:rFonts w:hint="default" w:ascii="宋体" w:hAnsi="宋体" w:cs="宋体" w:eastAsiaTheme="minorEastAsia"/>
          <w:b w:val="0"/>
          <w:bCs w:val="0"/>
          <w:i w:val="0"/>
          <w:iCs w:val="0"/>
          <w:caps w:val="0"/>
          <w:color w:val="auto"/>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rPr>
        <w:t xml:space="preserve">1.项目编号：</w:t>
      </w:r>
      <w:r>
        <w:rPr>
          <w:b w:val="0"/>
          <w:bCs w:val="0"/>
          <w:color w:val="auto"/>
          <w:highlight w:val="none"/>
        </w:rPr>
        <w:t xml:space="preserve">JSZC-320922-ZQYC-G2026</w:t>
      </w:r>
      <w:r>
        <w:rPr>
          <w:b w:val="0"/>
          <w:bCs w:val="0"/>
          <w:color w:val="auto"/>
          <w:highlight w:val="none"/>
        </w:rPr>
        <w:t xml:space="preserve">-</w:t>
      </w:r>
      <w:r>
        <w:rPr>
          <w:rFonts w:hint="eastAsia"/>
          <w:b w:val="0"/>
          <w:bCs w:val="0"/>
          <w:color w:val="auto"/>
          <w:highlight w:val="none"/>
          <w:lang w:val="en-US" w:eastAsia="zh-CN"/>
        </w:rPr>
        <w:t xml:space="preserve">0018</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rPr>
        <w:t xml:space="preserve">2.项目名称：</w:t>
      </w:r>
      <w:r>
        <w:rPr>
          <w:b w:val="0"/>
          <w:bCs w:val="0"/>
          <w:color w:val="auto"/>
          <w:highlight w:val="none"/>
        </w:rPr>
        <w:t xml:space="preserve">滨海县公安局2026年DNA实验室耗材采购项目。</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val="0"/>
          <w:bCs w:val="0"/>
          <w:i w:val="0"/>
          <w:iCs w:val="0"/>
          <w:caps w:val="0"/>
          <w:color w:val="auto"/>
          <w:spacing w:val="0"/>
          <w:sz w:val="24"/>
          <w:szCs w:val="24"/>
          <w:highlight w:val="none"/>
          <w:shd w:val="clear" w:color="auto" w:fill="ffffff"/>
        </w:rPr>
        <w:t xml:space="preserve">采购方式：</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公开招标</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lang w:val="en-US" w:eastAsia="zh-CN"/>
        </w:rPr>
        <w:t xml:space="preserve">4.预算金额：</w:t>
      </w:r>
      <w:r>
        <w:rPr>
          <w:rFonts w:hint="eastAsia" w:ascii="宋体" w:hAnsi="宋体" w:eastAsia="宋体" w:cs="宋体"/>
          <w:b w:val="0"/>
          <w:bCs w:val="0"/>
          <w:color w:val="auto"/>
          <w:sz w:val="24"/>
          <w:szCs w:val="24"/>
          <w:highlight w:val="none"/>
          <w:lang w:val="en-US" w:eastAsia="zh-CN"/>
        </w:rPr>
        <w:t xml:space="preserve">140万元</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shd w:val="clear" w:color="ffffff" w:fill="d9d9d9"/>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5.最高限价：</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140万元</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auto"/>
          <w:lang w:val="en-US" w:eastAsia="zh-CN"/>
        </w:rPr>
        <w:t xml:space="preserve">6.采购需求（简介）：</w:t>
      </w:r>
      <w:r>
        <w:rPr>
          <w:rFonts w:hint="eastAsia" w:ascii="宋体" w:hAnsi="宋体" w:eastAsia="宋体" w:cs="宋体"/>
          <w:b w:val="0"/>
          <w:bCs w:val="0"/>
          <w:color w:val="auto"/>
          <w:sz w:val="24"/>
          <w:szCs w:val="24"/>
          <w:highlight w:val="none"/>
          <w:shd w:val="clear" w:color="auto" w:fill="auto"/>
          <w:lang w:val="en-US" w:eastAsia="zh-CN"/>
        </w:rPr>
        <w:t xml:space="preserve">滨海县公安局2026年DNA实验室耗材采购共为一个包件，包括24道毛细管、POP4胶（384）、Liz600内标、阳极缓冲液、阴极缓冲液、试剂盒、滤芯吸头等DNA实验室耗材采购，详细内容见本招标文件第四章。</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7.合同履行期限：</w:t>
      </w:r>
      <w:r>
        <w:rPr>
          <w:rFonts w:hint="eastAsia" w:ascii="宋体" w:hAnsi="宋体" w:eastAsia="宋体" w:cs="宋体"/>
          <w:b w:val="0"/>
          <w:bCs w:val="0"/>
          <w:color w:val="auto"/>
          <w:sz w:val="24"/>
          <w:szCs w:val="24"/>
          <w:highlight w:val="none"/>
          <w:lang w:val="en-US" w:eastAsia="zh-CN"/>
        </w:rPr>
        <w:t xml:space="preserve">耗材在一年内根据甲方需求随时不定期供货。</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shd w:val="clear" w:color="auto" w:fill="ffff00"/>
        </w:rPr>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8.质保期：2年；</w:t>
      </w:r>
      <w:r/>
    </w:p>
    <w:p>
      <w:pPr>
        <w:pStyle w:val="863"/>
        <w:ind w:firstLine="480"/>
        <w:jc w:val="both"/>
        <w:pageBreakBefore w:val="0"/>
        <w:spacing w:beforeAutospacing="0" w:afterAutospacing="0" w:line="380" w:lineRule="exact"/>
        <w:rPr>
          <w:rFonts w:hint="eastAsia" w:ascii="宋体" w:hAnsi="宋体" w:cs="宋体" w:eastAsiaTheme="minorEastAsia"/>
          <w:b w:val="0"/>
          <w:bCs w:val="0"/>
          <w:color w:val="auto"/>
          <w:sz w:val="24"/>
          <w:szCs w:val="24"/>
          <w:highlight w:val="none"/>
          <w:shd w:val="clear" w:color="auto" w:fill="ffff00"/>
          <w:lang w:eastAsia="zh-CN"/>
        </w:rPr>
      </w:pPr>
      <w:r>
        <w:rPr>
          <w:b w:val="0"/>
          <w:bCs w:val="0"/>
          <w:color w:val="auto"/>
          <w:highlight w:val="none"/>
        </w:rPr>
        <w:t xml:space="preserve">9.核心产品：</w:t>
      </w:r>
      <w:r>
        <w:rPr>
          <w:b w:val="0"/>
          <w:bCs w:val="0"/>
          <w:color w:val="auto"/>
          <w:highlight w:val="none"/>
        </w:rPr>
        <w:t xml:space="preserve">10ul加长低吸附滤芯吸头</w:t>
      </w:r>
      <w:r>
        <w:rPr>
          <w:rFonts w:hint="eastAsia"/>
          <w:b w:val="0"/>
          <w:bCs w:val="0"/>
          <w:color w:val="auto"/>
          <w:highlight w:val="none"/>
          <w:lang w:eastAsia="zh-CN"/>
        </w:rPr>
        <w:t xml:space="preserve">；</w:t>
      </w:r>
      <w:r/>
    </w:p>
    <w:p>
      <w:pPr>
        <w:pStyle w:val="863"/>
        <w:ind w:firstLine="480"/>
        <w:jc w:val="both"/>
        <w:pageBreakBefore w:val="0"/>
        <w:spacing w:beforeAutospacing="0" w:afterAutospacing="0" w:line="380" w:lineRule="exact"/>
        <w:rPr>
          <w:rFonts w:hint="eastAsia" w:ascii="宋体" w:hAnsi="宋体" w:eastAsia="宋体" w:cs="宋体"/>
          <w:b w:val="0"/>
          <w:bCs w:val="0"/>
          <w:color w:val="auto"/>
          <w:sz w:val="24"/>
          <w:szCs w:val="24"/>
          <w:highlight w:val="none"/>
          <w:shd w:val="clear" w:color="auto" w:fill="ffff00"/>
        </w:rPr>
      </w:pPr>
      <w:r>
        <w:rPr>
          <w:b w:val="0"/>
          <w:bCs w:val="0"/>
          <w:color w:val="auto"/>
          <w:highlight w:val="none"/>
        </w:rPr>
        <w:t xml:space="preserve">10.本项目</w:t>
      </w:r>
      <w:r>
        <w:rPr>
          <w:b w:val="0"/>
          <w:bCs w:val="0"/>
          <w:color w:val="auto"/>
          <w:highlight w:val="none"/>
          <w:u w:val="single"/>
        </w:rPr>
        <w:t xml:space="preserve">不接受</w:t>
      </w:r>
      <w:r>
        <w:rPr>
          <w:b w:val="0"/>
          <w:bCs w:val="0"/>
          <w:color w:val="auto"/>
          <w:highlight w:val="none"/>
        </w:rPr>
        <w:t xml:space="preserve">联合体参与招标。</w:t>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bookmarkStart w:id="13" w:name="_Toc38985264"/>
      <w:r/>
      <w:bookmarkStart w:id="14" w:name="_Toc28359003"/>
      <w:r/>
      <w:bookmarkStart w:id="15" w:name="_Toc35393791"/>
      <w:r/>
      <w:bookmarkStart w:id="16" w:name="_Toc28359080"/>
      <w:r/>
      <w:bookmarkStart w:id="17" w:name="_Toc35393622"/>
      <w:r>
        <w:rPr>
          <w:rFonts w:hint="eastAsia" w:ascii="宋体" w:hAnsi="宋体" w:eastAsia="宋体" w:cs="宋体"/>
          <w:b/>
          <w:color w:val="auto"/>
          <w:sz w:val="24"/>
          <w:szCs w:val="24"/>
          <w:highlight w:val="none"/>
        </w:rPr>
        <w:t xml:space="preserve">二、申请人的资格要求：</w:t>
      </w:r>
      <w:bookmarkEnd w:id="13"/>
      <w:r/>
      <w:bookmarkEnd w:id="14"/>
      <w:r/>
      <w:bookmarkEnd w:id="15"/>
      <w:r/>
      <w:bookmarkEnd w:id="16"/>
      <w:r/>
      <w:bookmarkEnd w:id="17"/>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1.2上一年度的财务状况报</w:t>
      </w:r>
      <w:r>
        <w:rPr>
          <w:rFonts w:hint="eastAsia" w:ascii="宋体" w:hAnsi="宋体" w:eastAsia="宋体" w:cs="宋体"/>
          <w:color w:val="auto"/>
          <w:sz w:val="24"/>
          <w:szCs w:val="24"/>
          <w:highlight w:val="none"/>
          <w:lang w:val="en-US" w:eastAsia="zh-CN"/>
        </w:rPr>
        <w:t xml:space="preserve">告</w:t>
      </w:r>
      <w:r>
        <w:rPr>
          <w:rFonts w:hint="eastAsia" w:ascii="宋体" w:hAnsi="宋体" w:eastAsia="宋体" w:cs="宋体"/>
          <w:color w:val="auto"/>
          <w:sz w:val="24"/>
          <w:szCs w:val="24"/>
          <w:highlight w:val="none"/>
        </w:rPr>
        <w:t xml:space="preserve">（成立不满一年无需提供）；</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具备履行合同所必需的设备和专业技术能力的书面声明；</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单位负责人为同一人或者存在直接控股、管理关系的不同供应</w:t>
      </w:r>
      <w:r>
        <w:rPr>
          <w:rFonts w:hint="eastAsia" w:ascii="宋体" w:hAnsi="宋体" w:eastAsia="宋体" w:cs="宋体"/>
          <w:color w:val="auto"/>
          <w:sz w:val="24"/>
          <w:szCs w:val="24"/>
          <w:highlight w:val="none"/>
          <w:shd w:val="clear" w:color="auto" w:fill="auto"/>
        </w:rPr>
        <w:t xml:space="preserve">商，不得参加同一合同项下的政府采购活动。</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2.落实政府采购政策需满足的资格要求：无。</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rPr>
      </w:pPr>
      <w:r>
        <w:rPr>
          <w:b/>
          <w:color w:val="auto"/>
          <w:highlight w:val="none"/>
        </w:rPr>
        <w:t xml:space="preserve">本项目给予小微型企业、监狱企业或残疾人福利性单位报价20%的扣除，用扣除后的价格参加评审。价格扣除比例对小型企业和微型企业同等对待，不作区分。监狱企业、残疾人福利单位属于小型、微型企业的，不重复享受政策。具体中小企业划分标准详见《关于印发中小企业划型标准规定的通知》工信部联企业〔2011〕300号）。</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4"/>
          <w:szCs w:val="24"/>
          <w:highlight w:val="none"/>
          <w:shd w:val="clear" w:color="auto" w:fill="auto"/>
          <w:lang w:val="en-US" w:eastAsia="zh-CN"/>
        </w:rPr>
        <w:t xml:space="preserve">3.本项目的特定资格要求：无。</w:t>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三、获取招标文件</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38985266"/>
      <w:r/>
      <w:bookmarkStart w:id="21" w:name="_Toc35393793"/>
      <w:r/>
      <w:bookmarkStart w:id="22" w:name="_Toc28359005"/>
      <w:r>
        <w:rPr>
          <w:rFonts w:hint="eastAsia" w:ascii="宋体" w:hAnsi="宋体" w:eastAsia="宋体" w:cs="宋体"/>
          <w:color w:val="auto"/>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shd w:val="clear" w:color="auto" w:fill="auto"/>
        </w:rPr>
        <w:t xml:space="preserve">自招标文件公告发布之日起5个工作日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3.方式：本项目采用网上注册登记方式。 </w:t>
      </w:r>
      <w:r/>
    </w:p>
    <w:p>
      <w:pPr>
        <w:ind w:firstLine="480"/>
        <w:jc w:val="left"/>
        <w:pageBreakBefore w:val="0"/>
        <w:spacing w:line="38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四、提交投标文件截止时间、开标时间和地点</w:t>
      </w:r>
      <w:r/>
    </w:p>
    <w:p>
      <w:pPr>
        <w:pStyle w:val="863"/>
        <w:ind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color w:val="auto"/>
          <w:sz w:val="24"/>
          <w:szCs w:val="24"/>
          <w:highlight w:val="none"/>
          <w:u w:val="singl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4"/>
          <w:szCs w:val="24"/>
          <w:highlight w:val="none"/>
          <w:shd w:val="clear" w:color="auto" w:fill="auto"/>
        </w:rPr>
        <w:t xml:space="preserve">1.时间：</w:t>
      </w:r>
      <w:r>
        <w:rPr>
          <w:rFonts w:hint="eastAsia" w:ascii="宋体" w:hAnsi="宋体" w:eastAsia="宋体" w:cs="宋体"/>
          <w:b w:val="0"/>
          <w:bCs/>
          <w:color w:val="auto"/>
          <w:sz w:val="24"/>
          <w:szCs w:val="24"/>
          <w:highlight w:val="none"/>
          <w:u w:val="single"/>
          <w:shd w:val="clear" w:color="auto" w:fill="auto"/>
        </w:rPr>
        <w:t xml:space="preserve">2026年</w:t>
      </w:r>
      <w:r>
        <w:rPr>
          <w:rFonts w:hint="eastAsia" w:ascii="宋体" w:hAnsi="宋体" w:eastAsia="宋体" w:cs="宋体"/>
          <w:b w:val="0"/>
          <w:bCs/>
          <w:color w:val="auto"/>
          <w:sz w:val="24"/>
          <w:szCs w:val="24"/>
          <w:highlight w:val="none"/>
          <w:u w:val="single"/>
          <w:shd w:val="clear" w:color="auto" w:fill="auto"/>
          <w:lang w:val="en-US" w:eastAsia="zh-CN"/>
        </w:rPr>
        <w:t xml:space="preserve">9</w:t>
      </w:r>
      <w:r>
        <w:rPr>
          <w:rFonts w:hint="eastAsia" w:ascii="宋体" w:hAnsi="宋体" w:eastAsia="宋体" w:cs="宋体"/>
          <w:b w:val="0"/>
          <w:bCs/>
          <w:color w:val="auto"/>
          <w:sz w:val="24"/>
          <w:szCs w:val="24"/>
          <w:highlight w:val="none"/>
          <w:u w:val="single"/>
          <w:shd w:val="clear" w:color="auto" w:fill="auto"/>
        </w:rPr>
        <w:t xml:space="preserve">月</w:t>
      </w:r>
      <w:r>
        <w:rPr>
          <w:rFonts w:hint="eastAsia" w:ascii="宋体" w:hAnsi="宋体" w:eastAsia="宋体" w:cs="宋体"/>
          <w:b w:val="0"/>
          <w:bCs/>
          <w:color w:val="auto"/>
          <w:sz w:val="24"/>
          <w:szCs w:val="24"/>
          <w:highlight w:val="none"/>
          <w:u w:val="single"/>
          <w:shd w:val="clear" w:color="auto" w:fill="auto"/>
        </w:rPr>
        <w:t xml:space="preserve">29日</w:t>
      </w:r>
      <w:r>
        <w:rPr>
          <w:rFonts w:hint="eastAsia" w:ascii="宋体" w:hAnsi="宋体" w:eastAsia="宋体" w:cs="宋体"/>
          <w:b w:val="0"/>
          <w:bCs/>
          <w:color w:val="auto"/>
          <w:sz w:val="24"/>
          <w:szCs w:val="24"/>
          <w:highlight w:val="none"/>
          <w:u w:val="single"/>
          <w:shd w:val="clear" w:color="auto" w:fill="auto"/>
        </w:rPr>
        <w:t xml:space="preserve">09时</w:t>
      </w:r>
      <w:r>
        <w:rPr>
          <w:rFonts w:hint="eastAsia" w:ascii="宋体" w:hAnsi="宋体" w:eastAsia="宋体" w:cs="宋体"/>
          <w:b w:val="0"/>
          <w:bCs/>
          <w:color w:val="auto"/>
          <w:sz w:val="24"/>
          <w:szCs w:val="24"/>
          <w:highlight w:val="none"/>
          <w:u w:val="single"/>
          <w:shd w:val="clear" w:color="auto" w:fill="auto"/>
          <w:lang w:val="en-US" w:eastAsia="zh-CN"/>
        </w:rPr>
        <w:t xml:space="preserve">00</w:t>
      </w:r>
      <w:r>
        <w:rPr>
          <w:rFonts w:hint="eastAsia" w:ascii="宋体" w:hAnsi="宋体" w:eastAsia="宋体" w:cs="宋体"/>
          <w:b w:val="0"/>
          <w:bCs/>
          <w:color w:val="auto"/>
          <w:sz w:val="24"/>
          <w:szCs w:val="24"/>
          <w:highlight w:val="none"/>
          <w:u w:val="single"/>
          <w:shd w:val="clear" w:color="auto" w:fill="auto"/>
        </w:rPr>
        <w:t xml:space="preserve">分00</w:t>
      </w:r>
      <w:r>
        <w:rPr>
          <w:rFonts w:hint="eastAsia" w:ascii="宋体" w:hAnsi="宋体" w:eastAsia="宋体" w:cs="宋体"/>
          <w:b w:val="0"/>
          <w:bCs/>
          <w:color w:val="auto"/>
          <w:sz w:val="24"/>
          <w:szCs w:val="24"/>
          <w:highlight w:val="none"/>
          <w:u w:val="single"/>
          <w:shd w:val="clear" w:color="auto" w:fill="auto"/>
        </w:rPr>
        <w:t xml:space="preserve">秒</w:t>
      </w:r>
      <w:r>
        <w:rPr>
          <w:rFonts w:hint="eastAsia" w:ascii="宋体" w:hAnsi="宋体" w:eastAsia="宋体" w:cs="宋体"/>
          <w:b w:val="0"/>
          <w:bCs/>
          <w:color w:val="auto"/>
          <w:sz w:val="24"/>
          <w:szCs w:val="24"/>
          <w:highlight w:val="none"/>
          <w:u w:val="single"/>
          <w:shd w:val="clear" w:color="auto" w:fill="auto"/>
        </w:rPr>
        <w:t xml:space="preserve">（北京时间）。</w:t>
      </w:r>
      <w:r/>
    </w:p>
    <w:p>
      <w:pPr>
        <w:pStyle w:val="863"/>
        <w:ind w:firstLine="480"/>
        <w:jc w:val="both"/>
        <w:pageBreakBefore w:val="0"/>
        <w:spacing w:beforeAutospacing="0" w:afterAutospacing="0" w:line="38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2.地点：苏采云“不见面”开标大厅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bookmarkStart w:id="23" w:name="_Toc35393625"/>
      <w:r/>
      <w:bookmarkStart w:id="24" w:name="_Toc28359007"/>
      <w:r/>
      <w:bookmarkStart w:id="25" w:name="_Toc28359084"/>
      <w:r/>
      <w:bookmarkStart w:id="26" w:name="_Toc38985267"/>
      <w:r/>
      <w:bookmarkStart w:id="27" w:name="_Toc35393794"/>
      <w:r>
        <w:rPr>
          <w:rFonts w:hint="eastAsia" w:ascii="宋体" w:hAnsi="宋体" w:eastAsia="宋体" w:cs="宋体"/>
          <w:b/>
          <w:color w:val="auto"/>
          <w:sz w:val="24"/>
          <w:szCs w:val="24"/>
          <w:highlight w:val="none"/>
        </w:rPr>
        <w:t xml:space="preserve">五、公告期限</w:t>
      </w:r>
      <w:bookmarkEnd w:id="23"/>
      <w:r/>
      <w:bookmarkEnd w:id="24"/>
      <w:r/>
      <w:bookmarkEnd w:id="25"/>
      <w:r/>
      <w:bookmarkEnd w:id="26"/>
      <w:r/>
      <w:bookmarkEnd w:id="27"/>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863"/>
        <w:ind w:firstLine="498"/>
        <w:jc w:val="both"/>
        <w:keepLines/>
        <w:keepNext/>
        <w:pageBreakBefore w:val="0"/>
        <w:spacing w:before="145" w:beforeAutospacing="0" w:after="145" w:afterAutospacing="0"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80" w:lineRule="exact"/>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2.潜在供应商访问电子招标响应交易平台的网络地址和方法： </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2.2 潜在投标人访问“苏采云”系统方法：江苏省政府采购网首页-“苏采云”链接。 </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2.3 采购文件（后缀名为“.kedt”）、供应商操作手册及政府采购客户端 工具可通过“苏采云”系统相应链接进行下载。 </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2.4 采购代理机构将数据电文形式的采购文件加载至“苏采云”系统，供潜在供应商下载或者查阅。 </w:t>
      </w:r>
      <w:r/>
    </w:p>
    <w:p>
      <w:pPr>
        <w:pStyle w:val="863"/>
        <w:ind w:left="0" w:right="0" w:firstLine="54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i w:val="0"/>
          <w:iCs w:val="0"/>
          <w:caps w:val="0"/>
          <w:color w:val="auto"/>
          <w:spacing w:val="0"/>
          <w:sz w:val="24"/>
          <w:szCs w:val="24"/>
          <w:highlight w:val="none"/>
          <w:shd w:val="clear" w:color="auto" w:fill="ffffff"/>
          <w:lang w:val="en-US" w:eastAsia="zh-CN"/>
        </w:rPr>
        <w:t xml:space="preserve">3.有关本次招标的事项若存在变动或修改，敬请及时关注盐城市政府招标代理机构或招标人在“中国政府采购网”“江苏政府采购网”“盐城市政府采购网”发布的更正公告。</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b w:val="0"/>
          <w:bCs/>
          <w:color w:val="auto"/>
          <w:highlight w:val="none"/>
        </w:rPr>
        <w:t xml:space="preserve">5.付款方式：合同签定后7日内支付合同总价的30%作为预付款（中标人须提供合同总价30%的银行保函）；中标人按招标人要求将货物送到指定地点并完成安装调试，经招标人验收全部合格后凭审计报告支付至审计价款的95%;余款在验收合格满二年按审计价付清。采购人在收到发票后 10 个工作日内支付到合同约定的中标人银行账户。</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b w:val="0"/>
          <w:bCs/>
          <w:color w:val="auto"/>
          <w:highlight w:val="none"/>
        </w:rPr>
        <w:t xml:space="preserve">6.本项目采用综合评分法确定中标候选人，具体详见招标文件第五章。</w:t>
      </w:r>
      <w:r/>
    </w:p>
    <w:p>
      <w:pPr>
        <w:pStyle w:val="855"/>
        <w:ind w:left="0" w:right="0" w:firstLine="48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auto"/>
          <w:spacing w:val="0"/>
          <w:sz w:val="24"/>
          <w:szCs w:val="24"/>
          <w:highlight w:val="none"/>
          <w:u w:val="none"/>
          <w:shd w:val="clear" w:color="auto" w:fill="ffffff"/>
        </w:rPr>
        <w:t xml:space="preserve">提出询问，请按以下方式联系。</w:t>
      </w:r>
      <w:bookmarkEnd w:id="31"/>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1.采购人信息</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名 称：</w:t>
      </w:r>
      <w:r>
        <w:rPr>
          <w:b w:val="0"/>
          <w:bCs w:val="0"/>
          <w:color w:val="auto"/>
          <w:highlight w:val="none"/>
        </w:rPr>
        <w:t xml:space="preserve">滨海县公安局</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地址：</w:t>
      </w:r>
      <w:r>
        <w:rPr>
          <w:b w:val="0"/>
          <w:bCs w:val="0"/>
          <w:color w:val="auto"/>
          <w:highlight w:val="none"/>
        </w:rPr>
        <w:t xml:space="preserve">滨海县世纪大道6号</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联系人：</w:t>
      </w:r>
      <w:r>
        <w:rPr>
          <w:b w:val="0"/>
          <w:bCs w:val="0"/>
          <w:color w:val="auto"/>
          <w:highlight w:val="none"/>
        </w:rPr>
        <w:t xml:space="preserve">杨女士</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联系方式：</w:t>
      </w:r>
      <w:r>
        <w:rPr>
          <w:b w:val="0"/>
          <w:bCs w:val="0"/>
          <w:color w:val="auto"/>
          <w:highlight w:val="none"/>
        </w:rPr>
        <w:t xml:space="preserve">13770117566</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2.采购代理机构信息</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名 称：</w:t>
      </w:r>
      <w:r>
        <w:rPr>
          <w:b w:val="0"/>
          <w:bCs w:val="0"/>
          <w:color w:val="auto"/>
          <w:highlight w:val="none"/>
        </w:rPr>
        <w:t xml:space="preserve">盐城市智强项目管理有限公司</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地  址：滨海县育才路166号政务服务中心二楼2202室</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联系人：</w:t>
      </w:r>
      <w:r>
        <w:rPr>
          <w:b w:val="0"/>
          <w:bCs w:val="0"/>
          <w:color w:val="auto"/>
          <w:highlight w:val="none"/>
        </w:rPr>
        <w:t xml:space="preserve">高先生</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联系方式：</w:t>
      </w:r>
      <w:bookmarkStart w:id="32" w:name="_Toc28359087"/>
      <w:r/>
      <w:bookmarkEnd w:id="32"/>
      <w:r/>
      <w:bookmarkStart w:id="33" w:name="_Toc28359010"/>
      <w:r/>
      <w:bookmarkEnd w:id="33"/>
      <w:r>
        <w:rPr>
          <w:b w:val="0"/>
          <w:bCs w:val="0"/>
          <w:color w:val="auto"/>
          <w:highlight w:val="none"/>
        </w:rPr>
        <w:t xml:space="preserve">15950201008</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3.</w:t>
      </w:r>
      <w:bookmarkEnd w:id="34"/>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项目联系方式</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项目联系人：杨女士</w:t>
      </w:r>
      <w:r/>
    </w:p>
    <w:p>
      <w:pPr>
        <w:pStyle w:val="863"/>
        <w:ind w:left="0" w:right="0" w:firstLine="560"/>
        <w:jc w:val="both"/>
        <w:keepLines w:val="0"/>
        <w:keepNext w:val="0"/>
        <w:pageBreakBefore w:val="0"/>
        <w:spacing w:before="0" w:beforeAutospacing="0" w:after="0" w:afterAutospacing="0" w:line="380" w:lineRule="exact"/>
        <w:shd w:val="clear" w:color="auto" w:fill="ffffff"/>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rPr>
        <w:t xml:space="preserve">电　　 话：</w:t>
      </w:r>
      <w:r>
        <w:rPr>
          <w:b w:val="0"/>
          <w:bCs w:val="0"/>
          <w:color w:val="auto"/>
          <w:highlight w:val="none"/>
        </w:rPr>
        <w:t xml:space="preserve">13770117566</w:t>
      </w:r>
      <w:r/>
    </w:p>
    <w:p>
      <w:pPr>
        <w:rPr>
          <w:rFonts w:hint="eastAsia" w:ascii="宋体" w:hAnsi="宋体" w:eastAsia="宋体" w:cs="宋体"/>
          <w:b/>
          <w:color w:val="auto"/>
          <w:sz w:val="24"/>
          <w:szCs w:val="24"/>
          <w:highlight w:val="none"/>
        </w:rPr>
      </w:pPr>
      <w:r/>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63"/>
        <w:ind w:firstLine="2429"/>
        <w:jc w:val="both"/>
        <w:keepLines/>
        <w:keepNext/>
        <w:spacing w:before="260" w:beforeAutospacing="0" w:after="260" w:afterAutospacing="0" w:line="415" w:lineRule="auto"/>
      </w:pPr>
      <w:r>
        <w:rPr>
          <w:rFonts w:hint="eastAsia" w:ascii="黑体" w:hAnsi="宋体" w:eastAsia="黑体" w:cs="黑体"/>
          <w:b/>
          <w:color w:val="auto"/>
          <w:sz w:val="44"/>
          <w:szCs w:val="44"/>
          <w:highlight w:val="none"/>
        </w:rPr>
        <w:t xml:space="preserve">第二章  </w:t>
      </w:r>
      <w:r>
        <w:rPr>
          <w:rFonts w:hint="eastAsia" w:ascii="黑体" w:hAnsi="宋体" w:eastAsia="黑体" w:cs="黑体"/>
          <w:b/>
          <w:color w:val="auto"/>
          <w:sz w:val="44"/>
          <w:szCs w:val="44"/>
          <w:highlight w:val="none"/>
        </w:rPr>
        <w:t xml:space="preserve">投标人须知</w:t>
      </w:r>
      <w:r>
        <w:rPr>
          <w:highlight w:val="none"/>
        </w:rPr>
      </w:r>
      <w:r/>
    </w:p>
    <w:p>
      <w:pPr>
        <w:pStyle w:val="863"/>
        <w:ind w:firstLine="498"/>
        <w:jc w:val="both"/>
        <w:keepLines/>
        <w:keepNext/>
        <w:spacing w:before="145" w:beforeAutospacing="0" w:after="145" w:afterAutospacing="0" w:line="360" w:lineRule="auto"/>
      </w:pPr>
      <w:r>
        <w:rPr>
          <w:rFonts w:hint="eastAsia" w:ascii="宋体" w:hAnsi="宋体" w:eastAsia="宋体" w:cs="宋体"/>
          <w:b/>
          <w:color w:val="auto"/>
          <w:sz w:val="24"/>
          <w:szCs w:val="24"/>
          <w:highlight w:val="none"/>
        </w:rPr>
        <w:t xml:space="preserve">一、总则</w:t>
      </w:r>
      <w:r>
        <w:rPr>
          <w:rFonts w:hint="eastAsia" w:ascii="宋体" w:hAnsi="宋体" w:eastAsia="宋体" w:cs="宋体"/>
          <w:color w:val="auto"/>
          <w:sz w:val="24"/>
          <w:szCs w:val="24"/>
          <w:highlight w:val="none"/>
        </w:rPr>
      </w:r>
      <w:r/>
    </w:p>
    <w:p>
      <w:pPr>
        <w:pStyle w:val="863"/>
        <w:ind w:firstLine="420"/>
        <w:jc w:val="both"/>
        <w:keepLines/>
        <w:keepNext/>
        <w:spacing w:beforeAutospacing="0" w:afterAutospacing="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、招标方式</w:t>
      </w:r>
      <w:r>
        <w:rPr>
          <w:rFonts w:hint="eastAsia" w:ascii="宋体" w:hAnsi="宋体" w:eastAsia="宋体" w:cs="宋体"/>
          <w:color w:val="auto"/>
          <w:sz w:val="24"/>
          <w:szCs w:val="24"/>
          <w:highlight w:val="none"/>
        </w:rPr>
      </w:r>
      <w:r/>
    </w:p>
    <w:p>
      <w:pPr>
        <w:pStyle w:val="863"/>
        <w:ind w:firstLine="480"/>
        <w:jc w:val="both"/>
        <w:spacing w:beforeAutospacing="0" w:afterAutospacing="0" w:line="0" w:lineRule="atLeast"/>
      </w:pPr>
      <w:r>
        <w:rPr>
          <w:rFonts w:hint="eastAsia" w:ascii="宋体" w:hAnsi="宋体" w:eastAsia="宋体" w:cs="宋体"/>
          <w:color w:val="auto"/>
          <w:sz w:val="24"/>
          <w:szCs w:val="24"/>
          <w:highlight w:val="none"/>
        </w:rPr>
        <w:t xml:space="preserve">1.1 本次招标采取公开招标方式，本招标文件仅适用于招标公告中所述项目。</w:t>
      </w:r>
      <w:r>
        <w:rPr>
          <w:rFonts w:hint="eastAsia" w:ascii="宋体" w:hAnsi="宋体" w:eastAsia="宋体" w:cs="宋体"/>
          <w:color w:val="auto"/>
          <w:sz w:val="24"/>
          <w:szCs w:val="24"/>
          <w:highlight w:val="none"/>
        </w:rPr>
      </w:r>
      <w:r/>
    </w:p>
    <w:p>
      <w:pPr>
        <w:pStyle w:val="863"/>
        <w:ind w:firstLine="420"/>
        <w:jc w:val="both"/>
        <w:keepLines/>
        <w:keepNext/>
        <w:spacing w:beforeAutospacing="0" w:afterAutospacing="0"/>
      </w:pPr>
      <w:r>
        <w:rPr>
          <w:rFonts w:hint="eastAsia" w:ascii="宋体" w:hAnsi="宋体" w:eastAsia="宋体" w:cs="宋体"/>
          <w:color w:val="auto"/>
          <w:sz w:val="24"/>
          <w:szCs w:val="24"/>
          <w:highlight w:val="none"/>
        </w:rPr>
        <w:t xml:space="preserve">2、合格的投标人</w:t>
      </w:r>
      <w:r>
        <w:rPr>
          <w:rFonts w:hint="eastAsia" w:ascii="宋体" w:hAnsi="宋体" w:eastAsia="宋体" w:cs="宋体"/>
          <w:color w:val="auto"/>
          <w:sz w:val="24"/>
          <w:szCs w:val="24"/>
          <w:highlight w:val="none"/>
        </w:rPr>
      </w:r>
      <w:r/>
    </w:p>
    <w:p>
      <w:pPr>
        <w:pStyle w:val="863"/>
        <w:ind w:firstLine="480"/>
        <w:jc w:val="both"/>
        <w:spacing w:beforeAutospacing="0" w:afterAutospacing="0" w:line="0" w:lineRule="atLeast"/>
      </w:pPr>
      <w:r>
        <w:rPr>
          <w:rFonts w:hint="eastAsia" w:ascii="宋体" w:hAnsi="宋体" w:eastAsia="宋体" w:cs="宋体"/>
          <w:color w:val="auto"/>
          <w:sz w:val="24"/>
          <w:szCs w:val="24"/>
          <w:highlight w:val="none"/>
        </w:rPr>
        <w:t xml:space="preserve">2.1满足招标公告中供应商的资格要求的规定。</w:t>
      </w:r>
      <w:r>
        <w:rPr>
          <w:rFonts w:hint="eastAsia" w:ascii="宋体" w:hAnsi="宋体" w:eastAsia="宋体" w:cs="宋体"/>
          <w:color w:val="auto"/>
          <w:sz w:val="24"/>
          <w:szCs w:val="24"/>
          <w:highlight w:val="none"/>
        </w:rPr>
      </w:r>
      <w:r/>
    </w:p>
    <w:p>
      <w:pPr>
        <w:pStyle w:val="863"/>
        <w:ind w:firstLine="480"/>
        <w:jc w:val="both"/>
        <w:spacing w:beforeAutospacing="0" w:afterAutospacing="0" w:line="0" w:lineRule="atLeast"/>
      </w:pPr>
      <w:r>
        <w:rPr>
          <w:rFonts w:hint="eastAsia" w:ascii="宋体" w:hAnsi="宋体" w:eastAsia="宋体" w:cs="宋体"/>
          <w:color w:val="auto"/>
          <w:sz w:val="24"/>
          <w:szCs w:val="24"/>
          <w:highlight w:val="none"/>
        </w:rPr>
        <w:t xml:space="preserve">2.2 满足本文件实质性要求和条件的规定。</w:t>
      </w:r>
      <w:r>
        <w:rPr>
          <w:rFonts w:hint="eastAsia" w:ascii="宋体" w:hAnsi="宋体" w:eastAsia="宋体" w:cs="宋体"/>
          <w:color w:val="auto"/>
          <w:sz w:val="24"/>
          <w:szCs w:val="24"/>
          <w:highlight w:val="none"/>
        </w:rPr>
      </w:r>
      <w:r/>
    </w:p>
    <w:p>
      <w:pPr>
        <w:ind w:firstLine="420"/>
        <w:spacing w:line="400" w:lineRule="exact"/>
      </w:pPr>
      <w:r>
        <w:rPr>
          <w:rFonts w:hint="eastAsia" w:ascii="方正魏碑_GBK" w:hAnsi="方正魏碑_GBK" w:eastAsia="方正魏碑_GBK" w:cs="方正魏碑_GBK"/>
          <w:color w:val="auto"/>
          <w:sz w:val="24"/>
          <w:szCs w:val="21"/>
          <w:highlight w:val="none"/>
        </w:rPr>
        <w:t xml:space="preserve">3、适用法律</w:t>
      </w:r>
      <w:r>
        <w:rPr>
          <w:rFonts w:hint="eastAsia" w:ascii="方正魏碑_GBK" w:hAnsi="方正魏碑_GBK" w:eastAsia="方正魏碑_GBK" w:cs="方正魏碑_GBK"/>
          <w:color w:val="auto"/>
          <w:sz w:val="24"/>
          <w:szCs w:val="21"/>
          <w:highlight w:val="none"/>
        </w:rPr>
        <w:t xml:space="preserve">和标准</w:t>
      </w:r>
      <w:r>
        <w:rPr>
          <w:rFonts w:hint="eastAsia" w:ascii="方正魏碑_GBK" w:hAnsi="方正魏碑_GBK" w:eastAsia="方正魏碑_GBK" w:cs="方正魏碑_GBK"/>
          <w:color w:val="auto"/>
          <w:sz w:val="24"/>
          <w:szCs w:val="21"/>
          <w:highlight w:val="none"/>
        </w:rPr>
      </w:r>
      <w:r/>
    </w:p>
    <w:p>
      <w:pPr>
        <w:pStyle w:val="863"/>
        <w:ind w:firstLine="420"/>
        <w:jc w:val="both"/>
        <w:spacing w:beforeAutospacing="0" w:afterAutospacing="0" w:line="0" w:lineRule="atLeast"/>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rPr>
          <w:rFonts w:hint="eastAsia" w:ascii="宋体" w:hAnsi="宋体" w:eastAsia="宋体" w:cs="宋体"/>
          <w:color w:val="auto"/>
          <w:sz w:val="24"/>
          <w:szCs w:val="24"/>
          <w:highlight w:val="none"/>
        </w:rPr>
      </w:r>
      <w:r/>
    </w:p>
    <w:p>
      <w:pPr>
        <w:ind w:firstLine="420"/>
        <w:spacing w:line="400" w:lineRule="exact"/>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rPr>
          <w:rFonts w:hint="eastAsia" w:ascii="宋体" w:hAnsi="宋体" w:eastAsia="宋体" w:cs="宋体"/>
          <w:color w:val="auto"/>
          <w:sz w:val="24"/>
          <w:szCs w:val="24"/>
          <w:highlight w:val="none"/>
        </w:rPr>
      </w:r>
      <w:r/>
    </w:p>
    <w:p>
      <w:pPr>
        <w:pStyle w:val="863"/>
        <w:ind w:firstLine="420"/>
        <w:jc w:val="both"/>
        <w:keepLines/>
        <w:keepNext/>
        <w:spacing w:beforeAutospacing="0" w:afterAutospacing="0"/>
      </w:pPr>
      <w:r>
        <w:rPr>
          <w:rFonts w:hint="eastAsia" w:ascii="宋体" w:hAnsi="宋体" w:eastAsia="宋体" w:cs="宋体"/>
          <w:color w:val="auto"/>
          <w:sz w:val="24"/>
          <w:szCs w:val="24"/>
          <w:highlight w:val="none"/>
        </w:rPr>
        <w:t xml:space="preserve">4、投标费用</w:t>
      </w:r>
      <w:r>
        <w:rPr>
          <w:rFonts w:hint="eastAsia" w:ascii="宋体" w:hAnsi="宋体" w:eastAsia="宋体" w:cs="宋体"/>
          <w:color w:val="auto"/>
          <w:sz w:val="24"/>
          <w:szCs w:val="24"/>
          <w:highlight w:val="none"/>
        </w:rPr>
      </w:r>
      <w:r/>
    </w:p>
    <w:p>
      <w:pPr>
        <w:pStyle w:val="863"/>
        <w:ind w:firstLine="480"/>
        <w:jc w:val="both"/>
        <w:spacing w:beforeAutospacing="0" w:afterAutospacing="0" w:line="0" w:lineRule="atLeast"/>
      </w:pPr>
      <w:r>
        <w:rPr>
          <w:rFonts w:hint="eastAsia" w:ascii="宋体" w:hAnsi="宋体" w:eastAsia="宋体" w:cs="宋体"/>
          <w:b w:val="0"/>
          <w:bCs/>
          <w:color w:val="auto"/>
          <w:sz w:val="24"/>
          <w:szCs w:val="24"/>
          <w:highlight w:val="none"/>
        </w:rPr>
        <w:t xml:space="preserve">4.1投标人应自行承担所有与参加投标有关的费用，无论投标过程中的做法和结果如何，招标人及招标代理机构在任何情况下均无义务和责任承担这些费用。</w:t>
      </w:r>
      <w:r>
        <w:rPr>
          <w:rFonts w:hint="eastAsia" w:ascii="宋体" w:hAnsi="宋体" w:eastAsia="宋体" w:cs="宋体"/>
          <w:b w:val="0"/>
          <w:bCs/>
          <w:color w:val="auto"/>
          <w:sz w:val="24"/>
          <w:szCs w:val="24"/>
          <w:highlight w:val="none"/>
        </w:rPr>
      </w:r>
      <w:r/>
    </w:p>
    <w:p>
      <w:pPr>
        <w:pStyle w:val="863"/>
        <w:ind w:firstLine="480"/>
        <w:jc w:val="both"/>
        <w:spacing w:beforeAutospacing="0" w:afterAutospacing="0" w:line="0" w:lineRule="atLeast"/>
        <w:rPr>
          <w:rFonts w:hint="eastAsia" w:ascii="宋体" w:hAnsi="宋体" w:eastAsia="宋体" w:cs="宋体"/>
          <w:bCs w:val="0"/>
          <w:color w:val="auto"/>
          <w:highlight w:val="none"/>
        </w:rPr>
      </w:pPr>
      <w:r>
        <w:rPr>
          <w:rFonts w:hint="eastAsia" w:ascii="宋体" w:hAnsi="宋体" w:eastAsia="宋体" w:cs="宋体"/>
          <w:b w:val="0"/>
          <w:bCs/>
          <w:color w:val="auto"/>
          <w:sz w:val="24"/>
          <w:szCs w:val="24"/>
          <w:highlight w:val="none"/>
        </w:rPr>
        <w:t xml:space="preserve">4.2本次招标招标代理机构和采购人不收取标书工本费。</w:t>
      </w:r>
      <w:r>
        <w:rPr>
          <w:rFonts w:hint="eastAsia" w:ascii="宋体" w:hAnsi="宋体" w:eastAsia="宋体" w:cs="宋体"/>
          <w:b w:val="0"/>
          <w:bCs w:val="0"/>
          <w:color w:val="auto"/>
          <w:sz w:val="24"/>
          <w:szCs w:val="24"/>
          <w:highlight w:val="none"/>
        </w:rPr>
      </w:r>
      <w:r/>
    </w:p>
    <w:p>
      <w:pPr>
        <w:pStyle w:val="863"/>
        <w:ind w:firstLine="480"/>
        <w:jc w:val="both"/>
        <w:keepLines/>
        <w:keepNext/>
        <w:spacing w:beforeAutospacing="0" w:afterAutospacing="0" w:line="0" w:lineRule="atLeast"/>
        <w:rPr>
          <w:rFonts w:hint="eastAsia"/>
          <w:b w:val="0"/>
          <w:bCs w:val="0"/>
          <w:color w:val="auto"/>
          <w:highlight w:val="none"/>
        </w:rPr>
      </w:pPr>
      <w:r>
        <w:rPr>
          <w:rFonts w:hint="eastAsia"/>
          <w:b w:val="0"/>
          <w:bCs/>
          <w:color w:val="auto"/>
          <w:highlight w:val="none"/>
        </w:rPr>
        <w:t xml:space="preserve">4.3本项目采购代理服务费由中标（成交）供应商支付。原因如下：</w:t>
      </w:r>
      <w:r/>
    </w:p>
    <w:p>
      <w:pPr>
        <w:pStyle w:val="863"/>
        <w:ind w:firstLine="480"/>
        <w:jc w:val="both"/>
        <w:keepLines/>
        <w:keepNext/>
        <w:spacing w:beforeAutospacing="0" w:afterAutospacing="0" w:line="0" w:lineRule="atLeast"/>
        <w:rPr>
          <w:rFonts w:hint="eastAsia"/>
          <w:b w:val="0"/>
          <w:bCs/>
          <w:color w:val="auto"/>
          <w:highlight w:val="none"/>
        </w:rPr>
      </w:pPr>
      <w:r>
        <w:rPr>
          <w:rFonts w:hint="eastAsia"/>
          <w:b w:val="0"/>
          <w:bCs/>
          <w:color w:val="auto"/>
          <w:highlight w:val="none"/>
        </w:rPr>
        <w:t xml:space="preserve">4.3.1采购人年度部门预算及本项目政府采购预算中，未单独列支采购代理服务费；</w:t>
      </w:r>
      <w:r/>
    </w:p>
    <w:p>
      <w:pPr>
        <w:pStyle w:val="863"/>
        <w:ind w:firstLine="480"/>
        <w:jc w:val="both"/>
        <w:keepLines/>
        <w:keepNext/>
        <w:spacing w:beforeAutospacing="0" w:afterAutospacing="0" w:line="0" w:lineRule="atLeast"/>
        <w:rPr>
          <w:rFonts w:hint="eastAsia"/>
          <w:b w:val="0"/>
          <w:bCs/>
          <w:color w:val="auto"/>
          <w:highlight w:val="none"/>
        </w:rPr>
      </w:pPr>
      <w:r>
        <w:rPr>
          <w:rFonts w:hint="eastAsia"/>
          <w:b w:val="0"/>
          <w:bCs/>
          <w:color w:val="auto"/>
          <w:highlight w:val="none"/>
        </w:rPr>
        <w:t xml:space="preserve">4.3.2采购人已与社会采购代理机构在《委托代理协议》中明确约定由中标（成交）供应商承担该费用；</w:t>
      </w:r>
      <w:r/>
    </w:p>
    <w:p>
      <w:pPr>
        <w:pStyle w:val="863"/>
        <w:ind w:firstLine="480"/>
        <w:jc w:val="both"/>
        <w:keepLines/>
        <w:keepNext/>
        <w:spacing w:beforeAutospacing="0" w:afterAutospacing="0" w:line="0" w:lineRule="atLeast"/>
        <w:rPr>
          <w:rFonts w:hint="eastAsia"/>
          <w:b w:val="0"/>
          <w:bCs/>
          <w:color w:val="auto"/>
          <w:highlight w:val="none"/>
        </w:rPr>
      </w:pPr>
      <w:r>
        <w:rPr>
          <w:rFonts w:hint="eastAsia"/>
          <w:b w:val="0"/>
          <w:bCs/>
          <w:color w:val="auto"/>
          <w:highlight w:val="none"/>
        </w:rPr>
        <w:t xml:space="preserve">4.3.3采购代理服务属于采购活动的组织服务成本，由最终受益方（中标人）承担符合民事对价原则与公平原则；</w:t>
      </w:r>
      <w:r/>
    </w:p>
    <w:p>
      <w:pPr>
        <w:pStyle w:val="863"/>
        <w:ind w:firstLine="480"/>
        <w:jc w:val="both"/>
        <w:keepLines/>
        <w:keepNext/>
        <w:spacing w:beforeAutospacing="0" w:afterAutospacing="0" w:line="0" w:lineRule="atLeast"/>
        <w:rPr>
          <w:rFonts w:hint="eastAsia"/>
          <w:b w:val="0"/>
          <w:bCs/>
          <w:color w:val="auto"/>
          <w:highlight w:val="none"/>
        </w:rPr>
      </w:pPr>
      <w:r>
        <w:rPr>
          <w:rFonts w:hint="eastAsia"/>
          <w:b w:val="0"/>
          <w:bCs/>
          <w:color w:val="auto"/>
          <w:highlight w:val="none"/>
        </w:rPr>
        <w:t xml:space="preserve">4.3.4该费用已包含在投标总报价中，供应商参与投标即视为接受该约定并已在报价中综合考虑，不额外增加中标人负担。</w:t>
      </w:r>
      <w:r/>
    </w:p>
    <w:p>
      <w:pPr>
        <w:pStyle w:val="863"/>
        <w:ind w:firstLine="480"/>
        <w:jc w:val="both"/>
        <w:keepLines/>
        <w:keepNext/>
        <w:spacing w:beforeAutospacing="0" w:afterAutospacing="0" w:line="0" w:lineRule="atLeast"/>
        <w:rPr>
          <w:rFonts w:hint="eastAsia"/>
          <w:b w:val="0"/>
          <w:bCs/>
          <w:color w:val="auto"/>
          <w:highlight w:val="none"/>
        </w:rPr>
      </w:pPr>
      <w:r>
        <w:rPr>
          <w:rFonts w:hint="eastAsia"/>
          <w:b w:val="0"/>
          <w:bCs/>
          <w:color w:val="auto"/>
          <w:highlight w:val="none"/>
        </w:rPr>
        <w:t xml:space="preserve">4.3.5本项目招标代理服务费依据《江苏省政府采购代理服务收费指导意见》的通知（苏政采〔2024〕20号）执行，招标人约定由中标人代招标人向招标代理机构一次性支付招标代理服务费人民币1</w:t>
      </w:r>
      <w:r>
        <w:rPr>
          <w:rFonts w:hint="eastAsia"/>
          <w:b w:val="0"/>
          <w:bCs/>
          <w:color w:val="auto"/>
          <w:highlight w:val="none"/>
          <w:lang w:val="en-US" w:eastAsia="zh-CN"/>
        </w:rPr>
        <w:t xml:space="preserve">5</w:t>
      </w:r>
      <w:r>
        <w:rPr>
          <w:rFonts w:hint="eastAsia"/>
          <w:b w:val="0"/>
          <w:bCs/>
          <w:color w:val="auto"/>
          <w:highlight w:val="none"/>
        </w:rPr>
        <w:t xml:space="preserve">000元整。投标人须将此费用纳入投标报价中，招标人不另行支付。</w:t>
      </w:r>
      <w:r/>
    </w:p>
    <w:p>
      <w:pPr>
        <w:pStyle w:val="863"/>
        <w:ind w:firstLine="482"/>
        <w:jc w:val="both"/>
        <w:keepLines/>
        <w:keepNext/>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5、</w:t>
      </w:r>
      <w:r>
        <w:rPr>
          <w:rFonts w:hint="eastAsia" w:ascii="宋体" w:hAnsi="宋体" w:eastAsia="宋体" w:cs="宋体"/>
          <w:color w:val="auto"/>
          <w:sz w:val="24"/>
          <w:szCs w:val="24"/>
          <w:highlight w:val="none"/>
        </w:rPr>
        <w:t xml:space="preserve">招标文件的约束力</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863"/>
        <w:ind w:firstLine="321"/>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59" w:name="_Toc120614215"/>
      <w:r/>
      <w:bookmarkStart w:id="60" w:name="_Toc20823281"/>
      <w:r/>
      <w:bookmarkStart w:id="61" w:name="_Toc513029209"/>
      <w:r/>
      <w:bookmarkStart w:id="62" w:name="_Toc16938525"/>
      <w:r>
        <w:rPr>
          <w:rFonts w:hint="eastAsia" w:ascii="宋体" w:hAnsi="宋体" w:eastAsia="宋体" w:cs="宋体"/>
          <w:b/>
          <w:color w:val="auto"/>
          <w:sz w:val="24"/>
          <w:szCs w:val="24"/>
          <w:highlight w:val="none"/>
        </w:rPr>
        <w:t xml:space="preserve">二、招标文件</w:t>
      </w:r>
      <w:bookmarkEnd w:id="59"/>
      <w:r/>
      <w:bookmarkEnd w:id="60"/>
      <w:r/>
      <w:bookmarkEnd w:id="61"/>
      <w:r/>
      <w:bookmarkEnd w:id="62"/>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63" w:name="_Toc20823282"/>
      <w:r/>
      <w:bookmarkStart w:id="64" w:name="_Toc513029210"/>
      <w:r/>
      <w:bookmarkStart w:id="65" w:name="_Toc16938526"/>
      <w:r>
        <w:rPr>
          <w:rFonts w:hint="eastAsia" w:ascii="宋体" w:hAnsi="宋体" w:eastAsia="宋体" w:cs="宋体"/>
          <w:color w:val="auto"/>
          <w:sz w:val="24"/>
          <w:szCs w:val="24"/>
          <w:highlight w:val="none"/>
        </w:rPr>
        <w:t xml:space="preserve">6、招标文件构成</w:t>
      </w:r>
      <w:bookmarkEnd w:id="63"/>
      <w:r/>
      <w:bookmarkEnd w:id="64"/>
      <w:r/>
      <w:bookmarkEnd w:id="65"/>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招标公告</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pStyle w:val="863"/>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请仔细检查招标文件是否齐全，如有缺漏请立即与招标代理机构联系解决。</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3"/>
        <w:ind w:firstLine="560"/>
        <w:jc w:val="both"/>
        <w:keepLines/>
        <w:keepNext/>
        <w:spacing w:beforeAutospacing="0" w:afterAutospacing="0"/>
        <w:rPr>
          <w:rFonts w:hint="eastAsia" w:ascii="宋体" w:hAnsi="宋体" w:eastAsia="宋体" w:cs="宋体"/>
          <w:color w:val="auto"/>
          <w:sz w:val="24"/>
          <w:szCs w:val="24"/>
          <w:highlight w:val="none"/>
        </w:rPr>
      </w:pPr>
      <w:r/>
      <w:bookmarkStart w:id="66" w:name="_Toc513029211"/>
      <w:r/>
      <w:bookmarkStart w:id="67" w:name="_Toc16938527"/>
      <w:r/>
      <w:bookmarkStart w:id="68" w:name="_Toc462564070"/>
      <w:r/>
      <w:bookmarkStart w:id="69" w:name="_Toc20823283"/>
      <w:r>
        <w:rPr>
          <w:rFonts w:hint="eastAsia" w:ascii="宋体" w:hAnsi="宋体" w:eastAsia="宋体" w:cs="宋体"/>
          <w:color w:val="auto"/>
          <w:sz w:val="24"/>
          <w:szCs w:val="24"/>
          <w:highlight w:val="none"/>
        </w:rPr>
        <w:t xml:space="preserve">7、招标文件的澄清</w:t>
      </w:r>
      <w:bookmarkEnd w:id="66"/>
      <w:r/>
      <w:bookmarkEnd w:id="67"/>
      <w:r/>
      <w:bookmarkEnd w:id="68"/>
      <w:r/>
      <w:bookmarkEnd w:id="69"/>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 任何要求对招标文件进行澄清的投标人，应在投标截止期十日前按招标公告中的通讯地址，以书面形式通知招标代理机构。</w:t>
      </w:r>
      <w:r/>
    </w:p>
    <w:p>
      <w:pPr>
        <w:pStyle w:val="863"/>
        <w:ind w:firstLine="560"/>
        <w:jc w:val="both"/>
        <w:keepLines/>
        <w:keepNext/>
        <w:spacing w:beforeAutospacing="0" w:afterAutospacing="0"/>
        <w:rPr>
          <w:rFonts w:hint="eastAsia" w:ascii="宋体" w:hAnsi="宋体" w:eastAsia="宋体" w:cs="宋体"/>
          <w:b w:val="0"/>
          <w:bCs/>
          <w:color w:val="auto"/>
          <w:sz w:val="24"/>
          <w:szCs w:val="24"/>
          <w:highlight w:val="none"/>
        </w:rPr>
      </w:pPr>
      <w:r/>
      <w:bookmarkStart w:id="70" w:name="_Toc513029212"/>
      <w:r/>
      <w:bookmarkStart w:id="71" w:name="_Toc20823284"/>
      <w:r/>
      <w:bookmarkStart w:id="72" w:name="_Toc462564071"/>
      <w:r/>
      <w:bookmarkStart w:id="73" w:name="_Toc16938528"/>
      <w:r>
        <w:rPr>
          <w:rFonts w:hint="eastAsia" w:ascii="宋体" w:hAnsi="宋体" w:eastAsia="宋体" w:cs="宋体"/>
          <w:b w:val="0"/>
          <w:bCs/>
          <w:color w:val="auto"/>
          <w:sz w:val="24"/>
          <w:szCs w:val="24"/>
          <w:highlight w:val="none"/>
        </w:rPr>
        <w:t xml:space="preserve">8、招标文件的修改</w:t>
      </w:r>
      <w:bookmarkEnd w:id="70"/>
      <w:r/>
      <w:bookmarkEnd w:id="71"/>
      <w:r/>
      <w:bookmarkEnd w:id="72"/>
      <w:r/>
      <w:bookmarkEnd w:id="73"/>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 在投标截止时间前，招标代理机构可以对招标文件进行修改。</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8.2 招标代理机构有权按照法定的要求推迟投标截止日期和开标日期。</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color w:val="auto"/>
          <w:sz w:val="24"/>
          <w:szCs w:val="24"/>
          <w:highlight w:val="none"/>
        </w:rPr>
        <w:t xml:space="preserve">公布，补充文件将作为招标文件的组成部分，并对投标人具有约束力。</w:t>
      </w:r>
      <w:r/>
    </w:p>
    <w:p>
      <w:pPr>
        <w:pStyle w:val="8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74" w:name="_Toc16938529"/>
      <w:r/>
      <w:bookmarkStart w:id="75" w:name="_Toc462564072"/>
      <w:r/>
      <w:bookmarkStart w:id="76" w:name="_Toc513029213"/>
      <w:r/>
      <w:bookmarkStart w:id="77" w:name="_Toc20823285"/>
      <w:r/>
      <w:bookmarkStart w:id="78" w:name="_Toc120614216"/>
      <w:r>
        <w:rPr>
          <w:rFonts w:hint="eastAsia" w:ascii="宋体" w:hAnsi="宋体" w:eastAsia="宋体" w:cs="宋体"/>
          <w:b/>
          <w:color w:val="auto"/>
          <w:sz w:val="24"/>
          <w:szCs w:val="24"/>
          <w:highlight w:val="none"/>
        </w:rPr>
        <w:t xml:space="preserve">三、投标文件的编制</w:t>
      </w:r>
      <w:bookmarkEnd w:id="74"/>
      <w:r/>
      <w:bookmarkEnd w:id="75"/>
      <w:r/>
      <w:bookmarkEnd w:id="76"/>
      <w:r/>
      <w:bookmarkEnd w:id="77"/>
      <w:r/>
      <w:bookmarkEnd w:id="78"/>
      <w:r/>
      <w:r/>
    </w:p>
    <w:p>
      <w:pPr>
        <w:pStyle w:val="863"/>
        <w:ind w:firstLine="560"/>
        <w:jc w:val="both"/>
        <w:keepLines/>
        <w:keepNext/>
        <w:spacing w:beforeAutospacing="0" w:afterAutospacing="0"/>
        <w:rPr>
          <w:rFonts w:hint="eastAsia" w:ascii="宋体" w:hAnsi="宋体" w:eastAsia="宋体" w:cs="宋体"/>
          <w:color w:val="auto"/>
          <w:sz w:val="24"/>
          <w:szCs w:val="24"/>
          <w:highlight w:val="none"/>
        </w:rPr>
      </w:pPr>
      <w:r/>
      <w:bookmarkStart w:id="79" w:name="_Toc462564073"/>
      <w:r/>
      <w:bookmarkStart w:id="80" w:name="_Toc513029214"/>
      <w:r/>
      <w:bookmarkStart w:id="81" w:name="_Toc20823286"/>
      <w:r/>
      <w:bookmarkStart w:id="82" w:name="_Toc16938530"/>
      <w:r>
        <w:rPr>
          <w:rFonts w:hint="eastAsia" w:ascii="宋体" w:hAnsi="宋体" w:eastAsia="宋体" w:cs="宋体"/>
          <w:color w:val="auto"/>
          <w:sz w:val="24"/>
          <w:szCs w:val="24"/>
          <w:highlight w:val="none"/>
        </w:rPr>
        <w:t xml:space="preserve">9、投标文件的语言及度量衡单位</w:t>
      </w:r>
      <w:bookmarkEnd w:id="79"/>
      <w:r/>
      <w:bookmarkEnd w:id="80"/>
      <w:r/>
      <w:bookmarkEnd w:id="81"/>
      <w:r/>
      <w:bookmarkEnd w:id="82"/>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 投标人提交的投标文件以及投标人与招标代理机构就有关投标的所有来往通知、函件和文件均应使用简体中文。</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83" w:name="_Toc513029215"/>
      <w:r/>
      <w:bookmarkStart w:id="84" w:name="_Toc20823287"/>
      <w:r/>
      <w:bookmarkStart w:id="85" w:name="_Toc16938531"/>
      <w:r/>
      <w:bookmarkStart w:id="86" w:name="_Toc462564074"/>
      <w:r>
        <w:rPr>
          <w:rFonts w:hint="eastAsia" w:ascii="宋体" w:hAnsi="宋体" w:eastAsia="宋体" w:cs="宋体"/>
          <w:color w:val="auto"/>
          <w:sz w:val="24"/>
          <w:szCs w:val="24"/>
          <w:highlight w:val="none"/>
        </w:rPr>
        <w:t xml:space="preserve">10、投标文件构成</w:t>
      </w:r>
      <w:bookmarkEnd w:id="83"/>
      <w:r/>
      <w:bookmarkEnd w:id="84"/>
      <w:r/>
      <w:bookmarkEnd w:id="85"/>
      <w:r/>
      <w:bookmarkEnd w:id="86"/>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发布的招标文件不一致，请以</w:t>
      </w:r>
      <w:r>
        <w:rPr>
          <w:rFonts w:hint="eastAsia" w:ascii="宋体" w:hAnsi="宋体" w:eastAsia="宋体" w:cs="宋体"/>
          <w:color w:val="auto"/>
          <w:sz w:val="24"/>
          <w:szCs w:val="24"/>
          <w:highlight w:val="none"/>
          <w:lang w:val="en-US" w:eastAsia="zh-CN" w:bidi="ar-SA"/>
        </w:rPr>
        <w:t xml:space="preserve">中国政府采购网”“</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盐城市政府采购网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w:t>
      </w:r>
      <w:r>
        <w:rPr>
          <w:rFonts w:hint="eastAsia" w:ascii="宋体" w:hAnsi="宋体" w:eastAsia="宋体" w:cs="宋体"/>
          <w:color w:val="auto"/>
          <w:sz w:val="24"/>
          <w:szCs w:val="24"/>
          <w:highlight w:val="none"/>
        </w:rPr>
        <w:t xml:space="preserve">发布的招标文件为准。</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87" w:name="_Toc49090507"/>
      <w:r/>
      <w:bookmarkStart w:id="88" w:name="_Toc513029216"/>
      <w:r/>
      <w:bookmarkStart w:id="89" w:name="_Toc14577354"/>
      <w:r/>
      <w:bookmarkStart w:id="90" w:name="_Toc513029219"/>
      <w:r/>
      <w:bookmarkStart w:id="91" w:name="_Toc49090509"/>
      <w:r/>
      <w:bookmarkStart w:id="92" w:name="_Toc14577355"/>
      <w:r/>
      <w:bookmarkStart w:id="93" w:name="_Toc14577357"/>
      <w:r/>
      <w:bookmarkStart w:id="94" w:name="_Toc49090508"/>
      <w:r/>
      <w:bookmarkStart w:id="95" w:name="_Hlt26670360"/>
      <w:r/>
      <w:bookmarkStart w:id="96" w:name="_Hlt26954838"/>
      <w:r/>
      <w:bookmarkStart w:id="97" w:name="_Hlt26668975"/>
      <w:r>
        <w:rPr>
          <w:rFonts w:hint="eastAsia" w:ascii="宋体" w:hAnsi="宋体" w:eastAsia="宋体" w:cs="宋体"/>
          <w:color w:val="auto"/>
          <w:sz w:val="24"/>
          <w:szCs w:val="24"/>
          <w:highlight w:val="none"/>
        </w:rPr>
        <w:t xml:space="preserve">11、证明投标人及投标标的符合招标文件规定的文件</w:t>
      </w:r>
      <w:bookmarkEnd w:id="87"/>
      <w:r/>
      <w:bookmarkEnd w:id="88"/>
      <w:r/>
      <w:bookmarkEnd w:id="89"/>
      <w:r/>
      <w:bookmarkEnd w:id="90"/>
      <w:r/>
      <w:bookmarkEnd w:id="91"/>
      <w:r/>
      <w:bookmarkEnd w:id="92"/>
      <w:r/>
      <w:bookmarkEnd w:id="93"/>
      <w:r/>
      <w:bookmarkEnd w:id="94"/>
      <w:r/>
      <w:r/>
    </w:p>
    <w:p>
      <w:pPr>
        <w:pStyle w:val="863"/>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11.1 投标人应按照招标文件要求提交证明文件，证明其及投标标的符合招标文件规定。</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12、投标分项报价表</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投标人应按照招标文件规定格式填报投标分项报价表。</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98" w:name="_Hlt26954848"/>
      <w:r/>
      <w:bookmarkStart w:id="99" w:name="_Hlt26670486"/>
      <w:r/>
      <w:bookmarkStart w:id="100" w:name="_Hlt26954731"/>
      <w:r/>
      <w:bookmarkStart w:id="101" w:name="_Hlt26954846"/>
      <w:r/>
      <w:bookmarkStart w:id="102" w:name="_Hlt26670482"/>
      <w:r>
        <w:rPr>
          <w:rFonts w:hint="eastAsia" w:ascii="宋体" w:hAnsi="宋体" w:eastAsia="宋体" w:cs="宋体"/>
          <w:color w:val="auto"/>
          <w:sz w:val="24"/>
          <w:szCs w:val="24"/>
          <w:highlight w:val="none"/>
        </w:rPr>
        <w:t xml:space="preserve">13、技术要求响应及偏离表、商务要求响应及偏离表</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14、服务承诺、培训计划、人员安排及其他</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投标人需根据招标文件要求提供有关售后服务的管理制度，售后服务机构的分布情况，售后服务人员的数量、素质、技术水平及售后服务的反应能力等。</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投标人需根据招标文件要求提供培训计划。</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投标人需根据招标文件要求提供所投标的的主要组成部分、功能设计、实现思路及关键技术等。</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03" w:name="_Toc49090510"/>
      <w:r/>
      <w:bookmarkStart w:id="104" w:name="_Toc14577359"/>
      <w:r>
        <w:rPr>
          <w:rFonts w:hint="eastAsia" w:ascii="宋体" w:hAnsi="宋体" w:eastAsia="宋体" w:cs="宋体"/>
          <w:color w:val="auto"/>
          <w:sz w:val="24"/>
          <w:szCs w:val="24"/>
          <w:highlight w:val="none"/>
        </w:rPr>
        <w:t xml:space="preserve">15、投标函和开标一览表</w:t>
      </w:r>
      <w:bookmarkEnd w:id="103"/>
      <w:r/>
      <w:bookmarkEnd w:id="104"/>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投标人应按照招标文件中提供的格式完整、正确填写投标函、开标一览表。</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05" w:name="_Toc49090511"/>
      <w:r/>
      <w:bookmarkStart w:id="106" w:name="_Toc14577360"/>
      <w:r>
        <w:rPr>
          <w:rFonts w:hint="eastAsia" w:ascii="宋体" w:hAnsi="宋体" w:eastAsia="宋体" w:cs="宋体"/>
          <w:color w:val="auto"/>
          <w:sz w:val="24"/>
          <w:szCs w:val="24"/>
          <w:highlight w:val="none"/>
        </w:rPr>
        <w:t xml:space="preserve">16、投标有效期</w:t>
      </w:r>
      <w:bookmarkEnd w:id="105"/>
      <w:r/>
      <w:bookmarkEnd w:id="106"/>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16.1投标有效期为招标代理机构规定的开标之日后九十（90）天。投标有效期比规定短的将被视为未实质性响应招标文件而予以拒绝。</w:t>
      </w:r>
      <w:r/>
    </w:p>
    <w:p>
      <w:pPr>
        <w:pStyle w:val="863"/>
        <w:ind w:firstLine="420"/>
        <w:jc w:val="both"/>
        <w:keepLines/>
        <w:keepNext/>
        <w:spacing w:beforeAutospacing="0" w:afterAutospacing="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17、投标有效期的延长</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受投标有效期约束的所有权利与义务均延长至新的有效期。</w:t>
      </w:r>
      <w:r/>
    </w:p>
    <w:p>
      <w:pPr>
        <w:pStyle w:val="863"/>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07" w:name="_Toc120614217"/>
      <w:r/>
      <w:bookmarkStart w:id="108" w:name="_Toc16938540"/>
      <w:r/>
      <w:bookmarkStart w:id="109" w:name="_Toc20823296"/>
      <w:r/>
      <w:bookmarkStart w:id="110" w:name="_Toc513029224"/>
      <w:r/>
      <w:bookmarkStart w:id="111" w:name="_Hlt26954739"/>
      <w:r/>
      <w:bookmarkStart w:id="112" w:name="_Hlt26954852"/>
      <w:r>
        <w:rPr>
          <w:rFonts w:hint="eastAsia" w:ascii="宋体" w:hAnsi="宋体" w:eastAsia="宋体" w:cs="宋体"/>
          <w:b/>
          <w:color w:val="auto"/>
          <w:sz w:val="24"/>
          <w:szCs w:val="24"/>
          <w:highlight w:val="none"/>
        </w:rPr>
        <w:t xml:space="preserve">四、投标文件的递交</w:t>
      </w:r>
      <w:bookmarkEnd w:id="107"/>
      <w:r/>
      <w:bookmarkEnd w:id="108"/>
      <w:r/>
      <w:bookmarkEnd w:id="109"/>
      <w:r/>
      <w:bookmarkEnd w:id="110"/>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13" w:name="_Toc462564084"/>
      <w:r/>
      <w:bookmarkStart w:id="114" w:name="_Toc16938541"/>
      <w:r/>
      <w:bookmarkStart w:id="115" w:name="_Toc513029225"/>
      <w:r/>
      <w:bookmarkStart w:id="116" w:name="_Toc20823297"/>
      <w:r>
        <w:rPr>
          <w:rFonts w:hint="eastAsia" w:ascii="宋体" w:hAnsi="宋体" w:eastAsia="宋体" w:cs="宋体"/>
          <w:color w:val="auto"/>
          <w:sz w:val="24"/>
          <w:szCs w:val="24"/>
          <w:highlight w:val="none"/>
        </w:rPr>
        <w:t xml:space="preserve">18、电子投标文件</w:t>
      </w:r>
      <w:bookmarkEnd w:id="113"/>
      <w:r/>
      <w:bookmarkEnd w:id="114"/>
      <w:r/>
      <w:bookmarkEnd w:id="115"/>
      <w:r/>
      <w:bookmarkEnd w:id="116"/>
      <w:r>
        <w:rPr>
          <w:rFonts w:hint="eastAsia" w:ascii="宋体" w:hAnsi="宋体" w:eastAsia="宋体" w:cs="宋体"/>
          <w:color w:val="auto"/>
          <w:sz w:val="24"/>
          <w:szCs w:val="24"/>
          <w:highlight w:val="none"/>
        </w:rPr>
        <w:t xml:space="preserve">的递交</w:t>
      </w:r>
      <w:r/>
    </w:p>
    <w:p>
      <w:pPr>
        <w:pStyle w:val="863"/>
        <w:ind w:left="525"/>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18.1投标人应当按照《操作手册》规定，在投标截止时间前制作并上传电子投标</w:t>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文件。</w:t>
      </w:r>
      <w:bookmarkStart w:id="117" w:name="_Toc16938542"/>
      <w:r/>
      <w:bookmarkEnd w:id="117"/>
      <w:r/>
      <w:bookmarkStart w:id="118" w:name="_Toc20823298"/>
      <w:r/>
      <w:bookmarkEnd w:id="118"/>
      <w:r/>
      <w:bookmarkStart w:id="119" w:name="_Toc513029226"/>
      <w:r/>
      <w:r/>
    </w:p>
    <w:p>
      <w:pPr>
        <w:pStyle w:val="863"/>
        <w:ind w:firstLine="420"/>
        <w:jc w:val="both"/>
        <w:keepLines/>
        <w:keepNext/>
        <w:spacing w:before="280" w:beforeAutospacing="0" w:after="290" w:afterAutospacing="0" w:line="37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19、投标截止日期</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 xml:space="preserve">19.1 投标人上传电子投标文件的时间不得迟于招标公告中规定的投标截止时间。</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19.2 招标代理机构可以按照规定，通过修改招标文件酌情延长投标截止日期，在此情况下，投标人的所有权利和义务以及投标人受制的截止日期均应以延长后新的截止日期为准。</w:t>
      </w:r>
      <w:r/>
    </w:p>
    <w:p>
      <w:pPr>
        <w:pStyle w:val="863"/>
        <w:ind w:firstLine="420"/>
        <w:jc w:val="both"/>
        <w:keepLines/>
        <w:keepNext/>
        <w:spacing w:beforeAutospacing="0" w:afterAutospacing="0"/>
        <w:rPr>
          <w:rFonts w:hint="eastAsia" w:ascii="宋体" w:hAnsi="宋体" w:eastAsia="宋体" w:cs="宋体"/>
          <w:b w:val="0"/>
          <w:bCs/>
          <w:color w:val="auto"/>
          <w:sz w:val="24"/>
          <w:szCs w:val="24"/>
          <w:highlight w:val="none"/>
        </w:rPr>
      </w:pPr>
      <w:r/>
      <w:bookmarkStart w:id="120" w:name="_Toc20823299"/>
      <w:r/>
      <w:bookmarkStart w:id="121" w:name="_Toc16938543"/>
      <w:r/>
      <w:bookmarkStart w:id="122" w:name="_Toc513029227"/>
      <w:r>
        <w:rPr>
          <w:rFonts w:hint="eastAsia" w:ascii="宋体" w:hAnsi="宋体" w:eastAsia="宋体" w:cs="宋体"/>
          <w:b w:val="0"/>
          <w:bCs/>
          <w:color w:val="auto"/>
          <w:sz w:val="24"/>
          <w:szCs w:val="24"/>
          <w:highlight w:val="none"/>
        </w:rPr>
        <w:t xml:space="preserve">20、投标文件</w:t>
      </w:r>
      <w:bookmarkEnd w:id="120"/>
      <w:r/>
      <w:bookmarkEnd w:id="121"/>
      <w:r/>
      <w:bookmarkEnd w:id="122"/>
      <w:r>
        <w:rPr>
          <w:rFonts w:hint="eastAsia" w:ascii="宋体" w:hAnsi="宋体" w:eastAsia="宋体" w:cs="宋体"/>
          <w:b w:val="0"/>
          <w:bCs/>
          <w:color w:val="auto"/>
          <w:sz w:val="24"/>
          <w:szCs w:val="24"/>
          <w:highlight w:val="none"/>
        </w:rPr>
        <w:t xml:space="preserve">的拒收</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20.1 招标代理机构拒绝接收在其规定的投标截止时间后上传的任何投标文件。</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23" w:name="_Toc513029228"/>
      <w:r/>
      <w:bookmarkStart w:id="124" w:name="_Toc16938544"/>
      <w:r/>
      <w:bookmarkStart w:id="125" w:name="_Toc20823300"/>
      <w:r>
        <w:rPr>
          <w:rFonts w:hint="eastAsia" w:ascii="宋体" w:hAnsi="宋体" w:eastAsia="宋体" w:cs="宋体"/>
          <w:color w:val="auto"/>
          <w:sz w:val="24"/>
          <w:szCs w:val="24"/>
          <w:highlight w:val="none"/>
        </w:rPr>
        <w:t xml:space="preserve">21、投标文件的撤回和修改</w:t>
      </w:r>
      <w:bookmarkEnd w:id="123"/>
      <w:r/>
      <w:bookmarkEnd w:id="124"/>
      <w:r/>
      <w:bookmarkEnd w:id="125"/>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21.2.1投标人可在投标截止时间前，对其电子投标文件进行修改，具体操作方法见《操作手册》。</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在投标截止时间之后，投标人不得对其电子投标文件作任何修改。</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8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6" w:name="_Toc20823301"/>
      <w:r/>
      <w:bookmarkStart w:id="127" w:name="_Toc513029229"/>
      <w:r/>
      <w:bookmarkStart w:id="128" w:name="_Toc16938545"/>
      <w:r/>
      <w:bookmarkStart w:id="129" w:name="_Toc120614218"/>
      <w:r>
        <w:rPr>
          <w:rFonts w:hint="eastAsia" w:ascii="宋体" w:hAnsi="宋体" w:eastAsia="宋体" w:cs="宋体"/>
          <w:b/>
          <w:color w:val="auto"/>
          <w:sz w:val="24"/>
          <w:szCs w:val="24"/>
          <w:highlight w:val="none"/>
        </w:rPr>
        <w:t xml:space="preserve">五、开标与评标</w:t>
      </w:r>
      <w:bookmarkEnd w:id="126"/>
      <w:r/>
      <w:bookmarkEnd w:id="127"/>
      <w:r/>
      <w:bookmarkEnd w:id="128"/>
      <w:r/>
      <w:bookmarkEnd w:id="129"/>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30" w:name="_Toc513029230"/>
      <w:r/>
      <w:bookmarkStart w:id="131" w:name="_Toc20823302"/>
      <w:r/>
      <w:bookmarkStart w:id="132" w:name="_Toc16938546"/>
      <w:r>
        <w:rPr>
          <w:rFonts w:hint="eastAsia" w:ascii="宋体" w:hAnsi="宋体" w:eastAsia="宋体" w:cs="宋体"/>
          <w:color w:val="auto"/>
          <w:sz w:val="24"/>
          <w:szCs w:val="24"/>
          <w:highlight w:val="none"/>
        </w:rPr>
        <w:t xml:space="preserve">22、开标</w:t>
      </w:r>
      <w:bookmarkEnd w:id="130"/>
      <w:r/>
      <w:bookmarkEnd w:id="131"/>
      <w:r/>
      <w:bookmarkEnd w:id="132"/>
      <w:r/>
      <w:r/>
    </w:p>
    <w:p>
      <w:pPr>
        <w:pStyle w:val="863"/>
        <w:ind w:firstLine="480"/>
        <w:jc w:val="both"/>
        <w:spacing w:beforeAutospacing="0" w:afterAutospacing="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22.1 招标代理机构将在招标公告中规定的时间和地点组织公开开标。投标人应当按照《操作手册》规定，参加开标活动和在苏采云系统规定的时间内对投标文件进行解密。</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22.2开标仪式由招标代理机构组织。苏采云系统将自动对项目进行开标，并宣布各投标人名称和投标价格。</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auto"/>
          <w:sz w:val="24"/>
          <w:szCs w:val="24"/>
          <w:highlight w:val="none"/>
        </w:rPr>
        <w:t xml:space="preserve">，视同认可开标结果。</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33" w:name="_Toc20823303"/>
      <w:r/>
      <w:bookmarkStart w:id="134" w:name="_Toc16938547"/>
      <w:r/>
      <w:bookmarkStart w:id="135" w:name="_Toc513029231"/>
      <w:r>
        <w:rPr>
          <w:rFonts w:hint="eastAsia" w:ascii="宋体" w:hAnsi="宋体" w:eastAsia="宋体" w:cs="宋体"/>
          <w:color w:val="auto"/>
          <w:sz w:val="24"/>
          <w:szCs w:val="24"/>
          <w:highlight w:val="none"/>
        </w:rPr>
        <w:t xml:space="preserve">23、评标委员会</w:t>
      </w:r>
      <w:bookmarkEnd w:id="133"/>
      <w:r/>
      <w:bookmarkEnd w:id="134"/>
      <w:r/>
      <w:bookmarkEnd w:id="135"/>
      <w:r/>
      <w:r/>
    </w:p>
    <w:p>
      <w:pPr>
        <w:pStyle w:val="863"/>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val="0"/>
          <w:bCs/>
          <w:color w:val="auto"/>
          <w:sz w:val="24"/>
          <w:szCs w:val="24"/>
          <w:highlight w:val="none"/>
        </w:rPr>
        <w:t xml:space="preserve"> 23.1 开标后，招标代理机构将立即组织评标委员会（以下简称评委会）进行评标。</w:t>
      </w:r>
      <w:r/>
    </w:p>
    <w:p>
      <w:pPr>
        <w:pStyle w:val="863"/>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23.2 评委会由采购人代表和有关技术、经济等方面的专家组成，且人员构成符合政府采购有关规定。</w:t>
      </w:r>
      <w:r/>
    </w:p>
    <w:p>
      <w:pPr>
        <w:pStyle w:val="863"/>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23.3评委会独立工作，负责评审所有投标文件并确定中标</w:t>
      </w:r>
      <w:r>
        <w:rPr>
          <w:rFonts w:hint="eastAsia" w:ascii="宋体" w:hAnsi="宋体" w:eastAsia="宋体" w:cs="宋体"/>
          <w:b w:val="0"/>
          <w:bCs/>
          <w:color w:val="auto"/>
          <w:sz w:val="24"/>
          <w:szCs w:val="24"/>
          <w:highlight w:val="none"/>
          <w:lang w:eastAsia="zh-CN"/>
        </w:rPr>
        <w:t xml:space="preserve">候选人</w:t>
      </w:r>
      <w:r>
        <w:rPr>
          <w:rFonts w:hint="eastAsia" w:ascii="宋体" w:hAnsi="宋体" w:eastAsia="宋体" w:cs="宋体"/>
          <w:b w:val="0"/>
          <w:bCs/>
          <w:color w:val="auto"/>
          <w:sz w:val="24"/>
          <w:szCs w:val="24"/>
          <w:highlight w:val="none"/>
        </w:rPr>
        <w:t xml:space="preserve">。</w:t>
      </w:r>
      <w:r/>
    </w:p>
    <w:p>
      <w:pPr>
        <w:pStyle w:val="863"/>
        <w:ind w:firstLine="420"/>
        <w:jc w:val="both"/>
        <w:keepLines/>
        <w:keepNext/>
        <w:spacing w:beforeAutospacing="0" w:afterAutospacing="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24．评标过程的保密与公正</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24.1凡是与审查、澄清、评价和比较投标的有关资料以及授标建议等，采购人、评委、招标代理机构均不得向投标人或与评标无关的其他人员透露。</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24.2在评标过程中，投标人不得以任何行为影响评标过程，否则其投标文件将被作为无效投标文件。</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24.3 招标代理机构和评标委员会不向未中标的投标人解释未中标原因，也不公布评标过程中的相关细节。</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w:t>
      </w:r>
      <w:r>
        <w:rPr>
          <w:rFonts w:hint="eastAsia" w:ascii="宋体" w:hAnsi="宋体" w:eastAsia="宋体" w:cs="宋体"/>
          <w:color w:val="auto"/>
          <w:sz w:val="24"/>
          <w:szCs w:val="24"/>
          <w:highlight w:val="none"/>
        </w:rPr>
        <w:t xml:space="preserve">排序情况。</w:t>
      </w:r>
      <w:r>
        <w:rPr>
          <w:rFonts w:hint="eastAsia" w:ascii="宋体" w:hAnsi="宋体" w:eastAsia="宋体" w:cs="宋体"/>
          <w:color w:val="auto"/>
          <w:sz w:val="24"/>
          <w:szCs w:val="24"/>
          <w:highlight w:val="none"/>
          <w:shd w:val="clear" w:color="auto" w:fill="auto"/>
        </w:rPr>
        <w:t xml:space="preserve">（提醒：经</w:t>
      </w:r>
      <w:r>
        <w:rPr>
          <w:rFonts w:hint="eastAsia" w:ascii="宋体" w:hAnsi="宋体" w:eastAsia="宋体" w:cs="宋体"/>
          <w:color w:val="auto"/>
          <w:sz w:val="24"/>
          <w:szCs w:val="24"/>
          <w:highlight w:val="none"/>
          <w:shd w:val="clear" w:color="auto" w:fill="auto"/>
        </w:rPr>
        <w:t xml:space="preserve">办人在苏采云系统查询到中标结果公告后，再点击推送。招标文件定稿后该提醒删除）</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bookmarkStart w:id="136" w:name="_Toc513029232"/>
      <w:r/>
      <w:bookmarkStart w:id="137" w:name="_Toc20823304"/>
      <w:r/>
      <w:bookmarkStart w:id="138" w:name="_Toc16938548"/>
      <w:r>
        <w:rPr>
          <w:rFonts w:hint="eastAsia" w:ascii="宋体" w:hAnsi="宋体" w:eastAsia="宋体" w:cs="宋体"/>
          <w:color w:val="auto"/>
          <w:sz w:val="24"/>
          <w:szCs w:val="24"/>
          <w:highlight w:val="none"/>
        </w:rPr>
        <w:t xml:space="preserve">25．投标文件的澄清</w:t>
      </w:r>
      <w:bookmarkEnd w:id="136"/>
      <w:r/>
      <w:bookmarkEnd w:id="137"/>
      <w:r/>
      <w:bookmarkEnd w:id="138"/>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bookmarkStart w:id="139" w:name="_Toc16938549"/>
      <w:r/>
      <w:bookmarkStart w:id="140" w:name="_Toc20823305"/>
      <w:r/>
      <w:bookmarkStart w:id="141" w:name="_Toc513029233"/>
      <w:r>
        <w:rPr>
          <w:rFonts w:hint="eastAsia" w:ascii="宋体" w:hAnsi="宋体" w:eastAsia="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bookmarkEnd w:id="139"/>
      <w:r/>
      <w:bookmarkEnd w:id="140"/>
      <w:r/>
      <w:bookmarkEnd w:id="141"/>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auto"/>
          <w:sz w:val="24"/>
          <w:szCs w:val="24"/>
          <w:highlight w:val="none"/>
        </w:rPr>
        <w:t xml:space="preserve">说明和补正，其风险由投标人自行承担。</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26、对投标文件的初审</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26.1投标文件初审分为资格审查和符合性审查。</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符合性审查：依据招标文件的规定，由评委会从投标文件的有效性、完整性和对招标文件的响应程度进行审查，以确定是否对招标文件的实质性要求作出响应。</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26.1.3 未通过资格审查或符合性审查的投标人，招标代理机构将在苏采云系统中告知未通过资格审查或符合性审查的原因，评审结束后，招标代理机构将不再告知未通过资格审查或符合性审查的原因。</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auto"/>
          <w:sz w:val="24"/>
          <w:szCs w:val="24"/>
          <w:highlight w:val="none"/>
          <w:lang w:val="en-US" w:eastAsia="zh-CN"/>
        </w:rPr>
        <w:t xml:space="preserve">符</w:t>
      </w:r>
      <w:r>
        <w:rPr>
          <w:rFonts w:hint="eastAsia" w:ascii="宋体" w:hAnsi="宋体" w:eastAsia="宋体" w:cs="宋体"/>
          <w:color w:val="auto"/>
          <w:sz w:val="24"/>
          <w:szCs w:val="24"/>
          <w:highlight w:val="none"/>
        </w:rPr>
        <w:t xml:space="preserve">合要求的偏离或保留而使其投标成为实质性响应的投标。</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26.4评委会将对确定为实质性响应的投标进行进一步审核，看其是否有计算上或累加上的算术错误，修正错误的原则如下：</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bookmarkStart w:id="142" w:name="_Toc16938550"/>
      <w:r/>
      <w:bookmarkStart w:id="143" w:name="_Toc513029234"/>
      <w:r/>
      <w:bookmarkStart w:id="144" w:name="_Toc20823306"/>
      <w:r>
        <w:rPr>
          <w:rFonts w:hint="eastAsia" w:ascii="宋体" w:hAnsi="宋体" w:eastAsia="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63"/>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非单一产品采购项目，招标文件中将载明其中的核心产品。多家投标人提供的核心产品品牌相同的，按前两款规定处理。</w:t>
      </w:r>
      <w:r/>
    </w:p>
    <w:p>
      <w:pPr>
        <w:pStyle w:val="863"/>
        <w:ind w:firstLine="42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26.7投标人在开、评标全过程中应保持通信畅通，及时登录苏采云系统查阅、答复相关信息，并安排专人与招标代理机构及评标委员会联系。</w:t>
      </w:r>
      <w:r/>
    </w:p>
    <w:p>
      <w:pPr>
        <w:pStyle w:val="863"/>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bookmarkStart w:id="145" w:name="_Toc513029235"/>
      <w:r/>
      <w:bookmarkStart w:id="146" w:name="_Toc16938551"/>
      <w:r/>
      <w:bookmarkStart w:id="147" w:name="_Toc20823307"/>
      <w:r>
        <w:rPr>
          <w:rFonts w:hint="eastAsia" w:ascii="宋体" w:hAnsi="宋体" w:eastAsia="宋体" w:cs="宋体"/>
          <w:color w:val="auto"/>
          <w:sz w:val="24"/>
          <w:szCs w:val="24"/>
          <w:highlight w:val="none"/>
        </w:rPr>
        <w:t xml:space="preserve">27.1无效投标条款</w:t>
      </w:r>
      <w:bookmarkEnd w:id="145"/>
      <w:r/>
      <w:bookmarkEnd w:id="146"/>
      <w:r/>
      <w:bookmarkEnd w:id="147"/>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27.1.3同一投标人提交两个（含两个）以上不同的投标报价的。</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27.1.4投标人不具备招标文件中规定资格要求的。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27.1.5投标人的报价超过了采购预算或最高限价的。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27.1.6未通过符合性审查的。</w:t>
      </w:r>
      <w:r/>
    </w:p>
    <w:p>
      <w:pPr>
        <w:pStyle w:val="863"/>
        <w:ind w:firstLine="36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27.1.7不符合招标文件中规定的实质性要求和条件的（</w:t>
      </w:r>
      <w:r>
        <w:rPr>
          <w:rFonts w:hint="eastAsia" w:ascii="宋体" w:hAnsi="宋体" w:eastAsia="宋体" w:cs="宋体"/>
          <w:i/>
          <w:color w:val="auto"/>
          <w:sz w:val="24"/>
          <w:szCs w:val="24"/>
          <w:highlight w:val="none"/>
          <w:u w:val="single"/>
        </w:rPr>
        <w:t xml:space="preserve">本招标文件中斜体且有下划线部分为实质性要求和条件）。</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27.1.9投标文件含有采购人不能接受的附加条件的。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863"/>
        <w:ind w:firstLine="480"/>
        <w:jc w:val="both"/>
        <w:spacing w:beforeAutospacing="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（一）评审过程中出现下列情形之一的，评标委员会应当启动异常低价投标审查程序：</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3.投标（响应）报价低于采购项目最高限价45%的，即投标（响应）报价&lt;采购项目最高限价×45%；</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4.评审委员会基于专业判断，认为供应商报价过低，有可能影响产品质量或者不能诚信履约的其他情形。</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相关法律法规对供应商报价有规定的，从其规定。</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63"/>
        <w:ind w:left="0" w:right="0" w:firstLine="480"/>
        <w:jc w:val="both"/>
        <w:spacing w:before="0" w:beforeAutospacing="0" w:after="0" w:afterAutospacing="0" w:line="0" w:lineRule="atLeas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863"/>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auto"/>
          <w:sz w:val="24"/>
          <w:szCs w:val="24"/>
          <w:highlight w:val="none"/>
        </w:rPr>
        <w:t xml:space="preserve">在评标期间对招标文件做出实质响应的供应商不足三家情况，按政府采购相关规定执行。</w:t>
      </w:r>
      <w:r/>
    </w:p>
    <w:p>
      <w:pPr>
        <w:pStyle w:val="863"/>
        <w:ind w:firstLine="482"/>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48" w:name="_Toc120614219"/>
      <w:r>
        <w:rPr>
          <w:rFonts w:hint="eastAsia" w:ascii="宋体" w:hAnsi="宋体" w:eastAsia="宋体" w:cs="宋体"/>
          <w:b/>
          <w:color w:val="auto"/>
          <w:sz w:val="24"/>
          <w:szCs w:val="24"/>
          <w:highlight w:val="none"/>
        </w:rPr>
        <w:t xml:space="preserve">六、定标</w:t>
      </w:r>
      <w:bookmarkEnd w:id="148"/>
      <w:r/>
      <w:r/>
    </w:p>
    <w:p>
      <w:pPr>
        <w:pStyle w:val="863"/>
        <w:ind w:firstLine="600"/>
        <w:jc w:val="both"/>
        <w:keepLines/>
        <w:keepNext/>
        <w:spacing w:beforeAutospacing="0" w:afterAutospacing="0"/>
        <w:rPr>
          <w:rFonts w:hint="eastAsia" w:ascii="宋体" w:hAnsi="宋体" w:eastAsia="宋体" w:cs="宋体"/>
          <w:color w:val="auto"/>
          <w:sz w:val="24"/>
          <w:szCs w:val="24"/>
          <w:highlight w:val="none"/>
        </w:rPr>
      </w:pPr>
      <w:r/>
      <w:bookmarkStart w:id="149" w:name="_Toc20823310"/>
      <w:r/>
      <w:bookmarkStart w:id="150" w:name="_Toc16938554"/>
      <w:r/>
      <w:bookmarkStart w:id="151" w:name="_Toc513029238"/>
      <w:r>
        <w:rPr>
          <w:rFonts w:hint="eastAsia" w:ascii="宋体" w:hAnsi="宋体" w:eastAsia="宋体" w:cs="宋体"/>
          <w:color w:val="auto"/>
          <w:sz w:val="24"/>
          <w:szCs w:val="24"/>
          <w:highlight w:val="none"/>
        </w:rPr>
        <w:t xml:space="preserve">28、</w:t>
      </w:r>
      <w:bookmarkEnd w:id="149"/>
      <w:r>
        <w:rPr>
          <w:rFonts w:hint="eastAsia" w:ascii="宋体" w:hAnsi="宋体" w:eastAsia="宋体" w:cs="宋体"/>
          <w:color w:val="auto"/>
          <w:sz w:val="24"/>
          <w:szCs w:val="24"/>
          <w:highlight w:val="none"/>
        </w:rPr>
        <w:t xml:space="preserve">确定</w:t>
      </w:r>
      <w:bookmarkEnd w:id="150"/>
      <w:r/>
      <w:bookmarkEnd w:id="151"/>
      <w:r>
        <w:rPr>
          <w:rFonts w:hint="eastAsia" w:ascii="宋体" w:hAnsi="宋体" w:eastAsia="宋体" w:cs="宋体"/>
          <w:color w:val="auto"/>
          <w:sz w:val="24"/>
          <w:szCs w:val="24"/>
          <w:highlight w:val="none"/>
        </w:rPr>
        <w:t xml:space="preserve">中标单位</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28.1中标候选人的选取原则和数量见招标文件第五章规定。 </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28.3 招标代理机构将在中国政府采购网”“江苏政府采购网”“盐城市政府采购网”发布中标公告，公告期限为1个工作日。</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28.4  若有充分证据证明，中标人出现下列情况之一的，一经查实，将被取消中标资格：</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28.4.1提供虚假材料谋取中标的。</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28.4.2向采购人、招标代理机构行贿或者提供其他不正当利益的。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28.4.3属于本文件规定的无效条件，但在评标过程中又未被评委会发现的。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28.4.4与采购人或者其他供应商恶意串通的。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28.4.5采取不正当手段诋毁、排挤其他供应商的。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bookmarkStart w:id="152" w:name="_Toc200451960"/>
      <w:r>
        <w:rPr>
          <w:rFonts w:hint="eastAsia" w:ascii="宋体" w:hAnsi="宋体" w:eastAsia="宋体" w:cs="宋体"/>
          <w:color w:val="auto"/>
          <w:sz w:val="24"/>
          <w:szCs w:val="24"/>
          <w:highlight w:val="none"/>
        </w:rPr>
        <w:t xml:space="preserve">28.5. 有下列情形之一的，视为投标人串通投标，投标无效：</w:t>
      </w:r>
      <w:bookmarkEnd w:id="152"/>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28.5.1不同投标人的投标文件由同一单位或者个人编制；</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28.5.2不同投标人委托同一单位或者个人办理投标事宜；</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不同投标人的投标文件载明的项目管理成员或者联系人员为同一人；</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28.5.4不同投标人的投标文件异常一致或者投标报价呈规律性差异；</w:t>
      </w:r>
      <w:r/>
    </w:p>
    <w:p>
      <w:pPr>
        <w:pStyle w:val="863"/>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29、质疑处理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   29.2.3对中标或者成交结果提出质疑的，为中标或者成交结果公告期限届满之日。</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pStyle w:val="863"/>
        <w:ind w:firstLine="48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采购人及招标代理机构只接收以纸质原件形式送达的质疑，采购人和招标代理机构不接受未填写快递运单的快件。质疑接收地址：滨海县育才路166号政务服务中心二楼2202室，联系电话：15950201008。</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未参加投标活动的供应商或在投标活动中自身权益未受到损害的供应商所提出的质疑。</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29.5.5供应商组成联合体参加投标，联合体中任何一方或多方未按要求签字、盖章、加盖公章的质疑。</w:t>
      </w:r>
      <w:r/>
    </w:p>
    <w:p>
      <w:pPr>
        <w:pStyle w:val="863"/>
        <w:ind w:firstLine="468"/>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pStyle w:val="863"/>
        <w:ind w:firstLine="600"/>
        <w:jc w:val="both"/>
        <w:keepLines/>
        <w:keepNext/>
        <w:spacing w:beforeAutospacing="0" w:afterAutospacing="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30、中标通知书</w:t>
      </w:r>
      <w:r/>
    </w:p>
    <w:p>
      <w:pPr>
        <w:pStyle w:val="863"/>
        <w:ind w:firstLine="600"/>
        <w:jc w:val="both"/>
        <w:spacing w:beforeAutospacing="0" w:afterAutospacing="0" w:line="0" w:lineRule="atLeas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30.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3"/>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63"/>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53" w:name="_Toc20823308"/>
      <w:r/>
      <w:bookmarkStart w:id="154" w:name="_Toc16938552"/>
      <w:r/>
      <w:bookmarkStart w:id="155" w:name="_Toc120614220"/>
      <w:r/>
      <w:bookmarkStart w:id="156" w:name="_Toc513029236"/>
      <w:r>
        <w:rPr>
          <w:rFonts w:hint="eastAsia" w:ascii="宋体" w:hAnsi="宋体" w:eastAsia="宋体" w:cs="宋体"/>
          <w:b/>
          <w:color w:val="auto"/>
          <w:sz w:val="24"/>
          <w:szCs w:val="24"/>
          <w:highlight w:val="none"/>
        </w:rPr>
        <w:t xml:space="preserve">七、授予合同</w:t>
      </w:r>
      <w:bookmarkEnd w:id="153"/>
      <w:r/>
      <w:bookmarkEnd w:id="154"/>
      <w:r/>
      <w:bookmarkEnd w:id="155"/>
      <w:r/>
      <w:bookmarkEnd w:id="156"/>
      <w:r/>
      <w:r/>
    </w:p>
    <w:p>
      <w:pPr>
        <w:pStyle w:val="863"/>
        <w:ind w:firstLine="600"/>
        <w:jc w:val="both"/>
        <w:keepLines/>
        <w:keepNext/>
        <w:spacing w:beforeAutospacing="0" w:afterAutospacing="0"/>
        <w:rPr>
          <w:rFonts w:hint="eastAsia" w:ascii="宋体" w:hAnsi="宋体" w:eastAsia="宋体" w:cs="宋体"/>
          <w:color w:val="auto"/>
          <w:sz w:val="24"/>
          <w:szCs w:val="24"/>
          <w:highlight w:val="none"/>
        </w:rPr>
      </w:pPr>
      <w:r/>
      <w:bookmarkStart w:id="157" w:name="_Toc513029237"/>
      <w:r/>
      <w:bookmarkStart w:id="158" w:name="_Toc16938553"/>
      <w:r/>
      <w:bookmarkStart w:id="159" w:name="_Toc20823309"/>
      <w:r>
        <w:rPr>
          <w:rFonts w:hint="eastAsia" w:ascii="宋体" w:hAnsi="宋体" w:eastAsia="宋体" w:cs="宋体"/>
          <w:color w:val="auto"/>
          <w:sz w:val="24"/>
          <w:szCs w:val="24"/>
          <w:highlight w:val="none"/>
        </w:rPr>
        <w:t xml:space="preserve">31. 签订合同</w:t>
      </w:r>
      <w:bookmarkEnd w:id="157"/>
      <w:r/>
      <w:bookmarkEnd w:id="158"/>
      <w:r/>
      <w:bookmarkEnd w:id="159"/>
      <w:r/>
      <w:r/>
    </w:p>
    <w:p>
      <w:pPr>
        <w:pStyle w:val="863"/>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31.l中标人应当在中标通知书发出之日起三十日内，按照招标文件确定的事项与采购人签订政府采购合同。</w:t>
      </w:r>
      <w:r/>
    </w:p>
    <w:p>
      <w:pPr>
        <w:pStyle w:val="863"/>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31.2招标文件、中标人的投标文件及招标过程中有关澄清、承诺文件均应作为合同附件。</w:t>
      </w:r>
      <w:r/>
    </w:p>
    <w:p>
      <w:pPr>
        <w:pStyle w:val="863"/>
        <w:ind w:firstLine="600"/>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31.3 签订合同后，</w:t>
      </w:r>
      <w:r>
        <w:rPr>
          <w:rFonts w:hint="eastAsia" w:ascii="宋体" w:hAnsi="宋体" w:eastAsia="宋体" w:cs="宋体"/>
          <w:i/>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auto"/>
          <w:sz w:val="24"/>
          <w:szCs w:val="24"/>
          <w:highlight w:val="none"/>
          <w:shd w:val="clear" w:color="auto" w:fill="auto"/>
        </w:rPr>
        <w:t xml:space="preserve">购人损失的，中标人应承担相应赔偿责任。</w:t>
      </w:r>
      <w:r/>
    </w:p>
    <w:p>
      <w:pPr>
        <w:pStyle w:val="863"/>
        <w:ind w:firstLine="60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32、货物（包含与货物相关的服务）的追加</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63"/>
        <w:numPr>
          <w:ilvl w:val="0"/>
          <w:numId w:val="0"/>
        </w:numPr>
        <w:ind w:firstLine="480"/>
        <w:jc w:val="both"/>
        <w:spacing w:beforeAutospacing="0" w:afterAutospacing="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863"/>
        <w:ind w:firstLine="48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.3.1中小企业定义：</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spacing w:before="0" w:after="0"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auto"/>
          <w:sz w:val="24"/>
          <w:szCs w:val="24"/>
          <w:highlight w:val="none"/>
        </w:rPr>
        <w:t xml:space="preserve">。</w:t>
      </w:r>
      <w:r/>
    </w:p>
    <w:p>
      <w:pPr>
        <w:ind w:firstLine="482"/>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33.8实施本国产品标准及相关政策</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r>
      <w:r/>
    </w:p>
    <w:p>
      <w:pPr>
        <w:ind w:firstLine="482"/>
        <w:spacing w:line="480" w:lineRule="exact"/>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33.9履约保证金政策</w:t>
      </w:r>
      <w:r/>
    </w:p>
    <w:p>
      <w:pPr>
        <w:pStyle w:val="871"/>
        <w:ind w:left="0" w:firstLine="560"/>
        <w:spacing w:after="0" w:line="52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确需收取履约保证金的，履约保证金的缴纳形式：</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2"/>
        <w:spacing w:line="480" w:lineRule="exact"/>
        <w:tabs>
          <w:tab w:val="left" w:pos="1381" w:leader="none"/>
        </w:tabs>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34. 预付款制度</w:t>
      </w:r>
      <w:r/>
    </w:p>
    <w:p>
      <w:pPr>
        <w:ind w:firstLine="48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本项目落实预付款制度，预付款比例为30%（原则上不低于合同金额的30%）。在签订合同时，中标、成交供应商明确书面表示无需预付款或者主动要求降低预付款比例的，采购人可就预付款比例作相应调整。</w:t>
      </w:r>
      <w:r/>
    </w:p>
    <w:p>
      <w:pPr>
        <w:pStyle w:val="871"/>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rPr>
          <w:rFonts w:hint="eastAsia"/>
          <w:color w:val="auto"/>
          <w:sz w:val="36"/>
          <w:szCs w:val="44"/>
          <w:highlight w:val="none"/>
          <w:lang w:val="en-US" w:eastAsia="zh-CN"/>
        </w:rPr>
      </w:pPr>
      <w:r/>
      <w:bookmarkStart w:id="160" w:name="_Toc479757211"/>
      <w:r/>
      <w:bookmarkStart w:id="161" w:name="_Toc20823346"/>
      <w:r/>
      <w:bookmarkStart w:id="162" w:name="_Toc16938590"/>
      <w:r/>
      <w:bookmarkStart w:id="163" w:name="_Toc120614244"/>
      <w:r/>
      <w:bookmarkStart w:id="164" w:name="_Hlt16619350"/>
      <w:r/>
      <w:bookmarkStart w:id="165" w:name="_Toc462564139"/>
      <w:r/>
      <w:bookmarkStart w:id="166" w:name="_Hlt16619369"/>
      <w:r>
        <w:rPr>
          <w:rFonts w:hint="eastAsia"/>
          <w:color w:val="auto"/>
          <w:sz w:val="36"/>
          <w:szCs w:val="44"/>
          <w:highlight w:val="none"/>
          <w:lang w:val="en-US" w:eastAsia="zh-CN"/>
        </w:rPr>
        <w:t xml:space="preserve">            </w:t>
      </w:r>
      <w:r/>
    </w:p>
    <w:p>
      <w:pPr>
        <w:ind w:firstLine="1928"/>
        <w:rPr>
          <w:rFonts w:ascii="宋体" w:hAnsi="宋体" w:cs="宋体"/>
          <w:b/>
          <w:color w:val="auto"/>
          <w:sz w:val="48"/>
          <w:szCs w:val="44"/>
          <w:highlight w:val="none"/>
        </w:rPr>
      </w:pPr>
      <w:r>
        <w:rPr>
          <w:rFonts w:hint="eastAsia" w:ascii="宋体" w:hAnsi="宋体" w:cs="宋体"/>
          <w:b/>
          <w:color w:val="auto"/>
          <w:sz w:val="48"/>
          <w:szCs w:val="44"/>
          <w:highlight w:val="none"/>
        </w:rPr>
        <w:t xml:space="preserve">第三</w:t>
      </w:r>
      <w:r>
        <w:rPr>
          <w:rFonts w:hint="eastAsia" w:ascii="宋体" w:hAnsi="宋体" w:cs="宋体"/>
          <w:b/>
          <w:color w:val="auto"/>
          <w:sz w:val="48"/>
          <w:szCs w:val="44"/>
          <w:highlight w:val="none"/>
          <w:lang w:eastAsia="zh-CN"/>
        </w:rPr>
        <w:t xml:space="preserve">章</w:t>
      </w:r>
      <w:r>
        <w:rPr>
          <w:rFonts w:hint="eastAsia" w:ascii="宋体" w:hAnsi="宋体" w:cs="宋体"/>
          <w:b/>
          <w:color w:val="auto"/>
          <w:sz w:val="48"/>
          <w:szCs w:val="44"/>
          <w:highlight w:val="none"/>
        </w:rPr>
        <w:t xml:space="preserve">  合同条款</w:t>
      </w:r>
      <w:r/>
    </w:p>
    <w:p>
      <w:pPr>
        <w:rPr>
          <w:rFonts w:ascii="宋体" w:hAnsi="宋体" w:cs="宋体"/>
          <w:color w:val="auto"/>
          <w:highlight w:val="none"/>
        </w:rPr>
      </w:pPr>
      <w:r/>
      <w:bookmarkStart w:id="167" w:name="EB6d2006462e294de090c16e672cecc3bd"/>
      <w:r/>
      <w:bookmarkEnd w:id="167"/>
      <w:r/>
      <w:r/>
    </w:p>
    <w:p>
      <w:pPr>
        <w:jc w:val="center"/>
        <w:rPr>
          <w:rFonts w:ascii="宋体" w:hAnsi="宋体" w:cs="宋体"/>
          <w:b/>
          <w:bCs/>
          <w:color w:val="auto"/>
          <w:spacing w:val="-20"/>
          <w:sz w:val="48"/>
          <w:szCs w:val="48"/>
          <w:highlight w:val="none"/>
        </w:rPr>
      </w:pPr>
      <w:r/>
      <w:bookmarkStart w:id="168" w:name="_Toc3995"/>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b/>
          <w:bCs/>
          <w:color w:val="auto"/>
          <w:spacing w:val="-20"/>
          <w:sz w:val="48"/>
          <w:szCs w:val="48"/>
          <w:highlight w:val="none"/>
        </w:rPr>
      </w:pPr>
      <w:r>
        <w:rPr>
          <w:rFonts w:ascii="宋体" w:hAnsi="宋体" w:cs="宋体"/>
          <w:b/>
          <w:bCs/>
          <w:color w:val="auto"/>
          <w:spacing w:val="-20"/>
          <w:sz w:val="48"/>
          <w:szCs w:val="48"/>
          <w:highlight w:val="none"/>
        </w:rPr>
      </w:r>
      <w:r/>
    </w:p>
    <w:p>
      <w:pPr>
        <w:jc w:val="center"/>
        <w:rPr>
          <w:rFonts w:ascii="宋体" w:hAnsi="宋体" w:cs="宋体"/>
          <w:color w:val="auto"/>
          <w:sz w:val="30"/>
          <w:highlight w:val="none"/>
        </w:rPr>
      </w:pPr>
      <w:r>
        <w:rPr>
          <w:rFonts w:ascii="宋体" w:hAnsi="宋体" w:cs="宋体"/>
          <w:color w:val="auto"/>
          <w:sz w:val="30"/>
          <w:highlight w:val="none"/>
        </w:rPr>
      </w:r>
      <w:r/>
    </w:p>
    <w:p>
      <w:pPr>
        <w:jc w:val="center"/>
        <w:rPr>
          <w:rFonts w:ascii="宋体" w:hAnsi="宋体" w:cs="宋体"/>
          <w:color w:val="auto"/>
          <w:sz w:val="36"/>
          <w:szCs w:val="36"/>
          <w:highlight w:val="none"/>
        </w:rPr>
      </w:pPr>
      <w:r>
        <w:rPr>
          <w:rFonts w:hint="eastAsia" w:ascii="宋体" w:hAnsi="宋体" w:cs="宋体"/>
          <w:color w:val="auto"/>
          <w:sz w:val="36"/>
          <w:szCs w:val="36"/>
          <w:highlight w:val="none"/>
        </w:rPr>
        <w:t xml:space="preserve">政府采购货物买卖合同</w:t>
      </w:r>
      <w:r/>
    </w:p>
    <w:p>
      <w:pPr>
        <w:jc w:val="cente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rPr>
          <w:rFonts w:ascii="宋体" w:hAnsi="宋体" w:cs="宋体"/>
          <w:color w:val="auto"/>
          <w:sz w:val="30"/>
          <w:highlight w:val="none"/>
        </w:rPr>
      </w:pPr>
      <w:r>
        <w:rPr>
          <w:rFonts w:ascii="宋体" w:hAnsi="宋体" w:cs="宋体"/>
          <w:color w:val="auto"/>
          <w:sz w:val="30"/>
          <w:highlight w:val="none"/>
        </w:rPr>
      </w:r>
      <w:r/>
    </w:p>
    <w:p>
      <w:pPr>
        <w:ind w:left="420"/>
        <w:spacing w:line="360" w:lineRule="auto"/>
        <w:rPr>
          <w:rFonts w:ascii="宋体" w:hAnsi="宋体" w:cs="宋体"/>
          <w:color w:val="auto"/>
          <w:sz w:val="30"/>
          <w:szCs w:val="30"/>
          <w:highlight w:val="none"/>
        </w:rPr>
      </w:pPr>
      <w:r>
        <w:rPr>
          <w:rFonts w:hint="eastAsia" w:ascii="宋体" w:hAnsi="宋体" w:cs="宋体"/>
          <w:color w:val="auto"/>
          <w:sz w:val="30"/>
          <w:highlight w:val="none"/>
        </w:rPr>
        <w:t xml:space="preserve">项目名称：</w:t>
      </w:r>
      <w:r>
        <w:rPr>
          <w:b/>
          <w:color w:val="auto"/>
          <w:sz w:val="30"/>
          <w:szCs w:val="30"/>
          <w:highlight w:val="none"/>
        </w:rPr>
        <w:t xml:space="preserve">滨海县公安局2026年DNA实验室耗材采购项目</w:t>
      </w:r>
      <w:r/>
    </w:p>
    <w:p>
      <w:pPr>
        <w:ind w:left="420"/>
        <w:spacing w:line="360" w:lineRule="auto"/>
        <w:rPr>
          <w:rFonts w:hint="default" w:ascii="宋体" w:hAnsi="宋体" w:cs="宋体" w:eastAsiaTheme="minorEastAsia"/>
          <w:color w:val="auto"/>
          <w:sz w:val="30"/>
          <w:szCs w:val="30"/>
          <w:highlight w:val="none"/>
          <w:lang w:val="en-US" w:eastAsia="zh-CN"/>
        </w:rPr>
      </w:pPr>
      <w:r>
        <w:rPr>
          <w:rFonts w:hint="eastAsia" w:ascii="宋体" w:hAnsi="宋体" w:cs="宋体"/>
          <w:color w:val="auto"/>
          <w:sz w:val="30"/>
          <w:szCs w:val="30"/>
          <w:highlight w:val="none"/>
        </w:rPr>
        <w:t xml:space="preserve">合同编号：</w:t>
      </w:r>
      <w:r>
        <w:rPr>
          <w:b/>
          <w:color w:val="auto"/>
          <w:sz w:val="30"/>
          <w:szCs w:val="30"/>
          <w:highlight w:val="none"/>
        </w:rPr>
        <w:t xml:space="preserve">JSZC-320922-ZQYC-G2026-00</w:t>
      </w:r>
      <w:r>
        <w:rPr>
          <w:rFonts w:hint="eastAsia"/>
          <w:b/>
          <w:color w:val="auto"/>
          <w:sz w:val="30"/>
          <w:szCs w:val="30"/>
          <w:highlight w:val="none"/>
          <w:lang w:val="en-US" w:eastAsia="zh-CN"/>
        </w:rPr>
        <w:t xml:space="preserve">18</w:t>
      </w:r>
      <w:r/>
    </w:p>
    <w:p>
      <w:pPr>
        <w:ind w:left="420"/>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甲    方：</w:t>
      </w:r>
      <w:r>
        <w:rPr>
          <w:b/>
          <w:color w:val="auto"/>
          <w:sz w:val="30"/>
          <w:szCs w:val="30"/>
          <w:highlight w:val="none"/>
        </w:rPr>
        <w:t xml:space="preserve">滨海县公安局</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乙    方：</w:t>
      </w:r>
      <w:r/>
    </w:p>
    <w:p>
      <w:pPr>
        <w:ind w:left="420"/>
        <w:spacing w:line="360" w:lineRule="auto"/>
        <w:rPr>
          <w:rFonts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r/>
    </w:p>
    <w:p>
      <w:pPr>
        <w:rPr>
          <w:rFonts w:eastAsia="黑体"/>
          <w:color w:val="auto"/>
          <w:sz w:val="44"/>
          <w:szCs w:val="44"/>
          <w:highlight w:val="none"/>
        </w:rPr>
      </w:pPr>
      <w:r>
        <w:rPr>
          <w:rFonts w:eastAsia="黑体"/>
          <w:color w:val="auto"/>
          <w:sz w:val="44"/>
          <w:szCs w:val="44"/>
          <w:highlight w:val="none"/>
        </w:rPr>
        <w:br w:type="page" w:clear="all"/>
      </w:r>
      <w:r/>
    </w:p>
    <w:p>
      <w:pPr>
        <w:jc w:val="center"/>
        <w:rPr>
          <w:rFonts w:hint="eastAsia" w:eastAsia="黑体"/>
          <w:color w:val="auto"/>
          <w:sz w:val="44"/>
          <w:szCs w:val="44"/>
          <w:highlight w:val="none"/>
        </w:rPr>
      </w:pPr>
      <w:r>
        <w:rPr>
          <w:rFonts w:hint="eastAsia" w:eastAsia="黑体"/>
          <w:color w:val="auto"/>
          <w:sz w:val="44"/>
          <w:szCs w:val="44"/>
          <w:highlight w:val="none"/>
        </w:rPr>
      </w:r>
      <w:r/>
    </w:p>
    <w:p>
      <w:pPr>
        <w:jc w:val="center"/>
        <w:rPr>
          <w:rFonts w:hint="eastAsia" w:eastAsia="黑体"/>
          <w:color w:val="auto"/>
          <w:sz w:val="44"/>
          <w:szCs w:val="44"/>
          <w:highlight w:val="none"/>
        </w:rPr>
      </w:pPr>
      <w:r>
        <w:rPr>
          <w:rFonts w:hint="eastAsia" w:eastAsia="黑体"/>
          <w:color w:val="auto"/>
          <w:sz w:val="44"/>
          <w:szCs w:val="44"/>
          <w:highlight w:val="none"/>
        </w:rPr>
      </w:r>
      <w:r/>
    </w:p>
    <w:p>
      <w:pPr>
        <w:jc w:val="center"/>
        <w:rPr>
          <w:rFonts w:eastAsia="黑体"/>
          <w:color w:val="auto"/>
          <w:sz w:val="44"/>
          <w:szCs w:val="44"/>
          <w:highlight w:val="none"/>
        </w:rPr>
      </w:pPr>
      <w:r>
        <w:rPr>
          <w:rFonts w:hint="eastAsia" w:eastAsia="黑体"/>
          <w:color w:val="auto"/>
          <w:sz w:val="44"/>
          <w:szCs w:val="44"/>
          <w:highlight w:val="none"/>
        </w:rPr>
        <w:t xml:space="preserve">使用说明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eastAsia="黑体"/>
          <w:color w:val="auto"/>
          <w:sz w:val="44"/>
          <w:szCs w:val="44"/>
          <w:highlight w:val="none"/>
        </w:rPr>
      </w:r>
      <w:bookmarkEnd w:id="168"/>
      <w:r/>
      <w:r/>
    </w:p>
    <w:p>
      <w:pPr>
        <w:jc w:val="center"/>
        <w:keepLines/>
        <w:keepNext/>
        <w:spacing w:line="400" w:lineRule="exact"/>
        <w:rPr>
          <w:rFonts w:ascii="黑体" w:hAnsi="黑体" w:eastAsia="黑体"/>
          <w:b/>
          <w:bCs/>
          <w:color w:val="auto"/>
          <w:sz w:val="28"/>
          <w:szCs w:val="28"/>
          <w:highlight w:val="none"/>
        </w:rPr>
        <w:outlineLvl w:val="1"/>
      </w:pPr>
      <w:r/>
      <w:bookmarkStart w:id="169" w:name="_Toc22209"/>
      <w:r/>
      <w:r/>
    </w:p>
    <w:p>
      <w:pPr>
        <w:jc w:val="center"/>
        <w:keepLines/>
        <w:keepNext/>
        <w:spacing w:line="400" w:lineRule="exact"/>
        <w:rPr>
          <w:rFonts w:ascii="黑体" w:hAnsi="华文中宋" w:eastAsia="黑体"/>
          <w:color w:val="auto"/>
          <w:sz w:val="28"/>
          <w:szCs w:val="28"/>
          <w:highlight w:val="none"/>
        </w:rPr>
        <w:outlineLvl w:val="1"/>
      </w:pPr>
      <w:r>
        <w:rPr>
          <w:rFonts w:hint="eastAsia" w:ascii="黑体" w:hAnsi="黑体" w:eastAsia="黑体"/>
          <w:color w:val="auto"/>
          <w:sz w:val="28"/>
          <w:szCs w:val="28"/>
          <w:highlight w:val="none"/>
        </w:rPr>
        <w:t xml:space="preserve">第一节 </w:t>
      </w:r>
      <w:r>
        <w:rPr>
          <w:rFonts w:hint="eastAsia" w:ascii="黑体" w:hAnsi="华文中宋" w:eastAsia="黑体"/>
          <w:color w:val="auto"/>
          <w:sz w:val="28"/>
          <w:szCs w:val="28"/>
          <w:highlight w:val="none"/>
        </w:rPr>
        <w:t xml:space="preserve">政府采购合同协议书</w:t>
      </w:r>
      <w:bookmarkEnd w:id="169"/>
      <w:r/>
      <w:r/>
    </w:p>
    <w:p>
      <w:pPr>
        <w:jc w:val="center"/>
        <w:keepLines/>
        <w:keepNext/>
        <w:spacing w:line="360" w:lineRule="auto"/>
        <w:rPr>
          <w:rFonts w:ascii="黑体" w:hAnsi="华文中宋" w:eastAsia="黑体"/>
          <w:color w:val="auto"/>
          <w:sz w:val="28"/>
          <w:szCs w:val="28"/>
          <w:highlight w:val="none"/>
        </w:rPr>
        <w:outlineLvl w:val="1"/>
      </w:pPr>
      <w:r>
        <w:rPr>
          <w:rFonts w:ascii="黑体" w:hAnsi="华文中宋" w:eastAsia="黑体"/>
          <w:color w:val="auto"/>
          <w:sz w:val="28"/>
          <w:szCs w:val="28"/>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甲方（全称）：</w:t>
      </w:r>
      <w:r>
        <w:rPr>
          <w:b/>
          <w:color w:val="auto"/>
          <w:highlight w:val="none"/>
        </w:rPr>
        <w:t xml:space="preserve">滨海县公安局</w:t>
      </w:r>
      <w:r/>
    </w:p>
    <w:p>
      <w:pPr>
        <w:spacing w:line="360" w:lineRule="auto"/>
        <w:rPr>
          <w:rFonts w:ascii="宋体" w:hAnsi="宋体"/>
          <w:color w:val="auto"/>
          <w:sz w:val="24"/>
          <w:highlight w:val="none"/>
        </w:rPr>
      </w:pPr>
      <w:r>
        <w:rPr>
          <w:rFonts w:hint="eastAsia" w:ascii="宋体" w:hAnsi="宋体"/>
          <w:color w:val="auto"/>
          <w:sz w:val="24"/>
          <w:highlight w:val="none"/>
        </w:rPr>
        <w:t xml:space="preserve">乙方（全称）：</w:t>
      </w:r>
      <w:r>
        <w:rPr>
          <w:rFonts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依据《中华人民共和国民法典</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项目信息</w:t>
      </w:r>
      <w:r/>
    </w:p>
    <w:p>
      <w:pPr>
        <w:numPr>
          <w:ilvl w:val="0"/>
          <w:numId w:val="2"/>
        </w:num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采购项目名称：</w:t>
      </w:r>
      <w:r>
        <w:rPr>
          <w:b/>
          <w:color w:val="auto"/>
          <w:sz w:val="24"/>
          <w:szCs w:val="24"/>
          <w:highlight w:val="none"/>
        </w:rPr>
        <w:t xml:space="preserve">滨海县公安局2026年DNA实验室耗材采购项目</w:t>
      </w:r>
      <w:r/>
    </w:p>
    <w:p>
      <w:pPr>
        <w:numPr>
          <w:ilvl w:val="255"/>
          <w:numId w:val="0"/>
        </w:numPr>
        <w:spacing w:line="360" w:lineRule="auto"/>
        <w:tabs>
          <w:tab w:val="left" w:pos="999" w:leader="none"/>
        </w:tabs>
        <w:rPr>
          <w:rFonts w:hint="default" w:ascii="宋体" w:hAnsi="宋体" w:eastAsiaTheme="minorEastAsia"/>
          <w:color w:val="auto"/>
          <w:sz w:val="24"/>
          <w:highlight w:val="none"/>
          <w:lang w:val="en-US" w:eastAsia="zh-CN"/>
        </w:rPr>
      </w:pPr>
      <w:r>
        <w:rPr>
          <w:rFonts w:hint="eastAsia" w:ascii="宋体" w:hAnsi="宋体"/>
          <w:color w:val="auto"/>
          <w:sz w:val="24"/>
          <w:highlight w:val="none"/>
        </w:rPr>
        <w:t xml:space="preserve">         采购项目编号：</w:t>
      </w:r>
      <w:r>
        <w:rPr>
          <w:b/>
          <w:color w:val="auto"/>
          <w:sz w:val="24"/>
          <w:szCs w:val="24"/>
          <w:highlight w:val="none"/>
        </w:rPr>
        <w:t xml:space="preserve">JSZC-320922-ZQYC-G2026-00</w:t>
      </w:r>
      <w:r>
        <w:rPr>
          <w:rFonts w:hint="eastAsia"/>
          <w:b/>
          <w:color w:val="auto"/>
          <w:sz w:val="24"/>
          <w:szCs w:val="24"/>
          <w:highlight w:val="none"/>
          <w:lang w:val="en-US" w:eastAsia="zh-CN"/>
        </w:rPr>
        <w:t xml:space="preserve">18</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（2）采购计划编号：</w:t>
      </w:r>
      <w:r/>
    </w:p>
    <w:p>
      <w:pPr>
        <w:ind w:firstLine="480"/>
        <w:spacing w:line="360" w:lineRule="auto"/>
        <w:rPr>
          <w:rFonts w:ascii="宋体" w:hAnsi="宋体"/>
          <w:color w:val="auto"/>
          <w:sz w:val="24"/>
          <w:highlight w:val="none"/>
        </w:rPr>
      </w:pPr>
      <w:r>
        <w:rPr>
          <w:rFonts w:hint="eastAsia" w:ascii="宋体" w:hAnsi="宋体"/>
          <w:b/>
          <w:color w:val="auto"/>
          <w:sz w:val="24"/>
          <w:highlight w:val="none"/>
        </w:rPr>
        <w:t xml:space="preserve">（3）项目内容：滨海县公安局2026年DNA实验室耗材采购，共一个包件，包括24道毛细管、POP4胶（384）、Liz600内标、阳极缓冲液、阴极缓冲液、试剂盒、滤芯吸头等DNA实验室耗材，具体详细内容见招标文件第四章。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采购标的及数量（台/套</w:t>
      </w:r>
      <w:r>
        <w:rPr>
          <w:rFonts w:ascii="宋体" w:hAnsi="宋体"/>
          <w:color w:val="auto"/>
          <w:sz w:val="24"/>
          <w:highlight w:val="none"/>
        </w:rPr>
        <w:t xml:space="preserve">/</w:t>
      </w:r>
      <w:r>
        <w:rPr>
          <w:rFonts w:hint="eastAsia" w:ascii="宋体" w:hAnsi="宋体"/>
          <w:color w:val="auto"/>
          <w:sz w:val="24"/>
          <w:highlight w:val="none"/>
        </w:rPr>
        <w:t xml:space="preserve">个</w:t>
      </w:r>
      <w:r>
        <w:rPr>
          <w:rFonts w:ascii="宋体" w:hAnsi="宋体"/>
          <w:color w:val="auto"/>
          <w:sz w:val="24"/>
          <w:highlight w:val="none"/>
        </w:rPr>
        <w:t xml:space="preserve">/</w:t>
      </w:r>
      <w:r>
        <w:rPr>
          <w:rFonts w:hint="eastAsia" w:ascii="宋体" w:hAnsi="宋体"/>
          <w:color w:val="auto"/>
          <w:sz w:val="24"/>
          <w:highlight w:val="none"/>
        </w:rPr>
        <w:t xml:space="preserve">架</w:t>
      </w:r>
      <w:r>
        <w:rPr>
          <w:rFonts w:ascii="宋体" w:hAnsi="宋体"/>
          <w:color w:val="auto"/>
          <w:sz w:val="24"/>
          <w:highlight w:val="none"/>
        </w:rPr>
        <w:t xml:space="preserve">/</w:t>
      </w:r>
      <w:r>
        <w:rPr>
          <w:rFonts w:hint="eastAsia" w:ascii="宋体" w:hAnsi="宋体"/>
          <w:color w:val="auto"/>
          <w:sz w:val="24"/>
          <w:highlight w:val="none"/>
        </w:rPr>
        <w:t xml:space="preserve">组等）：</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品牌：规格型号：</w:t>
      </w:r>
      <w:r/>
    </w:p>
    <w:p>
      <w:pPr>
        <w:ind w:firstLine="1080"/>
        <w:spacing w:line="360" w:lineRule="auto"/>
        <w:rPr>
          <w:rFonts w:ascii="宋体" w:hAnsi="宋体"/>
          <w:color w:val="auto"/>
          <w:sz w:val="24"/>
          <w:highlight w:val="none"/>
          <w:u w:val="single"/>
        </w:rPr>
      </w:pPr>
      <w:r>
        <w:rPr>
          <w:rFonts w:hint="eastAsia" w:ascii="宋体" w:hAnsi="宋体"/>
          <w:color w:val="auto"/>
          <w:sz w:val="24"/>
          <w:highlight w:val="none"/>
        </w:rPr>
        <w:t xml:space="preserve">采购标的的技术要求、商务要求具体见附件。</w:t>
      </w:r>
      <w:r/>
    </w:p>
    <w:p>
      <w:pPr>
        <w:numPr>
          <w:ilvl w:val="255"/>
          <w:numId w:val="0"/>
        </w:numPr>
        <w:ind w:firstLine="10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标的名称：</w:t>
      </w:r>
      <w:r/>
    </w:p>
    <w:p>
      <w:pPr>
        <w:ind w:firstLine="480"/>
        <w:spacing w:line="400" w:lineRule="exact"/>
        <w:rPr>
          <w:rFonts w:ascii="宋体" w:hAnsi="宋体" w:cs="宋体"/>
          <w:color w:val="auto"/>
          <w:szCs w:val="21"/>
          <w:highlight w:val="none"/>
        </w:rPr>
      </w:pPr>
      <w:r>
        <w:rPr>
          <w:rFonts w:hint="eastAsia" w:ascii="宋体" w:hAnsi="宋体" w:cs="宋体"/>
          <w:color w:val="auto"/>
          <w:sz w:val="24"/>
          <w:highlight w:val="none"/>
        </w:rPr>
        <w:t xml:space="preserve">    </w:t>
      </w:r>
      <w:r>
        <w:rPr>
          <w:rFonts w:hint="eastAsia" w:ascii="宋体" w:hAnsi="宋体" w:cs="宋体"/>
          <w:color w:val="auto"/>
          <w:szCs w:val="21"/>
          <w:highlight w:val="none"/>
        </w:rPr>
        <w:t xml:space="preserve">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86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6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②涉及车辆采购，请填写是否属于新能源汽车：</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 数量： 金额：</w:t>
      </w:r>
      <w:r/>
    </w:p>
    <w:p>
      <w:pPr>
        <w:numPr>
          <w:ilvl w:val="255"/>
          <w:numId w:val="0"/>
        </w:numPr>
        <w:jc w:val="left"/>
        <w:spacing w:line="360" w:lineRule="auto"/>
        <w:widowControl/>
        <w:rPr>
          <w:rFonts w:ascii="宋体" w:hAnsi="宋体" w:cs="宋体"/>
          <w:color w:val="auto"/>
          <w:sz w:val="24"/>
          <w:highlight w:val="non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numPr>
          <w:ilvl w:val="255"/>
          <w:numId w:val="0"/>
        </w:numPr>
        <w:ind w:firstLine="482"/>
        <w:jc w:val="left"/>
        <w:spacing w:line="360" w:lineRule="auto"/>
        <w:widowControl/>
        <w:rPr>
          <w:rFonts w:ascii="宋体" w:hAnsi="宋体" w:cs="宋体"/>
          <w:color w:val="auto"/>
          <w:sz w:val="24"/>
          <w:highlight w:val="none"/>
        </w:rPr>
      </w:pPr>
      <w:r>
        <w:rPr>
          <w:rFonts w:hint="eastAsia" w:ascii="宋体" w:hAnsi="宋体" w:cs="宋体"/>
          <w:b/>
          <w:color w:val="auto"/>
          <w:sz w:val="24"/>
          <w:highlight w:val="none"/>
        </w:rPr>
        <w:t xml:space="preserve">（4）政府采购组织形式： 分散采购</w:t>
      </w:r>
      <w:r/>
    </w:p>
    <w:p>
      <w:pPr>
        <w:numPr>
          <w:ilvl w:val="255"/>
          <w:numId w:val="0"/>
        </w:numPr>
        <w:ind w:firstLine="420"/>
        <w:jc w:val="left"/>
        <w:spacing w:line="360" w:lineRule="auto"/>
        <w:widowControl/>
        <w:rPr>
          <w:rFonts w:ascii="宋体" w:hAnsi="宋体" w:cs="宋体"/>
          <w:color w:val="auto"/>
          <w:sz w:val="24"/>
          <w:highlight w:val="none"/>
          <w:u w:val="single"/>
        </w:rPr>
      </w:pPr>
      <w:r>
        <w:rPr>
          <w:rFonts w:hint="eastAsia" w:ascii="宋体" w:hAnsi="宋体" w:cs="宋体"/>
          <w:b/>
          <w:color w:val="auto"/>
          <w:sz w:val="24"/>
          <w:highlight w:val="none"/>
        </w:rPr>
        <w:t xml:space="preserve">（5）政府采购方式：公开招标</w:t>
      </w:r>
      <w:r/>
    </w:p>
    <w:p>
      <w:pPr>
        <w:numPr>
          <w:ilvl w:val="255"/>
          <w:numId w:val="0"/>
        </w:numPr>
        <w:ind w:firstLine="240"/>
        <w:jc w:val="left"/>
        <w:spacing w:line="360" w:lineRule="auto"/>
        <w:widowControl/>
        <w:rPr>
          <w:rFonts w:ascii="宋体" w:hAnsi="宋体"/>
          <w:color w:val="auto"/>
          <w:sz w:val="24"/>
          <w:highlight w:val="none"/>
        </w:rPr>
      </w:pPr>
      <w:r>
        <w:rPr>
          <w:rFonts w:hint="eastAsia" w:ascii="宋体" w:hAnsi="宋体" w:eastAsia="华文楷体" w:cs="华文楷体"/>
          <w:color w:val="auto"/>
          <w:sz w:val="24"/>
          <w:highlight w:val="none"/>
        </w:rPr>
        <w:t xml:space="preserve"> （</w:t>
      </w:r>
      <w:r>
        <w:rPr>
          <w:rFonts w:ascii="宋体" w:hAnsi="宋体" w:eastAsia="华文楷体" w:cs="华文楷体"/>
          <w:color w:val="auto"/>
          <w:sz w:val="24"/>
          <w:highlight w:val="none"/>
        </w:rPr>
        <w:t xml:space="preserve">6</w:t>
      </w:r>
      <w:r>
        <w:rPr>
          <w:rFonts w:hint="eastAsia" w:ascii="宋体" w:hAnsi="宋体" w:eastAsia="华文楷体" w:cs="华文楷体"/>
          <w:color w:val="auto"/>
          <w:sz w:val="24"/>
          <w:highlight w:val="none"/>
        </w:rPr>
        <w:t xml:space="preserve">）</w:t>
      </w:r>
      <w:r>
        <w:rPr>
          <w:rFonts w:hint="eastAsia" w:ascii="宋体" w:hAnsi="宋体"/>
          <w:color w:val="auto"/>
          <w:sz w:val="24"/>
          <w:highlight w:val="none"/>
        </w:rPr>
        <w:t xml:space="preserve">中标（成交）采购标的制造商是否为中小企业：</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iCs/>
          <w:color w:val="auto"/>
          <w:sz w:val="24"/>
          <w:highlight w:val="none"/>
        </w:rPr>
      </w:pPr>
      <w:r>
        <w:rPr>
          <w:rFonts w:hint="eastAsia" w:ascii="宋体" w:hAnsi="宋体"/>
          <w:color w:val="auto"/>
          <w:sz w:val="24"/>
          <w:highlight w:val="none"/>
        </w:rPr>
        <w:t xml:space="preserve">         本合同是否为专门面向中小企业的采购合同（中小企业预留合同）：</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numPr>
          <w:ilvl w:val="255"/>
          <w:numId w:val="0"/>
        </w:numPr>
        <w:ind w:firstLine="964"/>
        <w:spacing w:line="360" w:lineRule="auto"/>
        <w:rPr>
          <w:rFonts w:ascii="宋体" w:hAnsi="宋体"/>
          <w:iCs/>
          <w:color w:val="auto"/>
          <w:sz w:val="24"/>
          <w:highlight w:val="none"/>
        </w:rPr>
      </w:pPr>
      <w:r>
        <w:rPr>
          <w:rFonts w:hint="eastAsia"/>
          <w:b/>
          <w:color w:val="auto"/>
          <w:sz w:val="24"/>
          <w:highlight w:val="none"/>
        </w:rPr>
        <w:t xml:space="preserve">若本项目不专门面向中小企业采购，是否给予小微企业评审优惠：是    </w:t>
      </w:r>
      <w:r/>
    </w:p>
    <w:p>
      <w:pPr>
        <w:numPr>
          <w:ilvl w:val="255"/>
          <w:numId w:val="0"/>
        </w:numPr>
        <w:spacing w:line="360" w:lineRule="auto"/>
        <w:rPr>
          <w:rFonts w:ascii="宋体" w:hAnsi="宋体"/>
          <w:iCs/>
          <w:color w:val="auto"/>
          <w:sz w:val="24"/>
          <w:highlight w:val="none"/>
        </w:rPr>
      </w:pPr>
      <w:r>
        <w:rPr>
          <w:rFonts w:hint="eastAsia"/>
          <w:color w:val="auto"/>
          <w:sz w:val="24"/>
          <w:highlight w:val="none"/>
        </w:rPr>
        <w:t xml:space="preserve">         中标（成交）采购标的制造商是否为残疾人福利性单位：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spacing w:line="360" w:lineRule="auto"/>
        <w:rPr>
          <w:color w:val="auto"/>
          <w:sz w:val="24"/>
          <w:highlight w:val="none"/>
        </w:rPr>
      </w:pPr>
      <w:r>
        <w:rPr>
          <w:rFonts w:hint="eastAsia"/>
          <w:color w:val="auto"/>
          <w:sz w:val="24"/>
          <w:highlight w:val="none"/>
        </w:rPr>
        <w:t xml:space="preserve">         中标（成交）采购标的制造商是否为监狱企业：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7</w:t>
      </w:r>
      <w:r>
        <w:rPr>
          <w:rFonts w:hint="eastAsia" w:ascii="宋体" w:hAnsi="宋体"/>
          <w:color w:val="auto"/>
          <w:sz w:val="24"/>
          <w:highlight w:val="none"/>
        </w:rPr>
        <w:t xml:space="preserve">）合同是否分包：</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否</w:t>
      </w:r>
      <w:r/>
    </w:p>
    <w:p>
      <w:pPr>
        <w:ind w:firstLine="960"/>
        <w:spacing w:line="360" w:lineRule="auto"/>
        <w:rPr>
          <w:rFonts w:ascii="宋体" w:hAnsi="宋体"/>
          <w:color w:val="auto"/>
          <w:sz w:val="24"/>
          <w:highlight w:val="none"/>
          <w:u w:val="single"/>
        </w:rPr>
      </w:pPr>
      <w:r>
        <w:rPr>
          <w:rFonts w:hint="eastAsia" w:ascii="宋体" w:hAnsi="宋体"/>
          <w:color w:val="auto"/>
          <w:sz w:val="24"/>
          <w:highlight w:val="none"/>
        </w:rPr>
        <w:t xml:space="preserve">分包主要内容：</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分包供应商/制造商名称（如供应商和制造商不同，请分别填写）：</w:t>
      </w:r>
      <w:r/>
    </w:p>
    <w:p>
      <w:pPr>
        <w:ind w:firstLine="960"/>
        <w:spacing w:line="360" w:lineRule="auto"/>
        <w:rPr>
          <w:rFonts w:ascii="宋体" w:hAnsi="宋体"/>
          <w:color w:val="auto"/>
          <w:sz w:val="24"/>
          <w:highlight w:val="none"/>
        </w:rPr>
      </w:pPr>
      <w:r>
        <w:rPr>
          <w:rFonts w:hint="eastAsia" w:ascii="宋体" w:hAnsi="宋体"/>
          <w:color w:val="auto"/>
          <w:sz w:val="24"/>
          <w:highlight w:val="none"/>
        </w:rPr>
        <w:t xml:space="preserve">分包供应商/制造商类型（如果供应商和制造商不同，只填写制造商类型）：</w:t>
      </w:r>
      <w:r/>
    </w:p>
    <w:p>
      <w:pPr>
        <w:ind w:firstLine="960"/>
        <w:spacing w:line="360" w:lineRule="auto"/>
        <w:rPr>
          <w:rFonts w:ascii="宋体" w:hAnsi="宋体"/>
          <w:iCs/>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大型企业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中型企业  </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小微型企业</w:t>
      </w:r>
      <w:r/>
    </w:p>
    <w:p>
      <w:pPr>
        <w:ind w:firstLine="960"/>
        <w:spacing w:line="360" w:lineRule="auto"/>
        <w:rPr>
          <w:rFonts w:eastAsia="华文楷体"/>
          <w:color w:val="auto"/>
          <w:sz w:val="24"/>
          <w:highlight w:val="none"/>
        </w:rPr>
      </w:pP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残疾人福利性单位</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监狱企业</w:t>
      </w:r>
      <w:r>
        <w:rPr>
          <w:rFonts w:ascii="Wingdings" w:hAnsi="Wingdings" w:eastAsia="Wingdings" w:cs="Wingdings"/>
          <w:iCs/>
          <w:color w:val="auto"/>
          <w:sz w:val="24"/>
          <w:highlight w:val="none"/>
        </w:rPr>
        <w:t xml:space="preserve"></w:t>
      </w:r>
      <w:r>
        <w:rPr>
          <w:rFonts w:hint="eastAsia" w:ascii="宋体" w:hAnsi="宋体"/>
          <w:iCs/>
          <w:color w:val="auto"/>
          <w:sz w:val="24"/>
          <w:highlight w:val="none"/>
        </w:rPr>
        <w:t xml:space="preserve">其他</w:t>
      </w:r>
      <w:r/>
    </w:p>
    <w:p>
      <w:pPr>
        <w:numPr>
          <w:ilvl w:val="255"/>
          <w:numId w:val="0"/>
        </w:numPr>
        <w:ind w:firstLine="480"/>
        <w:spacing w:line="360" w:lineRule="auto"/>
        <w:rPr>
          <w:rFonts w:ascii="宋体" w:hAnsi="宋体" w:cs="宋体"/>
          <w:iCs/>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）中标（成交）供应商是否为外商投资企业：</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是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否</w:t>
      </w:r>
      <w:r/>
    </w:p>
    <w:p>
      <w:pPr>
        <w:ind w:firstLine="480"/>
        <w:jc w:val="left"/>
        <w:spacing w:line="360" w:lineRule="auto"/>
        <w:widowControl/>
        <w:tabs>
          <w:tab w:val="left" w:pos="1340" w:leader="none"/>
        </w:tabs>
        <w:rPr>
          <w:rFonts w:ascii="宋体" w:hAnsi="宋体" w:cs="宋体"/>
          <w:color w:val="auto"/>
          <w:sz w:val="24"/>
          <w:highlight w:val="none"/>
          <w:u w:val="single"/>
        </w:rPr>
      </w:pPr>
      <w:r>
        <w:rPr>
          <w:rFonts w:hint="eastAsia" w:ascii="宋体" w:hAnsi="宋体" w:cs="宋体"/>
          <w:color w:val="auto"/>
          <w:sz w:val="24"/>
          <w:highlight w:val="none"/>
        </w:rPr>
        <w:t xml:space="preserve">     外商投资企业类型：</w:t>
      </w:r>
      <w:r>
        <w:rPr>
          <w:rFonts w:ascii="Wingdings" w:hAnsi="Wingdings" w:eastAsia="Wingdings" w:cs="Wingdings"/>
          <w:iCs/>
          <w:color w:val="auto"/>
          <w:sz w:val="24"/>
          <w:highlight w:val="none"/>
        </w:rPr>
        <w:t xml:space="preserve"></w:t>
      </w:r>
      <w:r>
        <w:rPr>
          <w:rFonts w:hint="eastAsia" w:ascii="宋体" w:hAnsi="宋体" w:cs="宋体"/>
          <w:color w:val="auto"/>
          <w:sz w:val="24"/>
          <w:highlight w:val="none"/>
        </w:rPr>
        <w:t xml:space="preserve">全部由外国投资者投资  </w:t>
      </w:r>
      <w:r>
        <w:rPr>
          <w:rFonts w:ascii="Wingdings" w:hAnsi="Wingdings" w:eastAsia="Wingdings" w:cs="Wingdings"/>
          <w:iCs/>
          <w:color w:val="auto"/>
          <w:sz w:val="24"/>
          <w:highlight w:val="none"/>
        </w:rPr>
        <w:t xml:space="preserve"></w:t>
      </w:r>
      <w:r>
        <w:rPr>
          <w:rFonts w:hint="eastAsia" w:ascii="宋体" w:hAnsi="宋体" w:cs="宋体"/>
          <w:iCs/>
          <w:color w:val="auto"/>
          <w:sz w:val="24"/>
          <w:highlight w:val="none"/>
        </w:rPr>
        <w:t xml:space="preserve">部分由外国投资者投资</w:t>
      </w:r>
      <w:r/>
    </w:p>
    <w:p>
      <w:pPr>
        <w:numPr>
          <w:ilvl w:val="255"/>
          <w:numId w:val="0"/>
        </w:num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）是否涉及进口产品：</w:t>
      </w:r>
      <w:r/>
    </w:p>
    <w:p>
      <w:pPr>
        <w:numPr>
          <w:ilvl w:val="255"/>
          <w:numId w:val="0"/>
        </w:numPr>
        <w:ind w:firstLine="960"/>
        <w:spacing w:line="360" w:lineRule="auto"/>
        <w:rPr>
          <w:rFonts w:ascii="宋体" w:hAnsi="宋体" w:cs="宋体"/>
          <w:color w:val="auto"/>
          <w:sz w:val="24"/>
          <w:highlight w:val="none"/>
          <w:u w:val="single"/>
        </w:rPr>
      </w:pP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是，《政府采购品目分类目录》底级品目名称：金额：</w:t>
      </w:r>
      <w:r/>
    </w:p>
    <w:p>
      <w:pPr>
        <w:numPr>
          <w:ilvl w:val="255"/>
          <w:numId w:val="0"/>
        </w:numPr>
        <w:ind w:firstLine="960"/>
        <w:spacing w:line="360" w:lineRule="auto"/>
        <w:rPr>
          <w:rFonts w:ascii="宋体" w:hAnsi="宋体"/>
          <w:color w:val="auto"/>
          <w:sz w:val="24"/>
          <w:highlight w:val="none"/>
        </w:rPr>
      </w:pPr>
      <w:r>
        <w:rPr>
          <w:rFonts w:hint="eastAsia" w:ascii="宋体" w:hAnsi="宋体" w:cs="宋体"/>
          <w:color w:val="auto"/>
          <w:sz w:val="24"/>
          <w:highlight w:val="none"/>
        </w:rPr>
        <w:t xml:space="preserve">        国别：品牌： 规格型号：</w:t>
      </w:r>
      <w:r/>
    </w:p>
    <w:p>
      <w:p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0</w:t>
      </w:r>
      <w:r>
        <w:rPr>
          <w:rFonts w:hint="eastAsia" w:ascii="宋体" w:hAnsi="宋体"/>
          <w:color w:val="auto"/>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960"/>
        <w:spacing w:line="360" w:lineRule="auto"/>
        <w:tabs>
          <w:tab w:val="left" w:pos="740" w:leader="none"/>
        </w:tabs>
        <w:rPr>
          <w:rFonts w:ascii="宋体" w:hAnsi="宋体"/>
          <w:color w:val="auto"/>
          <w:sz w:val="24"/>
          <w:highlight w:val="none"/>
        </w:rPr>
      </w:pPr>
      <w:r>
        <w:rPr>
          <w:rFonts w:hint="eastAsia" w:ascii="宋体" w:hAnsi="宋体"/>
          <w:color w:val="auto"/>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numPr>
          <w:ilvl w:val="255"/>
          <w:numId w:val="0"/>
        </w:numPr>
        <w:ind w:firstLine="96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ind w:firstLine="84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是否涉及绿色产品：</w:t>
      </w:r>
      <w:r/>
    </w:p>
    <w:p>
      <w:pPr>
        <w:ind w:firstLine="900"/>
        <w:jc w:val="left"/>
        <w:spacing w:line="360" w:lineRule="auto"/>
        <w:widowControl/>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强制采购</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优先采购</w:t>
      </w:r>
      <w:r/>
    </w:p>
    <w:p>
      <w:pPr>
        <w:ind w:firstLine="900"/>
        <w:jc w:val="left"/>
        <w:spacing w:line="360" w:lineRule="auto"/>
        <w:widowControl/>
        <w:rPr>
          <w:rFonts w:ascii="宋体" w:hAnsi="宋体" w:eastAsia="华文楷体" w:cs="华文楷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p>
    <w:p>
      <w:pPr>
        <w:numPr>
          <w:ilvl w:val="255"/>
          <w:numId w:val="0"/>
        </w:numPr>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1</w:t>
      </w:r>
      <w:r>
        <w:rPr>
          <w:rFonts w:hint="eastAsia" w:ascii="宋体" w:hAnsi="宋体"/>
          <w:color w:val="auto"/>
          <w:sz w:val="24"/>
          <w:highlight w:val="none"/>
        </w:rPr>
        <w:t xml:space="preserve">）涉及商品包装和快递包装的，是否参考《商品包装政府采购需求标准（试行）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color w:val="auto"/>
          <w:sz w:val="24"/>
          <w:highlight w:val="none"/>
        </w:rPr>
      </w:pP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否</w:t>
      </w:r>
      <w:r>
        <w:rPr>
          <w:rFonts w:ascii="Wingdings" w:hAnsi="Wingdings" w:eastAsia="Wingdings" w:cs="Wingdings"/>
          <w:color w:val="auto"/>
          <w:sz w:val="24"/>
          <w:highlight w:val="none"/>
        </w:rPr>
        <w:t xml:space="preserve"></w:t>
      </w:r>
      <w:r>
        <w:rPr>
          <w:rFonts w:hint="eastAsia" w:ascii="宋体" w:hAnsi="宋体"/>
          <w:color w:val="auto"/>
          <w:sz w:val="24"/>
          <w:highlight w:val="none"/>
        </w:rPr>
        <w:t xml:space="preserve">不涉及</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（1）合同金额小写：</w:t>
      </w:r>
      <w:r/>
    </w:p>
    <w:p>
      <w:pPr>
        <w:ind w:firstLine="60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分包金额（如有）小写：</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 w:val="24"/>
          <w:highlight w:val="none"/>
        </w:rPr>
        <w:t xml:space="preserve"> （2）付款方式</w:t>
      </w:r>
      <w:r>
        <w:rPr>
          <w:rFonts w:hint="eastAsia" w:ascii="宋体" w:hAnsi="宋体"/>
          <w:color w:val="auto"/>
          <w:sz w:val="24"/>
          <w:highlight w:val="none"/>
          <w:lang w:eastAsia="zh-CN"/>
        </w:rPr>
        <w:t xml:space="preserve">：</w:t>
      </w:r>
      <w:r>
        <w:rPr>
          <w:rFonts w:ascii="宋体" w:hAnsi="宋体"/>
          <w:b/>
          <w:color w:val="auto"/>
          <w:sz w:val="24"/>
          <w:szCs w:val="24"/>
          <w:highlight w:val="none"/>
        </w:rPr>
        <w:t xml:space="preserve">合同签定后7日内支付合同总价的30%作为预付款（中标人须提供合同总价30%的银行保函）；中标人按招标人要求将货物送到指定地点并完成安装调试，经招标人验收全部合格后凭审计报告支付至审计价款的95%；余款在验收合格满二年按审计价付清。采购人在收到发票后10个工作日内支付到合同约定的中标人银行账户。</w:t>
      </w:r>
      <w:r/>
    </w:p>
    <w:p>
      <w:pPr>
        <w:numPr>
          <w:ilvl w:val="0"/>
          <w:numId w:val="1"/>
        </w:numPr>
        <w:ind w:firstLine="482"/>
        <w:spacing w:line="360" w:lineRule="auto"/>
        <w:rPr>
          <w:rFonts w:ascii="宋体" w:hAnsi="宋体"/>
          <w:b/>
          <w:color w:val="auto"/>
          <w:sz w:val="24"/>
          <w:highlight w:val="none"/>
          <w:u w:val="single"/>
        </w:rPr>
      </w:pPr>
      <w:r>
        <w:rPr>
          <w:rFonts w:hint="eastAsia" w:ascii="宋体" w:hAnsi="宋体"/>
          <w:b/>
          <w:color w:val="auto"/>
          <w:sz w:val="24"/>
          <w:highlight w:val="none"/>
        </w:rPr>
        <w:t xml:space="preserve">合同履行</w:t>
      </w:r>
      <w:r/>
    </w:p>
    <w:p>
      <w:pPr>
        <w:ind w:firstLine="48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（1）合同履行期限：合同签订生效之日起一年，耗材在一年内根据甲方需求随时不定期供货。</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（2）履约地点：</w:t>
      </w:r>
      <w:r>
        <w:rPr>
          <w:b/>
          <w:color w:val="auto"/>
          <w:highlight w:val="none"/>
        </w:rPr>
        <w:t xml:space="preserve">滨海县（甲方指定地点）</w:t>
      </w:r>
      <w:r/>
    </w:p>
    <w:p>
      <w:pPr>
        <w:ind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（3）履约担保：是否收取履约保证金：是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收取履约保证金形式：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收取履约保证金金额：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r>
        <w:rPr>
          <w:rFonts w:hint="eastAsia" w:ascii="宋体" w:hAnsi="宋体" w:cs="宋体"/>
          <w:color w:val="auto"/>
          <w:sz w:val="24"/>
          <w:highlight w:val="none"/>
        </w:rPr>
        <w:t xml:space="preserve">                            </w:t>
      </w:r>
      <w:r/>
    </w:p>
    <w:p>
      <w:pPr>
        <w:ind w:firstLine="480"/>
        <w:spacing w:line="360" w:lineRule="auto"/>
        <w:rPr>
          <w:rFonts w:ascii="宋体" w:hAnsi="宋体" w:cs="宋体"/>
          <w:bCs/>
          <w:color w:val="auto"/>
          <w:sz w:val="24"/>
          <w:highlight w:val="none"/>
          <w:u w:val="single"/>
        </w:rPr>
      </w:pPr>
      <w:r>
        <w:rPr>
          <w:rFonts w:hint="eastAsia" w:ascii="宋体" w:hAnsi="宋体" w:cs="宋体"/>
          <w:color w:val="auto"/>
          <w:sz w:val="24"/>
          <w:highlight w:val="none"/>
        </w:rPr>
        <w:t xml:space="preserve">     履约担保期限： </w:t>
      </w:r>
      <w:r>
        <w:rPr>
          <w:rFonts w:hint="eastAsia" w:ascii="宋体" w:hAnsi="宋体" w:cs="宋体"/>
          <w:bCs/>
          <w:color w:val="auto"/>
          <w:sz w:val="24"/>
          <w:highlight w:val="none"/>
          <w:u w:val="single"/>
        </w:rPr>
        <w:t xml:space="preserve">                                    </w:t>
      </w:r>
      <w:r/>
    </w:p>
    <w:p>
      <w:pPr>
        <w:numPr>
          <w:ilvl w:val="0"/>
          <w:numId w:val="3"/>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（5）分期履行要求：</w:t>
      </w:r>
      <w:r/>
    </w:p>
    <w:p>
      <w:pPr>
        <w:ind w:firstLine="480"/>
        <w:spacing w:line="360" w:lineRule="auto"/>
        <w:rPr>
          <w:rFonts w:ascii="宋体" w:hAnsi="宋体" w:cs="宋体"/>
          <w:color w:val="auto"/>
          <w:sz w:val="24"/>
          <w:highlight w:val="none"/>
          <w:u w:val="single"/>
        </w:rPr>
      </w:pPr>
      <w:r>
        <w:rPr>
          <w:rFonts w:hint="eastAsia" w:ascii="宋体" w:hAnsi="宋体" w:cs="宋体"/>
          <w:bCs/>
          <w:color w:val="auto"/>
          <w:sz w:val="24"/>
          <w:highlight w:val="none"/>
        </w:rPr>
        <w:t xml:space="preserve">（6）风险处置措施和替代方案：</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合同验收</w:t>
      </w:r>
      <w:r/>
    </w:p>
    <w:p>
      <w:pPr>
        <w:numPr>
          <w:ilvl w:val="0"/>
          <w:numId w:val="4"/>
        </w:numPr>
        <w:ind w:firstLine="480"/>
        <w:spacing w:line="360" w:lineRule="auto"/>
        <w:rPr>
          <w:rFonts w:ascii="宋体" w:hAnsi="宋体"/>
          <w:bCs/>
          <w:color w:val="auto"/>
          <w:sz w:val="24"/>
          <w:highlight w:val="none"/>
        </w:rPr>
      </w:pPr>
      <w:r>
        <w:rPr>
          <w:rFonts w:hint="eastAsia" w:ascii="宋体" w:hAnsi="宋体"/>
          <w:b/>
          <w:bCs/>
          <w:color w:val="auto"/>
          <w:sz w:val="24"/>
          <w:highlight w:val="none"/>
        </w:rPr>
        <w:t xml:space="preserve">验收组织方式：自行组织 </w:t>
      </w:r>
      <w:r/>
    </w:p>
    <w:p>
      <w:pPr>
        <w:ind w:firstLine="960"/>
        <w:spacing w:line="360" w:lineRule="auto"/>
        <w:rPr>
          <w:rFonts w:ascii="宋体" w:hAnsi="宋体" w:cs="宋体"/>
          <w:color w:val="auto"/>
          <w:sz w:val="24"/>
          <w:szCs w:val="24"/>
          <w:highlight w:val="none"/>
        </w:rPr>
      </w:pPr>
      <w:r>
        <w:rPr>
          <w:rFonts w:hint="eastAsia" w:ascii="宋体" w:hAnsi="宋体"/>
          <w:bCs/>
          <w:color w:val="auto"/>
          <w:sz w:val="24"/>
          <w:highlight w:val="none"/>
        </w:rPr>
        <w:t xml:space="preserve">验收主体：</w:t>
      </w:r>
      <w:r>
        <w:rPr>
          <w:b/>
          <w:color w:val="auto"/>
          <w:sz w:val="24"/>
          <w:szCs w:val="24"/>
          <w:highlight w:val="none"/>
        </w:rPr>
        <w:t xml:space="preserve">采购人（滨海县公安局）</w:t>
      </w:r>
      <w:r/>
    </w:p>
    <w:p>
      <w:pPr>
        <w:ind w:firstLine="964"/>
        <w:spacing w:line="360" w:lineRule="auto"/>
        <w:rPr>
          <w:rFonts w:ascii="宋体" w:hAnsi="宋体"/>
          <w:bCs/>
          <w:color w:val="auto"/>
          <w:sz w:val="24"/>
          <w:highlight w:val="none"/>
        </w:rPr>
      </w:pPr>
      <w:r>
        <w:rPr>
          <w:rFonts w:hint="eastAsia" w:ascii="宋体" w:hAnsi="宋体"/>
          <w:b/>
          <w:bCs/>
          <w:color w:val="auto"/>
          <w:sz w:val="24"/>
          <w:highlight w:val="none"/>
        </w:rPr>
        <w:t xml:space="preserve">是否邀请本项目的其他供应商参加验收：否</w:t>
      </w:r>
      <w:r/>
    </w:p>
    <w:p>
      <w:pPr>
        <w:ind w:firstLine="960"/>
        <w:spacing w:line="360" w:lineRule="auto"/>
        <w:rPr>
          <w:rFonts w:ascii="宋体" w:hAnsi="宋体"/>
          <w:bCs/>
          <w:color w:val="auto"/>
          <w:sz w:val="24"/>
          <w:highlight w:val="none"/>
        </w:rPr>
      </w:pPr>
      <w:r>
        <w:rPr>
          <w:rFonts w:hint="eastAsia" w:ascii="宋体" w:hAnsi="宋体"/>
          <w:b/>
          <w:bCs/>
          <w:color w:val="auto"/>
          <w:sz w:val="24"/>
          <w:highlight w:val="none"/>
        </w:rPr>
        <w:t xml:space="preserve">是否邀请专家参加验收：否</w:t>
      </w:r>
      <w:r/>
    </w:p>
    <w:p>
      <w:pPr>
        <w:ind w:firstLine="960"/>
        <w:spacing w:line="360" w:lineRule="auto"/>
        <w:rPr>
          <w:rFonts w:ascii="宋体" w:hAnsi="宋体"/>
          <w:bCs/>
          <w:color w:val="auto"/>
          <w:sz w:val="24"/>
          <w:highlight w:val="none"/>
        </w:rPr>
      </w:pPr>
      <w:r>
        <w:rPr>
          <w:rFonts w:hint="eastAsia" w:ascii="宋体" w:hAnsi="宋体"/>
          <w:b/>
          <w:bCs/>
          <w:color w:val="auto"/>
          <w:sz w:val="24"/>
          <w:highlight w:val="none"/>
        </w:rPr>
        <w:t xml:space="preserve">是否邀请服务对象参加验收：是  </w:t>
      </w:r>
      <w:r/>
    </w:p>
    <w:p>
      <w:pPr>
        <w:ind w:firstLine="96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是否邀请第三方检测机构参加验收：是  </w:t>
      </w:r>
      <w:r/>
    </w:p>
    <w:p>
      <w:pPr>
        <w:ind w:firstLine="960"/>
        <w:spacing w:line="360" w:lineRule="auto"/>
        <w:rPr>
          <w:rFonts w:ascii="宋体" w:hAnsi="宋体"/>
          <w:bCs/>
          <w:color w:val="auto"/>
          <w:sz w:val="24"/>
          <w:highlight w:val="none"/>
        </w:rPr>
      </w:pPr>
      <w:r>
        <w:rPr>
          <w:rFonts w:hint="eastAsia" w:ascii="宋体" w:hAnsi="宋体"/>
          <w:b/>
          <w:bCs/>
          <w:color w:val="auto"/>
          <w:sz w:val="24"/>
          <w:highlight w:val="none"/>
        </w:rPr>
        <w:t xml:space="preserve">是否进行抽查检测：是，抽查比例：10%。  </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是否存在破坏性检测：是，（应明确对被破坏的检测产品的处理方式）</w:t>
      </w:r>
      <w:r/>
    </w:p>
    <w:p>
      <w:pPr>
        <w:ind w:firstLine="960"/>
        <w:spacing w:line="360" w:lineRule="auto"/>
        <w:rPr>
          <w:rFonts w:ascii="宋体" w:hAnsi="宋体"/>
          <w:bCs/>
          <w:color w:val="auto"/>
          <w:sz w:val="24"/>
          <w:highlight w:val="none"/>
        </w:rPr>
      </w:pPr>
      <w:r>
        <w:rPr>
          <w:rFonts w:ascii="Wingdings" w:hAnsi="Wingdings" w:eastAsia="Wingdings" w:cs="Wingdings"/>
          <w:b/>
          <w:color w:val="auto"/>
          <w:sz w:val="24"/>
          <w:highlight w:val="none"/>
        </w:rPr>
        <w:t xml:space="preserve">þ否</w:t>
      </w:r>
      <w:r/>
    </w:p>
    <w:p>
      <w:pPr>
        <w:ind w:firstLine="96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验收组织的其他事项：</w:t>
      </w:r>
      <w:r/>
    </w:p>
    <w:p>
      <w:pPr>
        <w:ind w:firstLine="480"/>
        <w:spacing w:line="360" w:lineRule="auto"/>
        <w:rPr>
          <w:rFonts w:ascii="宋体" w:hAnsi="宋体"/>
          <w:bCs/>
          <w:color w:val="auto"/>
          <w:sz w:val="24"/>
          <w:highlight w:val="none"/>
          <w:u w:val="single"/>
        </w:rPr>
      </w:pPr>
      <w:r>
        <w:rPr>
          <w:rFonts w:hint="eastAsia" w:ascii="宋体" w:hAnsi="宋体"/>
          <w:b/>
          <w:bCs/>
          <w:color w:val="auto"/>
          <w:sz w:val="24"/>
          <w:highlight w:val="none"/>
        </w:rPr>
        <w:t xml:space="preserve">（2）履约验收时间：供应商提出验收申请之日起15日内组织验收。</w:t>
      </w:r>
      <w:r/>
    </w:p>
    <w:p>
      <w:pPr>
        <w:ind w:firstLine="480"/>
        <w:spacing w:line="360" w:lineRule="auto"/>
        <w:rPr>
          <w:rFonts w:ascii="宋体" w:hAnsi="宋体"/>
          <w:bCs/>
          <w:color w:val="auto"/>
          <w:sz w:val="24"/>
          <w:highlight w:val="none"/>
        </w:rPr>
      </w:pPr>
      <w:r>
        <w:rPr>
          <w:rFonts w:hint="eastAsia" w:ascii="宋体" w:hAnsi="宋体"/>
          <w:b/>
          <w:bCs/>
          <w:color w:val="auto"/>
          <w:sz w:val="24"/>
          <w:highlight w:val="none"/>
        </w:rPr>
        <w:t xml:space="preserve">（3）履约验收方式：一次性验收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（4）履约验收程序：</w:t>
      </w:r>
      <w:r/>
    </w:p>
    <w:p>
      <w:pPr>
        <w:ind w:firstLine="480"/>
        <w:spacing w:line="360" w:lineRule="auto"/>
        <w:rPr>
          <w:rFonts w:ascii="宋体" w:hAnsi="宋体"/>
          <w:bCs/>
          <w:color w:val="auto"/>
          <w:sz w:val="24"/>
          <w:highlight w:val="none"/>
          <w:u w:val="single"/>
        </w:rPr>
      </w:pPr>
      <w:r>
        <w:rPr>
          <w:rFonts w:hint="eastAsia" w:ascii="宋体" w:hAnsi="宋体"/>
          <w:b/>
          <w:bCs/>
          <w:color w:val="auto"/>
          <w:sz w:val="24"/>
          <w:highlight w:val="none"/>
        </w:rPr>
        <w:t xml:space="preserve">（5）履约验收的内容：包括每一项技术和商务要求的履约情况，特别是落实政府采购扶持中小企业，支持绿色发展和乡村振兴等政策情况。</w:t>
      </w:r>
      <w:r/>
    </w:p>
    <w:p>
      <w:pPr>
        <w:ind w:firstLine="480"/>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（6）履约验收标准：</w:t>
      </w:r>
      <w:r>
        <w:rPr>
          <w:b/>
          <w:color w:val="auto"/>
          <w:highlight w:val="none"/>
        </w:rPr>
        <w:t xml:space="preserve">合格</w:t>
      </w:r>
      <w:r/>
    </w:p>
    <w:p>
      <w:pPr>
        <w:ind w:firstLine="480"/>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（7）是否以采购活动中供应商提供的样品作为参考：是  </w:t>
      </w:r>
      <w:r/>
    </w:p>
    <w:p>
      <w:pPr>
        <w:ind w:firstLine="480"/>
        <w:spacing w:line="360" w:lineRule="auto"/>
        <w:rPr>
          <w:rFonts w:ascii="宋体" w:hAnsi="宋体" w:cs="宋体"/>
          <w:bCs/>
          <w:color w:val="auto"/>
          <w:sz w:val="24"/>
          <w:highlight w:val="none"/>
          <w:u w:val="single"/>
        </w:rPr>
      </w:pPr>
      <w:r>
        <w:rPr>
          <w:rFonts w:hint="eastAsia" w:ascii="宋体" w:hAnsi="宋体" w:cs="宋体"/>
          <w:bCs/>
          <w:color w:val="auto"/>
          <w:sz w:val="24"/>
          <w:highlight w:val="none"/>
        </w:rPr>
        <w:t xml:space="preserve">（8）履约验收其他事项：</w:t>
      </w:r>
      <w:r>
        <w:rPr>
          <w:rFonts w:hint="eastAsia" w:ascii="宋体" w:hAnsi="宋体" w:cs="宋体"/>
          <w:bCs/>
          <w:color w:val="auto"/>
          <w:sz w:val="24"/>
          <w:highlight w:val="none"/>
          <w:u w:val="single"/>
        </w:rPr>
        <w:t xml:space="preserve">（产权过户登记等）</w:t>
      </w:r>
      <w:r/>
    </w:p>
    <w:p>
      <w:pPr>
        <w:numPr>
          <w:ilvl w:val="0"/>
          <w:numId w:val="1"/>
        </w:num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color w:val="auto"/>
          <w:szCs w:val="21"/>
          <w:highlight w:val="none"/>
        </w:rPr>
      </w:pPr>
      <w:r>
        <w:rPr>
          <w:color w:val="auto"/>
          <w:szCs w:val="21"/>
          <w:highlight w:val="none"/>
        </w:rPr>
      </w:r>
      <w:r/>
    </w:p>
    <w:tbl>
      <w:tblPr>
        <w:tblStyle w:val="857"/>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color w:val="auto"/>
                <w:sz w:val="24"/>
                <w:highlight w:val="none"/>
              </w:rPr>
            </w:pPr>
            <w:r>
              <w:rPr>
                <w:color w:val="auto"/>
                <w:sz w:val="24"/>
                <w:highlight w:val="none"/>
              </w:rPr>
              <w:t xml:space="preserve">甲方</w:t>
            </w:r>
            <w:r>
              <w:rPr>
                <w:rFonts w:hint="eastAsia"/>
                <w:color w:val="auto"/>
                <w:sz w:val="24"/>
                <w:highlight w:val="none"/>
              </w:rPr>
              <w:t xml:space="preserve">（采购人</w:t>
            </w:r>
            <w:r>
              <w:rPr>
                <w:rFonts w:hint="eastAsia" w:ascii="宋体" w:hAnsi="宋体"/>
                <w:color w:val="auto"/>
                <w:sz w:val="24"/>
                <w:highlight w:val="none"/>
              </w:rPr>
              <w:t xml:space="preserve">、受采购人委托签订合同的单位或</w:t>
            </w:r>
            <w:r>
              <w:rPr>
                <w:rFonts w:hint="eastAsia"/>
                <w:color w:val="auto"/>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color w:val="auto"/>
                <w:sz w:val="24"/>
                <w:highlight w:val="none"/>
              </w:rPr>
            </w:pPr>
            <w:r>
              <w:rPr>
                <w:color w:val="auto"/>
                <w:sz w:val="24"/>
                <w:highlight w:val="none"/>
              </w:rPr>
              <w:t xml:space="preserve">乙方</w:t>
            </w:r>
            <w:r>
              <w:rPr>
                <w:rFonts w:hint="eastAsia"/>
                <w:color w:val="auto"/>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单位名称</w:t>
            </w:r>
            <w:r>
              <w:rPr>
                <w:rFonts w:hint="eastAsia"/>
                <w:color w:val="auto"/>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ind w:firstLine="115"/>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法定代表人</w:t>
            </w:r>
            <w:r/>
          </w:p>
          <w:p>
            <w:pPr>
              <w:jc w:val="center"/>
              <w:spacing w:line="360" w:lineRule="auto"/>
              <w:rPr>
                <w:color w:val="auto"/>
                <w:sz w:val="24"/>
                <w:highlight w:val="none"/>
              </w:rPr>
            </w:pPr>
            <w:r>
              <w:rPr>
                <w:rFonts w:hint="eastAsia"/>
                <w:color w:val="auto"/>
                <w:sz w:val="24"/>
                <w:highlight w:val="none"/>
              </w:rPr>
              <w:t xml:space="preserve">或其</w:t>
            </w:r>
            <w:r>
              <w:rPr>
                <w:color w:val="auto"/>
                <w:sz w:val="24"/>
                <w:highlight w:val="none"/>
              </w:rPr>
              <w:t xml:space="preserve">委托代理人</w:t>
            </w:r>
            <w:r>
              <w:rPr>
                <w:rFonts w:hint="eastAsia"/>
                <w:color w:val="auto"/>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z w:val="24"/>
                <w:highlight w:val="none"/>
              </w:rPr>
            </w:pPr>
            <w:r>
              <w:rPr>
                <w:color w:val="auto"/>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rFonts w:hint="eastAsia"/>
                <w:color w:val="auto"/>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color w:val="auto"/>
                <w:sz w:val="24"/>
                <w:highlight w:val="none"/>
              </w:rPr>
            </w:pPr>
            <w:r>
              <w:rPr>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color w:val="auto"/>
                <w:sz w:val="24"/>
                <w:highlight w:val="none"/>
              </w:rPr>
            </w:pPr>
            <w:r>
              <w:rPr>
                <w:color w:val="auto"/>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color w:val="auto"/>
                <w:spacing w:val="20"/>
                <w:sz w:val="24"/>
                <w:highlight w:val="none"/>
              </w:rPr>
            </w:pPr>
            <w:r>
              <w:rPr>
                <w:color w:val="auto"/>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color w:val="auto"/>
                <w:spacing w:val="20"/>
                <w:sz w:val="24"/>
                <w:highlight w:val="none"/>
              </w:rPr>
            </w:pPr>
            <w:r>
              <w:rPr>
                <w:rFonts w:hint="eastAsia" w:ascii="宋体" w:hAnsi="宋体"/>
                <w:color w:val="auto"/>
                <w:sz w:val="24"/>
                <w:highlight w:val="none"/>
              </w:rPr>
              <w:t xml:space="preserve">注：涉及联合体或其他合同主体的信息应按上表格式加列。</w:t>
            </w:r>
            <w:r/>
          </w:p>
        </w:tc>
      </w:tr>
    </w:tbl>
    <w:p>
      <w:pPr>
        <w:pStyle w:val="855"/>
        <w:jc w:val="center"/>
        <w:spacing w:before="156"/>
        <w:rPr>
          <w:rFonts w:ascii="黑体" w:hAnsi="黑体" w:eastAsia="黑体"/>
          <w:color w:val="auto"/>
          <w:sz w:val="28"/>
          <w:szCs w:val="28"/>
          <w:highlight w:val="none"/>
        </w:rPr>
      </w:pPr>
      <w:r>
        <w:rPr>
          <w:rFonts w:ascii="宋体" w:hAnsi="宋体"/>
          <w:color w:val="auto"/>
          <w:highlight w:val="none"/>
          <w:u w:val="single"/>
        </w:rPr>
        <w:br w:type="page" w:clear="all"/>
      </w:r>
      <w:bookmarkStart w:id="170" w:name="_Toc27624"/>
      <w:r/>
      <w:bookmarkStart w:id="171" w:name="_Toc20313"/>
      <w:r>
        <w:rPr>
          <w:rFonts w:hint="eastAsia" w:ascii="黑体" w:hAnsi="黑体" w:eastAsia="黑体"/>
          <w:b w:val="0"/>
          <w:bCs w:val="0"/>
          <w:color w:val="auto"/>
          <w:sz w:val="28"/>
          <w:szCs w:val="28"/>
          <w:highlight w:val="none"/>
        </w:rPr>
        <w:t xml:space="preserve">第二节 政府采购合同通用条款</w:t>
      </w:r>
      <w:bookmarkEnd w:id="170"/>
      <w:r/>
      <w:r/>
    </w:p>
    <w:p>
      <w:pPr>
        <w:jc w:val="left"/>
        <w:spacing w:line="400" w:lineRule="exact"/>
        <w:tabs>
          <w:tab w:val="left" w:pos="8820" w:leader="none"/>
          <w:tab w:val="left" w:pos="9345" w:leader="none"/>
          <w:tab w:val="left" w:pos="9765" w:leader="none"/>
        </w:tabs>
        <w:rPr>
          <w:rFonts w:hint="eastAsia" w:ascii="宋体" w:hAnsi="宋体"/>
          <w:b/>
          <w:bCs/>
          <w:color w:val="auto"/>
          <w:sz w:val="24"/>
          <w:highlight w:val="none"/>
        </w:rPr>
      </w:pPr>
      <w:r>
        <w:rPr>
          <w:rFonts w:hint="eastAsia" w:ascii="宋体" w:hAnsi="宋体"/>
          <w:b/>
          <w:color w:val="auto"/>
          <w:sz w:val="24"/>
          <w:highlight w:val="none"/>
        </w:rPr>
        <w:t xml:space="preserve">1. </w:t>
      </w:r>
      <w:r>
        <w:rPr>
          <w:rFonts w:hint="eastAsia" w:ascii="宋体" w:hAnsi="宋体"/>
          <w:b/>
          <w:bCs/>
          <w:color w:val="auto"/>
          <w:sz w:val="24"/>
          <w:highlight w:val="none"/>
        </w:rPr>
        <w:t xml:space="preserve">定义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w:t>
      </w:r>
      <w:r>
        <w:rPr>
          <w:rFonts w:hint="eastAsia" w:ascii="宋体" w:hAnsi="宋体"/>
          <w:color w:val="auto"/>
          <w:szCs w:val="21"/>
          <w:highlight w:val="none"/>
        </w:rPr>
        <w:t xml:space="preserve">包括软件）及相关</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备品备件、工具、手册及</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w:t>
      </w:r>
      <w:r>
        <w:rPr>
          <w:rFonts w:hint="eastAsia" w:ascii="宋体" w:hAnsi="宋体"/>
          <w:color w:val="auto"/>
          <w:szCs w:val="21"/>
          <w:highlight w:val="none"/>
        </w:rPr>
        <w:t xml:space="preserve">相关</w:t>
      </w:r>
      <w:r>
        <w:rPr>
          <w:rFonts w:hint="eastAsia" w:ascii="宋体" w:hAnsi="宋体"/>
          <w:color w:val="auto"/>
          <w:szCs w:val="21"/>
          <w:highlight w:val="none"/>
        </w:rPr>
        <w:t xml:space="preserve">服务”系指根据合同规定，乙方应提供的与货物有关的技术、管理和</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color w:val="auto"/>
          <w:szCs w:val="21"/>
          <w:highlight w:val="none"/>
        </w:rPr>
        <w:t xml:space="preserve">“联合体”系指由两个以上的自然人、法人或者非法人组织组成，以一个供应商的身份共同参加政府采购的主体</w:t>
      </w:r>
      <w:r>
        <w:rPr>
          <w:rFonts w:hint="eastAsia" w:ascii="宋体" w:hAnsi="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5"/>
        </w:numPr>
        <w:jc w:val="left"/>
        <w:spacing w:line="400" w:lineRule="exact"/>
        <w:rPr>
          <w:rFonts w:hint="eastAsia" w:ascii="宋体" w:hAnsi="宋体"/>
          <w:b/>
          <w:bCs/>
          <w:color w:val="auto"/>
          <w:sz w:val="24"/>
          <w:highlight w:val="none"/>
        </w:rPr>
      </w:pPr>
      <w:r>
        <w:rPr>
          <w:rFonts w:hint="eastAsia" w:ascii="宋体" w:hAnsi="宋体"/>
          <w:b/>
          <w:color w:val="auto"/>
          <w:sz w:val="24"/>
          <w:highlight w:val="none"/>
        </w:rPr>
        <w:t xml:space="preserve">合同标的及金额</w:t>
      </w:r>
      <w:r/>
    </w:p>
    <w:p>
      <w:pPr>
        <w:ind w:firstLine="420"/>
        <w:jc w:val="left"/>
        <w:spacing w:line="400" w:lineRule="exact"/>
        <w:rPr>
          <w:rFonts w:hint="eastAsia"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eastAsia"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3. 履行合同的时间、地点和方式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4. 甲方的权利和义务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4.3 甲方有权要求乙方对缺陷部分予以修复，并按合同约定享有货物保修及其他合同约定的权利。</w:t>
      </w:r>
      <w:r/>
    </w:p>
    <w:p>
      <w:pPr>
        <w:ind w:firstLine="420"/>
        <w:spacing w:line="400" w:lineRule="exact"/>
        <w:rPr>
          <w:rFonts w:hint="eastAsia" w:eastAsia="华文楷体"/>
          <w:color w:val="auto"/>
          <w:highlight w:val="none"/>
        </w:rPr>
      </w:pPr>
      <w:r>
        <w:rPr>
          <w:rFonts w:hint="eastAsia" w:ascii="宋体" w:hAnsi="宋体"/>
          <w:color w:val="auto"/>
          <w:szCs w:val="21"/>
          <w:highlight w:val="none"/>
        </w:rPr>
        <w:t xml:space="preserve">4.4 甲方应当按照合同约定及时对交付的货物进行验收，</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4.6 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5. 乙方的权利和义务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5.1 签署合同后，乙方应确定项目负责人（或项目联系人），负责与本合同有关的事务。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9"/>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5.3乙方有权</w:t>
      </w:r>
      <w:r>
        <w:rPr>
          <w:rFonts w:hint="eastAsia" w:ascii="宋体" w:hAnsi="宋体" w:cs="宋体"/>
          <w:color w:val="auto"/>
          <w:szCs w:val="21"/>
          <w:highlight w:val="none"/>
        </w:rPr>
        <w:t xml:space="preserve">根据合同约定向甲方收取合同价款。</w:t>
      </w:r>
      <w:r/>
    </w:p>
    <w:p>
      <w:pPr>
        <w:pStyle w:val="859"/>
        <w:ind w:firstLine="369"/>
        <w:spacing w:after="0" w:line="400" w:lineRule="exact"/>
        <w:rPr>
          <w:rFonts w:hint="eastAsia" w:ascii="宋体" w:hAnsi="宋体" w:cs="宋体"/>
          <w:color w:val="auto"/>
          <w:szCs w:val="21"/>
          <w:highlight w:val="none"/>
        </w:rPr>
      </w:pPr>
      <w:r>
        <w:rPr>
          <w:rFonts w:hint="eastAsia" w:ascii="宋体" w:hAnsi="宋体"/>
          <w:color w:val="auto"/>
          <w:szCs w:val="21"/>
          <w:highlight w:val="none"/>
        </w:rPr>
        <w:t xml:space="preserve">5.4</w:t>
      </w:r>
      <w:r>
        <w:rPr>
          <w:rFonts w:hint="eastAsia" w:ascii="宋体" w:hAnsi="宋体" w:cs="宋体"/>
          <w:color w:val="auto"/>
          <w:szCs w:val="21"/>
          <w:highlight w:val="none"/>
        </w:rPr>
        <w:t xml:space="preserve">国家法律法规规定</w:t>
      </w:r>
      <w:r>
        <w:rPr>
          <w:rFonts w:hint="eastAsia" w:ascii="宋体" w:hAnsi="宋体"/>
          <w:color w:val="auto"/>
          <w:szCs w:val="21"/>
          <w:highlight w:val="none"/>
        </w:rPr>
        <w:t xml:space="preserve">及</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约定应</w:t>
      </w:r>
      <w:r>
        <w:rPr>
          <w:rFonts w:hint="eastAsia" w:ascii="宋体" w:hAnsi="宋体" w:cs="宋体"/>
          <w:color w:val="auto"/>
          <w:szCs w:val="21"/>
          <w:highlight w:val="none"/>
        </w:rPr>
        <w:t xml:space="preserve">由乙方承担的其他义务和责任。</w:t>
      </w:r>
      <w:r/>
    </w:p>
    <w:p>
      <w:pPr>
        <w:numPr>
          <w:ilvl w:val="0"/>
          <w:numId w:val="6"/>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7. 货物包装、运输、保险和交付要求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pStyle w:val="868"/>
        <w:ind w:firstLine="420"/>
        <w:rPr>
          <w:rFonts w:hint="eastAsia"/>
          <w:color w:val="auto"/>
          <w:sz w:val="21"/>
          <w:highlight w:val="none"/>
        </w:rPr>
      </w:pPr>
      <w:r>
        <w:rPr>
          <w:rFonts w:hint="eastAsia" w:ascii="宋体" w:hAnsi="宋体" w:eastAsia="宋体" w:cs="Times New Roman"/>
          <w:color w:val="auto"/>
          <w:sz w:val="21"/>
          <w:highlight w:val="none"/>
        </w:rPr>
        <w:t xml:space="preserve">7.6 </w:t>
      </w:r>
      <w:r>
        <w:rPr>
          <w:rFonts w:hint="eastAsia" w:ascii="宋体" w:hAnsi="宋体" w:eastAsia="宋体" w:cs="Times New Roman"/>
          <w:color w:val="auto"/>
          <w:sz w:val="21"/>
          <w:highlight w:val="none"/>
        </w:rPr>
        <w:t xml:space="preserve">如因包装、运输问题导致货物</w:t>
      </w:r>
      <w:r>
        <w:rPr>
          <w:rFonts w:hint="eastAsia" w:ascii="宋体" w:hAnsi="宋体" w:eastAsia="宋体" w:cs="Times New Roman"/>
          <w:color w:val="auto"/>
          <w:sz w:val="21"/>
          <w:highlight w:val="none"/>
        </w:rPr>
        <w:t xml:space="preserve">损毁、丢失</w:t>
      </w:r>
      <w:r>
        <w:rPr>
          <w:rFonts w:hint="eastAsia" w:ascii="宋体" w:hAnsi="宋体" w:eastAsia="宋体" w:cs="Times New Roman"/>
          <w:color w:val="auto"/>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8. </w:t>
      </w:r>
      <w:r>
        <w:rPr>
          <w:rFonts w:hint="eastAsia" w:ascii="宋体" w:hAnsi="宋体"/>
          <w:b/>
          <w:color w:val="auto"/>
          <w:sz w:val="24"/>
          <w:highlight w:val="none"/>
        </w:rPr>
        <w:t xml:space="preserve">质量标准和保证</w:t>
      </w:r>
      <w:r/>
    </w:p>
    <w:p>
      <w:pPr>
        <w:pStyle w:val="860"/>
        <w:ind w:firstLine="420"/>
        <w:jc w:val="left"/>
        <w:spacing w:line="400" w:lineRule="exact"/>
        <w:rPr>
          <w:rFonts w:hint="eastAsia" w:hAnsi="宋体"/>
          <w:b/>
          <w:color w:val="auto"/>
          <w:highlight w:val="none"/>
        </w:rPr>
      </w:pPr>
      <w:r>
        <w:rPr>
          <w:rFonts w:hint="eastAsia" w:hAnsi="宋体"/>
          <w:color w:val="auto"/>
          <w:highlight w:val="none"/>
        </w:rPr>
        <w:t xml:space="preserve">8.1 质量标准</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w:t>
      </w:r>
      <w:r>
        <w:rPr>
          <w:rFonts w:hint="eastAsia" w:ascii="宋体" w:hAnsi="宋体" w:cs="宋体"/>
          <w:color w:val="auto"/>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60"/>
        <w:ind w:firstLine="420"/>
        <w:jc w:val="left"/>
        <w:spacing w:line="400" w:lineRule="exact"/>
        <w:rPr>
          <w:rFonts w:hint="eastAsia" w:hAnsi="宋体"/>
          <w:color w:val="auto"/>
          <w:highlight w:val="none"/>
        </w:rPr>
      </w:pPr>
      <w:r>
        <w:rPr>
          <w:rFonts w:hint="eastAsia" w:hAnsi="宋体"/>
          <w:color w:val="auto"/>
          <w:highlight w:val="none"/>
        </w:rPr>
        <w:t xml:space="preserve">（2）采用中华人民共和国法定计量单位。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auto"/>
          <w:szCs w:val="21"/>
          <w:highlight w:val="none"/>
        </w:rPr>
        <w:t xml:space="preserve">5</w:t>
      </w:r>
      <w:r>
        <w:rPr>
          <w:rFonts w:hint="eastAsia" w:ascii="宋体" w:hAnsi="宋体"/>
          <w:color w:val="auto"/>
          <w:szCs w:val="21"/>
          <w:highlight w:val="none"/>
        </w:rPr>
        <w:t xml:space="preserve">.1条规定以书面形式</w:t>
      </w:r>
      <w:r>
        <w:rPr>
          <w:rFonts w:hint="eastAsia" w:ascii="宋体" w:hAnsi="宋体"/>
          <w:color w:val="auto"/>
          <w:szCs w:val="21"/>
          <w:highlight w:val="none"/>
        </w:rPr>
        <w:t xml:space="preserve">追究</w:t>
      </w:r>
      <w:r>
        <w:rPr>
          <w:rFonts w:hint="eastAsia" w:ascii="宋体" w:hAnsi="宋体"/>
          <w:color w:val="auto"/>
          <w:szCs w:val="21"/>
          <w:highlight w:val="none"/>
        </w:rPr>
        <w:t xml:space="preserve">乙方</w:t>
      </w:r>
      <w:r>
        <w:rPr>
          <w:rFonts w:hint="eastAsia" w:ascii="宋体" w:hAnsi="宋体"/>
          <w:color w:val="auto"/>
          <w:szCs w:val="21"/>
          <w:highlight w:val="none"/>
        </w:rPr>
        <w:t xml:space="preserve">的违约责任</w:t>
      </w:r>
      <w:r>
        <w:rPr>
          <w:rFonts w:hint="eastAsia" w:ascii="宋体" w:hAnsi="宋体"/>
          <w:color w:val="auto"/>
          <w:szCs w:val="21"/>
          <w:highlight w:val="none"/>
        </w:rPr>
        <w:t xml:space="preserve">。</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highlight w:val="none"/>
        </w:rPr>
      </w:pPr>
      <w:r>
        <w:rPr>
          <w:rFonts w:hint="eastAsia" w:ascii="宋体" w:hAnsi="宋体"/>
          <w:b/>
          <w:bCs/>
          <w:color w:val="auto"/>
          <w:sz w:val="24"/>
          <w:highlight w:val="none"/>
        </w:rPr>
        <w:t xml:space="preserve">9</w:t>
      </w:r>
      <w:r>
        <w:rPr>
          <w:rFonts w:hint="eastAsia" w:ascii="宋体" w:hAnsi="宋体"/>
          <w:b/>
          <w:bCs/>
          <w:color w:val="auto"/>
          <w:sz w:val="24"/>
          <w:highlight w:val="none"/>
        </w:rPr>
        <w:t xml:space="preserve">.</w:t>
      </w:r>
      <w:r>
        <w:rPr>
          <w:rFonts w:hint="eastAsia" w:ascii="宋体" w:hAnsi="宋体"/>
          <w:b/>
          <w:bCs/>
          <w:color w:val="auto"/>
          <w:sz w:val="24"/>
          <w:highlight w:val="none"/>
        </w:rPr>
        <w:t xml:space="preserve"> </w:t>
      </w:r>
      <w:r>
        <w:rPr>
          <w:rFonts w:hint="eastAsia" w:ascii="宋体" w:hAnsi="宋体"/>
          <w:b/>
          <w:bCs/>
          <w:color w:val="auto"/>
          <w:sz w:val="24"/>
          <w:highlight w:val="none"/>
        </w:rPr>
        <w:t xml:space="preserve">权利瑕疵担保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10. 知识产权保护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172" w:name="_Hlk163047038"/>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172"/>
      <w:r>
        <w:rPr>
          <w:rFonts w:hint="eastAsia" w:ascii="宋体" w:hAnsi="宋体"/>
          <w:color w:val="auto"/>
          <w:szCs w:val="21"/>
          <w:highlight w:val="none"/>
        </w:rPr>
        <w:t xml:space="preserve">。</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11. 保密义务</w:t>
      </w:r>
      <w:r/>
    </w:p>
    <w:p>
      <w:pPr>
        <w:ind w:firstLine="420"/>
        <w:jc w:val="left"/>
        <w:spacing w:line="400" w:lineRule="exact"/>
        <w:rPr>
          <w:rFonts w:hint="eastAsia"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12. 合同价款支付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pStyle w:val="855"/>
        <w:ind w:firstLine="420"/>
        <w:spacing w:line="400" w:lineRule="exact"/>
        <w:rPr>
          <w:rFonts w:hint="eastAsia"/>
          <w:color w:val="auto"/>
          <w:highlight w:val="none"/>
        </w:rPr>
      </w:pPr>
      <w:r>
        <w:rPr>
          <w:rFonts w:hint="eastAsia" w:ascii="宋体" w:hAnsi="宋体"/>
          <w:b w:val="0"/>
          <w:bCs w:val="0"/>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olor w:val="auto"/>
          <w:sz w:val="21"/>
          <w:szCs w:val="21"/>
          <w:highlight w:val="none"/>
        </w:rPr>
        <w:t xml:space="preserve">政府采购合同专用条款</w:t>
      </w:r>
      <w:r>
        <w:rPr>
          <w:rFonts w:hint="eastAsia" w:ascii="宋体" w:hAnsi="宋体"/>
          <w:b w:val="0"/>
          <w:bCs w:val="0"/>
          <w:color w:val="auto"/>
          <w:sz w:val="21"/>
          <w:szCs w:val="21"/>
          <w:highlight w:val="none"/>
        </w:rPr>
        <w:t xml:space="preserve">】中约定。</w:t>
      </w:r>
      <w:r/>
    </w:p>
    <w:p>
      <w:pPr>
        <w:pStyle w:val="859"/>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13. 履约保证金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color w:val="auto"/>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ascii="宋体" w:hAnsi="宋体"/>
          <w:b/>
          <w:color w:val="auto"/>
          <w:sz w:val="24"/>
          <w:highlight w:val="none"/>
        </w:rPr>
      </w:pPr>
      <w:r>
        <w:rPr>
          <w:rFonts w:hint="eastAsia" w:ascii="宋体" w:hAnsi="宋体"/>
          <w:b/>
          <w:bCs/>
          <w:color w:val="auto"/>
          <w:sz w:val="24"/>
          <w:highlight w:val="none"/>
        </w:rPr>
        <w:t xml:space="preserve">14.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pStyle w:val="868"/>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15. 违约责任</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eastAsia"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合同变更、中止与终止</w:t>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68"/>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color w:val="auto"/>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pStyle w:val="868"/>
        <w:rPr>
          <w:rFonts w:hint="eastAsia"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868"/>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17. 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18. 不可抗力</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19. 解决争议的方法</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olor w:val="auto"/>
          <w:sz w:val="24"/>
          <w:highlight w:val="none"/>
        </w:rPr>
      </w:pPr>
      <w:r>
        <w:rPr>
          <w:rFonts w:hint="eastAsia" w:ascii="宋体" w:hAnsi="宋体"/>
          <w:b/>
          <w:color w:val="auto"/>
          <w:sz w:val="24"/>
          <w:highlight w:val="none"/>
        </w:rPr>
        <w:t xml:space="preserve">20. 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20.2 本合同依法执行政府采购政策的方式和内容，属于合同履约验收的范围。</w:t>
      </w:r>
      <w:r>
        <w:rPr>
          <w:rFonts w:hint="eastAsia" w:ascii="宋体" w:hAnsi="宋体" w:cs="宋体"/>
          <w:color w:val="auto"/>
          <w:highlight w:val="none"/>
        </w:rPr>
        <w:t xml:space="preserve">甲乙双方</w:t>
      </w:r>
      <w:r>
        <w:rPr>
          <w:rFonts w:hint="eastAsia" w:ascii="宋体" w:hAnsi="宋体" w:cs="宋体"/>
          <w:color w:val="auto"/>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859"/>
        <w:ind w:firstLine="420"/>
        <w:spacing w:after="0" w:line="400" w:lineRule="exact"/>
        <w:rPr>
          <w:rFonts w:hint="eastAsia"/>
          <w:color w:val="auto"/>
          <w:highlight w:val="none"/>
        </w:rPr>
      </w:pPr>
      <w:r>
        <w:rPr>
          <w:rFonts w:hint="eastAsia" w:ascii="宋体" w:hAnsi="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highlight w:val="none"/>
        </w:rPr>
      </w:pPr>
      <w:r>
        <w:rPr>
          <w:rFonts w:hint="eastAsia" w:ascii="宋体" w:hAnsi="宋体"/>
          <w:b/>
          <w:color w:val="auto"/>
          <w:sz w:val="24"/>
          <w:highlight w:val="none"/>
        </w:rPr>
        <w:t xml:space="preserve">21. 法律适用</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color w:val="auto"/>
          <w:sz w:val="24"/>
          <w:highlight w:val="none"/>
        </w:rPr>
      </w:pPr>
      <w:r>
        <w:rPr>
          <w:rFonts w:hint="eastAsia" w:ascii="宋体" w:hAnsi="宋体"/>
          <w:b/>
          <w:color w:val="auto"/>
          <w:sz w:val="24"/>
          <w:highlight w:val="none"/>
        </w:rPr>
        <w:t xml:space="preserve">22. 通知</w:t>
      </w:r>
      <w:r/>
    </w:p>
    <w:p>
      <w:pPr>
        <w:pStyle w:val="868"/>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68"/>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eastAsia"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71"/>
      <w:r/>
      <w:r/>
    </w:p>
    <w:tbl>
      <w:tblPr>
        <w:tblStyle w:val="857"/>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487"/>
        <w:gridCol w:w="5472"/>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667"/>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472" w:type="dxa"/>
            <w:vAlign w:val="center"/>
            <w:textDirection w:val="lrTb"/>
            <w:noWrap w:val="false"/>
          </w:tcPr>
          <w:p>
            <w:pPr>
              <w:rPr>
                <w:color w:val="auto"/>
                <w:sz w:val="21"/>
                <w:szCs w:val="21"/>
                <w:highlight w:val="none"/>
              </w:rPr>
            </w:pPr>
            <w:r>
              <w:rPr>
                <w:rFonts w:hint="eastAsia"/>
                <w:b/>
                <w:color w:val="auto"/>
                <w:sz w:val="21"/>
                <w:szCs w:val="21"/>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b/>
                <w:color w:val="auto"/>
                <w:highlight w:val="none"/>
              </w:rPr>
              <w:t xml:space="preserve">1.商品包装层数不得超过3 层，空隙率不大于40%；</w:t>
            </w:r>
            <w:r/>
          </w:p>
          <w:p>
            <w:pPr>
              <w:rPr>
                <w:color w:val="auto"/>
                <w:sz w:val="24"/>
                <w:highlight w:val="none"/>
              </w:rPr>
            </w:pPr>
            <w:r>
              <w:rPr>
                <w:b/>
                <w:color w:val="auto"/>
                <w:highlight w:val="none"/>
              </w:rPr>
              <w:t xml:space="preserve">2.商品包装尽可能使用单一材质的包装材料，如因功能需求必需使用不同材质，不同材质间应便于分离；</w:t>
            </w:r>
            <w:r/>
          </w:p>
          <w:p>
            <w:pPr>
              <w:rPr>
                <w:color w:val="auto"/>
                <w:sz w:val="24"/>
                <w:highlight w:val="none"/>
              </w:rPr>
            </w:pPr>
            <w:r>
              <w:rPr>
                <w:b/>
                <w:color w:val="auto"/>
                <w:highlight w:val="none"/>
              </w:rPr>
              <w:t xml:space="preserve">3.商品包装中铅、汞、镉、六价铬的总含量应不大于100mg/kg；</w:t>
            </w:r>
            <w:r/>
          </w:p>
          <w:p>
            <w:pPr>
              <w:rPr>
                <w:color w:val="auto"/>
                <w:sz w:val="24"/>
                <w:highlight w:val="none"/>
              </w:rPr>
            </w:pPr>
            <w:r>
              <w:rPr>
                <w:b/>
                <w:color w:val="auto"/>
                <w:highlight w:val="none"/>
              </w:rPr>
              <w:t xml:space="preserve">4.商品包装印刷使用的油墨中挥发性有机化合物(VOCs)含量应不大于 5%（以重量计）；</w:t>
            </w:r>
            <w:r/>
          </w:p>
          <w:p>
            <w:pPr>
              <w:rPr>
                <w:color w:val="auto"/>
                <w:sz w:val="24"/>
                <w:highlight w:val="none"/>
              </w:rPr>
            </w:pPr>
            <w:r>
              <w:rPr>
                <w:b/>
                <w:color w:val="auto"/>
                <w:highlight w:val="none"/>
              </w:rPr>
              <w:t xml:space="preserve">5.塑料材质商品包装上呈现的印刷颜色不得超过6色；</w:t>
            </w:r>
            <w:r/>
          </w:p>
          <w:p>
            <w:pPr>
              <w:rPr>
                <w:color w:val="auto"/>
                <w:sz w:val="24"/>
                <w:highlight w:val="none"/>
              </w:rPr>
            </w:pPr>
            <w:r>
              <w:rPr>
                <w:b/>
                <w:color w:val="auto"/>
                <w:highlight w:val="none"/>
              </w:rPr>
              <w:t xml:space="preserve">6.纸质商品包装应使用75%以上的可再生纤维原料生产；</w:t>
            </w:r>
            <w:r/>
          </w:p>
          <w:p>
            <w:pPr>
              <w:rPr>
                <w:color w:val="auto"/>
                <w:sz w:val="24"/>
                <w:highlight w:val="none"/>
              </w:rPr>
            </w:pPr>
            <w:r>
              <w:rPr>
                <w:b/>
                <w:color w:val="auto"/>
                <w:highlight w:val="none"/>
              </w:rPr>
              <w:t xml:space="preserve">7.木质商品包装的原料应来源于可持续性森林。</w:t>
            </w:r>
            <w:r/>
          </w:p>
          <w:p>
            <w:pPr>
              <w:rPr>
                <w:color w:val="auto"/>
                <w:sz w:val="24"/>
                <w:highlight w:val="none"/>
              </w:rPr>
            </w:pPr>
            <w:r>
              <w:rPr>
                <w:b/>
                <w:color w:val="auto"/>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b/>
                <w:color w:val="auto"/>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472"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472" w:type="dxa"/>
            <w:vAlign w:val="center"/>
            <w:textDirection w:val="lrTb"/>
            <w:noWrap w:val="false"/>
          </w:tcPr>
          <w:p>
            <w:pPr>
              <w:rPr>
                <w:color w:val="auto"/>
                <w:sz w:val="21"/>
                <w:szCs w:val="21"/>
                <w:highlight w:val="none"/>
              </w:rPr>
            </w:pPr>
            <w:r>
              <w:rPr>
                <w:rFonts w:hint="eastAsia"/>
                <w:b/>
                <w:color w:val="auto"/>
                <w:sz w:val="21"/>
                <w:szCs w:val="21"/>
                <w:highlight w:val="none"/>
              </w:rPr>
              <w:t xml:space="preserve">1.货物验收合格、交付使用并提供所需单据的日期视为交货日期。</w:t>
            </w:r>
            <w:r/>
          </w:p>
          <w:p>
            <w:pPr>
              <w:rPr>
                <w:color w:val="auto"/>
                <w:sz w:val="24"/>
                <w:highlight w:val="none"/>
              </w:rPr>
            </w:pPr>
            <w:r>
              <w:rPr>
                <w:b/>
                <w:color w:val="auto"/>
                <w:highlight w:val="none"/>
              </w:rPr>
              <w:t xml:space="preserve">2.乙方在货物发运手续办理完毕后24小时内或货到48小时前通知甲方，以准备接货。（具体时间根据双方实际需求调整）</w:t>
            </w:r>
            <w:r/>
          </w:p>
          <w:p>
            <w:pPr>
              <w:rPr>
                <w:color w:val="auto"/>
                <w:sz w:val="24"/>
                <w:highlight w:val="none"/>
              </w:rPr>
            </w:pPr>
            <w:r>
              <w:rPr>
                <w:b/>
                <w:color w:val="auto"/>
                <w:highlight w:val="none"/>
              </w:rPr>
              <w:t xml:space="preserve">3.乙方装运的货物不应超过合同规定的数量或重量。乙方应对超交数量或超重而产生的一切后果负责。</w:t>
            </w:r>
            <w:r/>
          </w:p>
          <w:p>
            <w:pPr>
              <w:rPr>
                <w:color w:val="auto"/>
                <w:sz w:val="24"/>
                <w:highlight w:val="none"/>
              </w:rPr>
            </w:pPr>
            <w:r>
              <w:rPr>
                <w:b/>
                <w:color w:val="auto"/>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472" w:type="dxa"/>
            <w:vAlign w:val="center"/>
            <w:textDirection w:val="lrTb"/>
            <w:noWrap w:val="false"/>
          </w:tcPr>
          <w:p>
            <w:pPr>
              <w:rPr>
                <w:color w:val="auto"/>
                <w:sz w:val="21"/>
                <w:szCs w:val="21"/>
                <w:highlight w:val="none"/>
              </w:rPr>
            </w:pPr>
            <w:r>
              <w:rPr>
                <w:b/>
                <w:color w:val="auto"/>
                <w:sz w:val="21"/>
                <w:szCs w:val="21"/>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472" w:type="dxa"/>
            <w:vAlign w:val="center"/>
            <w:textDirection w:val="lrTb"/>
            <w:noWrap w:val="false"/>
          </w:tcPr>
          <w:p>
            <w:pPr>
              <w:pStyle w:val="863"/>
              <w:ind w:left="480" w:hanging="480"/>
              <w:jc w:val="both"/>
              <w:spacing w:before="120" w:beforeAutospacing="0" w:after="120" w:afterAutospacing="0"/>
              <w:rPr>
                <w:rFonts w:ascii="宋体" w:hAnsi="宋体"/>
                <w:color w:val="auto"/>
                <w:sz w:val="21"/>
                <w:szCs w:val="21"/>
                <w:highlight w:val="none"/>
              </w:rPr>
            </w:pPr>
            <w:r>
              <w:rPr>
                <w:rFonts w:hint="eastAsia" w:ascii="宋体" w:hAnsi="宋体"/>
                <w:b/>
                <w:color w:val="auto"/>
                <w:sz w:val="21"/>
                <w:szCs w:val="21"/>
                <w:highlight w:val="none"/>
              </w:rPr>
              <w:t xml:space="preserve">1.货物免费质保期  2  年。（自交货验收合格之日起计），因人为因素出现的故障不在免费保修范围内。超过保修期的机器设备，终身维修，维修时只收部件成本费。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如在使用过程中发生质量问题，乙方在接到甲方通知后在  24  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487"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 在质保期内，乙方应对货物出现的质量及安全问题负责处理解决并承担一切费用（因甲方不当使用的除外）。</w:t>
            </w:r>
            <w:r/>
          </w:p>
          <w:p>
            <w:pPr>
              <w:jc w:val="left"/>
              <w:rPr>
                <w:rFonts w:ascii="宋体" w:hAnsi="宋体"/>
                <w:color w:val="auto"/>
                <w:sz w:val="21"/>
                <w:szCs w:val="21"/>
                <w:highlight w:val="none"/>
              </w:rPr>
            </w:pPr>
            <w:r>
              <w:rPr>
                <w:b/>
                <w:color w:val="auto"/>
                <w:sz w:val="21"/>
                <w:szCs w:val="21"/>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1"/>
                <w:szCs w:val="21"/>
                <w:highlight w:val="none"/>
              </w:rPr>
            </w:pPr>
            <w:r>
              <w:rPr>
                <w:b/>
                <w:color w:val="auto"/>
                <w:sz w:val="21"/>
                <w:szCs w:val="21"/>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1"/>
                <w:szCs w:val="21"/>
                <w:highlight w:val="none"/>
              </w:rPr>
            </w:pPr>
            <w:r>
              <w:rPr>
                <w:b/>
                <w:color w:val="auto"/>
                <w:sz w:val="21"/>
                <w:szCs w:val="21"/>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1"/>
                <w:szCs w:val="21"/>
                <w:highlight w:val="none"/>
              </w:rPr>
            </w:pPr>
            <w:r>
              <w:rPr>
                <w:b/>
                <w:color w:val="auto"/>
                <w:sz w:val="21"/>
                <w:szCs w:val="21"/>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1"/>
                <w:szCs w:val="21"/>
                <w:highlight w:val="none"/>
              </w:rPr>
            </w:pPr>
            <w:r>
              <w:rPr>
                <w:b/>
                <w:color w:val="auto"/>
                <w:sz w:val="21"/>
                <w:szCs w:val="21"/>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1"/>
                <w:szCs w:val="21"/>
                <w:highlight w:val="none"/>
              </w:rPr>
            </w:pPr>
            <w:r>
              <w:rPr>
                <w:b/>
                <w:color w:val="auto"/>
                <w:sz w:val="21"/>
                <w:szCs w:val="21"/>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ascii="宋体" w:hAnsi="宋体"/>
                <w:color w:val="auto"/>
                <w:sz w:val="21"/>
                <w:szCs w:val="21"/>
                <w:highlight w:val="none"/>
              </w:rPr>
            </w:pPr>
            <w:r>
              <w:rPr>
                <w:b/>
                <w:color w:val="auto"/>
                <w:sz w:val="21"/>
                <w:szCs w:val="21"/>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487"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472"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1.合同款项的支付方式及进度安排：</w:t>
            </w:r>
            <w:r/>
          </w:p>
          <w:p>
            <w:pPr>
              <w:jc w:val="left"/>
              <w:rPr>
                <w:rFonts w:ascii="宋体" w:hAnsi="宋体"/>
                <w:color w:val="auto"/>
                <w:sz w:val="21"/>
                <w:szCs w:val="21"/>
                <w:highlight w:val="none"/>
              </w:rPr>
            </w:pPr>
            <w:r>
              <w:rPr>
                <w:b/>
                <w:color w:val="auto"/>
                <w:sz w:val="21"/>
                <w:szCs w:val="21"/>
                <w:highlight w:val="none"/>
              </w:rPr>
              <w:t xml:space="preserve">①自合同签订生效之日起，收到乙方发票10个工作日内，甲方向乙方支付合同总价的30%款项作为预付款（中标人须提供合同总价30%的银行保函）；</w:t>
            </w:r>
            <w:r/>
          </w:p>
          <w:p>
            <w:pPr>
              <w:jc w:val="left"/>
              <w:rPr>
                <w:rFonts w:ascii="宋体" w:hAnsi="宋体"/>
                <w:color w:val="auto"/>
                <w:sz w:val="21"/>
                <w:szCs w:val="21"/>
                <w:highlight w:val="none"/>
              </w:rPr>
            </w:pPr>
            <w:r>
              <w:rPr>
                <w:b/>
                <w:color w:val="auto"/>
                <w:sz w:val="21"/>
                <w:szCs w:val="21"/>
                <w:highlight w:val="none"/>
              </w:rPr>
              <w:t xml:space="preserve">②中标人按招标人要求将货物送到指定地点并完成安装调试，经招标人验收全部合格后，凭审计报告及乙方发票10个工作日内支付至审计价款的95%；</w:t>
            </w:r>
            <w:r/>
          </w:p>
          <w:p>
            <w:pPr>
              <w:jc w:val="left"/>
              <w:rPr>
                <w:rFonts w:ascii="宋体" w:hAnsi="宋体"/>
                <w:color w:val="auto"/>
                <w:sz w:val="21"/>
                <w:szCs w:val="21"/>
                <w:highlight w:val="none"/>
              </w:rPr>
            </w:pPr>
            <w:r>
              <w:rPr>
                <w:b/>
                <w:color w:val="auto"/>
                <w:sz w:val="21"/>
                <w:szCs w:val="21"/>
                <w:highlight w:val="none"/>
              </w:rPr>
              <w:t xml:space="preserve">③余款在验收合格满二年按审计价付清。</w:t>
            </w:r>
            <w:r/>
          </w:p>
          <w:p>
            <w:pPr>
              <w:jc w:val="left"/>
              <w:rPr>
                <w:rFonts w:ascii="宋体" w:hAnsi="宋体"/>
                <w:color w:val="auto"/>
                <w:sz w:val="21"/>
                <w:szCs w:val="21"/>
                <w:highlight w:val="none"/>
              </w:rPr>
            </w:pPr>
            <w:r>
              <w:rPr>
                <w:b/>
                <w:color w:val="auto"/>
                <w:sz w:val="21"/>
                <w:szCs w:val="21"/>
                <w:highlight w:val="none"/>
              </w:rPr>
              <w:t xml:space="preserve">（具体验收流程双方可视实际情况调整）</w:t>
            </w:r>
            <w:r/>
          </w:p>
          <w:p>
            <w:pPr>
              <w:jc w:val="left"/>
              <w:rPr>
                <w:rFonts w:ascii="宋体" w:hAnsi="宋体"/>
                <w:color w:val="auto"/>
                <w:sz w:val="21"/>
                <w:szCs w:val="21"/>
                <w:highlight w:val="none"/>
              </w:rPr>
            </w:pPr>
            <w:r>
              <w:rPr>
                <w:b/>
                <w:color w:val="auto"/>
                <w:sz w:val="21"/>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1"/>
                <w:szCs w:val="21"/>
                <w:highlight w:val="none"/>
              </w:rPr>
            </w:pPr>
            <w:r>
              <w:rPr>
                <w:b/>
                <w:color w:val="auto"/>
                <w:sz w:val="21"/>
                <w:szCs w:val="21"/>
                <w:highlight w:val="none"/>
              </w:rPr>
              <w:t xml:space="preserve">(1) 发票；</w:t>
            </w:r>
            <w:r/>
          </w:p>
          <w:p>
            <w:pPr>
              <w:jc w:val="left"/>
              <w:rPr>
                <w:rFonts w:ascii="宋体" w:hAnsi="宋体"/>
                <w:color w:val="auto"/>
                <w:sz w:val="21"/>
                <w:szCs w:val="21"/>
                <w:highlight w:val="none"/>
              </w:rPr>
            </w:pPr>
            <w:r>
              <w:rPr>
                <w:b/>
                <w:color w:val="auto"/>
                <w:sz w:val="21"/>
                <w:szCs w:val="21"/>
                <w:highlight w:val="none"/>
              </w:rPr>
              <w:t xml:space="preserve">(2) 制造厂家出具的质量检验证书等；</w:t>
            </w:r>
            <w:r/>
          </w:p>
          <w:p>
            <w:pPr>
              <w:jc w:val="left"/>
              <w:rPr>
                <w:rFonts w:ascii="宋体" w:hAnsi="宋体"/>
                <w:color w:val="auto"/>
                <w:sz w:val="21"/>
                <w:szCs w:val="21"/>
                <w:highlight w:val="none"/>
              </w:rPr>
            </w:pPr>
            <w:r>
              <w:rPr>
                <w:b/>
                <w:color w:val="auto"/>
                <w:sz w:val="21"/>
                <w:szCs w:val="21"/>
                <w:highlight w:val="none"/>
              </w:rPr>
              <w:t xml:space="preserve">(3) 装箱单；</w:t>
            </w:r>
            <w:r/>
          </w:p>
          <w:p>
            <w:pPr>
              <w:jc w:val="left"/>
              <w:rPr>
                <w:rFonts w:ascii="宋体" w:hAnsi="宋体"/>
                <w:color w:val="auto"/>
                <w:sz w:val="21"/>
                <w:szCs w:val="21"/>
                <w:highlight w:val="none"/>
              </w:rPr>
            </w:pPr>
            <w:r>
              <w:rPr>
                <w:b/>
                <w:color w:val="auto"/>
                <w:sz w:val="21"/>
                <w:szCs w:val="21"/>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47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1"/>
                <w:szCs w:val="21"/>
                <w:highlight w:val="none"/>
              </w:rPr>
            </w:pPr>
            <w:r>
              <w:rPr>
                <w:b/>
                <w:color w:val="auto"/>
                <w:sz w:val="21"/>
                <w:szCs w:val="21"/>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1"/>
                <w:szCs w:val="21"/>
                <w:highlight w:val="none"/>
              </w:rPr>
            </w:pPr>
            <w:r>
              <w:rPr>
                <w:b/>
                <w:color w:val="auto"/>
                <w:sz w:val="21"/>
                <w:szCs w:val="21"/>
                <w:highlight w:val="none"/>
              </w:rPr>
              <w:t xml:space="preserve">（2）中标人不履行与采购人订立的合同的；</w:t>
            </w:r>
            <w:r/>
          </w:p>
          <w:p>
            <w:pPr>
              <w:spacing w:line="360" w:lineRule="auto"/>
              <w:rPr>
                <w:rFonts w:ascii="宋体" w:hAnsi="宋体" w:cs="宋体"/>
                <w:color w:val="auto"/>
                <w:sz w:val="21"/>
                <w:szCs w:val="21"/>
                <w:highlight w:val="none"/>
              </w:rPr>
            </w:pPr>
            <w:r>
              <w:rPr>
                <w:b/>
                <w:color w:val="auto"/>
                <w:sz w:val="21"/>
                <w:szCs w:val="21"/>
                <w:highlight w:val="none"/>
              </w:rPr>
              <w:t xml:space="preserve">（3）中标人所供货物或服务不符合招标文件规定要求的；</w:t>
            </w:r>
            <w:r/>
          </w:p>
          <w:p>
            <w:pPr>
              <w:spacing w:line="360" w:lineRule="auto"/>
              <w:rPr>
                <w:rFonts w:ascii="宋体" w:hAnsi="宋体" w:cs="宋体"/>
                <w:color w:val="auto"/>
                <w:sz w:val="21"/>
                <w:szCs w:val="21"/>
                <w:highlight w:val="none"/>
              </w:rPr>
            </w:pPr>
            <w:r>
              <w:rPr>
                <w:b/>
                <w:color w:val="auto"/>
                <w:sz w:val="21"/>
                <w:szCs w:val="21"/>
                <w:highlight w:val="none"/>
              </w:rPr>
              <w:t xml:space="preserve">（4）中标人采取欺骗、弄虚作假方式投标的或与其他投标人串通投标的；</w:t>
            </w:r>
            <w:r/>
          </w:p>
          <w:p>
            <w:pPr>
              <w:spacing w:line="360" w:lineRule="auto"/>
              <w:rPr>
                <w:rFonts w:ascii="宋体" w:hAnsi="宋体" w:cs="宋体"/>
                <w:color w:val="auto"/>
                <w:sz w:val="21"/>
                <w:szCs w:val="21"/>
                <w:highlight w:val="none"/>
              </w:rPr>
            </w:pPr>
            <w:r>
              <w:rPr>
                <w:b/>
                <w:color w:val="auto"/>
                <w:sz w:val="21"/>
                <w:szCs w:val="21"/>
                <w:highlight w:val="none"/>
              </w:rPr>
              <w:t xml:space="preserve">（5）中标人将合同内容转包、违法分包的；</w:t>
            </w:r>
            <w:r/>
          </w:p>
          <w:p>
            <w:pPr>
              <w:spacing w:line="360" w:lineRule="auto"/>
              <w:rPr>
                <w:rFonts w:ascii="宋体" w:hAnsi="宋体" w:cs="宋体"/>
                <w:color w:val="auto"/>
                <w:sz w:val="21"/>
                <w:szCs w:val="21"/>
                <w:highlight w:val="none"/>
              </w:rPr>
            </w:pPr>
            <w:r>
              <w:rPr>
                <w:b/>
                <w:color w:val="auto"/>
                <w:sz w:val="21"/>
                <w:szCs w:val="21"/>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487"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47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1、合同履行结束后，甲方应及时退还交纳的履约保证金。</w:t>
            </w:r>
            <w:r/>
          </w:p>
          <w:p>
            <w:pPr>
              <w:spacing w:line="360" w:lineRule="auto"/>
              <w:rPr>
                <w:rFonts w:ascii="宋体" w:hAnsi="宋体" w:cs="宋体"/>
                <w:color w:val="auto"/>
                <w:sz w:val="21"/>
                <w:szCs w:val="21"/>
                <w:highlight w:val="none"/>
              </w:rPr>
            </w:pPr>
            <w:r>
              <w:rPr>
                <w:b/>
                <w:color w:val="auto"/>
                <w:sz w:val="21"/>
                <w:szCs w:val="21"/>
                <w:highlight w:val="none"/>
              </w:rPr>
              <w:t xml:space="preserve">2、退还方式：退还至投标人缴纳履约保证金的账户。如为保函，在到期时自行失效。</w:t>
            </w:r>
            <w:r/>
          </w:p>
          <w:p>
            <w:pPr>
              <w:spacing w:line="360" w:lineRule="auto"/>
              <w:rPr>
                <w:rFonts w:ascii="宋体" w:hAnsi="宋体" w:cs="宋体"/>
                <w:color w:val="auto"/>
                <w:sz w:val="21"/>
                <w:szCs w:val="21"/>
                <w:highlight w:val="none"/>
              </w:rPr>
            </w:pPr>
            <w:r>
              <w:rPr>
                <w:b/>
                <w:color w:val="auto"/>
                <w:sz w:val="21"/>
                <w:szCs w:val="21"/>
                <w:highlight w:val="none"/>
              </w:rPr>
              <w:t xml:space="preserve">3、退还时间：验收合格且甲方收到发票后30日内。</w:t>
            </w:r>
            <w:r/>
          </w:p>
          <w:p>
            <w:pPr>
              <w:spacing w:line="360" w:lineRule="auto"/>
              <w:rPr>
                <w:rFonts w:ascii="宋体" w:hAnsi="宋体" w:cs="宋体"/>
                <w:color w:val="auto"/>
                <w:sz w:val="21"/>
                <w:szCs w:val="21"/>
                <w:highlight w:val="none"/>
              </w:rPr>
            </w:pPr>
            <w:r>
              <w:rPr>
                <w:b/>
                <w:color w:val="auto"/>
                <w:sz w:val="21"/>
                <w:szCs w:val="21"/>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1"/>
                <w:szCs w:val="21"/>
                <w:highlight w:val="none"/>
              </w:rPr>
            </w:pPr>
            <w:r>
              <w:rPr>
                <w:b/>
                <w:color w:val="auto"/>
                <w:sz w:val="21"/>
                <w:szCs w:val="21"/>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472" w:type="dxa"/>
            <w:vAlign w:val="center"/>
            <w:textDirection w:val="lrTb"/>
            <w:noWrap w:val="false"/>
          </w:tcPr>
          <w:p>
            <w:pPr>
              <w:jc w:val="left"/>
              <w:rPr>
                <w:rFonts w:ascii="宋体" w:hAnsi="宋体"/>
                <w:color w:val="auto"/>
                <w:sz w:val="21"/>
                <w:szCs w:val="21"/>
                <w:highlight w:val="none"/>
              </w:rPr>
            </w:pPr>
            <w:r>
              <w:rPr>
                <w:rFonts w:ascii="宋体" w:hAnsi="宋体"/>
                <w:color w:val="auto"/>
                <w:sz w:val="21"/>
                <w:szCs w:val="21"/>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472" w:type="dxa"/>
            <w:vAlign w:val="center"/>
            <w:textDirection w:val="lrTb"/>
            <w:noWrap w:val="false"/>
          </w:tcPr>
          <w:p>
            <w:pPr>
              <w:numPr>
                <w:ilvl w:val="0"/>
                <w:numId w:val="9"/>
              </w:numPr>
              <w:jc w:val="left"/>
              <w:rPr>
                <w:rFonts w:ascii="宋体" w:hAnsi="宋体"/>
                <w:color w:val="auto"/>
                <w:sz w:val="21"/>
                <w:szCs w:val="21"/>
                <w:highlight w:val="none"/>
              </w:rPr>
            </w:pPr>
            <w:r>
              <w:rPr>
                <w:rFonts w:hint="eastAsia" w:ascii="宋体" w:hAnsi="宋体"/>
                <w:b/>
                <w:color w:val="auto"/>
                <w:sz w:val="21"/>
                <w:szCs w:val="21"/>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1"/>
                <w:szCs w:val="21"/>
                <w:highlight w:val="none"/>
              </w:rPr>
            </w:pPr>
            <w:r>
              <w:rPr>
                <w:b/>
                <w:color w:val="auto"/>
                <w:sz w:val="21"/>
                <w:szCs w:val="21"/>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1.乙方应按照“开标（报价）一览表”中规定的交货期或承诺交货和提供服务，并交付甲方验收使用。</w:t>
            </w:r>
            <w:r/>
          </w:p>
          <w:p>
            <w:pPr>
              <w:jc w:val="left"/>
              <w:rPr>
                <w:rFonts w:ascii="宋体" w:hAnsi="宋体"/>
                <w:color w:val="auto"/>
                <w:sz w:val="21"/>
                <w:szCs w:val="21"/>
                <w:highlight w:val="none"/>
              </w:rPr>
            </w:pPr>
            <w:r>
              <w:rPr>
                <w:b/>
                <w:color w:val="auto"/>
                <w:sz w:val="21"/>
                <w:szCs w:val="21"/>
                <w:highlight w:val="none"/>
              </w:rPr>
              <w:t xml:space="preserve">2.如果乙方无正当理由拖延交货，将受到以下制裁：加收误期赔偿或终止合同。</w:t>
            </w:r>
            <w:r/>
          </w:p>
          <w:p>
            <w:pPr>
              <w:jc w:val="left"/>
              <w:rPr>
                <w:rFonts w:ascii="宋体" w:hAnsi="宋体"/>
                <w:color w:val="auto"/>
                <w:sz w:val="21"/>
                <w:szCs w:val="21"/>
                <w:highlight w:val="none"/>
              </w:rPr>
            </w:pPr>
            <w:r>
              <w:rPr>
                <w:b/>
                <w:color w:val="auto"/>
                <w:sz w:val="21"/>
                <w:szCs w:val="21"/>
                <w:highlight w:val="none"/>
              </w:rPr>
              <w:t xml:space="preserve">3. 乙方逾期交付货物的，乙方应按逾期交货总额每日</w:t>
            </w:r>
            <w:r>
              <w:rPr>
                <w:b/>
                <w:color w:val="auto"/>
                <w:sz w:val="21"/>
                <w:szCs w:val="21"/>
                <w:highlight w:val="none"/>
                <w:u w:val="single"/>
              </w:rPr>
              <w:t xml:space="preserve">    </w:t>
            </w:r>
            <w:r>
              <w:rPr>
                <w:b/>
                <w:color w:val="auto"/>
                <w:sz w:val="21"/>
                <w:szCs w:val="21"/>
                <w:highlight w:val="none"/>
              </w:rPr>
              <w:t xml:space="preserve"> 向甲方支付违约金，由甲方从待付货款中扣除。逾期超过约定日期 </w:t>
            </w:r>
            <w:r>
              <w:rPr>
                <w:b/>
                <w:color w:val="auto"/>
                <w:sz w:val="21"/>
                <w:szCs w:val="21"/>
                <w:highlight w:val="none"/>
                <w:u w:val="single"/>
              </w:rPr>
              <w:t xml:space="preserve">    </w:t>
            </w:r>
            <w:r>
              <w:rPr>
                <w:b/>
                <w:color w:val="auto"/>
                <w:sz w:val="21"/>
                <w:szCs w:val="21"/>
                <w:highlight w:val="none"/>
              </w:rPr>
              <w:t xml:space="preserve">个工作日不能交货的，甲方可解除本合同。乙方因逾期交货或因其他违约行为导致甲方解除合同的，乙方应向甲方支付合同总值 </w:t>
            </w:r>
            <w:r>
              <w:rPr>
                <w:b/>
                <w:color w:val="auto"/>
                <w:sz w:val="21"/>
                <w:szCs w:val="21"/>
                <w:highlight w:val="none"/>
                <w:u w:val="single"/>
              </w:rPr>
              <w:t xml:space="preserve">   </w:t>
            </w:r>
            <w:r>
              <w:rPr>
                <w:b/>
                <w:color w:val="auto"/>
                <w:sz w:val="21"/>
                <w:szCs w:val="21"/>
                <w:highlight w:val="none"/>
              </w:rPr>
              <w:t xml:space="preserve"> 的违约金，如造成甲方损失超过违约金的，超出部分由乙方继续承担赔偿责任。</w:t>
            </w:r>
            <w:r/>
          </w:p>
          <w:p>
            <w:pPr>
              <w:jc w:val="left"/>
              <w:rPr>
                <w:rFonts w:ascii="宋体" w:hAnsi="宋体"/>
                <w:color w:val="auto"/>
                <w:sz w:val="21"/>
                <w:szCs w:val="21"/>
                <w:highlight w:val="none"/>
              </w:rPr>
            </w:pPr>
            <w:r>
              <w:rPr>
                <w:b/>
                <w:color w:val="auto"/>
                <w:sz w:val="21"/>
                <w:szCs w:val="21"/>
                <w:highlight w:val="none"/>
              </w:rPr>
              <w:t xml:space="preserve">4.如乙方不能交付货物，或者有违法转包他人情形，乙方应向甲方支付合同总价 </w:t>
            </w:r>
            <w:r>
              <w:rPr>
                <w:b/>
                <w:color w:val="auto"/>
                <w:sz w:val="21"/>
                <w:szCs w:val="21"/>
                <w:highlight w:val="none"/>
                <w:u w:val="single"/>
              </w:rPr>
              <w:t xml:space="preserve">    </w:t>
            </w:r>
            <w:r>
              <w:rPr>
                <w:b/>
                <w:color w:val="auto"/>
                <w:sz w:val="21"/>
                <w:szCs w:val="21"/>
                <w:highlight w:val="none"/>
              </w:rPr>
              <w:t xml:space="preserve">的滞纳金。</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472" w:type="dxa"/>
            <w:vAlign w:val="center"/>
            <w:textDirection w:val="lrTb"/>
            <w:noWrap w:val="false"/>
          </w:tcPr>
          <w:p>
            <w:pPr>
              <w:pStyle w:val="863"/>
              <w:ind w:left="410" w:hanging="410"/>
              <w:jc w:val="both"/>
              <w:spacing w:before="120" w:beforeAutospacing="0" w:after="120" w:afterAutospacing="0"/>
              <w:rPr>
                <w:color w:val="auto"/>
                <w:sz w:val="21"/>
                <w:szCs w:val="21"/>
                <w:highlight w:val="none"/>
              </w:rPr>
            </w:pPr>
            <w:r>
              <w:rPr>
                <w:rFonts w:hint="eastAsia" w:ascii="宋体" w:hAnsi="宋体" w:cs="宋体"/>
                <w:b/>
                <w:color w:val="auto"/>
                <w:sz w:val="21"/>
                <w:szCs w:val="21"/>
                <w:highlight w:val="none"/>
              </w:rPr>
              <w:t xml:space="preserve">1.甲方无正当理由拒收货物的，甲方向乙方偿付拒收货款总值</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的违约金。</w:t>
            </w:r>
            <w:r/>
          </w:p>
          <w:p>
            <w:pPr>
              <w:pStyle w:val="863"/>
              <w:ind w:left="410" w:hanging="410"/>
              <w:jc w:val="both"/>
              <w:spacing w:before="120" w:beforeAutospacing="0" w:after="120" w:afterAutospacing="0"/>
              <w:rPr>
                <w:color w:val="auto"/>
                <w:sz w:val="21"/>
                <w:szCs w:val="21"/>
                <w:highlight w:val="none"/>
              </w:rPr>
            </w:pPr>
            <w:r>
              <w:rPr>
                <w:b/>
                <w:color w:val="auto"/>
                <w:sz w:val="21"/>
                <w:szCs w:val="21"/>
                <w:highlight w:val="none"/>
              </w:rPr>
              <w:t xml:space="preserve">2.甲方无故逾期验收和办理货款支付手续的,甲方应按逾期付款总额每日</w:t>
            </w:r>
            <w:r>
              <w:rPr>
                <w:b/>
                <w:color w:val="auto"/>
                <w:sz w:val="21"/>
                <w:szCs w:val="21"/>
                <w:highlight w:val="none"/>
                <w:u w:val="single"/>
              </w:rPr>
              <w:t xml:space="preserve">    </w:t>
            </w:r>
            <w:r>
              <w:rPr>
                <w:b/>
                <w:color w:val="auto"/>
                <w:sz w:val="21"/>
                <w:szCs w:val="21"/>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472" w:type="dxa"/>
            <w:vAlign w:val="center"/>
            <w:textDirection w:val="lrTb"/>
            <w:noWrap w:val="false"/>
          </w:tcPr>
          <w:p>
            <w:pPr>
              <w:jc w:val="left"/>
              <w:rPr>
                <w:rFonts w:ascii="宋体" w:hAnsi="宋体"/>
                <w:color w:val="auto"/>
                <w:sz w:val="21"/>
                <w:szCs w:val="21"/>
                <w:highlight w:val="none"/>
                <w:u w:val="single"/>
              </w:rPr>
            </w:pPr>
            <w:r>
              <w:rPr>
                <w:rFonts w:ascii="宋体" w:hAnsi="宋体"/>
                <w:color w:val="auto"/>
                <w:sz w:val="21"/>
                <w:szCs w:val="21"/>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1.因本合同及合同有关事项发生的争议，由双方协商解决，协商不成时，按下列第（2）种方式解决：</w:t>
            </w:r>
            <w:r/>
          </w:p>
          <w:p>
            <w:pPr>
              <w:jc w:val="left"/>
              <w:rPr>
                <w:rFonts w:ascii="宋体" w:hAnsi="宋体"/>
                <w:color w:val="auto"/>
                <w:sz w:val="21"/>
                <w:szCs w:val="21"/>
                <w:highlight w:val="none"/>
              </w:rPr>
            </w:pPr>
            <w:r>
              <w:rPr>
                <w:b/>
                <w:color w:val="auto"/>
                <w:sz w:val="21"/>
                <w:szCs w:val="21"/>
                <w:highlight w:val="none"/>
              </w:rPr>
              <w:t xml:space="preserve">（1）向仲裁委员会申请仲裁，仲裁地点为          ；</w:t>
            </w:r>
            <w:r/>
          </w:p>
          <w:p>
            <w:pPr>
              <w:jc w:val="left"/>
              <w:rPr>
                <w:rFonts w:ascii="宋体" w:hAnsi="宋体"/>
                <w:color w:val="auto"/>
                <w:sz w:val="21"/>
                <w:szCs w:val="21"/>
                <w:highlight w:val="none"/>
              </w:rPr>
            </w:pPr>
            <w:r>
              <w:rPr>
                <w:b/>
                <w:color w:val="auto"/>
                <w:sz w:val="21"/>
                <w:szCs w:val="21"/>
                <w:highlight w:val="none"/>
              </w:rPr>
              <w:t xml:space="preserve">（2）向甲方所在地人民法院起诉。</w:t>
            </w:r>
            <w:r/>
          </w:p>
          <w:p>
            <w:pPr>
              <w:jc w:val="left"/>
              <w:rPr>
                <w:rFonts w:ascii="宋体" w:hAnsi="宋体"/>
                <w:color w:val="auto"/>
                <w:sz w:val="21"/>
                <w:szCs w:val="21"/>
                <w:highlight w:val="none"/>
              </w:rPr>
            </w:pPr>
            <w:r>
              <w:rPr>
                <w:b/>
                <w:color w:val="auto"/>
                <w:sz w:val="21"/>
                <w:szCs w:val="21"/>
                <w:highlight w:val="none"/>
              </w:rPr>
              <w:t xml:space="preserve">2. 纠纷解决办法</w:t>
            </w:r>
            <w:r/>
          </w:p>
          <w:p>
            <w:pPr>
              <w:jc w:val="left"/>
              <w:rPr>
                <w:rFonts w:ascii="宋体" w:hAnsi="宋体"/>
                <w:color w:val="auto"/>
                <w:sz w:val="21"/>
                <w:szCs w:val="21"/>
                <w:highlight w:val="none"/>
              </w:rPr>
            </w:pPr>
            <w:r>
              <w:rPr>
                <w:b/>
                <w:color w:val="auto"/>
                <w:sz w:val="21"/>
                <w:szCs w:val="21"/>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1"/>
                <w:szCs w:val="21"/>
                <w:highlight w:val="none"/>
              </w:rPr>
            </w:pPr>
            <w:r>
              <w:rPr>
                <w:b/>
                <w:color w:val="auto"/>
                <w:sz w:val="21"/>
                <w:szCs w:val="21"/>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1"/>
                <w:szCs w:val="21"/>
                <w:highlight w:val="none"/>
              </w:rPr>
            </w:pPr>
            <w:r>
              <w:rPr>
                <w:b/>
                <w:color w:val="auto"/>
                <w:sz w:val="21"/>
                <w:szCs w:val="21"/>
                <w:highlight w:val="none"/>
              </w:rPr>
              <w:t xml:space="preserve">3.验收不合格的货物，乙方应在</w:t>
            </w:r>
            <w:r>
              <w:rPr>
                <w:b/>
                <w:color w:val="auto"/>
                <w:sz w:val="21"/>
                <w:szCs w:val="21"/>
                <w:highlight w:val="none"/>
                <w:u w:val="single"/>
              </w:rPr>
              <w:t xml:space="preserve">     </w:t>
            </w:r>
            <w:r>
              <w:rPr>
                <w:b/>
                <w:color w:val="auto"/>
                <w:sz w:val="21"/>
                <w:szCs w:val="21"/>
                <w:highlight w:val="none"/>
              </w:rPr>
              <w:t xml:space="preserve">个工作日内予以更换，逾期按交货延误予以处罚。乙方所交付的货物品种、型号、规格不符合合同规定的，甲方有权拒收。甲方拒收的，乙方向甲方支付货款总额 </w:t>
            </w:r>
            <w:r>
              <w:rPr>
                <w:b/>
                <w:color w:val="auto"/>
                <w:sz w:val="21"/>
                <w:szCs w:val="21"/>
                <w:highlight w:val="none"/>
                <w:u w:val="single"/>
              </w:rPr>
              <w:t xml:space="preserve">    %</w:t>
            </w:r>
            <w:r>
              <w:rPr>
                <w:b/>
                <w:color w:val="auto"/>
                <w:sz w:val="21"/>
                <w:szCs w:val="21"/>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1"/>
                <w:szCs w:val="21"/>
                <w:highlight w:val="none"/>
              </w:rPr>
            </w:pPr>
            <w:r>
              <w:rPr>
                <w:b/>
                <w:color w:val="auto"/>
                <w:sz w:val="21"/>
                <w:szCs w:val="21"/>
                <w:highlight w:val="none"/>
              </w:rPr>
              <w:t xml:space="preserve">4.货物验收要求</w:t>
            </w:r>
            <w:r/>
          </w:p>
          <w:p>
            <w:pPr>
              <w:jc w:val="left"/>
              <w:rPr>
                <w:rFonts w:ascii="宋体" w:hAnsi="宋体"/>
                <w:color w:val="auto"/>
                <w:sz w:val="21"/>
                <w:szCs w:val="21"/>
                <w:highlight w:val="none"/>
              </w:rPr>
            </w:pPr>
            <w:r>
              <w:rPr>
                <w:b/>
                <w:color w:val="auto"/>
                <w:sz w:val="21"/>
                <w:szCs w:val="21"/>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1"/>
                <w:szCs w:val="21"/>
                <w:highlight w:val="none"/>
              </w:rPr>
            </w:pPr>
            <w:r>
              <w:rPr>
                <w:b/>
                <w:color w:val="auto"/>
                <w:sz w:val="21"/>
                <w:szCs w:val="21"/>
                <w:highlight w:val="none"/>
              </w:rPr>
              <w:t xml:space="preserve">（2）甲方与乙方对货物到货后共同进行开箱检查，出现损坏、数量不全或产品不对等问题时，由乙方负责解决。</w:t>
            </w:r>
            <w:r/>
          </w:p>
          <w:p>
            <w:pPr>
              <w:jc w:val="left"/>
              <w:rPr>
                <w:rFonts w:ascii="宋体" w:hAnsi="宋体"/>
                <w:color w:val="auto"/>
                <w:sz w:val="21"/>
                <w:szCs w:val="21"/>
                <w:highlight w:val="none"/>
              </w:rPr>
            </w:pPr>
            <w:r>
              <w:rPr>
                <w:b/>
                <w:color w:val="auto"/>
                <w:sz w:val="21"/>
                <w:szCs w:val="21"/>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1"/>
                <w:szCs w:val="21"/>
                <w:highlight w:val="none"/>
              </w:rPr>
            </w:pPr>
            <w:r>
              <w:rPr>
                <w:b/>
                <w:color w:val="auto"/>
                <w:sz w:val="21"/>
                <w:szCs w:val="21"/>
                <w:highlight w:val="none"/>
              </w:rPr>
              <w:t xml:space="preserve">（4）乙方应按照本合同规定的时间、地点和方式向乙方交付货物。</w:t>
            </w:r>
            <w:r/>
          </w:p>
          <w:p>
            <w:pPr>
              <w:jc w:val="left"/>
              <w:rPr>
                <w:rFonts w:ascii="宋体" w:hAnsi="宋体"/>
                <w:color w:val="auto"/>
                <w:sz w:val="21"/>
                <w:szCs w:val="21"/>
                <w:highlight w:val="none"/>
              </w:rPr>
            </w:pPr>
            <w:r>
              <w:rPr>
                <w:b/>
                <w:color w:val="auto"/>
                <w:sz w:val="21"/>
                <w:szCs w:val="21"/>
                <w:highlight w:val="none"/>
              </w:rPr>
              <w:t xml:space="preserve">交货时间：</w:t>
            </w:r>
            <w:r>
              <w:rPr>
                <w:b/>
                <w:color w:val="auto"/>
                <w:sz w:val="21"/>
                <w:szCs w:val="21"/>
                <w:highlight w:val="none"/>
                <w:u w:val="single"/>
              </w:rPr>
              <w:t xml:space="preserve">          </w:t>
            </w:r>
            <w:r>
              <w:rPr>
                <w:b/>
                <w:color w:val="auto"/>
                <w:sz w:val="21"/>
                <w:szCs w:val="21"/>
                <w:highlight w:val="none"/>
              </w:rPr>
              <w:t xml:space="preserve">日前完成供货（安装）并交付使用。</w:t>
            </w:r>
            <w:r/>
          </w:p>
          <w:p>
            <w:pPr>
              <w:jc w:val="left"/>
              <w:rPr>
                <w:rFonts w:ascii="宋体" w:hAnsi="宋体"/>
                <w:color w:val="auto"/>
                <w:sz w:val="21"/>
                <w:szCs w:val="21"/>
                <w:highlight w:val="none"/>
              </w:rPr>
            </w:pPr>
            <w:r>
              <w:rPr>
                <w:b/>
                <w:color w:val="auto"/>
                <w:sz w:val="21"/>
                <w:szCs w:val="21"/>
                <w:highlight w:val="none"/>
              </w:rPr>
              <w:t xml:space="preserve">交货地点：</w:t>
            </w:r>
            <w:r>
              <w:rPr>
                <w:b/>
                <w:color w:val="auto"/>
                <w:sz w:val="21"/>
                <w:szCs w:val="21"/>
                <w:highlight w:val="none"/>
                <w:u w:val="single"/>
              </w:rPr>
              <w:t xml:space="preserve">                    。</w:t>
            </w:r>
            <w:r/>
          </w:p>
          <w:p>
            <w:pPr>
              <w:jc w:val="left"/>
              <w:rPr>
                <w:rFonts w:ascii="宋体" w:hAnsi="宋体"/>
                <w:color w:val="auto"/>
                <w:sz w:val="21"/>
                <w:szCs w:val="21"/>
                <w:highlight w:val="none"/>
              </w:rPr>
            </w:pPr>
            <w:r>
              <w:rPr>
                <w:b/>
                <w:color w:val="auto"/>
                <w:sz w:val="21"/>
                <w:szCs w:val="21"/>
                <w:highlight w:val="none"/>
              </w:rPr>
              <w:t xml:space="preserve">（5）甲方应在全部货物到货安装完毕后的 </w:t>
            </w:r>
            <w:r>
              <w:rPr>
                <w:b/>
                <w:color w:val="auto"/>
                <w:sz w:val="21"/>
                <w:szCs w:val="21"/>
                <w:highlight w:val="none"/>
                <w:u w:val="single"/>
              </w:rPr>
              <w:t xml:space="preserve">    </w:t>
            </w:r>
            <w:r>
              <w:rPr>
                <w:b/>
                <w:color w:val="auto"/>
                <w:sz w:val="21"/>
                <w:szCs w:val="21"/>
                <w:highlight w:val="none"/>
              </w:rPr>
              <w:t xml:space="preserve">日内进行验收，验收包括：型号、规格、数量、外观是否完好，安装调试是否合格等。验收合格后甲方应在验收报告上签字盖章，初步验收合格且项目运行满</w:t>
            </w:r>
            <w:r>
              <w:rPr>
                <w:b/>
                <w:color w:val="auto"/>
                <w:sz w:val="21"/>
                <w:szCs w:val="21"/>
                <w:highlight w:val="none"/>
                <w:u w:val="single"/>
              </w:rPr>
              <w:t xml:space="preserve">     </w:t>
            </w:r>
            <w:r>
              <w:rPr>
                <w:b/>
                <w:color w:val="auto"/>
                <w:sz w:val="21"/>
                <w:szCs w:val="21"/>
                <w:highlight w:val="none"/>
              </w:rPr>
              <w:t xml:space="preserve">个月后，甲方组织对货物的质量及使用状况等进行最终验收。</w:t>
            </w:r>
            <w:r/>
          </w:p>
          <w:p>
            <w:pPr>
              <w:jc w:val="left"/>
              <w:rPr>
                <w:rFonts w:ascii="宋体" w:hAnsi="宋体"/>
                <w:color w:val="auto"/>
                <w:sz w:val="21"/>
                <w:szCs w:val="21"/>
                <w:highlight w:val="none"/>
              </w:rPr>
            </w:pPr>
            <w:r>
              <w:rPr>
                <w:b/>
                <w:color w:val="auto"/>
                <w:sz w:val="21"/>
                <w:szCs w:val="21"/>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1"/>
                <w:szCs w:val="21"/>
                <w:highlight w:val="none"/>
              </w:rPr>
            </w:pPr>
            <w:r>
              <w:rPr>
                <w:b/>
                <w:color w:val="auto"/>
                <w:sz w:val="21"/>
                <w:szCs w:val="21"/>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1.乙方应按照国家“新三包”规定和合同中所附的服务承诺提供服务。</w:t>
            </w:r>
            <w:r/>
          </w:p>
          <w:p>
            <w:pPr>
              <w:jc w:val="left"/>
              <w:rPr>
                <w:rFonts w:ascii="宋体" w:hAnsi="宋体"/>
                <w:color w:val="auto"/>
                <w:sz w:val="21"/>
                <w:szCs w:val="21"/>
                <w:highlight w:val="none"/>
              </w:rPr>
            </w:pPr>
            <w:r>
              <w:rPr>
                <w:b/>
                <w:color w:val="auto"/>
                <w:sz w:val="21"/>
                <w:szCs w:val="21"/>
                <w:highlight w:val="none"/>
              </w:rPr>
              <w:t xml:space="preserve">2.除第1条规定外，乙方还应提供下列服务：</w:t>
            </w:r>
            <w:r/>
          </w:p>
          <w:p>
            <w:pPr>
              <w:jc w:val="left"/>
              <w:rPr>
                <w:rFonts w:ascii="宋体" w:hAnsi="宋体"/>
                <w:color w:val="auto"/>
                <w:sz w:val="21"/>
                <w:szCs w:val="21"/>
                <w:highlight w:val="none"/>
              </w:rPr>
            </w:pPr>
            <w:r>
              <w:rPr>
                <w:b/>
                <w:color w:val="auto"/>
                <w:sz w:val="21"/>
                <w:szCs w:val="21"/>
                <w:highlight w:val="none"/>
              </w:rPr>
              <w:t xml:space="preserve"> (1) 招标文件中的“服务要求”所规定的服务内容以及投标文件承诺提供的其他服务内容；</w:t>
            </w:r>
            <w:r/>
          </w:p>
          <w:p>
            <w:pPr>
              <w:jc w:val="left"/>
              <w:rPr>
                <w:rFonts w:ascii="宋体" w:hAnsi="宋体"/>
                <w:color w:val="auto"/>
                <w:sz w:val="21"/>
                <w:szCs w:val="21"/>
                <w:highlight w:val="none"/>
              </w:rPr>
            </w:pPr>
            <w:r>
              <w:rPr>
                <w:b/>
                <w:color w:val="auto"/>
                <w:sz w:val="21"/>
                <w:szCs w:val="21"/>
                <w:highlight w:val="none"/>
              </w:rPr>
              <w:t xml:space="preserve"> (2) 负责货物的开孔，货物的现场安装；</w:t>
            </w:r>
            <w:r/>
          </w:p>
          <w:p>
            <w:pPr>
              <w:jc w:val="left"/>
              <w:rPr>
                <w:rFonts w:ascii="宋体" w:hAnsi="宋体"/>
                <w:color w:val="auto"/>
                <w:sz w:val="21"/>
                <w:szCs w:val="21"/>
                <w:highlight w:val="none"/>
              </w:rPr>
            </w:pPr>
            <w:r>
              <w:rPr>
                <w:b/>
                <w:color w:val="auto"/>
                <w:sz w:val="21"/>
                <w:szCs w:val="21"/>
                <w:highlight w:val="none"/>
              </w:rPr>
              <w:t xml:space="preserve"> (3) 提供货物组装和维修所需的工具；</w:t>
            </w:r>
            <w:r/>
          </w:p>
          <w:p>
            <w:pPr>
              <w:jc w:val="left"/>
              <w:rPr>
                <w:rFonts w:ascii="宋体" w:hAnsi="宋体"/>
                <w:color w:val="auto"/>
                <w:sz w:val="21"/>
                <w:szCs w:val="21"/>
                <w:highlight w:val="none"/>
              </w:rPr>
            </w:pPr>
            <w:r>
              <w:rPr>
                <w:b/>
                <w:color w:val="auto"/>
                <w:sz w:val="21"/>
                <w:szCs w:val="21"/>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1"/>
                <w:szCs w:val="21"/>
                <w:highlight w:val="none"/>
              </w:rPr>
            </w:pPr>
            <w:r>
              <w:rPr>
                <w:b/>
                <w:color w:val="auto"/>
                <w:sz w:val="21"/>
                <w:szCs w:val="21"/>
                <w:highlight w:val="none"/>
              </w:rPr>
              <w:t xml:space="preserve"> (5) 在货物交货现场就货物的安装、启用、维护等对甲方人员进行培训。</w:t>
            </w:r>
            <w:r/>
          </w:p>
          <w:p>
            <w:pPr>
              <w:jc w:val="left"/>
              <w:rPr>
                <w:rFonts w:ascii="宋体" w:hAnsi="宋体"/>
                <w:color w:val="auto"/>
                <w:sz w:val="21"/>
                <w:szCs w:val="21"/>
                <w:highlight w:val="none"/>
              </w:rPr>
            </w:pPr>
            <w:r>
              <w:rPr>
                <w:b/>
                <w:color w:val="auto"/>
                <w:sz w:val="21"/>
                <w:szCs w:val="21"/>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1.甲方有权根据当地质检部门出具的检验报告，向乙方提出索赔。</w:t>
            </w:r>
            <w:r/>
          </w:p>
          <w:p>
            <w:pPr>
              <w:jc w:val="left"/>
              <w:rPr>
                <w:rFonts w:ascii="宋体" w:hAnsi="宋体"/>
                <w:color w:val="auto"/>
                <w:sz w:val="21"/>
                <w:szCs w:val="21"/>
                <w:highlight w:val="none"/>
              </w:rPr>
            </w:pPr>
            <w:r>
              <w:rPr>
                <w:b/>
                <w:color w:val="auto"/>
                <w:sz w:val="21"/>
                <w:szCs w:val="21"/>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1"/>
                <w:szCs w:val="21"/>
                <w:highlight w:val="none"/>
              </w:rPr>
            </w:pPr>
            <w:r>
              <w:rPr>
                <w:b/>
                <w:color w:val="auto"/>
                <w:sz w:val="21"/>
                <w:szCs w:val="21"/>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1"/>
                <w:szCs w:val="21"/>
                <w:highlight w:val="none"/>
              </w:rPr>
            </w:pPr>
            <w:r>
              <w:rPr>
                <w:b/>
                <w:color w:val="auto"/>
                <w:sz w:val="21"/>
                <w:szCs w:val="21"/>
                <w:highlight w:val="none"/>
              </w:rPr>
              <w:t xml:space="preserve"> (2) 根据货物的低劣程度、损坏程度以及甲方所遭受损失的数额，乙方必须降低货物的价格。</w:t>
            </w:r>
            <w:r/>
          </w:p>
          <w:p>
            <w:pPr>
              <w:jc w:val="left"/>
              <w:rPr>
                <w:rFonts w:ascii="宋体" w:hAnsi="宋体"/>
                <w:color w:val="auto"/>
                <w:sz w:val="21"/>
                <w:szCs w:val="21"/>
                <w:highlight w:val="none"/>
              </w:rPr>
            </w:pPr>
            <w:r>
              <w:rPr>
                <w:b/>
                <w:color w:val="auto"/>
                <w:sz w:val="21"/>
                <w:szCs w:val="21"/>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1"/>
                <w:szCs w:val="21"/>
                <w:highlight w:val="none"/>
              </w:rPr>
            </w:pPr>
            <w:r>
              <w:rPr>
                <w:b/>
                <w:color w:val="auto"/>
                <w:sz w:val="21"/>
                <w:szCs w:val="21"/>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7"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472" w:type="dxa"/>
            <w:vAlign w:val="center"/>
            <w:textDirection w:val="lrTb"/>
            <w:noWrap w:val="false"/>
          </w:tcPr>
          <w:p>
            <w:pPr>
              <w:jc w:val="left"/>
              <w:rPr>
                <w:rFonts w:ascii="宋体" w:hAnsi="宋体"/>
                <w:color w:val="auto"/>
                <w:sz w:val="21"/>
                <w:szCs w:val="21"/>
                <w:highlight w:val="none"/>
              </w:rPr>
            </w:pPr>
            <w:r>
              <w:rPr>
                <w:rFonts w:hint="eastAsia" w:ascii="宋体" w:hAnsi="宋体"/>
                <w:b/>
                <w:color w:val="auto"/>
                <w:sz w:val="21"/>
                <w:szCs w:val="21"/>
                <w:highlight w:val="none"/>
              </w:rPr>
              <w:t xml:space="preserve">1. 合同经甲方、乙方盖章后生效。</w:t>
            </w:r>
            <w:r/>
          </w:p>
          <w:p>
            <w:pPr>
              <w:jc w:val="left"/>
              <w:rPr>
                <w:rFonts w:ascii="宋体" w:hAnsi="宋体"/>
                <w:color w:val="auto"/>
                <w:sz w:val="21"/>
                <w:szCs w:val="21"/>
                <w:highlight w:val="none"/>
              </w:rPr>
            </w:pPr>
            <w:r>
              <w:rPr>
                <w:b/>
                <w:color w:val="auto"/>
                <w:sz w:val="21"/>
                <w:szCs w:val="21"/>
                <w:highlight w:val="none"/>
              </w:rPr>
              <w:t xml:space="preserve">2. 货物交付使用后所发生的合同纠纷，由甲方与乙方协商处理。</w:t>
            </w:r>
            <w:r/>
          </w:p>
          <w:p>
            <w:pPr>
              <w:jc w:val="left"/>
              <w:rPr>
                <w:rFonts w:ascii="宋体" w:hAnsi="宋体"/>
                <w:color w:val="auto"/>
                <w:sz w:val="21"/>
                <w:szCs w:val="21"/>
                <w:highlight w:val="none"/>
              </w:rPr>
            </w:pPr>
            <w:r>
              <w:rPr>
                <w:b/>
                <w:color w:val="auto"/>
                <w:sz w:val="21"/>
                <w:szCs w:val="21"/>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1"/>
                <w:szCs w:val="21"/>
                <w:highlight w:val="none"/>
              </w:rPr>
            </w:pPr>
            <w:r>
              <w:rPr>
                <w:b/>
                <w:color w:val="auto"/>
                <w:sz w:val="21"/>
                <w:szCs w:val="21"/>
                <w:highlight w:val="none"/>
              </w:rPr>
              <w:t xml:space="preserve">4.本合同应按照中华人民共和国的现行法律进行解释。本合同未尽事宜，遵照《民法典》、《政府采购法》等有关条文执行。</w:t>
            </w:r>
            <w:r/>
          </w:p>
        </w:tc>
      </w:tr>
    </w:tbl>
    <w:p>
      <w:pPr>
        <w:pStyle w:val="863"/>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120" w:beforeAutospacing="0" w:after="120" w:afterAutospacing="0" w:line="0" w:lineRule="atLeast"/>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 第</w:t>
      </w:r>
      <w:bookmarkEnd w:id="160"/>
      <w:r>
        <w:rPr>
          <w:rFonts w:hint="eastAsia" w:ascii="黑体" w:hAnsi="宋体" w:eastAsia="黑体" w:cs="黑体"/>
          <w:color w:val="auto"/>
          <w:sz w:val="44"/>
          <w:szCs w:val="44"/>
          <w:highlight w:val="none"/>
        </w:rPr>
        <w:t xml:space="preserve">四章 采购需求</w:t>
      </w:r>
      <w:bookmarkEnd w:id="161"/>
      <w:r/>
      <w:bookmarkEnd w:id="162"/>
      <w:r/>
      <w:bookmarkEnd w:id="163"/>
      <w:r/>
      <w:bookmarkEnd w:id="164"/>
      <w:r/>
      <w:bookmarkEnd w:id="165"/>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bookmarkStart w:id="173" w:name="_Toc49090575"/>
      <w:r/>
      <w:bookmarkStart w:id="174" w:name="_Toc26554093"/>
      <w:r>
        <w:rPr>
          <w:rFonts w:hint="eastAsia" w:ascii="宋体" w:hAnsi="宋体" w:eastAsia="宋体" w:cs="宋体"/>
          <w:color w:val="auto"/>
          <w:sz w:val="24"/>
          <w:szCs w:val="24"/>
          <w:highlight w:val="none"/>
        </w:rPr>
        <w:t xml:space="preserve">项目属性：货物类项目。</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一、采购内容：本次采购共一个包件，具体采购清单如下表：</w:t>
      </w:r>
      <w:r/>
    </w:p>
    <w:tbl>
      <w:tblPr>
        <w:tblStyle w:val="8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1483"/>
        <w:gridCol w:w="1370"/>
        <w:gridCol w:w="914"/>
        <w:gridCol w:w="3915"/>
      </w:tblGrid>
      <w:tr>
        <w:trPr/>
        <w:tc>
          <w:tcPr>
            <w:tcW w:w="491" w:type="pct"/>
            <w:textDirection w:val="lrTb"/>
            <w:noWrap w:val="false"/>
          </w:tcPr>
          <w:p>
            <w:pPr>
              <w:rPr>
                <w:b w:val="0"/>
                <w:bCs/>
                <w:color w:val="auto"/>
                <w:highlight w:val="none"/>
              </w:rPr>
            </w:pPr>
            <w:r>
              <w:rPr>
                <w:b w:val="0"/>
                <w:bCs/>
                <w:color w:val="auto"/>
                <w:highlight w:val="none"/>
              </w:rPr>
              <w:t xml:space="preserve">序号</w:t>
            </w:r>
            <w:r/>
          </w:p>
        </w:tc>
        <w:tc>
          <w:tcPr>
            <w:tcW w:w="870" w:type="pct"/>
            <w:textDirection w:val="lrTb"/>
            <w:noWrap w:val="false"/>
          </w:tcPr>
          <w:p>
            <w:pPr>
              <w:rPr>
                <w:b w:val="0"/>
                <w:bCs/>
                <w:color w:val="auto"/>
                <w:highlight w:val="none"/>
              </w:rPr>
            </w:pPr>
            <w:r>
              <w:rPr>
                <w:b w:val="0"/>
                <w:bCs/>
                <w:color w:val="auto"/>
                <w:highlight w:val="none"/>
              </w:rPr>
              <w:t xml:space="preserve">耗材名称</w:t>
            </w:r>
            <w:r/>
          </w:p>
        </w:tc>
        <w:tc>
          <w:tcPr>
            <w:tcW w:w="804" w:type="pct"/>
            <w:textDirection w:val="lrTb"/>
            <w:noWrap w:val="false"/>
          </w:tcPr>
          <w:p>
            <w:pPr>
              <w:rPr>
                <w:b w:val="0"/>
                <w:bCs/>
                <w:color w:val="auto"/>
                <w:highlight w:val="none"/>
              </w:rPr>
            </w:pPr>
            <w:r>
              <w:rPr>
                <w:b w:val="0"/>
                <w:bCs/>
                <w:color w:val="auto"/>
                <w:highlight w:val="none"/>
              </w:rPr>
              <w:t xml:space="preserve">规格</w:t>
            </w:r>
            <w:r/>
          </w:p>
        </w:tc>
        <w:tc>
          <w:tcPr>
            <w:tcW w:w="536" w:type="pct"/>
            <w:textDirection w:val="lrTb"/>
            <w:noWrap w:val="false"/>
          </w:tcPr>
          <w:p>
            <w:pPr>
              <w:rPr>
                <w:b w:val="0"/>
                <w:bCs/>
                <w:color w:val="auto"/>
                <w:highlight w:val="none"/>
              </w:rPr>
            </w:pPr>
            <w:r>
              <w:rPr>
                <w:b w:val="0"/>
                <w:bCs/>
                <w:color w:val="auto"/>
                <w:highlight w:val="none"/>
              </w:rPr>
              <w:t xml:space="preserve">数量</w:t>
            </w:r>
            <w:r/>
          </w:p>
        </w:tc>
        <w:tc>
          <w:tcPr>
            <w:tcW w:w="2297" w:type="pct"/>
            <w:textDirection w:val="lrTb"/>
            <w:noWrap w:val="false"/>
          </w:tcPr>
          <w:p>
            <w:pPr>
              <w:rPr>
                <w:b w:val="0"/>
                <w:bCs/>
                <w:color w:val="auto"/>
                <w:highlight w:val="none"/>
              </w:rPr>
            </w:pPr>
            <w:r>
              <w:rPr>
                <w:b w:val="0"/>
                <w:bCs/>
                <w:color w:val="auto"/>
                <w:highlight w:val="none"/>
              </w:rPr>
              <w:t xml:space="preserve">参数</w:t>
            </w:r>
            <w:r/>
          </w:p>
        </w:tc>
      </w:tr>
      <w:tr>
        <w:trPr/>
        <w:tc>
          <w:tcPr>
            <w:tcW w:w="491" w:type="pct"/>
            <w:textDirection w:val="lrTb"/>
            <w:noWrap w:val="false"/>
          </w:tcPr>
          <w:p>
            <w:pPr>
              <w:rPr>
                <w:b w:val="0"/>
                <w:bCs/>
                <w:color w:val="auto"/>
                <w:highlight w:val="none"/>
              </w:rPr>
            </w:pPr>
            <w:r>
              <w:rPr>
                <w:b w:val="0"/>
                <w:bCs/>
                <w:color w:val="auto"/>
                <w:highlight w:val="none"/>
              </w:rPr>
              <w:t xml:space="preserve">1</w:t>
            </w:r>
            <w:r/>
          </w:p>
        </w:tc>
        <w:tc>
          <w:tcPr>
            <w:tcW w:w="870" w:type="pct"/>
            <w:textDirection w:val="lrTb"/>
            <w:noWrap w:val="false"/>
          </w:tcPr>
          <w:p>
            <w:pPr>
              <w:rPr>
                <w:b w:val="0"/>
                <w:bCs/>
                <w:color w:val="auto"/>
                <w:highlight w:val="none"/>
              </w:rPr>
            </w:pPr>
            <w:r>
              <w:rPr>
                <w:b w:val="0"/>
                <w:bCs/>
                <w:color w:val="auto"/>
                <w:highlight w:val="none"/>
              </w:rPr>
              <w:t xml:space="preserve">24道毛细管</w:t>
            </w:r>
            <w:r/>
          </w:p>
        </w:tc>
        <w:tc>
          <w:tcPr>
            <w:tcW w:w="804" w:type="pct"/>
            <w:textDirection w:val="lrTb"/>
            <w:noWrap w:val="false"/>
          </w:tcPr>
          <w:p>
            <w:pPr>
              <w:rPr>
                <w:b w:val="0"/>
                <w:bCs/>
                <w:color w:val="auto"/>
                <w:highlight w:val="none"/>
              </w:rPr>
            </w:pPr>
            <w:r>
              <w:rPr>
                <w:b w:val="0"/>
                <w:bCs/>
                <w:color w:val="auto"/>
                <w:highlight w:val="none"/>
              </w:rPr>
              <w:t xml:space="preserve">24道/套</w:t>
            </w:r>
            <w:r/>
          </w:p>
        </w:tc>
        <w:tc>
          <w:tcPr>
            <w:tcW w:w="536" w:type="pct"/>
            <w:textDirection w:val="lrTb"/>
            <w:noWrap w:val="false"/>
          </w:tcPr>
          <w:p>
            <w:pPr>
              <w:rPr>
                <w:b w:val="0"/>
                <w:bCs/>
                <w:color w:val="auto"/>
                <w:highlight w:val="none"/>
              </w:rPr>
            </w:pPr>
            <w:r>
              <w:rPr>
                <w:b w:val="0"/>
                <w:bCs/>
                <w:color w:val="auto"/>
                <w:highlight w:val="none"/>
              </w:rPr>
              <w:t xml:space="preserve">1盒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毛细管36cm长、24道毛细管阵列，内无涂层。适用于3500xl系列基因分析仪</w:t>
            </w:r>
            <w:r/>
          </w:p>
        </w:tc>
      </w:tr>
      <w:tr>
        <w:trPr/>
        <w:tc>
          <w:tcPr>
            <w:tcW w:w="491" w:type="pct"/>
            <w:textDirection w:val="lrTb"/>
            <w:noWrap w:val="false"/>
          </w:tcPr>
          <w:p>
            <w:pPr>
              <w:rPr>
                <w:b w:val="0"/>
                <w:bCs/>
                <w:color w:val="auto"/>
                <w:highlight w:val="none"/>
              </w:rPr>
            </w:pPr>
            <w:r>
              <w:rPr>
                <w:b w:val="0"/>
                <w:bCs/>
                <w:color w:val="auto"/>
                <w:highlight w:val="none"/>
              </w:rPr>
              <w:t xml:space="preserve">2</w:t>
            </w:r>
            <w:r/>
          </w:p>
        </w:tc>
        <w:tc>
          <w:tcPr>
            <w:tcW w:w="870" w:type="pct"/>
            <w:textDirection w:val="lrTb"/>
            <w:noWrap w:val="false"/>
          </w:tcPr>
          <w:p>
            <w:pPr>
              <w:rPr>
                <w:b w:val="0"/>
                <w:bCs/>
                <w:color w:val="auto"/>
                <w:highlight w:val="none"/>
              </w:rPr>
            </w:pPr>
            <w:r>
              <w:rPr>
                <w:b w:val="0"/>
                <w:bCs/>
                <w:color w:val="auto"/>
                <w:highlight w:val="none"/>
              </w:rPr>
              <w:t xml:space="preserve">POP4胶（384）</w:t>
            </w:r>
            <w:r/>
          </w:p>
        </w:tc>
        <w:tc>
          <w:tcPr>
            <w:tcW w:w="804" w:type="pct"/>
            <w:textDirection w:val="lrTb"/>
            <w:noWrap w:val="false"/>
          </w:tcPr>
          <w:p>
            <w:pPr>
              <w:rPr>
                <w:b w:val="0"/>
                <w:bCs/>
                <w:color w:val="auto"/>
                <w:highlight w:val="none"/>
              </w:rPr>
            </w:pPr>
            <w:r>
              <w:rPr>
                <w:b w:val="0"/>
                <w:bCs/>
                <w:color w:val="auto"/>
                <w:highlight w:val="none"/>
              </w:rPr>
              <w:t xml:space="preserve">384反应/盒</w:t>
            </w:r>
            <w:r/>
          </w:p>
        </w:tc>
        <w:tc>
          <w:tcPr>
            <w:tcW w:w="536" w:type="pct"/>
            <w:textDirection w:val="lrTb"/>
            <w:noWrap w:val="false"/>
          </w:tcPr>
          <w:p>
            <w:pPr>
              <w:rPr>
                <w:b w:val="0"/>
                <w:bCs/>
                <w:color w:val="auto"/>
                <w:highlight w:val="none"/>
              </w:rPr>
            </w:pPr>
            <w:r>
              <w:rPr>
                <w:b w:val="0"/>
                <w:bCs/>
                <w:color w:val="auto"/>
                <w:highlight w:val="none"/>
              </w:rPr>
              <w:t xml:space="preserve">30盒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电泳分离胶，能够满足384人份样本的检测，含4%非交联的二甲基聚丙烯酰胺、高浓度的尿素。适用于3500xl系列基因分析仪。</w:t>
            </w:r>
            <w:r/>
          </w:p>
        </w:tc>
      </w:tr>
      <w:tr>
        <w:trPr/>
        <w:tc>
          <w:tcPr>
            <w:tcW w:w="491" w:type="pct"/>
            <w:textDirection w:val="lrTb"/>
            <w:noWrap w:val="false"/>
          </w:tcPr>
          <w:p>
            <w:pPr>
              <w:rPr>
                <w:b w:val="0"/>
                <w:bCs/>
                <w:color w:val="auto"/>
                <w:highlight w:val="none"/>
              </w:rPr>
            </w:pPr>
            <w:r>
              <w:rPr>
                <w:b w:val="0"/>
                <w:bCs/>
                <w:color w:val="auto"/>
                <w:highlight w:val="none"/>
              </w:rPr>
              <w:t xml:space="preserve">3</w:t>
            </w:r>
            <w:r/>
          </w:p>
        </w:tc>
        <w:tc>
          <w:tcPr>
            <w:tcW w:w="870" w:type="pct"/>
            <w:textDirection w:val="lrTb"/>
            <w:noWrap w:val="false"/>
          </w:tcPr>
          <w:p>
            <w:pPr>
              <w:rPr>
                <w:b w:val="0"/>
                <w:bCs/>
                <w:color w:val="auto"/>
                <w:highlight w:val="none"/>
              </w:rPr>
            </w:pPr>
            <w:r>
              <w:rPr>
                <w:b w:val="0"/>
                <w:bCs/>
                <w:color w:val="auto"/>
                <w:highlight w:val="none"/>
              </w:rPr>
              <w:t xml:space="preserve">Liz600内标</w:t>
            </w:r>
            <w:r/>
          </w:p>
        </w:tc>
        <w:tc>
          <w:tcPr>
            <w:tcW w:w="804" w:type="pct"/>
            <w:textDirection w:val="lrTb"/>
            <w:noWrap w:val="false"/>
          </w:tcPr>
          <w:p>
            <w:pPr>
              <w:rPr>
                <w:b w:val="0"/>
                <w:bCs/>
                <w:color w:val="auto"/>
                <w:highlight w:val="none"/>
              </w:rPr>
            </w:pPr>
            <w:r>
              <w:rPr>
                <w:b w:val="0"/>
                <w:bCs/>
                <w:color w:val="auto"/>
                <w:highlight w:val="none"/>
              </w:rPr>
              <w:t xml:space="preserve">800反应/盒</w:t>
            </w:r>
            <w:r/>
          </w:p>
        </w:tc>
        <w:tc>
          <w:tcPr>
            <w:tcW w:w="536" w:type="pct"/>
            <w:textDirection w:val="lrTb"/>
            <w:noWrap w:val="false"/>
          </w:tcPr>
          <w:p>
            <w:pPr>
              <w:rPr>
                <w:b w:val="0"/>
                <w:bCs/>
                <w:color w:val="auto"/>
                <w:highlight w:val="none"/>
              </w:rPr>
            </w:pPr>
            <w:r>
              <w:rPr>
                <w:b w:val="0"/>
                <w:bCs/>
                <w:color w:val="auto"/>
                <w:highlight w:val="none"/>
              </w:rPr>
              <w:t xml:space="preserve">15盒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用LIZ作为标记荧光,与常染色体案件试剂盒相匹配</w:t>
            </w:r>
            <w:r/>
          </w:p>
        </w:tc>
      </w:tr>
      <w:tr>
        <w:trPr/>
        <w:tc>
          <w:tcPr>
            <w:tcW w:w="491" w:type="pct"/>
            <w:textDirection w:val="lrTb"/>
            <w:noWrap w:val="false"/>
          </w:tcPr>
          <w:p>
            <w:pPr>
              <w:rPr>
                <w:b w:val="0"/>
                <w:bCs/>
                <w:color w:val="auto"/>
                <w:highlight w:val="none"/>
              </w:rPr>
            </w:pPr>
            <w:r>
              <w:rPr>
                <w:b w:val="0"/>
                <w:bCs/>
                <w:color w:val="auto"/>
                <w:highlight w:val="none"/>
              </w:rPr>
              <w:t xml:space="preserve">4</w:t>
            </w:r>
            <w:r/>
          </w:p>
        </w:tc>
        <w:tc>
          <w:tcPr>
            <w:tcW w:w="870" w:type="pct"/>
            <w:textDirection w:val="lrTb"/>
            <w:noWrap w:val="false"/>
          </w:tcPr>
          <w:p>
            <w:pPr>
              <w:rPr>
                <w:b w:val="0"/>
                <w:bCs/>
                <w:color w:val="auto"/>
                <w:highlight w:val="none"/>
              </w:rPr>
            </w:pPr>
            <w:r>
              <w:rPr>
                <w:b w:val="0"/>
                <w:bCs/>
                <w:color w:val="auto"/>
                <w:highlight w:val="none"/>
              </w:rPr>
              <w:t xml:space="preserve">阳极缓冲液</w:t>
            </w:r>
            <w:r/>
          </w:p>
        </w:tc>
        <w:tc>
          <w:tcPr>
            <w:tcW w:w="804" w:type="pct"/>
            <w:textDirection w:val="lrTb"/>
            <w:noWrap w:val="false"/>
          </w:tcPr>
          <w:p>
            <w:pPr>
              <w:rPr>
                <w:b w:val="0"/>
                <w:bCs/>
                <w:color w:val="auto"/>
                <w:highlight w:val="none"/>
              </w:rPr>
            </w:pPr>
            <w:r>
              <w:rPr>
                <w:b w:val="0"/>
                <w:bCs/>
                <w:color w:val="auto"/>
                <w:highlight w:val="none"/>
              </w:rPr>
              <w:t xml:space="preserve">4瓶/盒</w:t>
            </w:r>
            <w:r/>
          </w:p>
        </w:tc>
        <w:tc>
          <w:tcPr>
            <w:tcW w:w="536" w:type="pct"/>
            <w:textDirection w:val="lrTb"/>
            <w:noWrap w:val="false"/>
          </w:tcPr>
          <w:p>
            <w:pPr>
              <w:rPr>
                <w:b w:val="0"/>
                <w:bCs/>
                <w:color w:val="auto"/>
                <w:highlight w:val="none"/>
              </w:rPr>
            </w:pPr>
            <w:r>
              <w:rPr>
                <w:b w:val="0"/>
                <w:bCs/>
                <w:color w:val="auto"/>
                <w:highlight w:val="none"/>
              </w:rPr>
              <w:t xml:space="preserve">7盒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内含有1倍浓度的阳极缓冲液，可支持3500系列基因分析仪进行各种电泳应用。缓冲液保存于一次性的即用型容器中，容器上贴有无线射频识别（RFID）标签的商标。适用于3500xl系列基因分析仪</w:t>
            </w:r>
            <w:r/>
          </w:p>
        </w:tc>
      </w:tr>
      <w:tr>
        <w:trPr/>
        <w:tc>
          <w:tcPr>
            <w:tcW w:w="491" w:type="pct"/>
            <w:textDirection w:val="lrTb"/>
            <w:noWrap w:val="false"/>
          </w:tcPr>
          <w:p>
            <w:pPr>
              <w:rPr>
                <w:b w:val="0"/>
                <w:bCs/>
                <w:color w:val="auto"/>
                <w:highlight w:val="none"/>
              </w:rPr>
            </w:pPr>
            <w:r>
              <w:rPr>
                <w:b w:val="0"/>
                <w:bCs/>
                <w:color w:val="auto"/>
                <w:highlight w:val="none"/>
              </w:rPr>
              <w:t xml:space="preserve">5</w:t>
            </w:r>
            <w:r/>
          </w:p>
        </w:tc>
        <w:tc>
          <w:tcPr>
            <w:tcW w:w="870" w:type="pct"/>
            <w:textDirection w:val="lrTb"/>
            <w:noWrap w:val="false"/>
          </w:tcPr>
          <w:p>
            <w:pPr>
              <w:rPr>
                <w:b w:val="0"/>
                <w:bCs/>
                <w:color w:val="auto"/>
                <w:highlight w:val="none"/>
              </w:rPr>
            </w:pPr>
            <w:r>
              <w:rPr>
                <w:b w:val="0"/>
                <w:bCs/>
                <w:color w:val="auto"/>
                <w:highlight w:val="none"/>
              </w:rPr>
              <w:t xml:space="preserve">阴极缓冲液</w:t>
            </w:r>
            <w:r/>
          </w:p>
        </w:tc>
        <w:tc>
          <w:tcPr>
            <w:tcW w:w="804" w:type="pct"/>
            <w:textDirection w:val="lrTb"/>
            <w:noWrap w:val="false"/>
          </w:tcPr>
          <w:p>
            <w:pPr>
              <w:rPr>
                <w:b w:val="0"/>
                <w:bCs/>
                <w:color w:val="auto"/>
                <w:highlight w:val="none"/>
              </w:rPr>
            </w:pPr>
            <w:r>
              <w:rPr>
                <w:b w:val="0"/>
                <w:bCs/>
                <w:color w:val="auto"/>
                <w:highlight w:val="none"/>
              </w:rPr>
              <w:t xml:space="preserve">4瓶/盒</w:t>
            </w:r>
            <w:r/>
          </w:p>
        </w:tc>
        <w:tc>
          <w:tcPr>
            <w:tcW w:w="536" w:type="pct"/>
            <w:textDirection w:val="lrTb"/>
            <w:noWrap w:val="false"/>
          </w:tcPr>
          <w:p>
            <w:pPr>
              <w:rPr>
                <w:b w:val="0"/>
                <w:bCs/>
                <w:color w:val="auto"/>
                <w:highlight w:val="none"/>
              </w:rPr>
            </w:pPr>
            <w:r>
              <w:rPr>
                <w:b w:val="0"/>
                <w:bCs/>
                <w:color w:val="auto"/>
                <w:highlight w:val="none"/>
              </w:rPr>
              <w:t xml:space="preserve">7盒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内含有1倍浓度的运行缓冲液，可支持3500系列基因分析仪进行各种电泳应用。容器内两个独立的隔间，左侧提供电泳所需的阴极缓冲液，右侧可进行两次注射间的毛细管清洗和聚合物废物清除。缓冲液保存于一次性的即用型容器中，容器上贴有无线射频识别（RFID）标签的商标。适用于3500xl系列基因分析仪</w:t>
            </w:r>
            <w:r/>
          </w:p>
        </w:tc>
      </w:tr>
      <w:tr>
        <w:trPr/>
        <w:tc>
          <w:tcPr>
            <w:tcW w:w="491" w:type="pct"/>
            <w:textDirection w:val="lrTb"/>
            <w:noWrap w:val="false"/>
          </w:tcPr>
          <w:p>
            <w:pPr>
              <w:rPr>
                <w:b w:val="0"/>
                <w:bCs/>
                <w:color w:val="auto"/>
                <w:highlight w:val="none"/>
              </w:rPr>
            </w:pPr>
            <w:r>
              <w:rPr>
                <w:b w:val="0"/>
                <w:bCs/>
                <w:color w:val="auto"/>
                <w:highlight w:val="none"/>
              </w:rPr>
              <w:t xml:space="preserve">6</w:t>
            </w:r>
            <w:r/>
          </w:p>
        </w:tc>
        <w:tc>
          <w:tcPr>
            <w:tcW w:w="870" w:type="pct"/>
            <w:textDirection w:val="lrTb"/>
            <w:noWrap w:val="false"/>
          </w:tcPr>
          <w:p>
            <w:pPr>
              <w:rPr>
                <w:b w:val="0"/>
                <w:bCs/>
                <w:color w:val="auto"/>
                <w:highlight w:val="none"/>
              </w:rPr>
            </w:pPr>
            <w:r>
              <w:rPr>
                <w:b w:val="0"/>
                <w:bCs/>
                <w:color w:val="auto"/>
                <w:highlight w:val="none"/>
              </w:rPr>
              <w:t xml:space="preserve">阴极续液槽垫</w:t>
            </w:r>
            <w:r/>
          </w:p>
        </w:tc>
        <w:tc>
          <w:tcPr>
            <w:tcW w:w="804" w:type="pct"/>
            <w:textDirection w:val="lrTb"/>
            <w:noWrap w:val="false"/>
          </w:tcPr>
          <w:p>
            <w:pPr>
              <w:rPr>
                <w:b w:val="0"/>
                <w:bCs/>
                <w:color w:val="auto"/>
                <w:highlight w:val="none"/>
              </w:rPr>
            </w:pPr>
            <w:r>
              <w:rPr>
                <w:b w:val="0"/>
                <w:bCs/>
                <w:color w:val="auto"/>
                <w:highlight w:val="none"/>
              </w:rPr>
              <w:t xml:space="preserve">10片/盒</w:t>
            </w:r>
            <w:r/>
          </w:p>
        </w:tc>
        <w:tc>
          <w:tcPr>
            <w:tcW w:w="536" w:type="pct"/>
            <w:textDirection w:val="lrTb"/>
            <w:noWrap w:val="false"/>
          </w:tcPr>
          <w:p>
            <w:pPr>
              <w:rPr>
                <w:b w:val="0"/>
                <w:bCs/>
                <w:color w:val="auto"/>
                <w:highlight w:val="none"/>
              </w:rPr>
            </w:pPr>
            <w:r>
              <w:rPr>
                <w:b w:val="0"/>
                <w:bCs/>
                <w:color w:val="auto"/>
                <w:highlight w:val="none"/>
              </w:rPr>
              <w:t xml:space="preserve">3盒</w:t>
            </w:r>
            <w:r/>
          </w:p>
        </w:tc>
        <w:tc>
          <w:tcPr>
            <w:tcW w:w="2297" w:type="pct"/>
            <w:textDirection w:val="lrTb"/>
            <w:noWrap w:val="false"/>
          </w:tcPr>
          <w:p>
            <w:pPr>
              <w:rPr>
                <w:b w:val="0"/>
                <w:bCs/>
                <w:color w:val="auto"/>
                <w:highlight w:val="none"/>
              </w:rPr>
            </w:pPr>
            <w:r>
              <w:rPr>
                <w:rFonts w:cs="宋体"/>
                <w:color w:val="auto"/>
                <w:sz w:val="24"/>
                <w:highlight w:val="none"/>
              </w:rPr>
              <w:t xml:space="preserve">★</w:t>
            </w:r>
            <w:r>
              <w:rPr>
                <w:b w:val="0"/>
                <w:bCs/>
                <w:color w:val="auto"/>
                <w:highlight w:val="none"/>
              </w:rPr>
              <w:t xml:space="preserve">96孔电泳板隔垫片，适用于3500xl系列基因分析仪</w:t>
            </w:r>
            <w:r/>
          </w:p>
        </w:tc>
      </w:tr>
      <w:tr>
        <w:trPr/>
        <w:tc>
          <w:tcPr>
            <w:tcW w:w="491" w:type="pct"/>
            <w:textDirection w:val="lrTb"/>
            <w:noWrap w:val="false"/>
          </w:tcPr>
          <w:p>
            <w:pPr>
              <w:rPr>
                <w:b w:val="0"/>
                <w:bCs/>
                <w:color w:val="auto"/>
                <w:highlight w:val="none"/>
              </w:rPr>
            </w:pPr>
            <w:r>
              <w:rPr>
                <w:b w:val="0"/>
                <w:bCs/>
                <w:color w:val="auto"/>
                <w:highlight w:val="none"/>
              </w:rPr>
              <w:t xml:space="preserve">7</w:t>
            </w:r>
            <w:r/>
          </w:p>
        </w:tc>
        <w:tc>
          <w:tcPr>
            <w:tcW w:w="870" w:type="pct"/>
            <w:textDirection w:val="lrTb"/>
            <w:noWrap w:val="false"/>
          </w:tcPr>
          <w:p>
            <w:pPr>
              <w:rPr>
                <w:rFonts w:hint="default" w:eastAsiaTheme="minorEastAsia"/>
                <w:b w:val="0"/>
                <w:bCs/>
                <w:color w:val="auto"/>
                <w:highlight w:val="none"/>
                <w:lang w:val="en-US" w:eastAsia="zh-CN"/>
              </w:rPr>
            </w:pPr>
            <w:r>
              <w:rPr>
                <w:rFonts w:hint="eastAsia"/>
                <w:b w:val="0"/>
                <w:bCs/>
                <w:color w:val="auto"/>
                <w:highlight w:val="none"/>
                <w:lang w:val="en-US" w:eastAsia="zh-CN"/>
              </w:rPr>
              <w:t xml:space="preserve">检案扩增试剂盒</w:t>
            </w:r>
            <w:r/>
          </w:p>
        </w:tc>
        <w:tc>
          <w:tcPr>
            <w:tcW w:w="804" w:type="pct"/>
            <w:textDirection w:val="lrTb"/>
            <w:noWrap w:val="false"/>
          </w:tcPr>
          <w:p>
            <w:pPr>
              <w:rPr>
                <w:b w:val="0"/>
                <w:bCs/>
                <w:color w:val="auto"/>
                <w:highlight w:val="none"/>
              </w:rPr>
            </w:pPr>
            <w:r>
              <w:rPr>
                <w:b w:val="0"/>
                <w:bCs/>
                <w:color w:val="auto"/>
                <w:highlight w:val="none"/>
              </w:rPr>
              <w:t xml:space="preserve">200反应/盒</w:t>
            </w:r>
            <w:r/>
          </w:p>
        </w:tc>
        <w:tc>
          <w:tcPr>
            <w:tcW w:w="536" w:type="pct"/>
            <w:textDirection w:val="lrTb"/>
            <w:noWrap w:val="false"/>
          </w:tcPr>
          <w:p>
            <w:pPr>
              <w:rPr>
                <w:b w:val="0"/>
                <w:bCs/>
                <w:color w:val="auto"/>
                <w:highlight w:val="none"/>
              </w:rPr>
            </w:pPr>
            <w:r>
              <w:rPr>
                <w:b w:val="0"/>
                <w:bCs/>
                <w:color w:val="auto"/>
                <w:highlight w:val="none"/>
              </w:rPr>
              <w:t xml:space="preserve">18盒</w:t>
            </w:r>
            <w:r/>
          </w:p>
        </w:tc>
        <w:tc>
          <w:tcPr>
            <w:tcW w:w="2297" w:type="pct"/>
            <w:textDirection w:val="lrTb"/>
            <w:noWrap w:val="false"/>
          </w:tcPr>
          <w:p>
            <w:pPr>
              <w:numPr>
                <w:ilvl w:val="0"/>
                <w:numId w:val="0"/>
              </w:numPr>
              <w:rPr>
                <w:b w:val="0"/>
                <w:bCs/>
                <w:color w:val="auto"/>
                <w:highlight w:val="none"/>
              </w:rPr>
            </w:pPr>
            <w:r>
              <w:rPr>
                <w:rFonts w:asciiTheme="minorHAnsi" w:hAnsiTheme="minorHAnsi" w:eastAsiaTheme="minorEastAsia" w:cstheme="minorBidi"/>
                <w:b w:val="0"/>
                <w:bCs/>
                <w:color w:val="auto"/>
                <w:sz w:val="21"/>
                <w:szCs w:val="24"/>
                <w:highlight w:val="none"/>
                <w:lang w:val="en-US" w:eastAsia="zh-CN" w:bidi="ar-SA"/>
              </w:rPr>
              <w:t xml:space="preserve">1、</w:t>
            </w:r>
            <w:r>
              <w:rPr>
                <w:b w:val="0"/>
                <w:bCs/>
                <w:color w:val="auto"/>
                <w:highlight w:val="none"/>
              </w:rPr>
              <w:t xml:space="preserve">产品规格200次/盒，标准反应体系25微升，可按10微升扩增体系。</w:t>
            </w:r>
            <w:r>
              <w:rPr>
                <w:b w:val="0"/>
                <w:bCs/>
                <w:color w:val="auto"/>
                <w:highlight w:val="none"/>
              </w:rPr>
              <w:br/>
            </w:r>
            <w:r>
              <w:rPr>
                <w:b w:val="0"/>
                <w:bCs/>
                <w:color w:val="auto"/>
                <w:highlight w:val="none"/>
              </w:rPr>
              <w:t xml:space="preserve">2、采用五色或者六色荧光技术，单管同时扩增20个基因座以上，包含D8S1179、D21S11、D7S820、CSFIPO、D3S1358、TH01、D13S317、D16S539、D2S1338、D19S433、VWA、TPOX、D18S51、D5S818、FGA、Amelogenin等基因座。（</w:t>
            </w:r>
            <w:r>
              <w:rPr>
                <w:rFonts w:hint="eastAsia"/>
                <w:b w:val="0"/>
                <w:bCs/>
                <w:color w:val="auto"/>
                <w:highlight w:val="none"/>
              </w:rPr>
              <w:t xml:space="preserve">投标时提供产品彩页或者图谱等证明文件</w:t>
            </w:r>
            <w:r>
              <w:rPr>
                <w:rFonts w:hint="eastAsia"/>
                <w:b w:val="0"/>
                <w:bCs/>
                <w:color w:val="auto"/>
                <w:highlight w:val="none"/>
                <w:lang w:val="en-US" w:eastAsia="zh-CN"/>
              </w:rPr>
              <w:t xml:space="preserve">扫描件</w:t>
            </w:r>
            <w:r>
              <w:rPr>
                <w:b w:val="0"/>
                <w:bCs/>
                <w:color w:val="auto"/>
                <w:highlight w:val="none"/>
              </w:rPr>
              <w:t xml:space="preserve">）</w:t>
            </w:r>
            <w:r>
              <w:rPr>
                <w:b w:val="0"/>
                <w:bCs/>
                <w:color w:val="auto"/>
                <w:highlight w:val="none"/>
              </w:rPr>
              <w:br/>
            </w:r>
            <w:r>
              <w:rPr>
                <w:b w:val="0"/>
                <w:bCs/>
                <w:color w:val="auto"/>
                <w:highlight w:val="none"/>
              </w:rPr>
              <w:t xml:space="preserve">3、扩增时间不超过80分钟。</w:t>
            </w:r>
            <w:r>
              <w:rPr>
                <w:b w:val="0"/>
                <w:bCs/>
                <w:color w:val="auto"/>
                <w:highlight w:val="none"/>
              </w:rPr>
              <w:br/>
            </w:r>
            <w:r>
              <w:rPr>
                <w:b w:val="0"/>
                <w:bCs/>
                <w:color w:val="auto"/>
                <w:highlight w:val="none"/>
              </w:rPr>
              <w:t xml:space="preserve">4、基因座包含至少11个长度低于250bp的常染色体mini-STR基因座，用于严重降解样品。</w:t>
            </w:r>
            <w:r>
              <w:rPr>
                <w:b w:val="0"/>
                <w:bCs/>
                <w:color w:val="auto"/>
                <w:highlight w:val="none"/>
              </w:rPr>
              <w:br/>
            </w:r>
            <w:r>
              <w:rPr>
                <w:b w:val="0"/>
                <w:bCs/>
                <w:color w:val="auto"/>
                <w:highlight w:val="none"/>
              </w:rPr>
              <w:t xml:space="preserve">5、最长扩增片段长度小于450bp。</w:t>
            </w:r>
            <w:r>
              <w:rPr>
                <w:b w:val="0"/>
                <w:bCs/>
                <w:color w:val="auto"/>
                <w:highlight w:val="none"/>
              </w:rPr>
              <w:br/>
            </w:r>
            <w:r>
              <w:rPr>
                <w:b w:val="0"/>
                <w:bCs/>
                <w:color w:val="auto"/>
                <w:highlight w:val="none"/>
              </w:rPr>
              <w:t xml:space="preserve">6、额外增加的Y-indel跟DYS391性别信息位点，确保获得准确的性别信息（</w:t>
            </w:r>
            <w:r>
              <w:rPr>
                <w:rFonts w:hint="eastAsia"/>
                <w:b w:val="0"/>
                <w:bCs/>
                <w:color w:val="auto"/>
                <w:highlight w:val="none"/>
              </w:rPr>
              <w:t xml:space="preserve">投标时提供产品彩页或者图谱等证明文件</w:t>
            </w:r>
            <w:r>
              <w:rPr>
                <w:rFonts w:hint="eastAsia"/>
                <w:b w:val="0"/>
                <w:bCs/>
                <w:color w:val="auto"/>
                <w:highlight w:val="none"/>
                <w:lang w:val="en-US" w:eastAsia="zh-CN"/>
              </w:rPr>
              <w:t xml:space="preserve">扫描件</w:t>
            </w:r>
            <w:r>
              <w:rPr>
                <w:b w:val="0"/>
                <w:bCs/>
                <w:color w:val="auto"/>
                <w:highlight w:val="none"/>
              </w:rPr>
              <w:t xml:space="preserve">）</w:t>
            </w:r>
            <w:r/>
          </w:p>
          <w:p>
            <w:pPr>
              <w:numPr>
                <w:ilvl w:val="0"/>
                <w:numId w:val="0"/>
              </w:numPr>
              <w:rPr>
                <w:b w:val="0"/>
                <w:bCs/>
                <w:color w:val="auto"/>
                <w:highlight w:val="none"/>
              </w:rPr>
            </w:pPr>
            <w:r>
              <w:rPr>
                <w:b w:val="0"/>
                <w:bCs/>
                <w:color w:val="auto"/>
                <w:highlight w:val="none"/>
              </w:rPr>
              <w:t xml:space="preserve">7、试剂盒中针对不同基因座均设置真实的Stutter峰阈值，以保证较低峰样品的分型更可靠。</w:t>
            </w:r>
            <w:r>
              <w:rPr>
                <w:b w:val="0"/>
                <w:bCs/>
                <w:color w:val="auto"/>
                <w:highlight w:val="none"/>
              </w:rPr>
              <w:br/>
            </w:r>
            <w:r>
              <w:rPr>
                <w:b w:val="0"/>
                <w:bCs/>
                <w:color w:val="auto"/>
                <w:highlight w:val="none"/>
              </w:rPr>
              <w:t xml:space="preserve">8、具有中国安全技术防范认证中心颁发的《中国公共安全产品认证证书》（投标时提供证书扫描件）</w:t>
            </w:r>
            <w:r>
              <w:rPr>
                <w:b w:val="0"/>
                <w:bCs/>
                <w:color w:val="auto"/>
                <w:highlight w:val="none"/>
              </w:rPr>
              <w:br/>
            </w:r>
            <w:r>
              <w:rPr>
                <w:b w:val="0"/>
                <w:bCs/>
                <w:color w:val="auto"/>
                <w:highlight w:val="none"/>
              </w:rPr>
              <w:t xml:space="preserve">9、试剂盒抗抑制能力强，在反应体系中有400 μm血红素时，阳性对照仍能得到完整的基因分型。</w:t>
            </w:r>
            <w:r>
              <w:rPr>
                <w:b w:val="0"/>
                <w:bCs/>
                <w:color w:val="auto"/>
                <w:highlight w:val="none"/>
              </w:rPr>
              <w:br/>
            </w:r>
            <w:r>
              <w:rPr>
                <w:b w:val="0"/>
                <w:bCs/>
                <w:color w:val="auto"/>
                <w:highlight w:val="none"/>
              </w:rPr>
              <w:t xml:space="preserve">10、试剂盒的检测灵敏度可达到125 pg DNA模板量。</w:t>
            </w:r>
            <w:r>
              <w:rPr>
                <w:b w:val="0"/>
                <w:bCs/>
                <w:color w:val="auto"/>
                <w:highlight w:val="none"/>
              </w:rPr>
              <w:br/>
            </w:r>
            <w:r>
              <w:rPr>
                <w:b w:val="0"/>
                <w:bCs/>
                <w:color w:val="auto"/>
                <w:highlight w:val="none"/>
              </w:rPr>
              <w:t xml:space="preserve">11、制造商通过ISO18385法医级认证。（投标</w:t>
            </w:r>
            <w:r>
              <w:rPr>
                <w:rFonts w:hint="eastAsia"/>
                <w:b w:val="0"/>
                <w:bCs/>
                <w:color w:val="auto"/>
                <w:highlight w:val="none"/>
                <w:lang w:val="en-US" w:eastAsia="zh-CN"/>
              </w:rPr>
              <w:t xml:space="preserve">时</w:t>
            </w:r>
            <w:r>
              <w:rPr>
                <w:b w:val="0"/>
                <w:bCs/>
                <w:color w:val="auto"/>
                <w:highlight w:val="none"/>
              </w:rPr>
              <w:t xml:space="preserve">提供证书扫描件）</w:t>
            </w:r>
            <w:r>
              <w:rPr>
                <w:b w:val="0"/>
                <w:bCs/>
                <w:color w:val="auto"/>
                <w:highlight w:val="none"/>
              </w:rPr>
              <w:br/>
            </w:r>
            <w:r>
              <w:rPr>
                <w:b w:val="0"/>
                <w:bCs/>
                <w:color w:val="auto"/>
                <w:highlight w:val="none"/>
              </w:rPr>
              <w:t xml:space="preserve">12、所投试剂盒通过SWGDAM测试认证。</w:t>
            </w:r>
            <w:r/>
          </w:p>
        </w:tc>
      </w:tr>
      <w:tr>
        <w:trPr/>
        <w:tc>
          <w:tcPr>
            <w:tcW w:w="491" w:type="pct"/>
            <w:textDirection w:val="lrTb"/>
            <w:noWrap w:val="false"/>
          </w:tcPr>
          <w:p>
            <w:pPr>
              <w:rPr>
                <w:b w:val="0"/>
                <w:bCs/>
                <w:color w:val="auto"/>
                <w:highlight w:val="none"/>
              </w:rPr>
            </w:pPr>
            <w:r>
              <w:rPr>
                <w:b w:val="0"/>
                <w:bCs/>
                <w:color w:val="auto"/>
                <w:highlight w:val="none"/>
              </w:rPr>
              <w:t xml:space="preserve">8</w:t>
            </w:r>
            <w:r/>
          </w:p>
        </w:tc>
        <w:tc>
          <w:tcPr>
            <w:tcW w:w="870" w:type="pct"/>
            <w:textDirection w:val="lrTb"/>
            <w:noWrap w:val="false"/>
          </w:tcPr>
          <w:p>
            <w:pPr>
              <w:rPr>
                <w:b w:val="0"/>
                <w:bCs/>
                <w:color w:val="auto"/>
                <w:highlight w:val="none"/>
              </w:rPr>
            </w:pPr>
            <w:r>
              <w:rPr>
                <w:b w:val="0"/>
                <w:bCs/>
                <w:color w:val="auto"/>
                <w:highlight w:val="none"/>
              </w:rPr>
              <w:t xml:space="preserve">Y</w:t>
            </w:r>
            <w:r>
              <w:rPr>
                <w:rFonts w:hint="eastAsia"/>
                <w:b w:val="0"/>
                <w:bCs/>
                <w:color w:val="auto"/>
                <w:highlight w:val="none"/>
                <w:lang w:val="en-US" w:eastAsia="zh-CN"/>
              </w:rPr>
              <w:t xml:space="preserve">染色体检案扩增</w:t>
            </w:r>
            <w:r>
              <w:rPr>
                <w:b w:val="0"/>
                <w:bCs/>
                <w:color w:val="auto"/>
                <w:highlight w:val="none"/>
              </w:rPr>
              <w:t xml:space="preserve">试剂盒</w:t>
            </w:r>
            <w:r/>
          </w:p>
        </w:tc>
        <w:tc>
          <w:tcPr>
            <w:tcW w:w="804" w:type="pct"/>
            <w:textDirection w:val="lrTb"/>
            <w:noWrap w:val="false"/>
          </w:tcPr>
          <w:p>
            <w:pPr>
              <w:rPr>
                <w:b w:val="0"/>
                <w:bCs/>
                <w:color w:val="auto"/>
                <w:highlight w:val="none"/>
              </w:rPr>
            </w:pPr>
            <w:r>
              <w:rPr>
                <w:b w:val="0"/>
                <w:bCs/>
                <w:color w:val="auto"/>
                <w:highlight w:val="none"/>
              </w:rPr>
              <w:t xml:space="preserve">100反应/盒</w:t>
            </w:r>
            <w:r/>
          </w:p>
        </w:tc>
        <w:tc>
          <w:tcPr>
            <w:tcW w:w="536" w:type="pct"/>
            <w:textDirection w:val="lrTb"/>
            <w:noWrap w:val="false"/>
          </w:tcPr>
          <w:p>
            <w:pPr>
              <w:rPr>
                <w:b w:val="0"/>
                <w:bCs/>
                <w:color w:val="auto"/>
                <w:highlight w:val="none"/>
              </w:rPr>
            </w:pPr>
            <w:r>
              <w:rPr>
                <w:b w:val="0"/>
                <w:bCs/>
                <w:color w:val="auto"/>
                <w:highlight w:val="none"/>
              </w:rPr>
              <w:t xml:space="preserve">2盒</w:t>
            </w:r>
            <w:r/>
          </w:p>
        </w:tc>
        <w:tc>
          <w:tcPr>
            <w:tcW w:w="2297" w:type="pct"/>
            <w:textDirection w:val="lrTb"/>
            <w:noWrap w:val="false"/>
          </w:tcPr>
          <w:p>
            <w:pPr>
              <w:numPr>
                <w:ilvl w:val="0"/>
                <w:numId w:val="0"/>
              </w:numPr>
              <w:rPr>
                <w:b w:val="0"/>
                <w:bCs/>
                <w:color w:val="auto"/>
                <w:highlight w:val="none"/>
              </w:rPr>
            </w:pPr>
            <w:r>
              <w:rPr>
                <w:rFonts w:asciiTheme="minorHAnsi" w:hAnsiTheme="minorHAnsi" w:eastAsiaTheme="minorEastAsia" w:cstheme="minorBidi"/>
                <w:b w:val="0"/>
                <w:bCs/>
                <w:color w:val="auto"/>
                <w:sz w:val="21"/>
                <w:szCs w:val="24"/>
                <w:highlight w:val="none"/>
                <w:lang w:val="en-US" w:eastAsia="zh-CN" w:bidi="ar-SA"/>
              </w:rPr>
              <w:t xml:space="preserve">1、</w:t>
            </w:r>
            <w:r>
              <w:rPr>
                <w:b w:val="0"/>
                <w:bCs/>
                <w:color w:val="auto"/>
                <w:highlight w:val="none"/>
              </w:rPr>
              <w:t xml:space="preserve">采用六色荧光技术，单管同时扩增至少38个Y-STR基因座，包含公安部要求的20个核心基因座和15个优选基因座。</w:t>
            </w:r>
            <w:r>
              <w:rPr>
                <w:b w:val="0"/>
                <w:bCs/>
                <w:color w:val="auto"/>
                <w:highlight w:val="none"/>
              </w:rPr>
              <w:br/>
            </w:r>
            <w:r>
              <w:rPr>
                <w:b w:val="0"/>
                <w:bCs/>
                <w:color w:val="auto"/>
                <w:highlight w:val="none"/>
              </w:rPr>
              <w:t xml:space="preserve">（1）核心基因座：DYS19、DYS385a/b、DYS389Ⅰ、DYS389Ⅱ、DYS390、DYS391、DYS392、DYS393、DYS437、DYS438、DYS439、DYS448、DYS456、DYS458、DYS635、Y GATA H4、DYS481、DYS533、DYS576。</w:t>
            </w:r>
            <w:r>
              <w:rPr>
                <w:b w:val="0"/>
                <w:bCs/>
                <w:color w:val="auto"/>
                <w:highlight w:val="none"/>
              </w:rPr>
              <w:br/>
            </w:r>
            <w:r>
              <w:rPr>
                <w:b w:val="0"/>
                <w:bCs/>
                <w:color w:val="auto"/>
                <w:highlight w:val="none"/>
              </w:rPr>
              <w:t xml:space="preserve">（2）优选基因座：DYS643、DYS460、DYS549、DYF387S1a/b、DYS449、DYS518、DYS627、DYS570、DYS527a/b、DYS447、DYS444、DYS557、DYS596。（</w:t>
            </w:r>
            <w:r>
              <w:rPr>
                <w:rFonts w:hint="eastAsia"/>
                <w:b w:val="0"/>
                <w:bCs/>
                <w:color w:val="auto"/>
                <w:highlight w:val="none"/>
              </w:rPr>
              <w:t xml:space="preserve">投标时提供产品彩页或者图谱等证明文件</w:t>
            </w:r>
            <w:r>
              <w:rPr>
                <w:rFonts w:hint="eastAsia"/>
                <w:b w:val="0"/>
                <w:bCs/>
                <w:color w:val="auto"/>
                <w:highlight w:val="none"/>
                <w:lang w:val="en-US" w:eastAsia="zh-CN"/>
              </w:rPr>
              <w:t xml:space="preserve">扫描件</w:t>
            </w:r>
            <w:r>
              <w:rPr>
                <w:b w:val="0"/>
                <w:bCs/>
                <w:color w:val="auto"/>
                <w:highlight w:val="none"/>
              </w:rPr>
              <w:t xml:space="preserve">）</w:t>
            </w:r>
            <w:r/>
          </w:p>
          <w:p>
            <w:pPr>
              <w:numPr>
                <w:ilvl w:val="0"/>
                <w:numId w:val="0"/>
              </w:numPr>
              <w:rPr>
                <w:b w:val="0"/>
                <w:bCs/>
                <w:color w:val="auto"/>
                <w:highlight w:val="none"/>
              </w:rPr>
            </w:pPr>
            <w:r>
              <w:rPr>
                <w:b w:val="0"/>
                <w:bCs/>
                <w:color w:val="auto"/>
                <w:highlight w:val="none"/>
              </w:rPr>
              <w:t xml:space="preserve">2、扩增产物中含3个Y-Indel遗传标记，用于家系的初步排查。</w:t>
            </w:r>
            <w:r>
              <w:rPr>
                <w:b w:val="0"/>
                <w:bCs/>
                <w:color w:val="auto"/>
                <w:highlight w:val="none"/>
              </w:rPr>
              <w:br/>
            </w:r>
            <w:r>
              <w:rPr>
                <w:b w:val="0"/>
                <w:bCs/>
                <w:color w:val="auto"/>
                <w:highlight w:val="none"/>
              </w:rPr>
              <w:t xml:space="preserve">3、扩增时间不超过90分钟。</w:t>
            </w:r>
            <w:r>
              <w:rPr>
                <w:b w:val="0"/>
                <w:bCs/>
                <w:color w:val="auto"/>
                <w:highlight w:val="none"/>
              </w:rPr>
              <w:br/>
            </w:r>
            <w:r>
              <w:rPr>
                <w:b w:val="0"/>
                <w:bCs/>
                <w:color w:val="auto"/>
                <w:highlight w:val="none"/>
              </w:rPr>
              <w:t xml:space="preserve">4、内含有11个Mini-STR (扩增子长度在250 bp以下)，用于严重降解样品。公安部要求的 20 个核心基因座的最大扩增产物不超过 420bp。</w:t>
            </w:r>
            <w:r>
              <w:rPr>
                <w:b w:val="0"/>
                <w:bCs/>
                <w:color w:val="auto"/>
                <w:highlight w:val="none"/>
              </w:rPr>
              <w:br/>
            </w:r>
            <w:r>
              <w:rPr>
                <w:b w:val="0"/>
                <w:bCs/>
                <w:color w:val="auto"/>
                <w:highlight w:val="none"/>
              </w:rPr>
              <w:t xml:space="preserve">5、扩增产物中至少含有1个内部质量参考（IQC，Internal Quality Control），用于判定PCR扩增效能。（投标时须提供产品彩页或说明书证明扫描件）</w:t>
            </w:r>
            <w:r>
              <w:rPr>
                <w:b w:val="0"/>
                <w:bCs/>
                <w:color w:val="auto"/>
                <w:highlight w:val="none"/>
              </w:rPr>
              <w:br/>
            </w:r>
            <w:r>
              <w:rPr>
                <w:b w:val="0"/>
                <w:bCs/>
                <w:color w:val="auto"/>
                <w:highlight w:val="none"/>
              </w:rPr>
              <w:t xml:space="preserve">6、所投试剂盒真实Bin和虚拟Bin合计不少于 650 个，其中真实Bin超过 450 个。</w:t>
            </w:r>
            <w:r>
              <w:rPr>
                <w:b w:val="0"/>
                <w:bCs/>
                <w:color w:val="auto"/>
                <w:highlight w:val="none"/>
              </w:rPr>
              <w:br/>
            </w:r>
            <w:r>
              <w:rPr>
                <w:b w:val="0"/>
                <w:bCs/>
                <w:color w:val="auto"/>
                <w:highlight w:val="none"/>
              </w:rPr>
              <w:t xml:space="preserve">7、Y染色体特异性高，在高达1:4000的高女性DNA背景条件仍能够完全检出男性DNA的分型。</w:t>
            </w:r>
            <w:r>
              <w:rPr>
                <w:b w:val="0"/>
                <w:bCs/>
                <w:color w:val="auto"/>
                <w:highlight w:val="none"/>
              </w:rPr>
              <w:br/>
            </w:r>
            <w:r>
              <w:rPr>
                <w:b w:val="0"/>
                <w:bCs/>
                <w:color w:val="auto"/>
                <w:highlight w:val="none"/>
              </w:rPr>
              <w:t xml:space="preserve">8、试剂盒制造商通过ISO18385法医级认证。（投标时提供证书扫描件）</w:t>
            </w:r>
            <w:r>
              <w:rPr>
                <w:b w:val="0"/>
                <w:bCs/>
                <w:color w:val="auto"/>
                <w:highlight w:val="none"/>
              </w:rPr>
              <w:br/>
            </w:r>
            <w:r>
              <w:rPr>
                <w:b w:val="0"/>
                <w:bCs/>
                <w:color w:val="auto"/>
                <w:highlight w:val="none"/>
              </w:rPr>
              <w:t xml:space="preserve">9、所投试剂盒通过SWGDAM测试认证。</w:t>
            </w:r>
            <w:r/>
          </w:p>
        </w:tc>
      </w:tr>
      <w:tr>
        <w:trPr/>
        <w:tc>
          <w:tcPr>
            <w:tcW w:w="491" w:type="pct"/>
            <w:textDirection w:val="lrTb"/>
            <w:noWrap w:val="false"/>
          </w:tcPr>
          <w:p>
            <w:pPr>
              <w:rPr>
                <w:b w:val="0"/>
                <w:bCs/>
                <w:color w:val="auto"/>
                <w:highlight w:val="none"/>
              </w:rPr>
            </w:pPr>
            <w:r>
              <w:rPr>
                <w:b w:val="0"/>
                <w:bCs/>
                <w:color w:val="auto"/>
                <w:highlight w:val="none"/>
              </w:rPr>
              <w:t xml:space="preserve">9</w:t>
            </w:r>
            <w:r/>
          </w:p>
        </w:tc>
        <w:tc>
          <w:tcPr>
            <w:tcW w:w="870" w:type="pct"/>
            <w:textDirection w:val="lrTb"/>
            <w:noWrap w:val="false"/>
          </w:tcPr>
          <w:p>
            <w:pPr>
              <w:rPr>
                <w:b w:val="0"/>
                <w:bCs/>
                <w:color w:val="auto"/>
                <w:highlight w:val="none"/>
              </w:rPr>
            </w:pPr>
            <w:r>
              <w:rPr>
                <w:b w:val="0"/>
                <w:bCs/>
                <w:color w:val="auto"/>
                <w:highlight w:val="none"/>
              </w:rPr>
              <w:t xml:space="preserve">96孔反应板</w:t>
            </w:r>
            <w:r/>
          </w:p>
        </w:tc>
        <w:tc>
          <w:tcPr>
            <w:tcW w:w="804" w:type="pct"/>
            <w:textDirection w:val="lrTb"/>
            <w:noWrap w:val="false"/>
          </w:tcPr>
          <w:p>
            <w:pPr>
              <w:rPr>
                <w:b w:val="0"/>
                <w:bCs/>
                <w:color w:val="auto"/>
                <w:highlight w:val="none"/>
              </w:rPr>
            </w:pPr>
            <w:r>
              <w:rPr>
                <w:b w:val="0"/>
                <w:bCs/>
                <w:color w:val="auto"/>
                <w:highlight w:val="none"/>
              </w:rPr>
              <w:t xml:space="preserve">10块/袋</w:t>
            </w:r>
            <w:r/>
          </w:p>
        </w:tc>
        <w:tc>
          <w:tcPr>
            <w:tcW w:w="536" w:type="pct"/>
            <w:textDirection w:val="lrTb"/>
            <w:noWrap w:val="false"/>
          </w:tcPr>
          <w:p>
            <w:pPr>
              <w:rPr>
                <w:b w:val="0"/>
                <w:bCs/>
                <w:color w:val="auto"/>
                <w:highlight w:val="none"/>
              </w:rPr>
            </w:pPr>
            <w:r>
              <w:rPr>
                <w:b w:val="0"/>
                <w:bCs/>
                <w:color w:val="auto"/>
                <w:highlight w:val="none"/>
              </w:rPr>
              <w:t xml:space="preserve">30盒</w:t>
            </w:r>
            <w:r/>
          </w:p>
        </w:tc>
        <w:tc>
          <w:tcPr>
            <w:tcW w:w="2297" w:type="pct"/>
            <w:textDirection w:val="lrTb"/>
            <w:noWrap w:val="false"/>
          </w:tcPr>
          <w:p>
            <w:pPr>
              <w:rPr>
                <w:b w:val="0"/>
                <w:bCs/>
                <w:color w:val="auto"/>
                <w:highlight w:val="none"/>
              </w:rPr>
            </w:pPr>
            <w:r>
              <w:rPr>
                <w:b w:val="0"/>
                <w:bCs/>
                <w:color w:val="auto"/>
                <w:highlight w:val="none"/>
              </w:rPr>
              <w:t xml:space="preserve">96孔，半裙边</w:t>
            </w:r>
            <w:r/>
          </w:p>
        </w:tc>
      </w:tr>
      <w:tr>
        <w:trPr/>
        <w:tc>
          <w:tcPr>
            <w:tcW w:w="491" w:type="pct"/>
            <w:textDirection w:val="lrTb"/>
            <w:noWrap w:val="false"/>
          </w:tcPr>
          <w:p>
            <w:pPr>
              <w:rPr>
                <w:b w:val="0"/>
                <w:bCs/>
                <w:color w:val="auto"/>
                <w:highlight w:val="none"/>
              </w:rPr>
            </w:pPr>
            <w:r>
              <w:rPr>
                <w:b w:val="0"/>
                <w:bCs/>
                <w:color w:val="auto"/>
                <w:highlight w:val="none"/>
              </w:rPr>
              <w:t xml:space="preserve">10</w:t>
            </w:r>
            <w:r/>
          </w:p>
        </w:tc>
        <w:tc>
          <w:tcPr>
            <w:tcW w:w="870" w:type="pct"/>
            <w:textDirection w:val="lrTb"/>
            <w:noWrap w:val="false"/>
          </w:tcPr>
          <w:p>
            <w:pPr>
              <w:rPr>
                <w:b w:val="0"/>
                <w:bCs/>
                <w:color w:val="auto"/>
                <w:highlight w:val="none"/>
              </w:rPr>
            </w:pPr>
            <w:r>
              <w:rPr>
                <w:b w:val="0"/>
                <w:bCs/>
                <w:color w:val="auto"/>
                <w:highlight w:val="none"/>
              </w:rPr>
              <w:t xml:space="preserve">96孔板胶盖</w:t>
            </w:r>
            <w:r/>
          </w:p>
        </w:tc>
        <w:tc>
          <w:tcPr>
            <w:tcW w:w="804" w:type="pct"/>
            <w:textDirection w:val="lrTb"/>
            <w:noWrap w:val="false"/>
          </w:tcPr>
          <w:p>
            <w:pPr>
              <w:rPr>
                <w:b w:val="0"/>
                <w:bCs/>
                <w:color w:val="auto"/>
                <w:highlight w:val="none"/>
              </w:rPr>
            </w:pPr>
            <w:r>
              <w:rPr>
                <w:b w:val="0"/>
                <w:bCs/>
                <w:color w:val="auto"/>
                <w:highlight w:val="none"/>
              </w:rPr>
              <w:t xml:space="preserve">20片/盒</w:t>
            </w:r>
            <w:r/>
          </w:p>
        </w:tc>
        <w:tc>
          <w:tcPr>
            <w:tcW w:w="536" w:type="pct"/>
            <w:textDirection w:val="lrTb"/>
            <w:noWrap w:val="false"/>
          </w:tcPr>
          <w:p>
            <w:pPr>
              <w:rPr>
                <w:b w:val="0"/>
                <w:bCs/>
                <w:color w:val="auto"/>
                <w:highlight w:val="none"/>
              </w:rPr>
            </w:pPr>
            <w:r>
              <w:rPr>
                <w:b w:val="0"/>
                <w:bCs/>
                <w:color w:val="auto"/>
                <w:highlight w:val="none"/>
              </w:rPr>
              <w:t xml:space="preserve">15盒</w:t>
            </w:r>
            <w:r/>
          </w:p>
        </w:tc>
        <w:tc>
          <w:tcPr>
            <w:tcW w:w="2297" w:type="pct"/>
            <w:textDirection w:val="lrTb"/>
            <w:noWrap w:val="false"/>
          </w:tcPr>
          <w:p>
            <w:pPr>
              <w:rPr>
                <w:b w:val="0"/>
                <w:bCs/>
                <w:color w:val="auto"/>
                <w:highlight w:val="none"/>
              </w:rPr>
            </w:pPr>
            <w:r>
              <w:rPr>
                <w:b w:val="0"/>
                <w:bCs/>
                <w:color w:val="auto"/>
                <w:highlight w:val="none"/>
              </w:rPr>
              <w:t xml:space="preserve">96孔隔垫板，应用于3500XL仪器</w:t>
            </w:r>
            <w:r/>
          </w:p>
        </w:tc>
      </w:tr>
      <w:tr>
        <w:trPr/>
        <w:tc>
          <w:tcPr>
            <w:tcW w:w="491" w:type="pct"/>
            <w:textDirection w:val="lrTb"/>
            <w:noWrap w:val="false"/>
          </w:tcPr>
          <w:p>
            <w:pPr>
              <w:rPr>
                <w:b w:val="0"/>
                <w:bCs/>
                <w:color w:val="auto"/>
                <w:highlight w:val="none"/>
              </w:rPr>
            </w:pPr>
            <w:r>
              <w:rPr>
                <w:b w:val="0"/>
                <w:bCs/>
                <w:color w:val="auto"/>
                <w:highlight w:val="none"/>
              </w:rPr>
              <w:t xml:space="preserve">11</w:t>
            </w:r>
            <w:r/>
          </w:p>
        </w:tc>
        <w:tc>
          <w:tcPr>
            <w:tcW w:w="870" w:type="pct"/>
            <w:textDirection w:val="lrTb"/>
            <w:noWrap w:val="false"/>
          </w:tcPr>
          <w:p>
            <w:pPr>
              <w:rPr>
                <w:b w:val="0"/>
                <w:bCs/>
                <w:color w:val="auto"/>
                <w:highlight w:val="none"/>
              </w:rPr>
            </w:pPr>
            <w:r>
              <w:rPr>
                <w:b w:val="0"/>
                <w:bCs/>
                <w:color w:val="auto"/>
                <w:highlight w:val="none"/>
              </w:rPr>
              <w:t xml:space="preserve">1000ul低吸附滤芯吸头</w:t>
            </w:r>
            <w:r/>
          </w:p>
        </w:tc>
        <w:tc>
          <w:tcPr>
            <w:tcW w:w="804" w:type="pct"/>
            <w:textDirection w:val="lrTb"/>
            <w:noWrap w:val="false"/>
          </w:tcPr>
          <w:p>
            <w:pPr>
              <w:rPr>
                <w:b w:val="0"/>
                <w:bCs/>
                <w:color w:val="auto"/>
                <w:highlight w:val="none"/>
              </w:rPr>
            </w:pPr>
            <w:r>
              <w:rPr>
                <w:b w:val="0"/>
                <w:bCs/>
                <w:color w:val="auto"/>
                <w:highlight w:val="none"/>
              </w:rPr>
              <w:t xml:space="preserve">96支/盒</w:t>
            </w:r>
            <w:r/>
          </w:p>
        </w:tc>
        <w:tc>
          <w:tcPr>
            <w:tcW w:w="536" w:type="pct"/>
            <w:textDirection w:val="lrTb"/>
            <w:noWrap w:val="false"/>
          </w:tcPr>
          <w:p>
            <w:pPr>
              <w:rPr>
                <w:b w:val="0"/>
                <w:bCs/>
                <w:color w:val="auto"/>
                <w:highlight w:val="none"/>
              </w:rPr>
            </w:pPr>
            <w:r>
              <w:rPr>
                <w:b w:val="0"/>
                <w:bCs/>
                <w:color w:val="auto"/>
                <w:highlight w:val="none"/>
              </w:rPr>
              <w:t xml:space="preserve">20盒</w:t>
            </w:r>
            <w:r/>
          </w:p>
        </w:tc>
        <w:tc>
          <w:tcPr>
            <w:tcW w:w="2297" w:type="pct"/>
            <w:textDirection w:val="lrTb"/>
            <w:noWrap w:val="false"/>
          </w:tcPr>
          <w:p>
            <w:pPr>
              <w:rPr>
                <w:b w:val="0"/>
                <w:bCs/>
                <w:color w:val="auto"/>
                <w:highlight w:val="none"/>
              </w:rPr>
            </w:pPr>
            <w:r>
              <w:rPr>
                <w:b w:val="0"/>
                <w:bCs/>
                <w:color w:val="auto"/>
                <w:highlight w:val="none"/>
              </w:rPr>
              <w:t xml:space="preserve">蓝色或无色</w:t>
            </w:r>
            <w:r/>
          </w:p>
        </w:tc>
      </w:tr>
      <w:tr>
        <w:trPr/>
        <w:tc>
          <w:tcPr>
            <w:tcW w:w="491" w:type="pct"/>
            <w:textDirection w:val="lrTb"/>
            <w:noWrap w:val="false"/>
          </w:tcPr>
          <w:p>
            <w:pPr>
              <w:rPr>
                <w:b w:val="0"/>
                <w:bCs/>
                <w:color w:val="auto"/>
                <w:highlight w:val="none"/>
              </w:rPr>
            </w:pPr>
            <w:r>
              <w:rPr>
                <w:b w:val="0"/>
                <w:bCs/>
                <w:color w:val="auto"/>
                <w:highlight w:val="none"/>
              </w:rPr>
              <w:t xml:space="preserve">12</w:t>
            </w:r>
            <w:r/>
          </w:p>
        </w:tc>
        <w:tc>
          <w:tcPr>
            <w:tcW w:w="870" w:type="pct"/>
            <w:textDirection w:val="lrTb"/>
            <w:noWrap w:val="false"/>
          </w:tcPr>
          <w:p>
            <w:pPr>
              <w:rPr>
                <w:b w:val="0"/>
                <w:bCs/>
                <w:color w:val="auto"/>
                <w:highlight w:val="none"/>
              </w:rPr>
            </w:pPr>
            <w:r>
              <w:rPr>
                <w:b w:val="0"/>
                <w:bCs/>
                <w:color w:val="auto"/>
                <w:highlight w:val="none"/>
              </w:rPr>
              <w:t xml:space="preserve">100ul低吸附滤芯吸头</w:t>
            </w:r>
            <w:r/>
          </w:p>
        </w:tc>
        <w:tc>
          <w:tcPr>
            <w:tcW w:w="804" w:type="pct"/>
            <w:textDirection w:val="lrTb"/>
            <w:noWrap w:val="false"/>
          </w:tcPr>
          <w:p>
            <w:pPr>
              <w:rPr>
                <w:b w:val="0"/>
                <w:bCs/>
                <w:color w:val="auto"/>
                <w:highlight w:val="none"/>
              </w:rPr>
            </w:pPr>
            <w:r>
              <w:rPr>
                <w:b w:val="0"/>
                <w:bCs/>
                <w:color w:val="auto"/>
                <w:highlight w:val="none"/>
              </w:rPr>
              <w:t xml:space="preserve">96支/盒</w:t>
            </w:r>
            <w:r/>
          </w:p>
        </w:tc>
        <w:tc>
          <w:tcPr>
            <w:tcW w:w="536" w:type="pct"/>
            <w:textDirection w:val="lrTb"/>
            <w:noWrap w:val="false"/>
          </w:tcPr>
          <w:p>
            <w:pPr>
              <w:rPr>
                <w:b w:val="0"/>
                <w:bCs/>
                <w:color w:val="auto"/>
                <w:highlight w:val="none"/>
              </w:rPr>
            </w:pPr>
            <w:r>
              <w:rPr>
                <w:b w:val="0"/>
                <w:bCs/>
                <w:color w:val="auto"/>
                <w:highlight w:val="none"/>
              </w:rPr>
              <w:t xml:space="preserve">100盒</w:t>
            </w:r>
            <w:r/>
          </w:p>
        </w:tc>
        <w:tc>
          <w:tcPr>
            <w:tcW w:w="2297" w:type="pct"/>
            <w:textDirection w:val="lrTb"/>
            <w:noWrap w:val="false"/>
          </w:tcPr>
          <w:p>
            <w:pPr>
              <w:rPr>
                <w:b w:val="0"/>
                <w:bCs/>
                <w:color w:val="auto"/>
                <w:highlight w:val="none"/>
              </w:rPr>
            </w:pPr>
            <w:r>
              <w:rPr>
                <w:b w:val="0"/>
                <w:bCs/>
                <w:color w:val="auto"/>
                <w:highlight w:val="none"/>
              </w:rPr>
              <w:t xml:space="preserve">低吸附、带滤芯</w:t>
            </w:r>
            <w:r/>
          </w:p>
        </w:tc>
      </w:tr>
      <w:tr>
        <w:trPr/>
        <w:tc>
          <w:tcPr>
            <w:tcW w:w="491" w:type="pct"/>
            <w:textDirection w:val="lrTb"/>
            <w:noWrap w:val="false"/>
          </w:tcPr>
          <w:p>
            <w:pPr>
              <w:rPr>
                <w:b w:val="0"/>
                <w:bCs/>
                <w:color w:val="auto"/>
                <w:highlight w:val="none"/>
              </w:rPr>
            </w:pPr>
            <w:r>
              <w:rPr>
                <w:b w:val="0"/>
                <w:bCs/>
                <w:color w:val="auto"/>
                <w:highlight w:val="none"/>
              </w:rPr>
              <w:t xml:space="preserve">13</w:t>
            </w:r>
            <w:r/>
          </w:p>
        </w:tc>
        <w:tc>
          <w:tcPr>
            <w:tcW w:w="870" w:type="pct"/>
            <w:textDirection w:val="lrTb"/>
            <w:noWrap w:val="false"/>
          </w:tcPr>
          <w:p>
            <w:pPr>
              <w:rPr>
                <w:b w:val="0"/>
                <w:bCs/>
                <w:color w:val="auto"/>
                <w:highlight w:val="none"/>
              </w:rPr>
            </w:pPr>
            <w:r>
              <w:rPr>
                <w:b w:val="0"/>
                <w:bCs/>
                <w:color w:val="auto"/>
                <w:highlight w:val="none"/>
              </w:rPr>
              <w:t xml:space="preserve">★★10ul加长低吸附滤芯吸头</w:t>
            </w:r>
            <w:r/>
          </w:p>
        </w:tc>
        <w:tc>
          <w:tcPr>
            <w:tcW w:w="804" w:type="pct"/>
            <w:textDirection w:val="lrTb"/>
            <w:noWrap w:val="false"/>
          </w:tcPr>
          <w:p>
            <w:pPr>
              <w:rPr>
                <w:b w:val="0"/>
                <w:bCs/>
                <w:color w:val="auto"/>
                <w:highlight w:val="none"/>
              </w:rPr>
            </w:pPr>
            <w:r>
              <w:rPr>
                <w:b w:val="0"/>
                <w:bCs/>
                <w:color w:val="auto"/>
                <w:highlight w:val="none"/>
              </w:rPr>
              <w:t xml:space="preserve">96支/盒</w:t>
            </w:r>
            <w:r/>
          </w:p>
        </w:tc>
        <w:tc>
          <w:tcPr>
            <w:tcW w:w="536" w:type="pct"/>
            <w:textDirection w:val="lrTb"/>
            <w:noWrap w:val="false"/>
          </w:tcPr>
          <w:p>
            <w:pPr>
              <w:rPr>
                <w:b w:val="0"/>
                <w:bCs/>
                <w:color w:val="auto"/>
                <w:highlight w:val="none"/>
              </w:rPr>
            </w:pPr>
            <w:r>
              <w:rPr>
                <w:b w:val="0"/>
                <w:bCs/>
                <w:color w:val="auto"/>
                <w:highlight w:val="none"/>
              </w:rPr>
              <w:t xml:space="preserve">300盒</w:t>
            </w:r>
            <w:r/>
          </w:p>
        </w:tc>
        <w:tc>
          <w:tcPr>
            <w:tcW w:w="2297" w:type="pct"/>
            <w:textDirection w:val="lrTb"/>
            <w:noWrap w:val="false"/>
          </w:tcPr>
          <w:p>
            <w:pPr>
              <w:rPr>
                <w:b w:val="0"/>
                <w:bCs/>
                <w:color w:val="auto"/>
                <w:highlight w:val="none"/>
              </w:rPr>
            </w:pPr>
            <w:r>
              <w:rPr>
                <w:b w:val="0"/>
                <w:bCs/>
                <w:color w:val="auto"/>
                <w:highlight w:val="none"/>
              </w:rPr>
              <w:t xml:space="preserve">无色</w:t>
            </w:r>
            <w:r/>
          </w:p>
        </w:tc>
      </w:tr>
      <w:tr>
        <w:trPr/>
        <w:tc>
          <w:tcPr>
            <w:tcW w:w="491" w:type="pct"/>
            <w:textDirection w:val="lrTb"/>
            <w:noWrap w:val="false"/>
          </w:tcPr>
          <w:p>
            <w:pPr>
              <w:rPr>
                <w:b w:val="0"/>
                <w:bCs/>
                <w:color w:val="auto"/>
                <w:highlight w:val="none"/>
              </w:rPr>
            </w:pPr>
            <w:r>
              <w:rPr>
                <w:b w:val="0"/>
                <w:bCs/>
                <w:color w:val="auto"/>
                <w:highlight w:val="none"/>
              </w:rPr>
              <w:t xml:space="preserve">14</w:t>
            </w:r>
            <w:r/>
          </w:p>
        </w:tc>
        <w:tc>
          <w:tcPr>
            <w:tcW w:w="870" w:type="pct"/>
            <w:textDirection w:val="lrTb"/>
            <w:noWrap w:val="false"/>
          </w:tcPr>
          <w:p>
            <w:pPr>
              <w:rPr>
                <w:b w:val="0"/>
                <w:bCs/>
                <w:color w:val="auto"/>
                <w:highlight w:val="none"/>
              </w:rPr>
            </w:pPr>
            <w:r>
              <w:rPr>
                <w:b w:val="0"/>
                <w:bCs/>
                <w:color w:val="auto"/>
                <w:highlight w:val="none"/>
              </w:rPr>
              <w:t xml:space="preserve">八连管</w:t>
            </w:r>
            <w:r/>
          </w:p>
        </w:tc>
        <w:tc>
          <w:tcPr>
            <w:tcW w:w="804" w:type="pct"/>
            <w:textDirection w:val="lrTb"/>
            <w:noWrap w:val="false"/>
          </w:tcPr>
          <w:p>
            <w:pPr>
              <w:rPr>
                <w:b w:val="0"/>
                <w:bCs/>
                <w:color w:val="auto"/>
                <w:highlight w:val="none"/>
              </w:rPr>
            </w:pPr>
            <w:r>
              <w:rPr>
                <w:b w:val="0"/>
                <w:bCs/>
                <w:color w:val="auto"/>
                <w:highlight w:val="none"/>
              </w:rPr>
              <w:t xml:space="preserve">125排/盒</w:t>
            </w:r>
            <w:r/>
          </w:p>
        </w:tc>
        <w:tc>
          <w:tcPr>
            <w:tcW w:w="536" w:type="pct"/>
            <w:textDirection w:val="lrTb"/>
            <w:noWrap w:val="false"/>
          </w:tcPr>
          <w:p>
            <w:pPr>
              <w:rPr>
                <w:b w:val="0"/>
                <w:bCs/>
                <w:color w:val="auto"/>
                <w:highlight w:val="none"/>
              </w:rPr>
            </w:pPr>
            <w:r>
              <w:rPr>
                <w:b w:val="0"/>
                <w:bCs/>
                <w:color w:val="auto"/>
                <w:highlight w:val="none"/>
              </w:rPr>
              <w:t xml:space="preserve">50盒</w:t>
            </w:r>
            <w:r/>
          </w:p>
        </w:tc>
        <w:tc>
          <w:tcPr>
            <w:tcW w:w="2297" w:type="pct"/>
            <w:textDirection w:val="lrTb"/>
            <w:noWrap w:val="false"/>
          </w:tcPr>
          <w:p>
            <w:pPr>
              <w:rPr>
                <w:b w:val="0"/>
                <w:bCs/>
                <w:color w:val="auto"/>
                <w:highlight w:val="none"/>
              </w:rPr>
            </w:pPr>
            <w:r>
              <w:rPr>
                <w:b w:val="0"/>
                <w:bCs/>
                <w:color w:val="auto"/>
                <w:highlight w:val="none"/>
              </w:rPr>
              <w:t xml:space="preserve">无色</w:t>
            </w:r>
            <w:r/>
          </w:p>
        </w:tc>
      </w:tr>
      <w:tr>
        <w:trPr/>
        <w:tc>
          <w:tcPr>
            <w:tcW w:w="491" w:type="pct"/>
            <w:textDirection w:val="lrTb"/>
            <w:noWrap w:val="false"/>
          </w:tcPr>
          <w:p>
            <w:pPr>
              <w:rPr>
                <w:b w:val="0"/>
                <w:bCs/>
                <w:color w:val="auto"/>
                <w:highlight w:val="none"/>
              </w:rPr>
            </w:pPr>
            <w:r>
              <w:rPr>
                <w:b w:val="0"/>
                <w:bCs/>
                <w:color w:val="auto"/>
                <w:highlight w:val="none"/>
              </w:rPr>
              <w:t xml:space="preserve">15</w:t>
            </w:r>
            <w:r/>
          </w:p>
        </w:tc>
        <w:tc>
          <w:tcPr>
            <w:tcW w:w="870" w:type="pct"/>
            <w:textDirection w:val="lrTb"/>
            <w:noWrap w:val="false"/>
          </w:tcPr>
          <w:p>
            <w:pPr>
              <w:rPr>
                <w:b w:val="0"/>
                <w:bCs/>
                <w:color w:val="auto"/>
                <w:highlight w:val="none"/>
              </w:rPr>
            </w:pPr>
            <w:r>
              <w:rPr>
                <w:b w:val="0"/>
                <w:bCs/>
                <w:color w:val="auto"/>
                <w:highlight w:val="none"/>
              </w:rPr>
              <w:t xml:space="preserve">八连管盖</w:t>
            </w:r>
            <w:r/>
          </w:p>
        </w:tc>
        <w:tc>
          <w:tcPr>
            <w:tcW w:w="804" w:type="pct"/>
            <w:textDirection w:val="lrTb"/>
            <w:noWrap w:val="false"/>
          </w:tcPr>
          <w:p>
            <w:pPr>
              <w:rPr>
                <w:b w:val="0"/>
                <w:bCs/>
                <w:color w:val="auto"/>
                <w:highlight w:val="none"/>
              </w:rPr>
            </w:pPr>
            <w:r>
              <w:rPr>
                <w:b w:val="0"/>
                <w:bCs/>
                <w:color w:val="auto"/>
                <w:highlight w:val="none"/>
              </w:rPr>
              <w:t xml:space="preserve">125条/袋</w:t>
            </w:r>
            <w:r/>
          </w:p>
        </w:tc>
        <w:tc>
          <w:tcPr>
            <w:tcW w:w="536" w:type="pct"/>
            <w:textDirection w:val="lrTb"/>
            <w:noWrap w:val="false"/>
          </w:tcPr>
          <w:p>
            <w:pPr>
              <w:rPr>
                <w:b w:val="0"/>
                <w:bCs/>
                <w:color w:val="auto"/>
                <w:highlight w:val="none"/>
              </w:rPr>
            </w:pPr>
            <w:r>
              <w:rPr>
                <w:b w:val="0"/>
                <w:bCs/>
                <w:color w:val="auto"/>
                <w:highlight w:val="none"/>
              </w:rPr>
              <w:t xml:space="preserve">50袋</w:t>
            </w:r>
            <w:r/>
          </w:p>
        </w:tc>
        <w:tc>
          <w:tcPr>
            <w:tcW w:w="2297" w:type="pct"/>
            <w:textDirection w:val="lrTb"/>
            <w:noWrap w:val="false"/>
          </w:tcPr>
          <w:p>
            <w:pPr>
              <w:rPr>
                <w:b w:val="0"/>
                <w:bCs/>
                <w:color w:val="auto"/>
                <w:highlight w:val="none"/>
              </w:rPr>
            </w:pPr>
            <w:r>
              <w:rPr>
                <w:b w:val="0"/>
                <w:bCs/>
                <w:color w:val="auto"/>
                <w:highlight w:val="none"/>
              </w:rPr>
              <w:t xml:space="preserve">匹配8联管</w:t>
            </w:r>
            <w:r/>
          </w:p>
        </w:tc>
      </w:tr>
      <w:tr>
        <w:trPr/>
        <w:tc>
          <w:tcPr>
            <w:tcW w:w="491" w:type="pct"/>
            <w:textDirection w:val="lrTb"/>
            <w:noWrap w:val="false"/>
          </w:tcPr>
          <w:p>
            <w:pPr>
              <w:rPr>
                <w:b w:val="0"/>
                <w:bCs/>
                <w:color w:val="auto"/>
                <w:highlight w:val="none"/>
              </w:rPr>
            </w:pPr>
            <w:r>
              <w:rPr>
                <w:b w:val="0"/>
                <w:bCs/>
                <w:color w:val="auto"/>
                <w:highlight w:val="none"/>
              </w:rPr>
              <w:t xml:space="preserve">16</w:t>
            </w:r>
            <w:r/>
          </w:p>
        </w:tc>
        <w:tc>
          <w:tcPr>
            <w:tcW w:w="870" w:type="pct"/>
            <w:textDirection w:val="lrTb"/>
            <w:noWrap w:val="false"/>
          </w:tcPr>
          <w:p>
            <w:pPr>
              <w:rPr>
                <w:rFonts w:hint="eastAsia" w:eastAsiaTheme="minorEastAsia"/>
                <w:b w:val="0"/>
                <w:bCs/>
                <w:color w:val="auto"/>
                <w:highlight w:val="none"/>
                <w:lang w:val="en-US" w:eastAsia="zh-CN"/>
              </w:rPr>
            </w:pPr>
            <w:r>
              <w:rPr>
                <w:b w:val="0"/>
                <w:bCs/>
                <w:color w:val="auto"/>
                <w:highlight w:val="none"/>
              </w:rPr>
              <w:t xml:space="preserve">纯化试剂盒</w:t>
            </w:r>
            <w:r>
              <w:rPr>
                <w:rFonts w:hint="eastAsia"/>
                <w:b w:val="0"/>
                <w:bCs/>
                <w:color w:val="auto"/>
                <w:highlight w:val="none"/>
                <w:lang w:val="en-US" w:eastAsia="zh-CN"/>
              </w:rPr>
              <w:t xml:space="preserve">1</w:t>
            </w:r>
            <w:r/>
          </w:p>
        </w:tc>
        <w:tc>
          <w:tcPr>
            <w:tcW w:w="804" w:type="pct"/>
            <w:textDirection w:val="lrTb"/>
            <w:noWrap w:val="false"/>
          </w:tcPr>
          <w:p>
            <w:pPr>
              <w:rPr>
                <w:b w:val="0"/>
                <w:bCs/>
                <w:color w:val="auto"/>
                <w:highlight w:val="none"/>
              </w:rPr>
            </w:pPr>
            <w:r>
              <w:rPr>
                <w:b w:val="0"/>
                <w:bCs/>
                <w:color w:val="auto"/>
                <w:highlight w:val="none"/>
              </w:rPr>
              <w:t xml:space="preserve">96人份/盒</w:t>
            </w:r>
            <w:r/>
          </w:p>
        </w:tc>
        <w:tc>
          <w:tcPr>
            <w:tcW w:w="536" w:type="pct"/>
            <w:textDirection w:val="lrTb"/>
            <w:noWrap w:val="false"/>
          </w:tcPr>
          <w:p>
            <w:pPr>
              <w:rPr>
                <w:b w:val="0"/>
                <w:bCs/>
                <w:color w:val="auto"/>
                <w:highlight w:val="none"/>
              </w:rPr>
            </w:pPr>
            <w:r>
              <w:rPr>
                <w:b w:val="0"/>
                <w:bCs/>
                <w:color w:val="auto"/>
                <w:highlight w:val="none"/>
              </w:rPr>
              <w:t xml:space="preserve">60盒</w:t>
            </w:r>
            <w:r/>
          </w:p>
        </w:tc>
        <w:tc>
          <w:tcPr>
            <w:tcW w:w="2297" w:type="pct"/>
            <w:textDirection w:val="lrTb"/>
            <w:noWrap w:val="false"/>
          </w:tcPr>
          <w:p>
            <w:pPr>
              <w:rPr>
                <w:b w:val="0"/>
                <w:bCs/>
                <w:color w:val="auto"/>
                <w:highlight w:val="none"/>
              </w:rPr>
            </w:pPr>
            <w:r>
              <w:rPr>
                <w:b w:val="0"/>
                <w:bCs/>
                <w:color w:val="auto"/>
                <w:highlight w:val="none"/>
              </w:rPr>
              <w:t xml:space="preserve">1、超微量磁珠法DNA提取试剂盒（全自动专用）为一体式封装试剂，用于DNA提取的磁珠和各种试剂通过塑料膜密封在可与全自动24道微量DNA提取工作站配套使用的塑料反应板内，使用时撕开密封膜置于全自动24道微量DNA提取工作站中即可直接用于全自动DNA的自动化提取；</w:t>
            </w:r>
            <w:r>
              <w:rPr>
                <w:b w:val="0"/>
                <w:bCs/>
                <w:color w:val="auto"/>
                <w:highlight w:val="none"/>
              </w:rPr>
              <w:br/>
            </w:r>
            <w:r>
              <w:rPr>
                <w:b w:val="0"/>
                <w:bCs/>
                <w:color w:val="auto"/>
                <w:highlight w:val="none"/>
              </w:rPr>
              <w:t xml:space="preserve">2、一个完整试剂盒包装含有封装试剂的反应板，另配有试剂相应数量的盒装吸头（吸头为封装好的盒装吸头，撕开外包装即可整盒放在工作站上使用），封装好的消化液（一次性使用，无需二次整体转移消化液，撕开封膜即可放在工作站上使用);</w:t>
            </w:r>
            <w:r>
              <w:rPr>
                <w:b w:val="0"/>
                <w:bCs/>
                <w:color w:val="auto"/>
                <w:highlight w:val="none"/>
              </w:rPr>
              <w:br/>
            </w:r>
            <w:r>
              <w:rPr>
                <w:b w:val="0"/>
                <w:bCs/>
                <w:color w:val="auto"/>
                <w:highlight w:val="none"/>
              </w:rPr>
              <w:t xml:space="preserve">3、完整试剂盒外另配和试剂盒规格相应数量的24孔离心套板，该24孔离心套板为嵌套反应板，上下部分可分离；</w:t>
            </w:r>
            <w:r>
              <w:rPr>
                <w:b w:val="0"/>
                <w:bCs/>
                <w:color w:val="auto"/>
                <w:highlight w:val="none"/>
              </w:rPr>
              <w:br/>
            </w:r>
            <w:r>
              <w:rPr>
                <w:b w:val="0"/>
                <w:bCs/>
                <w:color w:val="auto"/>
                <w:highlight w:val="none"/>
              </w:rPr>
              <w:t xml:space="preserve">4、样本适用性：配有在全自动24道微量DNA提取工作站上使用的浓缩、纯化及提取程序，可用于血液(斑)、唾液(斑)、精液(斑)、毛发、组织等常规检材及陈旧、污染、降解和微量检材等疑难检材的DNA提取纯化；</w:t>
            </w:r>
            <w:r>
              <w:rPr>
                <w:b w:val="0"/>
                <w:bCs/>
                <w:color w:val="auto"/>
                <w:highlight w:val="none"/>
              </w:rPr>
              <w:br/>
            </w:r>
            <w:r>
              <w:rPr>
                <w:b w:val="0"/>
                <w:bCs/>
                <w:color w:val="auto"/>
                <w:highlight w:val="none"/>
              </w:rPr>
              <w:t xml:space="preserve">5、制造商需通过ISO质量管理体系认证，且认证范围必须包含生离纯化试剂类产品的生产。</w:t>
            </w:r>
            <w:r/>
          </w:p>
        </w:tc>
      </w:tr>
      <w:tr>
        <w:trPr/>
        <w:tc>
          <w:tcPr>
            <w:tcW w:w="491" w:type="pct"/>
            <w:textDirection w:val="lrTb"/>
            <w:noWrap w:val="false"/>
          </w:tcPr>
          <w:p>
            <w:pPr>
              <w:rPr>
                <w:b w:val="0"/>
                <w:bCs/>
                <w:color w:val="auto"/>
                <w:highlight w:val="none"/>
              </w:rPr>
            </w:pPr>
            <w:r>
              <w:rPr>
                <w:b w:val="0"/>
                <w:bCs/>
                <w:color w:val="auto"/>
                <w:highlight w:val="none"/>
              </w:rPr>
              <w:t xml:space="preserve">17</w:t>
            </w:r>
            <w:r/>
          </w:p>
        </w:tc>
        <w:tc>
          <w:tcPr>
            <w:tcW w:w="870" w:type="pct"/>
            <w:textDirection w:val="lrTb"/>
            <w:noWrap w:val="false"/>
          </w:tcPr>
          <w:p>
            <w:pPr>
              <w:rPr>
                <w:rFonts w:hint="eastAsia" w:eastAsiaTheme="minorEastAsia"/>
                <w:b w:val="0"/>
                <w:bCs/>
                <w:color w:val="auto"/>
                <w:highlight w:val="none"/>
                <w:lang w:val="en-US" w:eastAsia="zh-CN"/>
              </w:rPr>
            </w:pPr>
            <w:r>
              <w:rPr>
                <w:b w:val="0"/>
                <w:bCs/>
                <w:color w:val="auto"/>
                <w:highlight w:val="none"/>
              </w:rPr>
              <w:t xml:space="preserve">纯化试剂盒</w:t>
            </w:r>
            <w:r>
              <w:rPr>
                <w:rFonts w:hint="eastAsia"/>
                <w:b w:val="0"/>
                <w:bCs/>
                <w:color w:val="auto"/>
                <w:highlight w:val="none"/>
                <w:lang w:val="en-US" w:eastAsia="zh-CN"/>
              </w:rPr>
              <w:t xml:space="preserve">2</w:t>
            </w:r>
            <w:r/>
          </w:p>
        </w:tc>
        <w:tc>
          <w:tcPr>
            <w:tcW w:w="804" w:type="pct"/>
            <w:textDirection w:val="lrTb"/>
            <w:noWrap w:val="false"/>
          </w:tcPr>
          <w:p>
            <w:pPr>
              <w:rPr>
                <w:b w:val="0"/>
                <w:bCs/>
                <w:color w:val="auto"/>
                <w:highlight w:val="none"/>
              </w:rPr>
            </w:pPr>
            <w:r>
              <w:rPr>
                <w:b w:val="0"/>
                <w:bCs/>
                <w:color w:val="auto"/>
                <w:highlight w:val="none"/>
              </w:rPr>
              <w:t xml:space="preserve">48人份/盒</w:t>
            </w:r>
            <w:r/>
          </w:p>
        </w:tc>
        <w:tc>
          <w:tcPr>
            <w:tcW w:w="536" w:type="pct"/>
            <w:textDirection w:val="lrTb"/>
            <w:noWrap w:val="false"/>
          </w:tcPr>
          <w:p>
            <w:pPr>
              <w:rPr>
                <w:b w:val="0"/>
                <w:bCs/>
                <w:color w:val="auto"/>
                <w:highlight w:val="none"/>
              </w:rPr>
            </w:pPr>
            <w:r>
              <w:rPr>
                <w:b w:val="0"/>
                <w:bCs/>
                <w:color w:val="auto"/>
                <w:highlight w:val="none"/>
              </w:rPr>
              <w:t xml:space="preserve">12盒</w:t>
            </w:r>
            <w:r/>
          </w:p>
        </w:tc>
        <w:tc>
          <w:tcPr>
            <w:tcW w:w="2297" w:type="pct"/>
            <w:textDirection w:val="lrTb"/>
            <w:noWrap w:val="false"/>
          </w:tcPr>
          <w:p>
            <w:pPr>
              <w:rPr>
                <w:b w:val="0"/>
                <w:bCs/>
                <w:color w:val="auto"/>
                <w:highlight w:val="none"/>
              </w:rPr>
            </w:pPr>
            <w:r>
              <w:rPr>
                <w:b w:val="0"/>
                <w:bCs/>
                <w:color w:val="auto"/>
                <w:highlight w:val="none"/>
              </w:rPr>
              <w:t xml:space="preserve">1、超微量磁珠法DNA提取试剂盒（全自动专用）为一体式封装试剂，用于DNA提取的磁珠和各种试剂通过塑料膜密封在可与全自动24道微量DNA提取工作站配套使用的塑料反应板内，使用时撕开密封膜置于全自动24道微量DNA提取工作站中即可直接用于全自动DNA的自动化提取；</w:t>
            </w:r>
            <w:r>
              <w:rPr>
                <w:b w:val="0"/>
                <w:bCs/>
                <w:color w:val="auto"/>
                <w:highlight w:val="none"/>
              </w:rPr>
              <w:br/>
            </w:r>
            <w:r>
              <w:rPr>
                <w:b w:val="0"/>
                <w:bCs/>
                <w:color w:val="auto"/>
                <w:highlight w:val="none"/>
              </w:rPr>
              <w:t xml:space="preserve">2、一个完整试剂盒包装含有封装试剂的反应板，另配有试剂相应数量的盒装吸头（吸头为封装好的盒装吸头，撕开外包装即可整盒放在工作站上使用），封装好的消化液（一次性使用，无需二次整体转移消化液，撕开封膜即可放在工作站上使用);</w:t>
            </w:r>
            <w:r>
              <w:rPr>
                <w:b w:val="0"/>
                <w:bCs/>
                <w:color w:val="auto"/>
                <w:highlight w:val="none"/>
              </w:rPr>
              <w:br/>
            </w:r>
            <w:r>
              <w:rPr>
                <w:b w:val="0"/>
                <w:bCs/>
                <w:color w:val="auto"/>
                <w:highlight w:val="none"/>
              </w:rPr>
              <w:t xml:space="preserve">3、完整试剂盒外另配和试剂盒规格相应数量的24孔离心套板，该24孔离心套板为嵌套反应板，上下部分可分离；</w:t>
            </w:r>
            <w:r>
              <w:rPr>
                <w:b w:val="0"/>
                <w:bCs/>
                <w:color w:val="auto"/>
                <w:highlight w:val="none"/>
              </w:rPr>
              <w:br/>
            </w:r>
            <w:r>
              <w:rPr>
                <w:b w:val="0"/>
                <w:bCs/>
                <w:color w:val="auto"/>
                <w:highlight w:val="none"/>
              </w:rPr>
              <w:t xml:space="preserve">4、样本适用性：配有在全自动24道微量DNA提取工作站上使用的浓缩、纯化及提取程序，可用于血液(斑)、唾液(斑)、精液(斑)、毛发、组织等常规检材及陈旧、污染、降解和微量检材等疑难检材的DNA提取纯化；</w:t>
            </w:r>
            <w:r>
              <w:rPr>
                <w:b w:val="0"/>
                <w:bCs/>
                <w:color w:val="auto"/>
                <w:highlight w:val="none"/>
              </w:rPr>
              <w:br/>
            </w:r>
            <w:r>
              <w:rPr>
                <w:b w:val="0"/>
                <w:bCs/>
                <w:color w:val="auto"/>
                <w:highlight w:val="none"/>
              </w:rPr>
              <w:t xml:space="preserve">5、制造商需通过ISO质量管理体系认证，且认证范围必须包含生离纯化试剂类产品的生产。</w:t>
            </w:r>
            <w:r/>
          </w:p>
        </w:tc>
      </w:tr>
      <w:tr>
        <w:trPr/>
        <w:tc>
          <w:tcPr>
            <w:tcW w:w="491" w:type="pct"/>
            <w:textDirection w:val="lrTb"/>
            <w:noWrap w:val="false"/>
          </w:tcPr>
          <w:p>
            <w:pPr>
              <w:rPr>
                <w:b w:val="0"/>
                <w:bCs/>
                <w:color w:val="auto"/>
                <w:highlight w:val="none"/>
              </w:rPr>
            </w:pPr>
            <w:r>
              <w:rPr>
                <w:b w:val="0"/>
                <w:bCs/>
                <w:color w:val="auto"/>
                <w:highlight w:val="none"/>
              </w:rPr>
              <w:t xml:space="preserve">18</w:t>
            </w:r>
            <w:r/>
          </w:p>
        </w:tc>
        <w:tc>
          <w:tcPr>
            <w:tcW w:w="870" w:type="pct"/>
            <w:textDirection w:val="lrTb"/>
            <w:noWrap w:val="false"/>
          </w:tcPr>
          <w:p>
            <w:pPr>
              <w:rPr>
                <w:rFonts w:hint="eastAsia" w:eastAsiaTheme="minorEastAsia"/>
                <w:b w:val="0"/>
                <w:bCs/>
                <w:color w:val="auto"/>
                <w:highlight w:val="none"/>
                <w:lang w:val="en-US" w:eastAsia="zh-CN"/>
              </w:rPr>
            </w:pPr>
            <w:r>
              <w:rPr>
                <w:b w:val="0"/>
                <w:bCs/>
                <w:color w:val="auto"/>
                <w:highlight w:val="none"/>
              </w:rPr>
              <w:t xml:space="preserve">精点试剂盒</w:t>
            </w:r>
            <w:r>
              <w:rPr>
                <w:rFonts w:hint="eastAsia"/>
                <w:b w:val="0"/>
                <w:bCs/>
                <w:color w:val="auto"/>
                <w:highlight w:val="none"/>
                <w:lang w:val="en-US" w:eastAsia="zh-CN"/>
              </w:rPr>
              <w:t xml:space="preserve">1</w:t>
            </w:r>
            <w:r/>
          </w:p>
        </w:tc>
        <w:tc>
          <w:tcPr>
            <w:tcW w:w="804" w:type="pct"/>
            <w:textDirection w:val="lrTb"/>
            <w:noWrap w:val="false"/>
          </w:tcPr>
          <w:p>
            <w:pPr>
              <w:rPr>
                <w:b w:val="0"/>
                <w:bCs/>
                <w:color w:val="auto"/>
                <w:highlight w:val="none"/>
              </w:rPr>
            </w:pPr>
            <w:r>
              <w:rPr>
                <w:b w:val="0"/>
                <w:bCs/>
                <w:color w:val="auto"/>
                <w:highlight w:val="none"/>
              </w:rPr>
              <w:t xml:space="preserve">8人份/盒</w:t>
            </w:r>
            <w:r/>
          </w:p>
        </w:tc>
        <w:tc>
          <w:tcPr>
            <w:tcW w:w="536" w:type="pct"/>
            <w:textDirection w:val="lrTb"/>
            <w:noWrap w:val="false"/>
          </w:tcPr>
          <w:p>
            <w:pPr>
              <w:rPr>
                <w:b w:val="0"/>
                <w:bCs/>
                <w:color w:val="auto"/>
                <w:highlight w:val="none"/>
              </w:rPr>
            </w:pPr>
            <w:r>
              <w:rPr>
                <w:b w:val="0"/>
                <w:bCs/>
                <w:color w:val="auto"/>
                <w:highlight w:val="none"/>
              </w:rPr>
              <w:t xml:space="preserve">10盒</w:t>
            </w:r>
            <w:r/>
          </w:p>
        </w:tc>
        <w:tc>
          <w:tcPr>
            <w:tcW w:w="2297" w:type="pct"/>
            <w:textDirection w:val="lrTb"/>
            <w:noWrap w:val="false"/>
          </w:tcPr>
          <w:p>
            <w:pPr>
              <w:rPr>
                <w:b w:val="0"/>
                <w:bCs/>
                <w:color w:val="auto"/>
                <w:highlight w:val="none"/>
              </w:rPr>
            </w:pPr>
            <w:r>
              <w:rPr>
                <w:b w:val="0"/>
                <w:bCs/>
                <w:color w:val="auto"/>
                <w:highlight w:val="none"/>
              </w:rPr>
              <w:t xml:space="preserve">1、精点-全自动混合斑DNA提取试剂盒（全自动专用），搭载全自动微量 DNA 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rPr>
                <w:b w:val="0"/>
                <w:bCs/>
                <w:color w:val="auto"/>
                <w:highlight w:val="none"/>
              </w:rPr>
              <w:br/>
            </w:r>
            <w:r>
              <w:rPr>
                <w:b w:val="0"/>
                <w:bCs/>
                <w:color w:val="auto"/>
                <w:highlight w:val="none"/>
              </w:rPr>
              <w:t xml:space="preserve">2、可适配我单位现有自动化工作站使用；</w:t>
            </w:r>
            <w:r>
              <w:rPr>
                <w:b w:val="0"/>
                <w:bCs/>
                <w:color w:val="auto"/>
                <w:highlight w:val="none"/>
              </w:rPr>
              <w:br/>
            </w:r>
            <w:r>
              <w:rPr>
                <w:b w:val="0"/>
                <w:bCs/>
                <w:color w:val="auto"/>
                <w:highlight w:val="none"/>
              </w:rPr>
              <w:t xml:space="preserve">3、完整试剂盒外另有与试剂盒规格适配的混合斑处理套装，可以实现混合斑类检材载体与消化产物、男女成份分离的目的；另配相应数量封装好的洗脱液。</w:t>
            </w:r>
            <w:r>
              <w:rPr>
                <w:b w:val="0"/>
                <w:bCs/>
                <w:color w:val="auto"/>
                <w:highlight w:val="none"/>
              </w:rPr>
              <w:br/>
            </w:r>
            <w:r>
              <w:rPr>
                <w:b w:val="0"/>
                <w:bCs/>
                <w:color w:val="auto"/>
                <w:highlight w:val="none"/>
              </w:rPr>
              <w:t xml:space="preserve">4、本产品为性侵类案件检材DNA提取的关键产品，为确保产品质量和可靠性，制造商需通过ISO9001：2015质量管理体系认证，且认证范围必须包含生离纯化试剂类产品的生产。</w:t>
            </w:r>
            <w:r/>
          </w:p>
        </w:tc>
      </w:tr>
      <w:tr>
        <w:trPr/>
        <w:tc>
          <w:tcPr>
            <w:tcW w:w="491" w:type="pct"/>
            <w:textDirection w:val="lrTb"/>
            <w:noWrap w:val="false"/>
          </w:tcPr>
          <w:p>
            <w:pPr>
              <w:rPr>
                <w:b w:val="0"/>
                <w:bCs/>
                <w:color w:val="auto"/>
                <w:highlight w:val="none"/>
              </w:rPr>
            </w:pPr>
            <w:r>
              <w:rPr>
                <w:b w:val="0"/>
                <w:bCs/>
                <w:color w:val="auto"/>
                <w:highlight w:val="none"/>
              </w:rPr>
              <w:t xml:space="preserve">19</w:t>
            </w:r>
            <w:r/>
          </w:p>
        </w:tc>
        <w:tc>
          <w:tcPr>
            <w:tcW w:w="870" w:type="pct"/>
            <w:textDirection w:val="lrTb"/>
            <w:noWrap w:val="false"/>
          </w:tcPr>
          <w:p>
            <w:pPr>
              <w:rPr>
                <w:rFonts w:hint="eastAsia" w:eastAsiaTheme="minorEastAsia"/>
                <w:b w:val="0"/>
                <w:bCs/>
                <w:color w:val="auto"/>
                <w:highlight w:val="none"/>
                <w:lang w:val="en-US" w:eastAsia="zh-CN"/>
              </w:rPr>
            </w:pPr>
            <w:r>
              <w:rPr>
                <w:b w:val="0"/>
                <w:bCs/>
                <w:color w:val="auto"/>
                <w:highlight w:val="none"/>
              </w:rPr>
              <w:t xml:space="preserve">精点试剂盒</w:t>
            </w:r>
            <w:r>
              <w:rPr>
                <w:rFonts w:hint="eastAsia"/>
                <w:b w:val="0"/>
                <w:bCs/>
                <w:color w:val="auto"/>
                <w:highlight w:val="none"/>
                <w:lang w:val="en-US" w:eastAsia="zh-CN"/>
              </w:rPr>
              <w:t xml:space="preserve">2</w:t>
            </w:r>
            <w:r/>
          </w:p>
        </w:tc>
        <w:tc>
          <w:tcPr>
            <w:tcW w:w="804" w:type="pct"/>
            <w:textDirection w:val="lrTb"/>
            <w:noWrap w:val="false"/>
          </w:tcPr>
          <w:p>
            <w:pPr>
              <w:rPr>
                <w:b w:val="0"/>
                <w:bCs/>
                <w:color w:val="auto"/>
                <w:highlight w:val="none"/>
              </w:rPr>
            </w:pPr>
            <w:r>
              <w:rPr>
                <w:b w:val="0"/>
                <w:bCs/>
                <w:color w:val="auto"/>
                <w:highlight w:val="none"/>
              </w:rPr>
              <w:t xml:space="preserve">16人份/盒</w:t>
            </w:r>
            <w:r/>
          </w:p>
        </w:tc>
        <w:tc>
          <w:tcPr>
            <w:tcW w:w="536" w:type="pct"/>
            <w:textDirection w:val="lrTb"/>
            <w:noWrap w:val="false"/>
          </w:tcPr>
          <w:p>
            <w:pPr>
              <w:rPr>
                <w:b w:val="0"/>
                <w:bCs/>
                <w:color w:val="auto"/>
                <w:highlight w:val="none"/>
              </w:rPr>
            </w:pPr>
            <w:r>
              <w:rPr>
                <w:b w:val="0"/>
                <w:bCs/>
                <w:color w:val="auto"/>
                <w:highlight w:val="none"/>
              </w:rPr>
              <w:t xml:space="preserve">4盒</w:t>
            </w:r>
            <w:r/>
          </w:p>
        </w:tc>
        <w:tc>
          <w:tcPr>
            <w:tcW w:w="2297" w:type="pct"/>
            <w:textDirection w:val="lrTb"/>
            <w:noWrap w:val="false"/>
          </w:tcPr>
          <w:p>
            <w:pPr>
              <w:rPr>
                <w:b w:val="0"/>
                <w:bCs/>
                <w:color w:val="auto"/>
                <w:highlight w:val="none"/>
              </w:rPr>
            </w:pPr>
            <w:r>
              <w:rPr>
                <w:b w:val="0"/>
                <w:bCs/>
                <w:color w:val="auto"/>
                <w:highlight w:val="none"/>
              </w:rPr>
              <w:t xml:space="preserve">1、精点-全自动混合斑DNA提取试剂盒（全自动专用），搭载全自动微量 DNA 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rPr>
                <w:b w:val="0"/>
                <w:bCs/>
                <w:color w:val="auto"/>
                <w:highlight w:val="none"/>
              </w:rPr>
              <w:br/>
            </w:r>
            <w:r>
              <w:rPr>
                <w:b w:val="0"/>
                <w:bCs/>
                <w:color w:val="auto"/>
                <w:highlight w:val="none"/>
              </w:rPr>
              <w:t xml:space="preserve">2、可适配我单位现有自动化工作站使用；</w:t>
            </w:r>
            <w:r>
              <w:rPr>
                <w:b w:val="0"/>
                <w:bCs/>
                <w:color w:val="auto"/>
                <w:highlight w:val="none"/>
              </w:rPr>
              <w:br/>
            </w:r>
            <w:r>
              <w:rPr>
                <w:b w:val="0"/>
                <w:bCs/>
                <w:color w:val="auto"/>
                <w:highlight w:val="none"/>
              </w:rPr>
              <w:t xml:space="preserve">3、完整试剂盒外另有与试剂盒规格适配的混合斑处理套装，可以实现混合斑类检材载体与消化产物、男女成份分离的目的；另配相应数量封装好的洗脱液。</w:t>
            </w:r>
            <w:r>
              <w:rPr>
                <w:b w:val="0"/>
                <w:bCs/>
                <w:color w:val="auto"/>
                <w:highlight w:val="none"/>
              </w:rPr>
              <w:br/>
            </w:r>
            <w:r>
              <w:rPr>
                <w:b w:val="0"/>
                <w:bCs/>
                <w:color w:val="auto"/>
                <w:highlight w:val="none"/>
              </w:rPr>
              <w:t xml:space="preserve">4、本产品为性侵类案件检材DNA提取的关键产品，为确保产品质量和可靠性，制造商需通过ISO9001：2015质量管理体系认证，且认证范围必须包含生离纯化试剂类产品的生产。</w:t>
            </w:r>
            <w:r/>
          </w:p>
        </w:tc>
      </w:tr>
      <w:tr>
        <w:trPr/>
        <w:tc>
          <w:tcPr>
            <w:tcW w:w="491" w:type="pct"/>
            <w:textDirection w:val="lrTb"/>
            <w:noWrap w:val="false"/>
          </w:tcPr>
          <w:p>
            <w:pPr>
              <w:rPr>
                <w:b w:val="0"/>
                <w:bCs/>
                <w:color w:val="auto"/>
                <w:highlight w:val="none"/>
              </w:rPr>
            </w:pPr>
            <w:r>
              <w:rPr>
                <w:b w:val="0"/>
                <w:bCs/>
                <w:color w:val="auto"/>
                <w:highlight w:val="none"/>
              </w:rPr>
              <w:t xml:space="preserve">20</w:t>
            </w:r>
            <w:r/>
          </w:p>
        </w:tc>
        <w:tc>
          <w:tcPr>
            <w:tcW w:w="870" w:type="pct"/>
            <w:textDirection w:val="lrTb"/>
            <w:noWrap w:val="false"/>
          </w:tcPr>
          <w:p>
            <w:pPr>
              <w:rPr>
                <w:rFonts w:hint="eastAsia" w:eastAsiaTheme="minorEastAsia"/>
                <w:b w:val="0"/>
                <w:bCs/>
                <w:color w:val="auto"/>
                <w:highlight w:val="none"/>
                <w:lang w:val="en-US" w:eastAsia="zh-CN"/>
              </w:rPr>
            </w:pPr>
            <w:r>
              <w:rPr>
                <w:b w:val="0"/>
                <w:bCs/>
                <w:color w:val="auto"/>
                <w:highlight w:val="none"/>
              </w:rPr>
              <w:t xml:space="preserve">精点试剂盒</w:t>
            </w:r>
            <w:r>
              <w:rPr>
                <w:rFonts w:hint="eastAsia"/>
                <w:b w:val="0"/>
                <w:bCs/>
                <w:color w:val="auto"/>
                <w:highlight w:val="none"/>
                <w:lang w:val="en-US" w:eastAsia="zh-CN"/>
              </w:rPr>
              <w:t xml:space="preserve">3</w:t>
            </w:r>
            <w:r/>
          </w:p>
        </w:tc>
        <w:tc>
          <w:tcPr>
            <w:tcW w:w="804" w:type="pct"/>
            <w:textDirection w:val="lrTb"/>
            <w:noWrap w:val="false"/>
          </w:tcPr>
          <w:p>
            <w:pPr>
              <w:rPr>
                <w:b w:val="0"/>
                <w:bCs/>
                <w:color w:val="auto"/>
                <w:highlight w:val="none"/>
              </w:rPr>
            </w:pPr>
            <w:r>
              <w:rPr>
                <w:b w:val="0"/>
                <w:bCs/>
                <w:color w:val="auto"/>
                <w:highlight w:val="none"/>
              </w:rPr>
              <w:t xml:space="preserve">4人份/盒</w:t>
            </w:r>
            <w:r/>
          </w:p>
        </w:tc>
        <w:tc>
          <w:tcPr>
            <w:tcW w:w="536" w:type="pct"/>
            <w:textDirection w:val="lrTb"/>
            <w:noWrap w:val="false"/>
          </w:tcPr>
          <w:p>
            <w:pPr>
              <w:rPr>
                <w:b w:val="0"/>
                <w:bCs/>
                <w:color w:val="auto"/>
                <w:highlight w:val="none"/>
              </w:rPr>
            </w:pPr>
            <w:r>
              <w:rPr>
                <w:b w:val="0"/>
                <w:bCs/>
                <w:color w:val="auto"/>
                <w:highlight w:val="none"/>
              </w:rPr>
              <w:t xml:space="preserve">4盒</w:t>
            </w:r>
            <w:r/>
          </w:p>
        </w:tc>
        <w:tc>
          <w:tcPr>
            <w:tcW w:w="2297" w:type="pct"/>
            <w:textDirection w:val="lrTb"/>
            <w:noWrap w:val="false"/>
          </w:tcPr>
          <w:p>
            <w:pPr>
              <w:rPr>
                <w:b w:val="0"/>
                <w:bCs/>
                <w:color w:val="auto"/>
                <w:highlight w:val="none"/>
              </w:rPr>
            </w:pPr>
            <w:r>
              <w:rPr>
                <w:b w:val="0"/>
                <w:bCs/>
                <w:color w:val="auto"/>
                <w:highlight w:val="none"/>
              </w:rPr>
              <w:t xml:space="preserve">1、精点-全自动混合斑DNA提取试剂盒（全自动专用），搭载全自动微量 DNA 提取工作站，全程自动化提取性侵案件中混合斑类检材，采用全新试剂体系，可以专项高效裂解女性成分，结合精子细胞富集膜，有效回收精子细胞，从而达到混合斑检材男女成分快速分离目的。全程提取自动化操作，无需人工干预，分离纯化效果与手工精细化操作水平相近。</w:t>
            </w:r>
            <w:r>
              <w:rPr>
                <w:b w:val="0"/>
                <w:bCs/>
                <w:color w:val="auto"/>
                <w:highlight w:val="none"/>
              </w:rPr>
              <w:br/>
            </w:r>
            <w:r>
              <w:rPr>
                <w:b w:val="0"/>
                <w:bCs/>
                <w:color w:val="auto"/>
                <w:highlight w:val="none"/>
              </w:rPr>
              <w:t xml:space="preserve">2、可适配我单位现有自动化工作站使用；</w:t>
            </w:r>
            <w:r>
              <w:rPr>
                <w:b w:val="0"/>
                <w:bCs/>
                <w:color w:val="auto"/>
                <w:highlight w:val="none"/>
              </w:rPr>
              <w:br/>
            </w:r>
            <w:r>
              <w:rPr>
                <w:b w:val="0"/>
                <w:bCs/>
                <w:color w:val="auto"/>
                <w:highlight w:val="none"/>
              </w:rPr>
              <w:t xml:space="preserve">3、完整试剂盒外另有与试剂盒规格适配的混合斑处理套装，可以实现混合斑类检材载体与消化产物、男女成份分离的目的；另配相应数量封装好的洗脱液。</w:t>
            </w:r>
            <w:r>
              <w:rPr>
                <w:b w:val="0"/>
                <w:bCs/>
                <w:color w:val="auto"/>
                <w:highlight w:val="none"/>
              </w:rPr>
              <w:br/>
            </w:r>
            <w:r>
              <w:rPr>
                <w:b w:val="0"/>
                <w:bCs/>
                <w:color w:val="auto"/>
                <w:highlight w:val="none"/>
              </w:rPr>
              <w:t xml:space="preserve">4、本产品为性侵类案件检材DNA提取的关键产品，为确保产品质量和可靠性，制造商需通过ISO9001：2015质量管理体系认证，且认证范围必须包含生离纯化试剂类产品的生产。</w:t>
            </w:r>
            <w:r/>
          </w:p>
        </w:tc>
      </w:tr>
      <w:tr>
        <w:trPr/>
        <w:tc>
          <w:tcPr>
            <w:tcW w:w="491" w:type="pct"/>
            <w:textDirection w:val="lrTb"/>
            <w:noWrap w:val="false"/>
          </w:tcPr>
          <w:p>
            <w:pPr>
              <w:rPr>
                <w:b w:val="0"/>
                <w:bCs/>
                <w:color w:val="auto"/>
                <w:highlight w:val="none"/>
              </w:rPr>
            </w:pPr>
            <w:r>
              <w:rPr>
                <w:b w:val="0"/>
                <w:bCs/>
                <w:color w:val="auto"/>
                <w:highlight w:val="none"/>
              </w:rPr>
              <w:t xml:space="preserve">21</w:t>
            </w:r>
            <w:r/>
          </w:p>
        </w:tc>
        <w:tc>
          <w:tcPr>
            <w:tcW w:w="870" w:type="pct"/>
            <w:textDirection w:val="lrTb"/>
            <w:noWrap w:val="false"/>
          </w:tcPr>
          <w:p>
            <w:pPr>
              <w:rPr>
                <w:b w:val="0"/>
                <w:bCs/>
                <w:color w:val="auto"/>
                <w:highlight w:val="none"/>
              </w:rPr>
            </w:pPr>
            <w:r>
              <w:rPr>
                <w:b w:val="0"/>
                <w:bCs/>
                <w:color w:val="auto"/>
                <w:highlight w:val="none"/>
              </w:rPr>
              <w:t xml:space="preserve">中体积陈旧检材DNA提取试剂盒</w:t>
            </w:r>
            <w:r/>
          </w:p>
        </w:tc>
        <w:tc>
          <w:tcPr>
            <w:tcW w:w="804" w:type="pct"/>
            <w:textDirection w:val="lrTb"/>
            <w:noWrap w:val="false"/>
          </w:tcPr>
          <w:p>
            <w:pPr>
              <w:rPr>
                <w:b w:val="0"/>
                <w:bCs/>
                <w:color w:val="auto"/>
                <w:highlight w:val="none"/>
              </w:rPr>
            </w:pPr>
            <w:r>
              <w:rPr>
                <w:b w:val="0"/>
                <w:bCs/>
                <w:color w:val="auto"/>
                <w:highlight w:val="none"/>
              </w:rPr>
              <w:t xml:space="preserve">4人份/盒</w:t>
            </w:r>
            <w:r/>
          </w:p>
        </w:tc>
        <w:tc>
          <w:tcPr>
            <w:tcW w:w="536" w:type="pct"/>
            <w:textDirection w:val="lrTb"/>
            <w:noWrap w:val="false"/>
          </w:tcPr>
          <w:p>
            <w:pPr>
              <w:rPr>
                <w:b w:val="0"/>
                <w:bCs/>
                <w:color w:val="auto"/>
                <w:highlight w:val="none"/>
              </w:rPr>
            </w:pPr>
            <w:r>
              <w:rPr>
                <w:b w:val="0"/>
                <w:bCs/>
                <w:color w:val="auto"/>
                <w:highlight w:val="none"/>
              </w:rPr>
              <w:t xml:space="preserve">4盒</w:t>
            </w:r>
            <w:r/>
          </w:p>
        </w:tc>
        <w:tc>
          <w:tcPr>
            <w:tcW w:w="2297" w:type="pct"/>
            <w:textDirection w:val="lrTb"/>
            <w:noWrap w:val="false"/>
          </w:tcPr>
          <w:p>
            <w:pPr>
              <w:rPr>
                <w:b w:val="0"/>
                <w:bCs/>
                <w:color w:val="auto"/>
                <w:highlight w:val="none"/>
              </w:rPr>
            </w:pPr>
            <w:r>
              <w:rPr>
                <w:b w:val="0"/>
                <w:bCs/>
                <w:color w:val="auto"/>
                <w:highlight w:val="none"/>
              </w:rPr>
              <w:t xml:space="preserve">磁珠法DNA提取试剂盒，适用于中体积陈旧检材的DNA提取</w:t>
            </w:r>
            <w:r/>
          </w:p>
        </w:tc>
      </w:tr>
      <w:tr>
        <w:trPr/>
        <w:tc>
          <w:tcPr>
            <w:tcW w:w="491" w:type="pct"/>
            <w:textDirection w:val="lrTb"/>
            <w:noWrap w:val="false"/>
          </w:tcPr>
          <w:p>
            <w:pPr>
              <w:rPr>
                <w:b w:val="0"/>
                <w:bCs/>
                <w:color w:val="auto"/>
                <w:highlight w:val="none"/>
              </w:rPr>
            </w:pPr>
            <w:r>
              <w:rPr>
                <w:b w:val="0"/>
                <w:bCs/>
                <w:color w:val="auto"/>
                <w:highlight w:val="none"/>
              </w:rPr>
              <w:t xml:space="preserve">22</w:t>
            </w:r>
            <w:r/>
          </w:p>
        </w:tc>
        <w:tc>
          <w:tcPr>
            <w:tcW w:w="870" w:type="pct"/>
            <w:textDirection w:val="lrTb"/>
            <w:noWrap w:val="false"/>
          </w:tcPr>
          <w:p>
            <w:pPr>
              <w:rPr>
                <w:b w:val="0"/>
                <w:bCs/>
                <w:color w:val="auto"/>
                <w:highlight w:val="none"/>
              </w:rPr>
            </w:pPr>
            <w:r>
              <w:rPr>
                <w:b w:val="0"/>
                <w:bCs/>
                <w:color w:val="auto"/>
                <w:highlight w:val="none"/>
              </w:rPr>
              <w:t xml:space="preserve">易折棉签</w:t>
            </w:r>
            <w:r/>
          </w:p>
        </w:tc>
        <w:tc>
          <w:tcPr>
            <w:tcW w:w="804" w:type="pct"/>
            <w:textDirection w:val="lrTb"/>
            <w:noWrap w:val="false"/>
          </w:tcPr>
          <w:p>
            <w:pPr>
              <w:rPr>
                <w:b w:val="0"/>
                <w:bCs/>
                <w:color w:val="auto"/>
                <w:highlight w:val="none"/>
              </w:rPr>
            </w:pPr>
            <w:r>
              <w:rPr>
                <w:b w:val="0"/>
                <w:bCs/>
                <w:color w:val="auto"/>
                <w:highlight w:val="none"/>
              </w:rPr>
              <w:t xml:space="preserve">500人份/盒</w:t>
            </w:r>
            <w:r/>
          </w:p>
        </w:tc>
        <w:tc>
          <w:tcPr>
            <w:tcW w:w="536" w:type="pct"/>
            <w:textDirection w:val="lrTb"/>
            <w:noWrap w:val="false"/>
          </w:tcPr>
          <w:p>
            <w:pPr>
              <w:rPr>
                <w:b w:val="0"/>
                <w:bCs/>
                <w:color w:val="auto"/>
                <w:highlight w:val="none"/>
              </w:rPr>
            </w:pPr>
            <w:r>
              <w:rPr>
                <w:b w:val="0"/>
                <w:bCs/>
                <w:color w:val="auto"/>
                <w:highlight w:val="none"/>
              </w:rPr>
              <w:t xml:space="preserve">30盒</w:t>
            </w:r>
            <w:r/>
          </w:p>
        </w:tc>
        <w:tc>
          <w:tcPr>
            <w:tcW w:w="2297" w:type="pct"/>
            <w:textDirection w:val="lrTb"/>
            <w:noWrap w:val="false"/>
          </w:tcPr>
          <w:p>
            <w:pPr>
              <w:rPr>
                <w:b w:val="0"/>
                <w:bCs/>
                <w:color w:val="auto"/>
                <w:highlight w:val="none"/>
              </w:rPr>
            </w:pPr>
            <w:r>
              <w:rPr>
                <w:b w:val="0"/>
                <w:bCs/>
                <w:color w:val="auto"/>
                <w:highlight w:val="none"/>
              </w:rPr>
              <w:t xml:space="preserve">棉签材质易于折断，棉头材质为医用脱脂棉</w:t>
            </w:r>
            <w:r>
              <w:rPr>
                <w:b w:val="0"/>
                <w:bCs/>
                <w:color w:val="auto"/>
                <w:highlight w:val="none"/>
              </w:rPr>
              <w:br/>
            </w:r>
            <w:r>
              <w:rPr>
                <w:b w:val="0"/>
                <w:bCs/>
                <w:color w:val="auto"/>
                <w:highlight w:val="none"/>
              </w:rPr>
              <w:t xml:space="preserve">2、棉签不含外源DNA,为生物提取专用棉签。</w:t>
            </w:r>
            <w:r/>
          </w:p>
        </w:tc>
      </w:tr>
      <w:tr>
        <w:trPr/>
        <w:tc>
          <w:tcPr>
            <w:tcW w:w="491" w:type="pct"/>
            <w:textDirection w:val="lrTb"/>
            <w:noWrap w:val="false"/>
          </w:tcPr>
          <w:p>
            <w:pPr>
              <w:rPr>
                <w:b w:val="0"/>
                <w:bCs/>
                <w:color w:val="auto"/>
                <w:highlight w:val="none"/>
              </w:rPr>
            </w:pPr>
            <w:r>
              <w:rPr>
                <w:b w:val="0"/>
                <w:bCs/>
                <w:color w:val="auto"/>
                <w:highlight w:val="none"/>
              </w:rPr>
              <w:t xml:space="preserve">23</w:t>
            </w:r>
            <w:r/>
          </w:p>
        </w:tc>
        <w:tc>
          <w:tcPr>
            <w:tcW w:w="870" w:type="pct"/>
            <w:textDirection w:val="lrTb"/>
            <w:noWrap w:val="false"/>
          </w:tcPr>
          <w:p>
            <w:pPr>
              <w:rPr>
                <w:b w:val="0"/>
                <w:bCs/>
                <w:color w:val="auto"/>
                <w:highlight w:val="none"/>
              </w:rPr>
            </w:pPr>
            <w:r>
              <w:rPr>
                <w:b w:val="0"/>
                <w:bCs/>
                <w:color w:val="auto"/>
                <w:highlight w:val="none"/>
              </w:rPr>
              <w:t xml:space="preserve">八道移液器</w:t>
            </w:r>
            <w:r/>
          </w:p>
        </w:tc>
        <w:tc>
          <w:tcPr>
            <w:tcW w:w="804" w:type="pct"/>
            <w:textDirection w:val="lrTb"/>
            <w:noWrap w:val="false"/>
          </w:tcPr>
          <w:p>
            <w:pPr>
              <w:rPr>
                <w:b w:val="0"/>
                <w:bCs/>
                <w:color w:val="auto"/>
                <w:highlight w:val="none"/>
              </w:rPr>
            </w:pPr>
            <w:r>
              <w:rPr>
                <w:b w:val="0"/>
                <w:bCs/>
                <w:color w:val="auto"/>
                <w:highlight w:val="none"/>
              </w:rPr>
              <w:t xml:space="preserve">1-10ul</w:t>
            </w:r>
            <w:r/>
          </w:p>
        </w:tc>
        <w:tc>
          <w:tcPr>
            <w:tcW w:w="536" w:type="pct"/>
            <w:textDirection w:val="lrTb"/>
            <w:noWrap w:val="false"/>
          </w:tcPr>
          <w:p>
            <w:pPr>
              <w:rPr>
                <w:b w:val="0"/>
                <w:bCs/>
                <w:color w:val="auto"/>
                <w:highlight w:val="none"/>
              </w:rPr>
            </w:pPr>
            <w:r>
              <w:rPr>
                <w:b w:val="0"/>
                <w:bCs/>
                <w:color w:val="auto"/>
                <w:highlight w:val="none"/>
              </w:rPr>
              <w:t xml:space="preserve">2把</w:t>
            </w:r>
            <w:r/>
          </w:p>
        </w:tc>
        <w:tc>
          <w:tcPr>
            <w:tcW w:w="2297" w:type="pct"/>
            <w:textDirection w:val="lrTb"/>
            <w:noWrap w:val="false"/>
          </w:tcPr>
          <w:p>
            <w:pPr>
              <w:rPr>
                <w:b w:val="0"/>
                <w:bCs/>
                <w:color w:val="auto"/>
                <w:highlight w:val="none"/>
              </w:rPr>
            </w:pPr>
            <w:r>
              <w:rPr>
                <w:b w:val="0"/>
                <w:bCs/>
                <w:color w:val="auto"/>
                <w:highlight w:val="none"/>
              </w:rPr>
              <w:t xml:space="preserve">八道可调量程移液器，量程1-10ul</w:t>
            </w:r>
            <w:r/>
          </w:p>
        </w:tc>
      </w:tr>
      <w:tr>
        <w:trPr/>
        <w:tc>
          <w:tcPr>
            <w:tcW w:w="491" w:type="pct"/>
            <w:textDirection w:val="lrTb"/>
            <w:noWrap w:val="false"/>
          </w:tcPr>
          <w:p>
            <w:pPr>
              <w:rPr>
                <w:b w:val="0"/>
                <w:bCs/>
                <w:color w:val="auto"/>
                <w:highlight w:val="none"/>
              </w:rPr>
            </w:pPr>
            <w:r>
              <w:rPr>
                <w:b w:val="0"/>
                <w:bCs/>
                <w:color w:val="auto"/>
                <w:highlight w:val="none"/>
              </w:rPr>
              <w:t xml:space="preserve">24</w:t>
            </w:r>
            <w:r/>
          </w:p>
        </w:tc>
        <w:tc>
          <w:tcPr>
            <w:tcW w:w="870" w:type="pct"/>
            <w:textDirection w:val="lrTb"/>
            <w:noWrap w:val="false"/>
          </w:tcPr>
          <w:p>
            <w:pPr>
              <w:rPr>
                <w:b w:val="0"/>
                <w:bCs/>
                <w:color w:val="auto"/>
                <w:highlight w:val="none"/>
              </w:rPr>
            </w:pPr>
            <w:r>
              <w:rPr>
                <w:b w:val="0"/>
                <w:bCs/>
                <w:color w:val="auto"/>
                <w:highlight w:val="none"/>
              </w:rPr>
              <w:t xml:space="preserve">单道移液器</w:t>
            </w:r>
            <w:r/>
          </w:p>
        </w:tc>
        <w:tc>
          <w:tcPr>
            <w:tcW w:w="804" w:type="pct"/>
            <w:textDirection w:val="lrTb"/>
            <w:noWrap w:val="false"/>
          </w:tcPr>
          <w:p>
            <w:pPr>
              <w:rPr>
                <w:b w:val="0"/>
                <w:bCs/>
                <w:color w:val="auto"/>
                <w:highlight w:val="none"/>
              </w:rPr>
            </w:pPr>
            <w:r>
              <w:rPr>
                <w:b w:val="0"/>
                <w:bCs/>
                <w:color w:val="auto"/>
                <w:highlight w:val="none"/>
              </w:rPr>
              <w:t xml:space="preserve">0.5-10 ul</w:t>
            </w:r>
            <w:r/>
          </w:p>
        </w:tc>
        <w:tc>
          <w:tcPr>
            <w:tcW w:w="536" w:type="pct"/>
            <w:textDirection w:val="lrTb"/>
            <w:noWrap w:val="false"/>
          </w:tcPr>
          <w:p>
            <w:pPr>
              <w:rPr>
                <w:b w:val="0"/>
                <w:bCs/>
                <w:color w:val="auto"/>
                <w:highlight w:val="none"/>
              </w:rPr>
            </w:pPr>
            <w:r>
              <w:rPr>
                <w:b w:val="0"/>
                <w:bCs/>
                <w:color w:val="auto"/>
                <w:highlight w:val="none"/>
              </w:rPr>
              <w:t xml:space="preserve">2把</w:t>
            </w:r>
            <w:r/>
          </w:p>
        </w:tc>
        <w:tc>
          <w:tcPr>
            <w:tcW w:w="2297" w:type="pct"/>
            <w:textDirection w:val="lrTb"/>
            <w:noWrap w:val="false"/>
          </w:tcPr>
          <w:p>
            <w:pPr>
              <w:rPr>
                <w:b w:val="0"/>
                <w:bCs/>
                <w:color w:val="auto"/>
                <w:highlight w:val="none"/>
              </w:rPr>
            </w:pPr>
            <w:r>
              <w:rPr>
                <w:b w:val="0"/>
                <w:bCs/>
                <w:color w:val="auto"/>
                <w:highlight w:val="none"/>
              </w:rPr>
              <w:t xml:space="preserve">单道可调量程移液器，量程0.5-10ul</w:t>
            </w:r>
            <w:r/>
          </w:p>
        </w:tc>
      </w:tr>
      <w:tr>
        <w:trPr/>
        <w:tc>
          <w:tcPr>
            <w:tcW w:w="491" w:type="pct"/>
            <w:textDirection w:val="lrTb"/>
            <w:noWrap w:val="false"/>
          </w:tcPr>
          <w:p>
            <w:pPr>
              <w:rPr>
                <w:b w:val="0"/>
                <w:bCs/>
                <w:color w:val="auto"/>
                <w:highlight w:val="none"/>
              </w:rPr>
            </w:pPr>
            <w:r>
              <w:rPr>
                <w:b w:val="0"/>
                <w:bCs/>
                <w:color w:val="auto"/>
                <w:highlight w:val="none"/>
              </w:rPr>
              <w:t xml:space="preserve">25</w:t>
            </w:r>
            <w:r/>
          </w:p>
        </w:tc>
        <w:tc>
          <w:tcPr>
            <w:tcW w:w="870" w:type="pct"/>
            <w:textDirection w:val="lrTb"/>
            <w:noWrap w:val="false"/>
          </w:tcPr>
          <w:p>
            <w:pPr>
              <w:rPr>
                <w:b w:val="0"/>
                <w:bCs/>
                <w:color w:val="auto"/>
                <w:highlight w:val="none"/>
              </w:rPr>
            </w:pPr>
            <w:r>
              <w:rPr>
                <w:b w:val="0"/>
                <w:bCs/>
                <w:color w:val="auto"/>
                <w:highlight w:val="none"/>
              </w:rPr>
              <w:t xml:space="preserve">单道移液器</w:t>
            </w:r>
            <w:r/>
          </w:p>
        </w:tc>
        <w:tc>
          <w:tcPr>
            <w:tcW w:w="804" w:type="pct"/>
            <w:textDirection w:val="lrTb"/>
            <w:noWrap w:val="false"/>
          </w:tcPr>
          <w:p>
            <w:pPr>
              <w:rPr>
                <w:b w:val="0"/>
                <w:bCs/>
                <w:color w:val="auto"/>
                <w:highlight w:val="none"/>
              </w:rPr>
            </w:pPr>
            <w:r>
              <w:rPr>
                <w:b w:val="0"/>
                <w:bCs/>
                <w:color w:val="auto"/>
                <w:highlight w:val="none"/>
              </w:rPr>
              <w:t xml:space="preserve">10-200 ul</w:t>
            </w:r>
            <w:r/>
          </w:p>
        </w:tc>
        <w:tc>
          <w:tcPr>
            <w:tcW w:w="536" w:type="pct"/>
            <w:textDirection w:val="lrTb"/>
            <w:noWrap w:val="false"/>
          </w:tcPr>
          <w:p>
            <w:pPr>
              <w:rPr>
                <w:b w:val="0"/>
                <w:bCs/>
                <w:color w:val="auto"/>
                <w:highlight w:val="none"/>
              </w:rPr>
            </w:pPr>
            <w:r>
              <w:rPr>
                <w:b w:val="0"/>
                <w:bCs/>
                <w:color w:val="auto"/>
                <w:highlight w:val="none"/>
              </w:rPr>
              <w:t xml:space="preserve">2把</w:t>
            </w:r>
            <w:r/>
          </w:p>
        </w:tc>
        <w:tc>
          <w:tcPr>
            <w:tcW w:w="2297" w:type="pct"/>
            <w:textDirection w:val="lrTb"/>
            <w:noWrap w:val="false"/>
          </w:tcPr>
          <w:p>
            <w:pPr>
              <w:rPr>
                <w:b w:val="0"/>
                <w:bCs/>
                <w:color w:val="auto"/>
                <w:highlight w:val="none"/>
              </w:rPr>
            </w:pPr>
            <w:r>
              <w:rPr>
                <w:b w:val="0"/>
                <w:bCs/>
                <w:color w:val="auto"/>
                <w:highlight w:val="none"/>
              </w:rPr>
              <w:t xml:space="preserve">单道可调量程移液器，量程10-200ul</w:t>
            </w:r>
            <w:r/>
          </w:p>
        </w:tc>
      </w:tr>
      <w:tr>
        <w:trPr/>
        <w:tc>
          <w:tcPr>
            <w:tcW w:w="491" w:type="pct"/>
            <w:textDirection w:val="lrTb"/>
            <w:noWrap w:val="false"/>
          </w:tcPr>
          <w:p>
            <w:pPr>
              <w:rPr>
                <w:b w:val="0"/>
                <w:bCs/>
                <w:color w:val="auto"/>
                <w:highlight w:val="none"/>
              </w:rPr>
            </w:pPr>
            <w:r>
              <w:rPr>
                <w:b w:val="0"/>
                <w:bCs/>
                <w:color w:val="auto"/>
                <w:highlight w:val="none"/>
              </w:rPr>
              <w:t xml:space="preserve">26</w:t>
            </w:r>
            <w:r/>
          </w:p>
        </w:tc>
        <w:tc>
          <w:tcPr>
            <w:tcW w:w="870" w:type="pct"/>
            <w:textDirection w:val="lrTb"/>
            <w:noWrap w:val="false"/>
          </w:tcPr>
          <w:p>
            <w:pPr>
              <w:rPr>
                <w:b w:val="0"/>
                <w:bCs/>
                <w:color w:val="auto"/>
                <w:highlight w:val="none"/>
              </w:rPr>
            </w:pPr>
            <w:r>
              <w:rPr>
                <w:b w:val="0"/>
                <w:bCs/>
                <w:color w:val="auto"/>
                <w:highlight w:val="none"/>
              </w:rPr>
              <w:t xml:space="preserve">人血试剂条（FOB）</w:t>
            </w:r>
            <w:r/>
          </w:p>
        </w:tc>
        <w:tc>
          <w:tcPr>
            <w:tcW w:w="804" w:type="pct"/>
            <w:textDirection w:val="lrTb"/>
            <w:noWrap w:val="false"/>
          </w:tcPr>
          <w:p>
            <w:pPr>
              <w:rPr>
                <w:b w:val="0"/>
                <w:bCs/>
                <w:color w:val="auto"/>
                <w:highlight w:val="none"/>
              </w:rPr>
            </w:pPr>
            <w:r>
              <w:rPr>
                <w:b w:val="0"/>
                <w:bCs/>
                <w:color w:val="auto"/>
                <w:highlight w:val="none"/>
              </w:rPr>
              <w:t xml:space="preserve">25人份/盒</w:t>
            </w:r>
            <w:r/>
          </w:p>
        </w:tc>
        <w:tc>
          <w:tcPr>
            <w:tcW w:w="536" w:type="pct"/>
            <w:textDirection w:val="lrTb"/>
            <w:noWrap w:val="false"/>
          </w:tcPr>
          <w:p>
            <w:pPr>
              <w:rPr>
                <w:b w:val="0"/>
                <w:bCs/>
                <w:color w:val="auto"/>
                <w:highlight w:val="none"/>
              </w:rPr>
            </w:pPr>
            <w:r>
              <w:rPr>
                <w:b w:val="0"/>
                <w:bCs/>
                <w:color w:val="auto"/>
                <w:highlight w:val="none"/>
              </w:rPr>
              <w:t xml:space="preserve">10盒</w:t>
            </w:r>
            <w:r/>
          </w:p>
        </w:tc>
        <w:tc>
          <w:tcPr>
            <w:tcW w:w="2297" w:type="pct"/>
            <w:textDirection w:val="lrTb"/>
            <w:noWrap w:val="false"/>
          </w:tcPr>
          <w:p>
            <w:pPr>
              <w:rPr>
                <w:b w:val="0"/>
                <w:bCs/>
                <w:color w:val="auto"/>
                <w:highlight w:val="none"/>
              </w:rPr>
            </w:pPr>
            <w:r>
              <w:rPr>
                <w:b w:val="0"/>
                <w:bCs/>
                <w:color w:val="auto"/>
                <w:highlight w:val="none"/>
              </w:rPr>
              <w:t xml:space="preserve">人血红蛋白（FOB）胶体金检测试剂条，用于人血斑确证试验</w:t>
            </w:r>
            <w:r/>
          </w:p>
        </w:tc>
      </w:tr>
      <w:tr>
        <w:trPr/>
        <w:tc>
          <w:tcPr>
            <w:tcW w:w="491" w:type="pct"/>
            <w:textDirection w:val="lrTb"/>
            <w:noWrap w:val="false"/>
          </w:tcPr>
          <w:p>
            <w:pPr>
              <w:rPr>
                <w:b w:val="0"/>
                <w:bCs/>
                <w:color w:val="auto"/>
                <w:highlight w:val="none"/>
              </w:rPr>
            </w:pPr>
            <w:r>
              <w:rPr>
                <w:b w:val="0"/>
                <w:bCs/>
                <w:color w:val="auto"/>
                <w:highlight w:val="none"/>
              </w:rPr>
              <w:t xml:space="preserve">27</w:t>
            </w:r>
            <w:r/>
          </w:p>
        </w:tc>
        <w:tc>
          <w:tcPr>
            <w:tcW w:w="870" w:type="pct"/>
            <w:textDirection w:val="lrTb"/>
            <w:noWrap w:val="false"/>
          </w:tcPr>
          <w:p>
            <w:pPr>
              <w:rPr>
                <w:b w:val="0"/>
                <w:bCs/>
                <w:color w:val="auto"/>
                <w:highlight w:val="none"/>
              </w:rPr>
            </w:pPr>
            <w:r>
              <w:rPr>
                <w:b w:val="0"/>
                <w:bCs/>
                <w:color w:val="auto"/>
                <w:highlight w:val="none"/>
              </w:rPr>
              <w:t xml:space="preserve">精斑试剂条（PSA）</w:t>
            </w:r>
            <w:r/>
          </w:p>
        </w:tc>
        <w:tc>
          <w:tcPr>
            <w:tcW w:w="804" w:type="pct"/>
            <w:textDirection w:val="lrTb"/>
            <w:noWrap w:val="false"/>
          </w:tcPr>
          <w:p>
            <w:pPr>
              <w:rPr>
                <w:b w:val="0"/>
                <w:bCs/>
                <w:color w:val="auto"/>
                <w:highlight w:val="none"/>
              </w:rPr>
            </w:pPr>
            <w:r>
              <w:rPr>
                <w:b w:val="0"/>
                <w:bCs/>
                <w:color w:val="auto"/>
                <w:highlight w:val="none"/>
              </w:rPr>
              <w:t xml:space="preserve">25人份/盒</w:t>
            </w:r>
            <w:r/>
          </w:p>
        </w:tc>
        <w:tc>
          <w:tcPr>
            <w:tcW w:w="536" w:type="pct"/>
            <w:textDirection w:val="lrTb"/>
            <w:noWrap w:val="false"/>
          </w:tcPr>
          <w:p>
            <w:pPr>
              <w:rPr>
                <w:b w:val="0"/>
                <w:bCs/>
                <w:color w:val="auto"/>
                <w:highlight w:val="none"/>
              </w:rPr>
            </w:pPr>
            <w:r>
              <w:rPr>
                <w:b w:val="0"/>
                <w:bCs/>
                <w:color w:val="auto"/>
                <w:highlight w:val="none"/>
              </w:rPr>
              <w:t xml:space="preserve">10盒</w:t>
            </w:r>
            <w:r/>
          </w:p>
        </w:tc>
        <w:tc>
          <w:tcPr>
            <w:tcW w:w="2297" w:type="pct"/>
            <w:textDirection w:val="lrTb"/>
            <w:noWrap w:val="false"/>
          </w:tcPr>
          <w:p>
            <w:pPr>
              <w:rPr>
                <w:b w:val="0"/>
                <w:bCs/>
                <w:color w:val="auto"/>
                <w:highlight w:val="none"/>
              </w:rPr>
            </w:pPr>
            <w:r>
              <w:rPr>
                <w:b w:val="0"/>
                <w:bCs/>
                <w:color w:val="auto"/>
                <w:highlight w:val="none"/>
              </w:rPr>
              <w:t xml:space="preserve">前列腺特异性抗原（PSA）胶体金检测试剂条，用于精斑确证试验</w:t>
            </w:r>
            <w:r/>
          </w:p>
        </w:tc>
      </w:tr>
      <w:tr>
        <w:trPr/>
        <w:tc>
          <w:tcPr>
            <w:tcW w:w="491" w:type="pct"/>
            <w:textDirection w:val="lrTb"/>
            <w:noWrap w:val="false"/>
          </w:tcPr>
          <w:p>
            <w:pPr>
              <w:rPr>
                <w:b w:val="0"/>
                <w:bCs/>
                <w:color w:val="auto"/>
                <w:highlight w:val="none"/>
              </w:rPr>
            </w:pPr>
            <w:r>
              <w:rPr>
                <w:b w:val="0"/>
                <w:bCs/>
                <w:color w:val="auto"/>
                <w:highlight w:val="none"/>
              </w:rPr>
              <w:t xml:space="preserve">28</w:t>
            </w:r>
            <w:r/>
          </w:p>
        </w:tc>
        <w:tc>
          <w:tcPr>
            <w:tcW w:w="870" w:type="pct"/>
            <w:textDirection w:val="lrTb"/>
            <w:noWrap w:val="false"/>
          </w:tcPr>
          <w:p>
            <w:pPr>
              <w:rPr>
                <w:b w:val="0"/>
                <w:bCs/>
                <w:color w:val="auto"/>
                <w:highlight w:val="none"/>
              </w:rPr>
            </w:pPr>
            <w:r>
              <w:rPr>
                <w:b w:val="0"/>
                <w:bCs/>
                <w:color w:val="auto"/>
                <w:highlight w:val="none"/>
              </w:rPr>
              <w:t xml:space="preserve">滚动式脱落细胞粘取器</w:t>
            </w:r>
            <w:r/>
          </w:p>
        </w:tc>
        <w:tc>
          <w:tcPr>
            <w:tcW w:w="804" w:type="pct"/>
            <w:textDirection w:val="lrTb"/>
            <w:noWrap w:val="false"/>
          </w:tcPr>
          <w:p>
            <w:pPr>
              <w:rPr>
                <w:b w:val="0"/>
                <w:bCs/>
                <w:color w:val="auto"/>
                <w:highlight w:val="none"/>
              </w:rPr>
            </w:pPr>
            <w:r>
              <w:rPr>
                <w:b w:val="0"/>
                <w:bCs/>
                <w:color w:val="auto"/>
                <w:highlight w:val="none"/>
              </w:rPr>
              <w:t xml:space="preserve">10个/盒</w:t>
            </w:r>
            <w:r/>
          </w:p>
        </w:tc>
        <w:tc>
          <w:tcPr>
            <w:tcW w:w="536" w:type="pct"/>
            <w:textDirection w:val="lrTb"/>
            <w:noWrap w:val="false"/>
          </w:tcPr>
          <w:p>
            <w:pPr>
              <w:rPr>
                <w:b w:val="0"/>
                <w:bCs/>
                <w:color w:val="auto"/>
                <w:highlight w:val="none"/>
              </w:rPr>
            </w:pPr>
            <w:r>
              <w:rPr>
                <w:b w:val="0"/>
                <w:bCs/>
                <w:color w:val="auto"/>
                <w:highlight w:val="none"/>
              </w:rPr>
              <w:t xml:space="preserve">20盒</w:t>
            </w:r>
            <w:r/>
          </w:p>
        </w:tc>
        <w:tc>
          <w:tcPr>
            <w:tcW w:w="2297" w:type="pct"/>
            <w:textDirection w:val="lrTb"/>
            <w:noWrap w:val="false"/>
          </w:tcPr>
          <w:p>
            <w:pPr>
              <w:rPr>
                <w:b w:val="0"/>
                <w:bCs/>
                <w:color w:val="auto"/>
                <w:highlight w:val="none"/>
              </w:rPr>
            </w:pPr>
            <w:r>
              <w:rPr>
                <w:b w:val="0"/>
                <w:bCs/>
                <w:color w:val="auto"/>
                <w:highlight w:val="none"/>
              </w:rPr>
              <w:t xml:space="preserve">滚动式脱落细胞粘取器，用于现场脱落细胞采集</w:t>
            </w:r>
            <w:r/>
          </w:p>
        </w:tc>
      </w:tr>
      <w:tr>
        <w:trPr/>
        <w:tc>
          <w:tcPr>
            <w:tcW w:w="491" w:type="pct"/>
            <w:textDirection w:val="lrTb"/>
            <w:noWrap w:val="false"/>
          </w:tcPr>
          <w:p>
            <w:pPr>
              <w:rPr>
                <w:b w:val="0"/>
                <w:bCs/>
                <w:color w:val="auto"/>
                <w:highlight w:val="none"/>
              </w:rPr>
            </w:pPr>
            <w:r>
              <w:rPr>
                <w:b w:val="0"/>
                <w:bCs/>
                <w:color w:val="auto"/>
                <w:highlight w:val="none"/>
              </w:rPr>
              <w:t xml:space="preserve">29</w:t>
            </w:r>
            <w:r/>
          </w:p>
        </w:tc>
        <w:tc>
          <w:tcPr>
            <w:tcW w:w="870" w:type="pct"/>
            <w:textDirection w:val="lrTb"/>
            <w:noWrap w:val="false"/>
          </w:tcPr>
          <w:p>
            <w:pPr>
              <w:rPr>
                <w:b w:val="0"/>
                <w:bCs/>
                <w:color w:val="auto"/>
                <w:highlight w:val="none"/>
              </w:rPr>
            </w:pPr>
            <w:r>
              <w:rPr>
                <w:b w:val="0"/>
                <w:bCs/>
                <w:color w:val="auto"/>
                <w:highlight w:val="none"/>
              </w:rPr>
              <w:t xml:space="preserve">chelex-100</w:t>
            </w:r>
            <w:r/>
          </w:p>
        </w:tc>
        <w:tc>
          <w:tcPr>
            <w:tcW w:w="804" w:type="pct"/>
            <w:textDirection w:val="lrTb"/>
            <w:noWrap w:val="false"/>
          </w:tcPr>
          <w:p>
            <w:pPr>
              <w:rPr>
                <w:b w:val="0"/>
                <w:bCs/>
                <w:color w:val="auto"/>
                <w:highlight w:val="none"/>
              </w:rPr>
            </w:pPr>
            <w:r>
              <w:rPr>
                <w:b w:val="0"/>
                <w:bCs/>
                <w:color w:val="auto"/>
                <w:highlight w:val="none"/>
              </w:rPr>
              <w:t xml:space="preserve">100反应/盒</w:t>
            </w:r>
            <w:r/>
          </w:p>
        </w:tc>
        <w:tc>
          <w:tcPr>
            <w:tcW w:w="536" w:type="pct"/>
            <w:textDirection w:val="lrTb"/>
            <w:noWrap w:val="false"/>
          </w:tcPr>
          <w:p>
            <w:pPr>
              <w:rPr>
                <w:b w:val="0"/>
                <w:bCs/>
                <w:color w:val="auto"/>
                <w:highlight w:val="none"/>
              </w:rPr>
            </w:pPr>
            <w:r>
              <w:rPr>
                <w:b w:val="0"/>
                <w:bCs/>
                <w:color w:val="auto"/>
                <w:highlight w:val="none"/>
              </w:rPr>
              <w:t xml:space="preserve">10盒</w:t>
            </w:r>
            <w:r/>
          </w:p>
        </w:tc>
        <w:tc>
          <w:tcPr>
            <w:tcW w:w="2297" w:type="pct"/>
            <w:textDirection w:val="lrTb"/>
            <w:noWrap w:val="false"/>
          </w:tcPr>
          <w:p>
            <w:pPr>
              <w:rPr>
                <w:b w:val="0"/>
                <w:bCs/>
                <w:color w:val="auto"/>
                <w:highlight w:val="none"/>
              </w:rPr>
            </w:pPr>
            <w:r>
              <w:rPr>
                <w:b w:val="0"/>
                <w:bCs/>
                <w:color w:val="auto"/>
                <w:highlight w:val="none"/>
              </w:rPr>
              <w:t xml:space="preserve">Chelex-100螯合树脂，用于DNA提取</w:t>
            </w:r>
            <w:r/>
          </w:p>
        </w:tc>
      </w:tr>
    </w:tbl>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二、核心产品：采购人根据本项目的技术构成合理确定了本次采购的核心产品，在采购清单中以“★★”标出，具体产品为“★★10ul加长低吸附滤芯吸头”。</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三、专用耗材匹配要求：采购人所用检测设备为ABI 3500xl遗传分析仪，采购清单中1、2、4、5、6项（带★条款）为该设备专用耗材，所投产品需匹配仪器使用，确保不造成数据错误、数据损坏。投标人投标时须承诺中标后三天内提供所投产品生产制造商出具的技术确认函原件（须标明项目名称和编号并加盖厂商公章），如未能提供，取消中标资格并报政府采购管理部门依法处理。</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四、商务要求：</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1、供货期：合同签订生效之日起一年，耗材在一年内根据甲方需求随时不定期供货；每批耗材自接到甲方供货通知后按甲方要求时间送达指定地点。</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2、质保期：2年（自交货验收合格之日起计）。</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between w:val="none" w:color="auto" w:sz="0" w:space="0"/>
        </w:pBdr>
      </w:pPr>
      <w:r>
        <w:rPr>
          <w:b/>
          <w:color w:val="auto"/>
          <w:highlight w:val="none"/>
        </w:rPr>
        <w:t xml:space="preserve">3、付款方式：合同签定后7日内支付合同总价的30%作为预付款（中标人须提供合同总价30%的银行保函）；中标人按招标人要求将货物送到指定地点并完成安装调试，经招标人验收全部合格后凭审计报告支付至审计价款的95%；余款在验收合格满二年按审计价付清。采购人在收到发票后10个工作日内支付到合同约定的中标人银行账户。</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4、验收标准：合格。所供耗材须为全新原装正品，规格、数量、品牌与投标文件及合同一致，带★项须提供生产制造商技术确认函。</w:t>
      </w:r>
      <w:bookmarkEnd w:id="173"/>
      <w:r/>
      <w:bookmarkEnd w:id="174"/>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b/>
          <w:color w:val="auto"/>
          <w:highlight w:val="none"/>
        </w:rPr>
        <w:t xml:space="preserve">5、售后服务：质保期内因产品质量问题免费更换；接到甲方质量问题的通知后24小时内响应。</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xml:space="preserve"> </w:t>
      </w:r>
      <w:r/>
    </w:p>
    <w:p>
      <w:pPr>
        <w:pStyle w:val="863"/>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五、</w:t>
      </w:r>
      <w:r>
        <w:rPr>
          <w:rFonts w:hint="eastAsia" w:ascii="宋体" w:hAnsi="宋体" w:eastAsia="宋体" w:cs="宋体"/>
          <w:color w:val="auto"/>
          <w:sz w:val="24"/>
          <w:szCs w:val="24"/>
          <w:highlight w:val="none"/>
          <w:shd w:val="clear" w:color="auto" w:fill="auto"/>
        </w:rPr>
        <w:t xml:space="preserve">采购标的对应的中小企业划分标准所属行业一览表</w:t>
      </w:r>
      <w:r/>
    </w:p>
    <w:tbl>
      <w:tblPr>
        <w:tblStyle w:val="857"/>
        <w:tblW w:w="721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2757"/>
        <w:gridCol w:w="3712"/>
      </w:tblGrid>
      <w:tr>
        <w:trPr>
          <w:jc w:val="center"/>
          <w:tblCellSpacing w:w="0" w:type="dxa"/>
          <w:trHeight w:val="424"/>
        </w:trPr>
        <w:tc>
          <w:tcPr>
            <w:shd w:val="clear" w:color="auto" w:fill="auto"/>
            <w:tcW w:w="744"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序号</w:t>
            </w:r>
            <w:r/>
          </w:p>
        </w:tc>
        <w:tc>
          <w:tcPr>
            <w:shd w:val="clear" w:color="auto" w:fill="auto"/>
            <w:tcW w:w="2757"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采购标的</w:t>
            </w:r>
            <w:r/>
          </w:p>
        </w:tc>
        <w:tc>
          <w:tcPr>
            <w:shd w:val="clear" w:color="auto" w:fill="auto"/>
            <w:tcW w:w="3712"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对应中小企业划分标准所属行业</w:t>
            </w:r>
            <w:r/>
          </w:p>
        </w:tc>
      </w:tr>
      <w:tr>
        <w:trPr>
          <w:jc w:val="center"/>
          <w:tblCellSpacing w:w="0" w:type="dxa"/>
          <w:trHeight w:val="824"/>
        </w:trPr>
        <w:tc>
          <w:tcPr>
            <w:shd w:val="clear" w:color="auto" w:fill="auto"/>
            <w:tcW w:w="744"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1</w:t>
            </w:r>
            <w:r/>
          </w:p>
        </w:tc>
        <w:tc>
          <w:tcPr>
            <w:shd w:val="clear" w:color="auto" w:fill="auto"/>
            <w:tcW w:w="2757"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DNA实验室耗材</w:t>
            </w:r>
            <w:r/>
          </w:p>
        </w:tc>
        <w:tc>
          <w:tcPr>
            <w:shd w:val="clear" w:color="auto" w:fill="auto"/>
            <w:tcW w:w="3712" w:type="dxa"/>
            <w:vAlign w:val="center"/>
            <w:textDirection w:val="lrTb"/>
            <w:noWrap w:val="false"/>
          </w:tcPr>
          <w:p>
            <w:pPr>
              <w:pStyle w:val="863"/>
              <w:jc w:val="center"/>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工业</w:t>
            </w:r>
            <w:r/>
          </w:p>
        </w:tc>
      </w:tr>
    </w:tbl>
    <w:p>
      <w:pPr>
        <w:pStyle w:val="863"/>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3"/>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63"/>
        <w:ind w:firstLine="60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5" w:name="_Toc120614281"/>
      <w:r/>
      <w:r/>
    </w:p>
    <w:p>
      <w:pPr>
        <w:pStyle w:val="863"/>
        <w:jc w:val="both"/>
        <w:keepNext/>
        <w:spacing w:beforeAutospacing="0" w:afterAutospacing="0"/>
        <w:rPr>
          <w:rFonts w:ascii="黑体" w:hAnsi="宋体" w:eastAsia="黑体" w:cs="黑体"/>
          <w:color w:val="auto"/>
          <w:sz w:val="44"/>
          <w:szCs w:val="44"/>
          <w:highlight w:val="none"/>
        </w:rPr>
      </w:pPr>
      <w:r>
        <w:rPr>
          <w:rFonts w:ascii="黑体" w:hAnsi="宋体" w:eastAsia="黑体" w:cs="黑体"/>
          <w:color w:val="auto"/>
          <w:sz w:val="44"/>
          <w:szCs w:val="44"/>
          <w:highlight w:val="none"/>
        </w:rPr>
      </w:r>
      <w:r/>
    </w:p>
    <w:p>
      <w:pPr>
        <w:rPr>
          <w:color w:val="auto"/>
          <w:highlight w:val="none"/>
        </w:rPr>
      </w:pP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63"/>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63"/>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870"/>
        <w:ind w:firstLine="36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（1）本项目不专门面向中小企业采购，对符合规定的小型和微型企业报价给予20%的扣除价格，用扣除后的价格参与评审。</w:t>
      </w:r>
      <w:r/>
    </w:p>
    <w:p>
      <w:pPr>
        <w:pStyle w:val="863"/>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auto"/>
          <w:sz w:val="24"/>
          <w:szCs w:val="24"/>
          <w:highlight w:val="none"/>
        </w:rPr>
        <w:t xml:space="preserve">》。</w:t>
      </w:r>
      <w:r/>
    </w:p>
    <w:p>
      <w:pPr>
        <w:pStyle w:val="863"/>
        <w:ind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63"/>
        <w:ind w:left="120" w:firstLine="36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63"/>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63"/>
        <w:ind w:left="120" w:firstLine="36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63"/>
        <w:ind w:firstLine="480"/>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63"/>
        <w:ind w:left="120" w:firstLine="360"/>
        <w:spacing w:before="120" w:beforeAutospacing="0" w:after="120" w:afterAutospacing="0"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6、联合体各方均为小型、微型企业（残疾人福利单位、监狱企业）的，联合体享受20%的价格扣除</w:t>
      </w:r>
      <w:r>
        <w:rPr>
          <w:rFonts w:hint="eastAsia" w:ascii="宋体" w:hAnsi="宋体" w:eastAsia="宋体" w:cs="宋体"/>
          <w:color w:val="auto"/>
          <w:sz w:val="24"/>
          <w:szCs w:val="24"/>
          <w:highlight w:val="none"/>
          <w:lang w:eastAsia="zh-CN"/>
        </w:rPr>
        <w:t xml:space="preserve">。</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7、采购本国产品的支持政策</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stheme="minorEastAsia"/>
          <w:b/>
          <w:bCs/>
          <w:color w:val="auto"/>
          <w:sz w:val="24"/>
          <w:szCs w:val="24"/>
          <w:highlight w:val="none"/>
          <w:u w:val="single"/>
        </w:rPr>
        <w:t xml:space="preserve">80%</w:t>
      </w:r>
      <w:r>
        <w:rPr>
          <w:rFonts w:hint="eastAsia" w:asciiTheme="minorEastAsia" w:hAnsiTheme="minorEastAsia" w:eastAsiaTheme="minorEastAsia" w:cstheme="minorEastAsia"/>
          <w:b/>
          <w:bCs/>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inorEastAsia" w:hAnsiTheme="minorEastAsia" w:eastAsiaTheme="minorEastAsia" w:cstheme="minorEastAsia"/>
          <w:b/>
          <w:bCs/>
          <w:color w:val="auto"/>
          <w:sz w:val="24"/>
          <w:szCs w:val="24"/>
          <w:highlight w:val="none"/>
          <w:u w:val="single"/>
        </w:rPr>
        <w:t xml:space="preserve">20%</w:t>
      </w:r>
      <w:r>
        <w:rPr>
          <w:rFonts w:hint="eastAsia" w:asciiTheme="minorEastAsia" w:hAnsiTheme="minorEastAsia" w:eastAsiaTheme="minorEastAsia" w:cstheme="minorEastAsia"/>
          <w:b/>
          <w:bCs/>
          <w:color w:val="auto"/>
          <w:sz w:val="24"/>
          <w:szCs w:val="24"/>
          <w:highlight w:val="none"/>
        </w:rPr>
        <w:t xml:space="preserve">的价格扣除，用扣除后的价格参与评审。供应商未填写比例数值，或比例数值</w:t>
      </w:r>
      <w:r>
        <w:rPr>
          <w:rFonts w:hint="eastAsia" w:asciiTheme="minorEastAsia" w:hAnsiTheme="minorEastAsia" w:eastAsiaTheme="minorEastAsia" w:cstheme="minorEastAsia"/>
          <w:b/>
          <w:bCs/>
          <w:color w:val="auto"/>
          <w:sz w:val="24"/>
          <w:szCs w:val="24"/>
          <w:highlight w:val="none"/>
        </w:rPr>
        <w:t xml:space="preserve">未达到</w:t>
      </w:r>
      <w:r>
        <w:rPr>
          <w:rFonts w:hint="eastAsia" w:asciiTheme="minorEastAsia" w:hAnsiTheme="minorEastAsia" w:eastAsiaTheme="minorEastAsia" w:cstheme="minorEastAsia"/>
          <w:b/>
          <w:bCs/>
          <w:color w:val="auto"/>
          <w:sz w:val="24"/>
          <w:szCs w:val="24"/>
          <w:highlight w:val="none"/>
        </w:rPr>
        <w:t xml:space="preserve">80%的，将不享受本国产品价格评审优惠。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7.4 供应商需在《声明函》中逐一、准确填写产品名称、厂名、生产厂址三项信息（</w:t>
      </w:r>
      <w:r>
        <w:rPr>
          <w:rFonts w:hint="eastAsia" w:asciiTheme="minorEastAsia" w:hAnsiTheme="minorEastAsia" w:eastAsiaTheme="minorEastAsia" w:cstheme="minorEastAsia"/>
          <w:b/>
          <w:bCs/>
          <w:color w:val="auto"/>
          <w:sz w:val="24"/>
          <w:szCs w:val="24"/>
          <w:highlight w:val="none"/>
        </w:rPr>
        <w:t xml:space="preserve">《声明函》中用</w:t>
      </w:r>
      <w:r>
        <w:rPr>
          <w:rFonts w:hint="eastAsia" w:asciiTheme="minorEastAsia" w:hAnsiTheme="minorEastAsia" w:cstheme="minorEastAsia"/>
          <w:b/>
          <w:bCs/>
          <w:color w:val="auto"/>
          <w:sz w:val="24"/>
          <w:szCs w:val="24"/>
          <w:highlight w:val="none"/>
          <w:lang w:val="en-US" w:eastAsia="zh-CN"/>
        </w:rPr>
        <w:t xml:space="preserve">横</w:t>
      </w:r>
      <w:r>
        <w:rPr>
          <w:rFonts w:hint="eastAsia" w:asciiTheme="minorEastAsia" w:hAnsiTheme="minorEastAsia" w:eastAsiaTheme="minorEastAsia" w:cstheme="minorEastAsia"/>
          <w:b/>
          <w:bCs/>
          <w:color w:val="auto"/>
          <w:sz w:val="24"/>
          <w:szCs w:val="24"/>
          <w:highlight w:val="none"/>
        </w:rPr>
        <w:t xml:space="preserve">线划除的地方无需填写</w:t>
      </w:r>
      <w:r>
        <w:rPr>
          <w:rFonts w:hint="eastAsia" w:asciiTheme="minorEastAsia" w:hAnsiTheme="minorEastAsia" w:eastAsiaTheme="minorEastAsia" w:cstheme="minorEastAsia"/>
          <w:b/>
          <w:bCs/>
          <w:color w:val="auto"/>
          <w:sz w:val="24"/>
          <w:szCs w:val="24"/>
          <w:highlight w:val="none"/>
        </w:rPr>
        <w:t xml:space="preserve">），三项信息中任意一项未填写的视为该项产品不符合本国产品标准，不享受本国产品价格评审优惠。</w:t>
      </w:r>
      <w:r/>
    </w:p>
    <w:p>
      <w:pPr>
        <w:ind w:firstLine="482"/>
        <w:jc w:val="left"/>
        <w:spacing w:line="400" w:lineRule="exact"/>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auto"/>
          <w:sz w:val="24"/>
          <w:szCs w:val="24"/>
          <w:highlight w:val="none"/>
          <w:lang w:val="en-US" w:eastAsia="zh-CN"/>
        </w:rPr>
        <w:t xml:space="preserve">在苏采云系统</w:t>
      </w:r>
      <w:r>
        <w:rPr>
          <w:rFonts w:hint="eastAsia" w:ascii="宋体" w:hAnsi="宋体" w:eastAsia="宋体" w:cs="宋体"/>
          <w:b/>
          <w:bCs/>
          <w:color w:val="auto"/>
          <w:sz w:val="24"/>
          <w:szCs w:val="24"/>
          <w:highlight w:val="none"/>
        </w:rPr>
        <w:t xml:space="preserve">要求</w:t>
      </w:r>
      <w:r>
        <w:rPr>
          <w:rFonts w:hint="eastAsia" w:asciiTheme="minorEastAsia" w:hAnsiTheme="minorEastAsia" w:eastAsiaTheme="minorEastAsia" w:cstheme="minorEastAsia"/>
          <w:b/>
          <w:bCs/>
          <w:color w:val="auto"/>
          <w:sz w:val="24"/>
          <w:szCs w:val="24"/>
          <w:highlight w:val="none"/>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863"/>
        <w:ind w:firstLine="482"/>
        <w:spacing w:before="120" w:beforeAutospacing="0" w:after="120" w:afterAutospacing="0" w:line="0" w:lineRule="atLeas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p>
      <w:pPr>
        <w:pStyle w:val="863"/>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评标标准如下表：</w:t>
      </w:r>
      <w:r/>
    </w:p>
    <w:tbl>
      <w:tblPr>
        <w:tblStyle w:val="857"/>
        <w:tblW w:w="5000" w:type="pct"/>
        <w:jc w:val="center"/>
        <w:tblLayout w:type="fixed"/>
        <w:tblCellMar>
          <w:left w:w="15" w:type="dxa"/>
          <w:top w:w="0" w:type="dxa"/>
          <w:right w:w="7" w:type="dxa"/>
          <w:bottom w:w="0" w:type="dxa"/>
        </w:tblCellMar>
        <w:tblLook w:val="04A0" w:firstRow="1" w:lastRow="0" w:firstColumn="1" w:lastColumn="0" w:noHBand="0" w:noVBand="1"/>
      </w:tblPr>
      <w:tblGrid>
        <w:gridCol w:w="924"/>
        <w:gridCol w:w="986"/>
        <w:gridCol w:w="1104"/>
        <w:gridCol w:w="5322"/>
      </w:tblGrid>
      <w:tr>
        <w:trPr>
          <w:jc w:val="center"/>
        </w:trPr>
        <w:tc>
          <w:tcPr>
            <w:tcBorders>
              <w:top w:val="single" w:color="000000" w:sz="12" w:space="0"/>
              <w:left w:val="single" w:color="000000" w:sz="12" w:space="0"/>
              <w:bottom w:val="single" w:color="000000" w:sz="2" w:space="0"/>
              <w:right w:val="single" w:color="000000" w:sz="6" w:space="0"/>
            </w:tcBorders>
            <w:tcW w:w="921" w:type="dxa"/>
            <w:vAlign w:val="center"/>
            <w:textDirection w:val="lrTb"/>
            <w:noWrap w:val="false"/>
          </w:tcPr>
          <w:p>
            <w:pPr>
              <w:jc w:val="center"/>
              <w:spacing w:line="400" w:lineRule="exact"/>
              <w:widowControl w:val="off"/>
              <w:rPr>
                <w:rFonts w:cs="宋体"/>
                <w:b w:val="0"/>
                <w:bCs w:val="0"/>
                <w:color w:val="auto"/>
                <w:sz w:val="24"/>
                <w:highlight w:val="none"/>
              </w:rPr>
            </w:pPr>
            <w:r>
              <w:rPr>
                <w:rFonts w:cs="宋体"/>
                <w:b w:val="0"/>
                <w:bCs w:val="0"/>
                <w:color w:val="auto"/>
                <w:sz w:val="24"/>
                <w:highlight w:val="none"/>
              </w:rPr>
              <w:t xml:space="preserve">序号</w:t>
            </w:r>
            <w:r/>
          </w:p>
        </w:tc>
        <w:tc>
          <w:tcPr>
            <w:tcBorders>
              <w:top w:val="single" w:color="000000" w:sz="12" w:space="0"/>
              <w:bottom w:val="single" w:color="000000" w:sz="2" w:space="0"/>
              <w:right w:val="single" w:color="000000" w:sz="6" w:space="0"/>
            </w:tcBorders>
            <w:tcW w:w="982" w:type="dxa"/>
            <w:vAlign w:val="center"/>
            <w:textDirection w:val="lrTb"/>
            <w:noWrap w:val="false"/>
          </w:tcPr>
          <w:p>
            <w:pPr>
              <w:jc w:val="center"/>
              <w:spacing w:line="400" w:lineRule="exact"/>
              <w:widowControl w:val="off"/>
              <w:rPr>
                <w:rFonts w:cs="宋体"/>
                <w:b w:val="0"/>
                <w:bCs w:val="0"/>
                <w:color w:val="auto"/>
                <w:sz w:val="24"/>
                <w:highlight w:val="none"/>
              </w:rPr>
            </w:pPr>
            <w:r>
              <w:rPr>
                <w:rFonts w:cs="宋体"/>
                <w:b w:val="0"/>
                <w:bCs w:val="0"/>
                <w:color w:val="auto"/>
                <w:sz w:val="24"/>
                <w:highlight w:val="none"/>
              </w:rPr>
              <w:t xml:space="preserve">评分项目</w:t>
            </w:r>
            <w:r/>
          </w:p>
        </w:tc>
        <w:tc>
          <w:tcPr>
            <w:tcBorders>
              <w:top w:val="single" w:color="000000" w:sz="12" w:space="0"/>
              <w:bottom w:val="single" w:color="000000" w:sz="2" w:space="0"/>
              <w:right w:val="single" w:color="000000" w:sz="6" w:space="0"/>
            </w:tcBorders>
            <w:tcW w:w="1100" w:type="dxa"/>
            <w:vAlign w:val="center"/>
            <w:textDirection w:val="lrTb"/>
            <w:noWrap w:val="false"/>
          </w:tcPr>
          <w:p>
            <w:pPr>
              <w:jc w:val="center"/>
              <w:spacing w:line="400" w:lineRule="exact"/>
              <w:widowControl w:val="off"/>
              <w:rPr>
                <w:rFonts w:cs="宋体"/>
                <w:b w:val="0"/>
                <w:bCs w:val="0"/>
                <w:color w:val="auto"/>
                <w:sz w:val="24"/>
                <w:highlight w:val="none"/>
              </w:rPr>
            </w:pPr>
            <w:r>
              <w:rPr>
                <w:rFonts w:cs="宋体"/>
                <w:b w:val="0"/>
                <w:bCs w:val="0"/>
                <w:color w:val="auto"/>
                <w:sz w:val="24"/>
                <w:highlight w:val="none"/>
              </w:rPr>
              <w:t xml:space="preserve">满分值</w:t>
            </w:r>
            <w:r/>
          </w:p>
        </w:tc>
        <w:tc>
          <w:tcPr>
            <w:tcBorders>
              <w:top w:val="single" w:color="000000" w:sz="12" w:space="0"/>
              <w:bottom w:val="single" w:color="000000" w:sz="2" w:space="0"/>
              <w:right w:val="single" w:color="000000" w:sz="12" w:space="0"/>
            </w:tcBorders>
            <w:tcW w:w="5302" w:type="dxa"/>
            <w:vAlign w:val="center"/>
            <w:textDirection w:val="lrTb"/>
            <w:noWrap w:val="false"/>
          </w:tcPr>
          <w:p>
            <w:pPr>
              <w:ind w:firstLine="480"/>
              <w:jc w:val="center"/>
              <w:spacing w:line="400" w:lineRule="exact"/>
              <w:widowControl w:val="off"/>
              <w:rPr>
                <w:rFonts w:cs="宋体"/>
                <w:b w:val="0"/>
                <w:bCs w:val="0"/>
                <w:color w:val="auto"/>
                <w:sz w:val="24"/>
                <w:highlight w:val="none"/>
              </w:rPr>
            </w:pPr>
            <w:r>
              <w:rPr>
                <w:rFonts w:cs="宋体"/>
                <w:b w:val="0"/>
                <w:bCs w:val="0"/>
                <w:color w:val="auto"/>
                <w:sz w:val="24"/>
                <w:highlight w:val="none"/>
              </w:rPr>
              <w:t xml:space="preserve">评分标准</w:t>
            </w:r>
            <w:r/>
          </w:p>
        </w:tc>
      </w:tr>
      <w:tr>
        <w:trPr>
          <w:jc w:val="center"/>
        </w:trPr>
        <w:tc>
          <w:tcPr>
            <w:tcBorders>
              <w:top w:val="single" w:color="000000" w:sz="12" w:space="0"/>
              <w:left w:val="single" w:color="000000" w:sz="12" w:space="0"/>
              <w:bottom w:val="single" w:color="000000" w:sz="1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1</w:t>
            </w:r>
            <w:r/>
          </w:p>
        </w:tc>
        <w:tc>
          <w:tcPr>
            <w:tcBorders>
              <w:top w:val="single" w:color="000000" w:sz="12" w:space="0"/>
              <w:bottom w:val="single" w:color="000000" w:sz="12" w:space="0"/>
              <w:right w:val="single" w:color="000000" w:sz="6" w:space="0"/>
            </w:tcBorders>
            <w:tcW w:w="982"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价格评分</w:t>
            </w:r>
            <w:r/>
          </w:p>
        </w:tc>
        <w:tc>
          <w:tcPr>
            <w:tcBorders>
              <w:top w:val="single" w:color="000000" w:sz="12" w:space="0"/>
              <w:bottom w:val="single" w:color="000000" w:sz="1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30分</w:t>
            </w:r>
            <w:r/>
          </w:p>
        </w:tc>
        <w:tc>
          <w:tcPr>
            <w:tcBorders>
              <w:top w:val="single" w:color="000000" w:sz="12" w:space="0"/>
              <w:bottom w:val="single" w:color="000000" w:sz="12" w:space="0"/>
              <w:right w:val="single" w:color="000000" w:sz="12" w:space="0"/>
            </w:tcBorders>
            <w:tcW w:w="5302" w:type="dxa"/>
            <w:vAlign w:val="center"/>
            <w:textDirection w:val="lrTb"/>
            <w:noWrap w:val="false"/>
          </w:tcPr>
          <w:p>
            <w:pPr>
              <w:jc w:val="left"/>
              <w:spacing w:line="360" w:lineRule="auto"/>
              <w:widowControl w:val="off"/>
              <w:rPr>
                <w:rFonts w:eastAsia="等线" w:cs="宋体"/>
                <w:b w:val="0"/>
                <w:bCs w:val="0"/>
                <w:color w:val="auto"/>
                <w:sz w:val="24"/>
                <w:highlight w:val="none"/>
              </w:rPr>
            </w:pPr>
            <w:r>
              <w:rPr>
                <w:rFonts w:cs="宋体"/>
                <w:b w:val="0"/>
                <w:bCs w:val="0"/>
                <w:color w:val="auto"/>
                <w:sz w:val="24"/>
                <w:highlight w:val="none"/>
              </w:rPr>
              <w:t xml:space="preserve">1、评标总价是指通过“投标文件初审”的投标人的经商务性评审（修正、小微企业扣除等）后的总价。</w:t>
            </w:r>
            <w:r/>
          </w:p>
          <w:p>
            <w:pPr>
              <w:jc w:val="left"/>
              <w:spacing w:line="360" w:lineRule="auto"/>
              <w:widowControl w:val="off"/>
              <w:rPr>
                <w:rFonts w:eastAsia="等线" w:cs="宋体"/>
                <w:b w:val="0"/>
                <w:bCs w:val="0"/>
                <w:color w:val="auto"/>
                <w:sz w:val="24"/>
                <w:highlight w:val="none"/>
              </w:rPr>
            </w:pPr>
            <w:r>
              <w:rPr>
                <w:rFonts w:cs="宋体"/>
                <w:b w:val="0"/>
                <w:bCs w:val="0"/>
                <w:color w:val="auto"/>
                <w:sz w:val="24"/>
                <w:highlight w:val="none"/>
              </w:rPr>
              <w:t xml:space="preserve">2、评标基准价=评标总价中的最低总价。</w:t>
            </w:r>
            <w:r/>
          </w:p>
          <w:p>
            <w:pPr>
              <w:jc w:val="left"/>
              <w:spacing w:line="360" w:lineRule="auto"/>
              <w:widowControl w:val="off"/>
              <w:rPr>
                <w:rFonts w:cs="宋体"/>
                <w:b w:val="0"/>
                <w:bCs w:val="0"/>
                <w:color w:val="auto"/>
                <w:sz w:val="24"/>
                <w:highlight w:val="none"/>
              </w:rPr>
            </w:pPr>
            <w:r>
              <w:rPr>
                <w:rFonts w:cs="宋体"/>
                <w:b w:val="0"/>
                <w:bCs w:val="0"/>
                <w:color w:val="auto"/>
                <w:sz w:val="24"/>
                <w:highlight w:val="none"/>
              </w:rPr>
              <w:t xml:space="preserve">3、当投标人的评标总价等于评标基准价的得30分，其他投标人的价格分按照下列公式计算：评标总价得分=（评标基准价/评标总价）×30分（计算结果保留2位小数，第三位四舍五入）。</w:t>
            </w:r>
            <w:r/>
          </w:p>
        </w:tc>
      </w:tr>
      <w:tr>
        <w:trPr>
          <w:jc w:val="center"/>
        </w:trPr>
        <w:tc>
          <w:tcPr>
            <w:tcBorders>
              <w:top w:val="single" w:color="000000" w:sz="12" w:space="0"/>
              <w:left w:val="single" w:color="000000" w:sz="12" w:space="0"/>
              <w:bottom w:val="single" w:color="000000" w:sz="1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2</w:t>
            </w:r>
            <w:r/>
          </w:p>
        </w:tc>
        <w:tc>
          <w:tcPr>
            <w:tcBorders>
              <w:top w:val="single" w:color="000000" w:sz="12" w:space="0"/>
              <w:bottom w:val="single" w:color="000000" w:sz="12" w:space="0"/>
              <w:right w:val="single" w:color="000000" w:sz="6" w:space="0"/>
            </w:tcBorders>
            <w:tcW w:w="982"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技术评分</w:t>
            </w:r>
            <w:r/>
          </w:p>
        </w:tc>
        <w:tc>
          <w:tcPr>
            <w:tcBorders>
              <w:top w:val="single" w:color="000000" w:sz="12" w:space="0"/>
              <w:bottom w:val="single" w:color="000000" w:sz="1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40分</w:t>
            </w:r>
            <w:r/>
          </w:p>
        </w:tc>
        <w:tc>
          <w:tcPr>
            <w:tcBorders>
              <w:top w:val="single" w:color="000000" w:sz="12" w:space="0"/>
              <w:bottom w:val="single" w:color="000000" w:sz="12" w:space="0"/>
              <w:right w:val="single" w:color="000000" w:sz="12" w:space="0"/>
            </w:tcBorders>
            <w:tcW w:w="5302" w:type="dxa"/>
            <w:vAlign w:val="center"/>
            <w:textDirection w:val="lrTb"/>
            <w:noWrap w:val="false"/>
          </w:tcPr>
          <w:p>
            <w:pPr>
              <w:jc w:val="left"/>
              <w:spacing w:line="360" w:lineRule="auto"/>
              <w:widowControl w:val="off"/>
              <w:rPr>
                <w:rFonts w:cs="宋体"/>
                <w:b w:val="0"/>
                <w:bCs w:val="0"/>
                <w:color w:val="auto"/>
                <w:sz w:val="24"/>
                <w:highlight w:val="none"/>
              </w:rPr>
            </w:pPr>
            <w:r>
              <w:rPr>
                <w:rFonts w:cs="宋体"/>
                <w:b w:val="0"/>
                <w:bCs w:val="0"/>
                <w:color w:val="auto"/>
                <w:sz w:val="24"/>
                <w:highlight w:val="none"/>
              </w:rPr>
              <w:t xml:space="preserve">1、产品技术要求为招标人的基本需求，所投货物完全响应招标文件货物技术参数要求的得40分。非带★的条款的参数每负偏离一项扣3分,扣完为止。</w:t>
            </w:r>
            <w:r/>
          </w:p>
        </w:tc>
      </w:tr>
      <w:tr>
        <w:trPr>
          <w:jc w:val="center"/>
        </w:trPr>
        <w:tc>
          <w:tcPr>
            <w:tcBorders>
              <w:top w:val="single" w:color="000000" w:sz="12" w:space="0"/>
              <w:left w:val="single" w:color="000000" w:sz="12" w:space="0"/>
              <w:bottom w:val="single" w:color="000000" w:sz="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3</w:t>
            </w:r>
            <w:r/>
          </w:p>
        </w:tc>
        <w:tc>
          <w:tcPr>
            <w:tcBorders>
              <w:top w:val="single" w:color="000000" w:sz="12" w:space="0"/>
              <w:bottom w:val="single" w:color="000000" w:sz="2" w:space="0"/>
              <w:right w:val="single" w:color="000000" w:sz="6" w:space="0"/>
            </w:tcBorders>
            <w:tcW w:w="982"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售后服务</w:t>
            </w:r>
            <w:r>
              <w:rPr>
                <w:rFonts w:cs="宋体"/>
                <w:b w:val="0"/>
                <w:bCs w:val="0"/>
                <w:color w:val="auto"/>
                <w:sz w:val="24"/>
                <w:highlight w:val="none"/>
              </w:rPr>
              <w:t xml:space="preserve">（一）</w:t>
            </w:r>
            <w:r/>
          </w:p>
        </w:tc>
        <w:tc>
          <w:tcPr>
            <w:tcBorders>
              <w:top w:val="single" w:color="000000" w:sz="12" w:space="0"/>
              <w:bottom w:val="single" w:color="000000" w:sz="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10分</w:t>
            </w:r>
            <w:r/>
          </w:p>
        </w:tc>
        <w:tc>
          <w:tcPr>
            <w:tcBorders>
              <w:top w:val="single" w:color="000000" w:sz="12" w:space="0"/>
              <w:bottom w:val="single" w:color="000000" w:sz="2" w:space="0"/>
              <w:right w:val="single" w:color="000000" w:sz="12" w:space="0"/>
            </w:tcBorders>
            <w:tcW w:w="5302" w:type="dxa"/>
            <w:vAlign w:val="center"/>
            <w:textDirection w:val="lrTb"/>
            <w:noWrap w:val="false"/>
          </w:tcPr>
          <w:p>
            <w:pPr>
              <w:jc w:val="left"/>
              <w:spacing w:line="360" w:lineRule="auto"/>
              <w:widowControl w:val="off"/>
              <w:rPr>
                <w:rFonts w:cs="宋体"/>
                <w:b w:val="0"/>
                <w:bCs w:val="0"/>
                <w:color w:val="auto"/>
                <w:sz w:val="24"/>
                <w:highlight w:val="none"/>
              </w:rPr>
            </w:pPr>
            <w:r>
              <w:rPr>
                <w:rFonts w:cs="宋体"/>
                <w:b w:val="0"/>
                <w:bCs w:val="0"/>
                <w:color w:val="auto"/>
                <w:sz w:val="24"/>
                <w:highlight w:val="none"/>
              </w:rPr>
              <w:t xml:space="preserve">1、项目清单中</w:t>
            </w:r>
            <w:r>
              <w:rPr>
                <w:rFonts w:hint="eastAsia" w:cs="宋体"/>
                <w:b w:val="0"/>
                <w:bCs w:val="0"/>
                <w:color w:val="auto"/>
                <w:sz w:val="24"/>
                <w:highlight w:val="none"/>
              </w:rPr>
              <w:t xml:space="preserve">检案扩增试剂盒</w:t>
            </w:r>
            <w:r>
              <w:rPr>
                <w:rFonts w:cs="宋体"/>
                <w:b w:val="0"/>
                <w:bCs w:val="0"/>
                <w:color w:val="auto"/>
                <w:sz w:val="24"/>
                <w:highlight w:val="none"/>
              </w:rPr>
              <w:t xml:space="preserve">、Liz600内标、</w:t>
            </w:r>
            <w:r>
              <w:rPr>
                <w:rFonts w:hint="eastAsia" w:cs="宋体"/>
                <w:b w:val="0"/>
                <w:bCs w:val="0"/>
                <w:color w:val="auto"/>
                <w:sz w:val="24"/>
                <w:highlight w:val="none"/>
              </w:rPr>
              <w:t xml:space="preserve">Y染色体检案扩增试剂盒</w:t>
            </w:r>
            <w:r>
              <w:rPr>
                <w:rFonts w:cs="宋体"/>
                <w:b w:val="0"/>
                <w:bCs w:val="0"/>
                <w:color w:val="auto"/>
                <w:sz w:val="24"/>
                <w:highlight w:val="none"/>
              </w:rPr>
              <w:t xml:space="preserve">、纯化试剂盒</w:t>
            </w:r>
            <w:r>
              <w:rPr>
                <w:rFonts w:hint="eastAsia" w:cs="宋体"/>
                <w:b w:val="0"/>
                <w:bCs w:val="0"/>
                <w:color w:val="auto"/>
                <w:sz w:val="24"/>
                <w:highlight w:val="none"/>
                <w:lang w:val="en-US" w:eastAsia="zh-CN"/>
              </w:rPr>
              <w:t xml:space="preserve">1</w:t>
            </w:r>
            <w:r>
              <w:rPr>
                <w:rFonts w:cs="宋体"/>
                <w:b w:val="0"/>
                <w:bCs w:val="0"/>
                <w:color w:val="auto"/>
                <w:sz w:val="24"/>
                <w:highlight w:val="none"/>
              </w:rPr>
              <w:t xml:space="preserve">（96人份/盒）、精点试剂盒</w:t>
            </w:r>
            <w:r>
              <w:rPr>
                <w:rFonts w:hint="eastAsia" w:cs="宋体"/>
                <w:b w:val="0"/>
                <w:bCs w:val="0"/>
                <w:color w:val="auto"/>
                <w:sz w:val="24"/>
                <w:highlight w:val="none"/>
                <w:lang w:val="en-US" w:eastAsia="zh-CN"/>
              </w:rPr>
              <w:t xml:space="preserve">1</w:t>
            </w:r>
            <w:r>
              <w:rPr>
                <w:rFonts w:cs="宋体"/>
                <w:b w:val="0"/>
                <w:bCs w:val="0"/>
                <w:color w:val="auto"/>
                <w:sz w:val="24"/>
                <w:highlight w:val="none"/>
              </w:rPr>
              <w:t xml:space="preserve">（8人份/盒）为本次采购重要产品，为保证产品质量，投标人响应的产品具有原厂售后质量承诺书扫描件的（须标明项目名称和编号并加盖厂商公章），每提供一个得2分，最高10分。</w:t>
            </w:r>
            <w:r/>
          </w:p>
        </w:tc>
      </w:tr>
      <w:tr>
        <w:trPr>
          <w:jc w:val="center"/>
          <w:trHeight w:val="2106"/>
        </w:trPr>
        <w:tc>
          <w:tcPr>
            <w:tcBorders>
              <w:top w:val="single" w:color="000000" w:sz="12" w:space="0"/>
              <w:left w:val="single" w:color="000000" w:sz="12" w:space="0"/>
              <w:bottom w:val="single" w:color="000000" w:sz="2" w:space="0"/>
              <w:right w:val="single" w:color="000000" w:sz="6" w:space="0"/>
            </w:tcBorders>
            <w:tcW w:w="921" w:type="dxa"/>
            <w:vAlign w:val="center"/>
            <w:textDirection w:val="lrTb"/>
            <w:noWrap w:val="false"/>
          </w:tcPr>
          <w:p>
            <w:pPr>
              <w:jc w:val="center"/>
              <w:spacing w:line="360" w:lineRule="auto"/>
              <w:widowControl w:val="off"/>
              <w:rPr>
                <w:rFonts w:eastAsia="等线" w:cs="宋体"/>
                <w:b w:val="0"/>
                <w:bCs w:val="0"/>
                <w:color w:val="auto"/>
                <w:sz w:val="24"/>
                <w:highlight w:val="none"/>
              </w:rPr>
            </w:pPr>
            <w:r>
              <w:rPr>
                <w:rFonts w:cs="宋体"/>
                <w:b w:val="0"/>
                <w:bCs w:val="0"/>
                <w:color w:val="auto"/>
                <w:sz w:val="24"/>
                <w:highlight w:val="none"/>
              </w:rPr>
              <w:t xml:space="preserve">4</w:t>
            </w:r>
            <w:r/>
          </w:p>
        </w:tc>
        <w:tc>
          <w:tcPr>
            <w:tcBorders>
              <w:top w:val="single" w:color="000000" w:sz="12" w:space="0"/>
              <w:bottom w:val="single" w:color="000000" w:sz="2" w:space="0"/>
              <w:right w:val="single" w:color="000000" w:sz="6" w:space="0"/>
            </w:tcBorders>
            <w:tcW w:w="982" w:type="dxa"/>
            <w:vAlign w:val="center"/>
            <w:textDirection w:val="lrTb"/>
            <w:noWrap w:val="false"/>
          </w:tcPr>
          <w:p>
            <w:pPr>
              <w:jc w:val="center"/>
              <w:spacing w:line="360" w:lineRule="auto"/>
              <w:widowControl w:val="off"/>
              <w:rPr>
                <w:rFonts w:eastAsia="等线" w:cs="宋体"/>
                <w:b w:val="0"/>
                <w:bCs w:val="0"/>
                <w:color w:val="auto"/>
                <w:sz w:val="24"/>
                <w:highlight w:val="none"/>
              </w:rPr>
            </w:pPr>
            <w:r>
              <w:rPr>
                <w:rFonts w:cs="宋体"/>
                <w:b w:val="0"/>
                <w:bCs w:val="0"/>
                <w:color w:val="auto"/>
                <w:sz w:val="24"/>
                <w:highlight w:val="none"/>
              </w:rPr>
              <w:t xml:space="preserve">业绩</w:t>
            </w:r>
            <w:r/>
          </w:p>
        </w:tc>
        <w:tc>
          <w:tcPr>
            <w:tcBorders>
              <w:top w:val="single" w:color="000000" w:sz="12" w:space="0"/>
              <w:bottom w:val="single" w:color="000000" w:sz="2" w:space="0"/>
              <w:right w:val="single" w:color="000000" w:sz="6" w:space="0"/>
            </w:tcBorders>
            <w:tcW w:w="1100" w:type="dxa"/>
            <w:vAlign w:val="center"/>
            <w:textDirection w:val="lrTb"/>
            <w:noWrap w:val="false"/>
          </w:tcPr>
          <w:p>
            <w:pPr>
              <w:jc w:val="center"/>
              <w:spacing w:line="360" w:lineRule="auto"/>
              <w:widowControl w:val="off"/>
              <w:rPr>
                <w:rFonts w:eastAsia="等线" w:cs="宋体"/>
                <w:b w:val="0"/>
                <w:bCs w:val="0"/>
                <w:color w:val="auto"/>
                <w:sz w:val="24"/>
                <w:highlight w:val="none"/>
              </w:rPr>
            </w:pPr>
            <w:r>
              <w:rPr>
                <w:rFonts w:cs="宋体"/>
                <w:b w:val="0"/>
                <w:bCs w:val="0"/>
                <w:color w:val="auto"/>
                <w:sz w:val="24"/>
                <w:highlight w:val="none"/>
              </w:rPr>
              <w:t xml:space="preserve">2分</w:t>
            </w:r>
            <w:r/>
          </w:p>
        </w:tc>
        <w:tc>
          <w:tcPr>
            <w:tcBorders>
              <w:top w:val="single" w:color="000000" w:sz="12" w:space="0"/>
              <w:bottom w:val="single" w:color="000000" w:sz="2" w:space="0"/>
              <w:right w:val="single" w:color="000000" w:sz="12" w:space="0"/>
            </w:tcBorders>
            <w:tcW w:w="5302" w:type="dxa"/>
            <w:vAlign w:val="center"/>
            <w:textDirection w:val="lrTb"/>
            <w:noWrap w:val="false"/>
          </w:tcPr>
          <w:p>
            <w:pPr>
              <w:jc w:val="left"/>
              <w:spacing w:line="360" w:lineRule="auto"/>
              <w:widowControl w:val="off"/>
              <w:rPr>
                <w:rFonts w:cs="宋体"/>
                <w:b w:val="0"/>
                <w:bCs w:val="0"/>
                <w:color w:val="auto"/>
                <w:sz w:val="24"/>
                <w:highlight w:val="none"/>
              </w:rPr>
            </w:pPr>
            <w:r>
              <w:rPr>
                <w:rFonts w:cs="宋体"/>
                <w:b w:val="0"/>
                <w:bCs w:val="0"/>
                <w:color w:val="auto"/>
                <w:sz w:val="24"/>
                <w:highlight w:val="none"/>
              </w:rPr>
              <w:t xml:space="preserve">投标人自202</w:t>
            </w:r>
            <w:r>
              <w:rPr>
                <w:rFonts w:hint="eastAsia" w:cs="宋体"/>
                <w:b w:val="0"/>
                <w:bCs w:val="0"/>
                <w:color w:val="auto"/>
                <w:sz w:val="24"/>
                <w:highlight w:val="none"/>
                <w:lang w:val="en-US" w:eastAsia="zh-CN"/>
              </w:rPr>
              <w:t xml:space="preserve">3</w:t>
            </w:r>
            <w:r>
              <w:rPr>
                <w:rFonts w:cs="宋体"/>
                <w:b w:val="0"/>
                <w:bCs w:val="0"/>
                <w:color w:val="auto"/>
                <w:sz w:val="24"/>
                <w:highlight w:val="none"/>
              </w:rPr>
              <w:t xml:space="preserve">年10月1日以来（以合同签订时间为准）具有DNA实验室试剂项目业绩的，每有一个得1分。本项最高分2分（投标时提供合同扫描件，同一采购人的业绩只能记一次业绩）。</w:t>
            </w:r>
            <w:r/>
          </w:p>
        </w:tc>
      </w:tr>
      <w:tr>
        <w:trPr>
          <w:jc w:val="center"/>
          <w:trHeight w:val="2106"/>
        </w:trPr>
        <w:tc>
          <w:tcPr>
            <w:tcBorders>
              <w:top w:val="single" w:color="000000" w:sz="12" w:space="0"/>
              <w:left w:val="single" w:color="000000" w:sz="12" w:space="0"/>
              <w:bottom w:val="single" w:color="000000" w:sz="1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5</w:t>
            </w:r>
            <w:r/>
          </w:p>
        </w:tc>
        <w:tc>
          <w:tcPr>
            <w:tcBorders>
              <w:top w:val="single" w:color="000000" w:sz="12" w:space="0"/>
              <w:bottom w:val="single" w:color="000000" w:sz="12" w:space="0"/>
              <w:right w:val="single" w:color="000000" w:sz="6" w:space="0"/>
            </w:tcBorders>
            <w:tcW w:w="982" w:type="dxa"/>
            <w:vAlign w:val="center"/>
            <w:textDirection w:val="lrTb"/>
            <w:noWrap w:val="false"/>
          </w:tcPr>
          <w:p>
            <w:pPr>
              <w:jc w:val="cente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质量保障措施</w:t>
            </w:r>
            <w:r/>
          </w:p>
          <w:p>
            <w:pPr>
              <w:jc w:val="center"/>
              <w:spacing w:line="360" w:lineRule="auto"/>
              <w:widowControl w:val="off"/>
              <w:rPr>
                <w:rFonts w:cs="宋体"/>
                <w:b w:val="0"/>
                <w:bCs w:val="0"/>
                <w:color w:val="auto"/>
                <w:sz w:val="24"/>
                <w:highlight w:val="none"/>
              </w:rPr>
            </w:pPr>
            <w:r>
              <w:rPr>
                <w:rFonts w:cs="宋体"/>
                <w:b w:val="0"/>
                <w:bCs w:val="0"/>
                <w:color w:val="auto"/>
                <w:sz w:val="24"/>
                <w:highlight w:val="none"/>
              </w:rPr>
            </w:r>
            <w:r/>
          </w:p>
        </w:tc>
        <w:tc>
          <w:tcPr>
            <w:tcBorders>
              <w:top w:val="single" w:color="000000" w:sz="12" w:space="0"/>
              <w:bottom w:val="single" w:color="000000" w:sz="1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ascii="宋体" w:hAnsi="宋体" w:eastAsia="宋体" w:cs="宋体"/>
                <w:b w:val="0"/>
                <w:bCs w:val="0"/>
                <w:color w:val="auto"/>
                <w:sz w:val="24"/>
                <w:highlight w:val="none"/>
              </w:rPr>
              <w:t xml:space="preserve">6</w:t>
            </w:r>
            <w:r>
              <w:rPr>
                <w:rFonts w:ascii="宋体" w:hAnsi="宋体" w:cs="宋体"/>
                <w:b w:val="0"/>
                <w:bCs w:val="0"/>
                <w:color w:val="auto"/>
                <w:sz w:val="24"/>
                <w:highlight w:val="none"/>
              </w:rPr>
              <w:t xml:space="preserve">分</w:t>
            </w:r>
            <w:r/>
          </w:p>
        </w:tc>
        <w:tc>
          <w:tcPr>
            <w:tcBorders>
              <w:top w:val="single" w:color="000000" w:sz="12" w:space="0"/>
              <w:bottom w:val="single" w:color="000000" w:sz="12" w:space="0"/>
              <w:right w:val="single" w:color="000000" w:sz="12" w:space="0"/>
            </w:tcBorders>
            <w:tcW w:w="5302" w:type="dxa"/>
            <w:vAlign w:val="center"/>
            <w:textDirection w:val="lrTb"/>
            <w:noWrap w:val="false"/>
          </w:tcPr>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投标人提供实施方案、质量保障措施，包括但不限于项目实施、货物质保期的时间、产品渠道、配送方案、运输方式、产品质量问题造成事故的赔偿方案等内容。</w:t>
            </w:r>
            <w:r/>
          </w:p>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实施方案、质量保障措施方案科学合理、内容详细全面、切实可行的得</w:t>
            </w:r>
            <w:r>
              <w:rPr>
                <w:rFonts w:ascii="宋体" w:hAnsi="宋体" w:eastAsia="宋体" w:cs="宋体"/>
                <w:b w:val="0"/>
                <w:bCs w:val="0"/>
                <w:color w:val="auto"/>
                <w:sz w:val="24"/>
                <w:highlight w:val="none"/>
              </w:rPr>
              <w:t xml:space="preserve">6</w:t>
            </w:r>
            <w:r>
              <w:rPr>
                <w:rFonts w:ascii="宋体" w:hAnsi="宋体" w:cs="宋体"/>
                <w:b w:val="0"/>
                <w:bCs w:val="0"/>
                <w:color w:val="auto"/>
                <w:sz w:val="24"/>
                <w:highlight w:val="none"/>
              </w:rPr>
              <w:t xml:space="preserve">分；</w:t>
            </w:r>
            <w:r/>
          </w:p>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实施方案、质量保障措施方案较科学合理、内容较详细全面、较切实可行的得</w:t>
            </w:r>
            <w:r>
              <w:rPr>
                <w:rFonts w:ascii="宋体" w:hAnsi="宋体" w:eastAsia="宋体" w:cs="宋体"/>
                <w:b w:val="0"/>
                <w:bCs w:val="0"/>
                <w:color w:val="auto"/>
                <w:sz w:val="24"/>
                <w:highlight w:val="none"/>
              </w:rPr>
              <w:t xml:space="preserve">4</w:t>
            </w:r>
            <w:r>
              <w:rPr>
                <w:rFonts w:ascii="宋体" w:hAnsi="宋体" w:cs="宋体"/>
                <w:b w:val="0"/>
                <w:bCs w:val="0"/>
                <w:color w:val="auto"/>
                <w:sz w:val="24"/>
                <w:highlight w:val="none"/>
              </w:rPr>
              <w:t xml:space="preserve">分；</w:t>
            </w:r>
            <w:r/>
          </w:p>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实施方案、质量保障措施方案科学合理性一般、内容空洞、切实可行性一般的得</w:t>
            </w:r>
            <w:r>
              <w:rPr>
                <w:rFonts w:ascii="宋体" w:hAnsi="宋体" w:eastAsia="宋体" w:cs="宋体"/>
                <w:b w:val="0"/>
                <w:bCs w:val="0"/>
                <w:color w:val="auto"/>
                <w:sz w:val="24"/>
                <w:highlight w:val="none"/>
              </w:rPr>
              <w:t xml:space="preserve">2</w:t>
            </w:r>
            <w:r>
              <w:rPr>
                <w:rFonts w:ascii="宋体" w:hAnsi="宋体" w:cs="宋体"/>
                <w:b w:val="0"/>
                <w:bCs w:val="0"/>
                <w:color w:val="auto"/>
                <w:sz w:val="24"/>
                <w:highlight w:val="none"/>
              </w:rPr>
              <w:t xml:space="preserve">分；</w:t>
            </w:r>
            <w:r/>
          </w:p>
          <w:p>
            <w:pPr>
              <w:spacing w:line="360" w:lineRule="auto"/>
              <w:widowControl w:val="off"/>
              <w:rPr>
                <w:b w:val="0"/>
                <w:bCs w:val="0"/>
                <w:color w:val="auto"/>
                <w:highlight w:val="none"/>
              </w:rPr>
            </w:pPr>
            <w:r>
              <w:rPr>
                <w:rFonts w:ascii="宋体" w:hAnsi="宋体" w:cs="宋体"/>
                <w:b w:val="0"/>
                <w:bCs w:val="0"/>
                <w:color w:val="auto"/>
                <w:sz w:val="24"/>
                <w:highlight w:val="none"/>
              </w:rPr>
              <w:t xml:space="preserve">未见阐述不得分。</w:t>
            </w:r>
            <w:r/>
          </w:p>
        </w:tc>
      </w:tr>
      <w:tr>
        <w:trPr>
          <w:jc w:val="center"/>
          <w:trHeight w:val="426"/>
        </w:trPr>
        <w:tc>
          <w:tcPr>
            <w:tcBorders>
              <w:top w:val="single" w:color="000000" w:sz="12" w:space="0"/>
              <w:left w:val="single" w:color="000000" w:sz="12" w:space="0"/>
              <w:bottom w:val="single" w:color="000000" w:sz="1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6</w:t>
            </w:r>
            <w:r/>
          </w:p>
        </w:tc>
        <w:tc>
          <w:tcPr>
            <w:tcBorders>
              <w:top w:val="single" w:color="000000" w:sz="12" w:space="0"/>
              <w:bottom w:val="single" w:color="000000" w:sz="12" w:space="0"/>
              <w:right w:val="single" w:color="000000" w:sz="6" w:space="0"/>
            </w:tcBorders>
            <w:tcW w:w="982" w:type="dxa"/>
            <w:vAlign w:val="center"/>
            <w:textDirection w:val="lrTb"/>
            <w:noWrap w:val="false"/>
          </w:tcPr>
          <w:p>
            <w:pPr>
              <w:jc w:val="center"/>
              <w:spacing w:line="360" w:lineRule="auto"/>
              <w:widowControl w:val="off"/>
              <w:rPr>
                <w:rFonts w:cs="宋体"/>
                <w:b w:val="0"/>
                <w:bCs w:val="0"/>
                <w:color w:val="auto"/>
                <w:sz w:val="24"/>
                <w:highlight w:val="none"/>
              </w:rPr>
            </w:pPr>
            <w:r>
              <w:rPr>
                <w:rFonts w:ascii="宋体" w:hAnsi="宋体" w:cs="宋体"/>
                <w:b w:val="0"/>
                <w:bCs w:val="0"/>
                <w:color w:val="auto"/>
                <w:sz w:val="24"/>
                <w:highlight w:val="none"/>
              </w:rPr>
              <w:t xml:space="preserve">售后服务</w:t>
            </w:r>
            <w:r>
              <w:rPr>
                <w:rFonts w:ascii="宋体" w:hAnsi="宋体" w:cs="宋体"/>
                <w:b w:val="0"/>
                <w:bCs w:val="0"/>
                <w:color w:val="auto"/>
                <w:sz w:val="24"/>
                <w:highlight w:val="none"/>
              </w:rPr>
              <w:t xml:space="preserve">（二）</w:t>
            </w:r>
            <w:r/>
          </w:p>
        </w:tc>
        <w:tc>
          <w:tcPr>
            <w:tcBorders>
              <w:top w:val="single" w:color="000000" w:sz="12" w:space="0"/>
              <w:bottom w:val="single" w:color="000000" w:sz="1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ascii="宋体" w:hAnsi="宋体" w:eastAsia="宋体" w:cs="宋体"/>
                <w:b w:val="0"/>
                <w:bCs w:val="0"/>
                <w:color w:val="auto"/>
                <w:sz w:val="24"/>
                <w:highlight w:val="none"/>
              </w:rPr>
              <w:t xml:space="preserve">6</w:t>
            </w:r>
            <w:r>
              <w:rPr>
                <w:rFonts w:ascii="宋体" w:hAnsi="宋体" w:cs="宋体"/>
                <w:b w:val="0"/>
                <w:bCs w:val="0"/>
                <w:color w:val="auto"/>
                <w:sz w:val="24"/>
                <w:highlight w:val="none"/>
              </w:rPr>
              <w:t xml:space="preserve">分</w:t>
            </w:r>
            <w:r/>
          </w:p>
        </w:tc>
        <w:tc>
          <w:tcPr>
            <w:tcBorders>
              <w:top w:val="single" w:color="000000" w:sz="12" w:space="0"/>
              <w:bottom w:val="single" w:color="000000" w:sz="12" w:space="0"/>
              <w:right w:val="single" w:color="000000" w:sz="12" w:space="0"/>
            </w:tcBorders>
            <w:tcW w:w="5302" w:type="dxa"/>
            <w:textDirection w:val="lrTb"/>
            <w:noWrap w:val="false"/>
          </w:tcPr>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投标人提供售后服务方案。内容需包含但不限于产品质量承诺、技术支持、售后服务计划、售后服务承诺、定期巡检与预防性维护、中标后承诺、无偿提供技术咨询服务、“四包、一保”制度（包退、包换、包修、包送货上楼，保证向用户提供符合要求的产品和良好的服务）八项内容。</w:t>
            </w:r>
            <w:r>
              <w:rPr>
                <w:rFonts w:ascii="宋体" w:hAnsi="宋体" w:cs="宋体"/>
                <w:b w:val="0"/>
                <w:bCs w:val="0"/>
                <w:color w:val="auto"/>
                <w:sz w:val="24"/>
                <w:highlight w:val="none"/>
              </w:rPr>
              <w:br/>
            </w:r>
            <w:r>
              <w:rPr>
                <w:rFonts w:ascii="宋体" w:hAnsi="宋体" w:cs="宋体"/>
                <w:b w:val="0"/>
                <w:bCs w:val="0"/>
                <w:color w:val="auto"/>
                <w:sz w:val="24"/>
                <w:highlight w:val="none"/>
              </w:rPr>
              <w:t xml:space="preserve">方案非常详细，售后服务计划非常完善可行，服务承诺、服务队伍建设非常规范，优于项目要求的得6分；</w:t>
            </w:r>
            <w:r>
              <w:rPr>
                <w:rFonts w:ascii="宋体" w:hAnsi="宋体" w:cs="宋体"/>
                <w:b w:val="0"/>
                <w:bCs w:val="0"/>
                <w:color w:val="auto"/>
                <w:sz w:val="24"/>
                <w:highlight w:val="none"/>
              </w:rPr>
              <w:br/>
            </w:r>
            <w:r>
              <w:rPr>
                <w:rFonts w:ascii="宋体" w:hAnsi="宋体" w:cs="宋体"/>
                <w:b w:val="0"/>
                <w:bCs w:val="0"/>
                <w:color w:val="auto"/>
                <w:sz w:val="24"/>
                <w:highlight w:val="none"/>
              </w:rPr>
              <w:t xml:space="preserve">方案比较详细，售后服务计划比较完善可行，服务承诺、服务队伍建设比较规范，能满足项目要求的得4分；</w:t>
            </w:r>
            <w:r>
              <w:rPr>
                <w:rFonts w:ascii="宋体" w:hAnsi="宋体" w:cs="宋体"/>
                <w:b w:val="0"/>
                <w:bCs w:val="0"/>
                <w:color w:val="auto"/>
                <w:sz w:val="24"/>
                <w:highlight w:val="none"/>
              </w:rPr>
              <w:br/>
            </w:r>
            <w:r>
              <w:rPr>
                <w:rFonts w:ascii="宋体" w:hAnsi="宋体" w:cs="宋体"/>
                <w:b w:val="0"/>
                <w:bCs w:val="0"/>
                <w:color w:val="auto"/>
                <w:sz w:val="24"/>
                <w:highlight w:val="none"/>
              </w:rPr>
              <w:t xml:space="preserve">方案细致程度一般，售后服务计划可行性一般，服务承诺、服务队伍建设规范性一般的得2分。</w:t>
            </w:r>
            <w:r>
              <w:rPr>
                <w:rFonts w:ascii="宋体" w:hAnsi="宋体" w:cs="宋体"/>
                <w:b w:val="0"/>
                <w:bCs w:val="0"/>
                <w:color w:val="auto"/>
                <w:sz w:val="24"/>
                <w:highlight w:val="none"/>
              </w:rPr>
              <w:br/>
            </w:r>
            <w:r>
              <w:rPr>
                <w:rFonts w:ascii="宋体" w:hAnsi="宋体" w:cs="宋体"/>
                <w:b w:val="0"/>
                <w:bCs w:val="0"/>
                <w:color w:val="auto"/>
                <w:sz w:val="24"/>
                <w:highlight w:val="none"/>
              </w:rPr>
              <w:t xml:space="preserve">未见阐述不得分。</w:t>
            </w:r>
            <w:r/>
          </w:p>
        </w:tc>
      </w:tr>
      <w:tr>
        <w:trPr>
          <w:jc w:val="center"/>
          <w:trHeight w:val="2106"/>
        </w:trPr>
        <w:tc>
          <w:tcPr>
            <w:tcBorders>
              <w:top w:val="single" w:color="000000" w:sz="12" w:space="0"/>
              <w:left w:val="single" w:color="000000" w:sz="12" w:space="0"/>
              <w:bottom w:val="single" w:color="000000" w:sz="2" w:space="0"/>
              <w:right w:val="single" w:color="000000" w:sz="6" w:space="0"/>
            </w:tcBorders>
            <w:tcW w:w="921" w:type="dxa"/>
            <w:vAlign w:val="center"/>
            <w:textDirection w:val="lrTb"/>
            <w:noWrap w:val="false"/>
          </w:tcPr>
          <w:p>
            <w:pPr>
              <w:jc w:val="center"/>
              <w:spacing w:line="360" w:lineRule="auto"/>
              <w:widowControl w:val="off"/>
              <w:rPr>
                <w:rFonts w:cs="宋体"/>
                <w:b w:val="0"/>
                <w:bCs w:val="0"/>
                <w:color w:val="auto"/>
                <w:sz w:val="24"/>
                <w:highlight w:val="none"/>
              </w:rPr>
            </w:pPr>
            <w:r>
              <w:rPr>
                <w:rFonts w:cs="宋体"/>
                <w:b w:val="0"/>
                <w:bCs w:val="0"/>
                <w:color w:val="auto"/>
                <w:sz w:val="24"/>
                <w:highlight w:val="none"/>
              </w:rPr>
              <w:t xml:space="preserve">7</w:t>
            </w:r>
            <w:r/>
          </w:p>
        </w:tc>
        <w:tc>
          <w:tcPr>
            <w:tcBorders>
              <w:top w:val="single" w:color="000000" w:sz="12" w:space="0"/>
              <w:bottom w:val="single" w:color="000000" w:sz="2" w:space="0"/>
              <w:right w:val="single" w:color="000000" w:sz="6" w:space="0"/>
            </w:tcBorders>
            <w:tcW w:w="982" w:type="dxa"/>
            <w:vAlign w:val="center"/>
            <w:textDirection w:val="lrTb"/>
            <w:noWrap w:val="false"/>
          </w:tcPr>
          <w:p>
            <w:pPr>
              <w:jc w:val="cente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应急保障措施</w:t>
            </w:r>
            <w:r/>
          </w:p>
          <w:p>
            <w:pPr>
              <w:jc w:val="center"/>
              <w:spacing w:line="360" w:lineRule="auto"/>
              <w:widowControl w:val="off"/>
              <w:rPr>
                <w:rFonts w:cs="宋体"/>
                <w:b w:val="0"/>
                <w:bCs w:val="0"/>
                <w:color w:val="auto"/>
                <w:sz w:val="24"/>
                <w:highlight w:val="none"/>
              </w:rPr>
            </w:pPr>
            <w:r>
              <w:rPr>
                <w:rFonts w:cs="宋体"/>
                <w:b w:val="0"/>
                <w:bCs w:val="0"/>
                <w:color w:val="auto"/>
                <w:sz w:val="24"/>
                <w:highlight w:val="none"/>
              </w:rPr>
            </w:r>
            <w:r/>
          </w:p>
        </w:tc>
        <w:tc>
          <w:tcPr>
            <w:tcBorders>
              <w:top w:val="single" w:color="000000" w:sz="12" w:space="0"/>
              <w:bottom w:val="single" w:color="000000" w:sz="2" w:space="0"/>
              <w:right w:val="single" w:color="000000" w:sz="6" w:space="0"/>
            </w:tcBorders>
            <w:tcW w:w="1100" w:type="dxa"/>
            <w:vAlign w:val="center"/>
            <w:textDirection w:val="lrTb"/>
            <w:noWrap w:val="false"/>
          </w:tcPr>
          <w:p>
            <w:pPr>
              <w:jc w:val="center"/>
              <w:spacing w:line="360" w:lineRule="auto"/>
              <w:widowControl w:val="off"/>
              <w:rPr>
                <w:rFonts w:cs="宋体"/>
                <w:b w:val="0"/>
                <w:bCs w:val="0"/>
                <w:color w:val="auto"/>
                <w:sz w:val="24"/>
                <w:highlight w:val="none"/>
              </w:rPr>
            </w:pPr>
            <w:r>
              <w:rPr>
                <w:rFonts w:ascii="宋体" w:hAnsi="宋体" w:eastAsia="宋体" w:cs="宋体"/>
                <w:b w:val="0"/>
                <w:bCs w:val="0"/>
                <w:color w:val="auto"/>
                <w:sz w:val="24"/>
                <w:highlight w:val="none"/>
              </w:rPr>
              <w:t xml:space="preserve">6</w:t>
            </w:r>
            <w:r>
              <w:rPr>
                <w:rFonts w:ascii="宋体" w:hAnsi="宋体" w:cs="宋体"/>
                <w:b w:val="0"/>
                <w:bCs w:val="0"/>
                <w:color w:val="auto"/>
                <w:sz w:val="24"/>
                <w:highlight w:val="none"/>
              </w:rPr>
              <w:t xml:space="preserve">分</w:t>
            </w:r>
            <w:r/>
          </w:p>
        </w:tc>
        <w:tc>
          <w:tcPr>
            <w:tcBorders>
              <w:top w:val="single" w:color="000000" w:sz="12" w:space="0"/>
              <w:bottom w:val="single" w:color="000000" w:sz="2" w:space="0"/>
              <w:right w:val="single" w:color="000000" w:sz="12" w:space="0"/>
            </w:tcBorders>
            <w:tcW w:w="5302" w:type="dxa"/>
            <w:textDirection w:val="lrTb"/>
            <w:noWrap w:val="false"/>
          </w:tcPr>
          <w:p>
            <w:pPr>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投标人制定应急保障措施。内容需包含但不限于应急响应机制、需求量保障措施等。</w:t>
            </w:r>
            <w:r/>
          </w:p>
          <w:p>
            <w:pPr>
              <w:jc w:val="left"/>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有</w:t>
            </w:r>
            <w:r>
              <w:rPr>
                <w:rFonts w:ascii="宋体" w:hAnsi="宋体" w:eastAsia="宋体" w:cs="宋体"/>
                <w:b w:val="0"/>
                <w:bCs w:val="0"/>
                <w:color w:val="auto"/>
                <w:sz w:val="24"/>
                <w:highlight w:val="none"/>
              </w:rPr>
              <w:t xml:space="preserve">24</w:t>
            </w:r>
            <w:r>
              <w:rPr>
                <w:rFonts w:ascii="宋体" w:hAnsi="宋体" w:cs="宋体"/>
                <w:b w:val="0"/>
                <w:bCs w:val="0"/>
                <w:color w:val="auto"/>
                <w:sz w:val="24"/>
                <w:highlight w:val="none"/>
              </w:rPr>
              <w:t xml:space="preserve">小时应急响应机制，保障措施完善可行，在月需求量增大时，制定了详细完整的应急响应服务机制，优于项目需求要求的得</w:t>
            </w:r>
            <w:r>
              <w:rPr>
                <w:rFonts w:ascii="宋体" w:hAnsi="宋体" w:eastAsia="宋体" w:cs="宋体"/>
                <w:b w:val="0"/>
                <w:bCs w:val="0"/>
                <w:color w:val="auto"/>
                <w:sz w:val="24"/>
                <w:highlight w:val="none"/>
              </w:rPr>
              <w:t xml:space="preserve">6</w:t>
            </w:r>
            <w:r>
              <w:rPr>
                <w:rFonts w:ascii="宋体" w:hAnsi="宋体" w:cs="宋体"/>
                <w:b w:val="0"/>
                <w:bCs w:val="0"/>
                <w:color w:val="auto"/>
                <w:sz w:val="24"/>
                <w:highlight w:val="none"/>
              </w:rPr>
              <w:t xml:space="preserve">分；</w:t>
            </w:r>
            <w:r/>
          </w:p>
          <w:p>
            <w:pPr>
              <w:jc w:val="left"/>
              <w:spacing w:line="360" w:lineRule="auto"/>
              <w:widowControl w:val="off"/>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有</w:t>
            </w:r>
            <w:r>
              <w:rPr>
                <w:rFonts w:ascii="宋体" w:hAnsi="宋体" w:eastAsia="宋体" w:cs="宋体"/>
                <w:b w:val="0"/>
                <w:bCs w:val="0"/>
                <w:color w:val="auto"/>
                <w:sz w:val="24"/>
                <w:highlight w:val="none"/>
              </w:rPr>
              <w:t xml:space="preserve">24</w:t>
            </w:r>
            <w:r>
              <w:rPr>
                <w:rFonts w:ascii="宋体" w:hAnsi="宋体" w:cs="宋体"/>
                <w:b w:val="0"/>
                <w:bCs w:val="0"/>
                <w:color w:val="auto"/>
                <w:sz w:val="24"/>
                <w:highlight w:val="none"/>
              </w:rPr>
              <w:t xml:space="preserve">小时应急响应机制，保障措施比较完善可行，在月需求量增大时，制定了比较详细的应急响应服务机制，能够满足项目需求要求的得</w:t>
            </w:r>
            <w:r>
              <w:rPr>
                <w:rFonts w:ascii="宋体" w:hAnsi="宋体" w:eastAsia="宋体" w:cs="宋体"/>
                <w:b w:val="0"/>
                <w:bCs w:val="0"/>
                <w:color w:val="auto"/>
                <w:sz w:val="24"/>
                <w:highlight w:val="none"/>
              </w:rPr>
              <w:t xml:space="preserve">4</w:t>
            </w:r>
            <w:r>
              <w:rPr>
                <w:rFonts w:ascii="宋体" w:hAnsi="宋体" w:cs="宋体"/>
                <w:b w:val="0"/>
                <w:bCs w:val="0"/>
                <w:color w:val="auto"/>
                <w:sz w:val="24"/>
                <w:highlight w:val="none"/>
              </w:rPr>
              <w:t xml:space="preserve">分；</w:t>
            </w:r>
            <w:r/>
          </w:p>
          <w:p>
            <w:pPr>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val="0"/>
                <w:bCs w:val="0"/>
                <w:color w:val="auto"/>
                <w:sz w:val="24"/>
                <w:highlight w:val="none"/>
              </w:rPr>
            </w:pPr>
            <w:r>
              <w:rPr>
                <w:rFonts w:ascii="宋体" w:hAnsi="宋体" w:cs="宋体"/>
                <w:b w:val="0"/>
                <w:bCs w:val="0"/>
                <w:color w:val="auto"/>
                <w:sz w:val="24"/>
                <w:highlight w:val="none"/>
              </w:rPr>
              <w:t xml:space="preserve">有</w:t>
            </w:r>
            <w:r>
              <w:rPr>
                <w:rFonts w:ascii="宋体" w:hAnsi="宋体" w:eastAsia="宋体" w:cs="宋体"/>
                <w:b w:val="0"/>
                <w:bCs w:val="0"/>
                <w:color w:val="auto"/>
                <w:sz w:val="24"/>
                <w:highlight w:val="none"/>
              </w:rPr>
              <w:t xml:space="preserve">24</w:t>
            </w:r>
            <w:r>
              <w:rPr>
                <w:rFonts w:ascii="宋体" w:hAnsi="宋体" w:cs="宋体"/>
                <w:b w:val="0"/>
                <w:bCs w:val="0"/>
                <w:color w:val="auto"/>
                <w:sz w:val="24"/>
                <w:highlight w:val="none"/>
              </w:rPr>
              <w:t xml:space="preserve">小时应急响应机制，保障措施可行性一般，在月需求量增大时，制定了的应急响应服务机制细致程度一般，基本满足项目需求要求的得</w:t>
            </w:r>
            <w:r>
              <w:rPr>
                <w:rFonts w:ascii="宋体" w:hAnsi="宋体" w:eastAsia="宋体" w:cs="宋体"/>
                <w:b w:val="0"/>
                <w:bCs w:val="0"/>
                <w:color w:val="auto"/>
                <w:sz w:val="24"/>
                <w:highlight w:val="none"/>
              </w:rPr>
              <w:t xml:space="preserve">2</w:t>
            </w:r>
            <w:r>
              <w:rPr>
                <w:rFonts w:ascii="宋体" w:hAnsi="宋体" w:cs="宋体"/>
                <w:b w:val="0"/>
                <w:bCs w:val="0"/>
                <w:color w:val="auto"/>
                <w:sz w:val="24"/>
                <w:highlight w:val="none"/>
              </w:rPr>
              <w:t xml:space="preserve">分。</w:t>
            </w:r>
            <w:r/>
          </w:p>
          <w:p>
            <w:pPr>
              <w:spacing w:line="360" w:lineRule="auto"/>
              <w:widowControl w:val="off"/>
              <w:rPr>
                <w:b w:val="0"/>
                <w:bCs w:val="0"/>
                <w:color w:val="auto"/>
                <w:highlight w:val="none"/>
              </w:rPr>
            </w:pPr>
            <w:r>
              <w:rPr>
                <w:b w:val="0"/>
                <w:bCs w:val="0"/>
                <w:color w:val="auto"/>
                <w:highlight w:val="none"/>
              </w:rPr>
              <w:t xml:space="preserve">未见阐述不得分。</w:t>
            </w:r>
            <w:r/>
          </w:p>
        </w:tc>
      </w:tr>
    </w:tbl>
    <w:p>
      <w:pPr>
        <w:pStyle w:val="863"/>
        <w:jc w:val="center"/>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第六章  投标文件格式 </w:t>
      </w:r>
      <w:r/>
    </w:p>
    <w:p>
      <w:pPr>
        <w:pStyle w:val="8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keepNext/>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863"/>
        <w:jc w:val="center"/>
        <w:spacing w:beforeAutospacing="0" w:afterAutospacing="0"/>
        <w:rPr>
          <w:color w:val="auto"/>
          <w:highlight w:val="none"/>
        </w:rPr>
      </w:pPr>
      <w:r/>
      <w:bookmarkStart w:id="176" w:name="_Toc49090576"/>
      <w:r/>
      <w:bookmarkEnd w:id="176"/>
      <w:r/>
      <w:bookmarkStart w:id="177" w:name="_Toc120614282"/>
      <w:r/>
      <w:bookmarkEnd w:id="177"/>
      <w:r/>
      <w:bookmarkStart w:id="178" w:name="_Hlt26955039"/>
      <w:r/>
      <w:bookmarkStart w:id="179" w:name="_Toc26554094"/>
      <w:r/>
      <w:bookmarkStart w:id="180" w:name="_Hlt26671244"/>
      <w:r>
        <w:rPr>
          <w:rFonts w:hint="eastAsia" w:ascii="宋体" w:hAnsi="宋体" w:eastAsia="宋体" w:cs="宋体"/>
          <w:b/>
          <w:color w:val="auto"/>
          <w:sz w:val="72"/>
          <w:szCs w:val="72"/>
          <w:highlight w:val="none"/>
        </w:rPr>
        <w:t xml:space="preserve">投  标  文  件</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 目 名 称：</w:t>
      </w:r>
      <w:r>
        <w:rPr>
          <w:b/>
          <w:color w:val="auto"/>
          <w:highlight w:val="none"/>
        </w:rPr>
        <w:t xml:space="preserve">滨海县公安局2026年DNA实验室耗材采购项目</w:t>
      </w:r>
      <w:r/>
    </w:p>
    <w:p>
      <w:pPr>
        <w:pStyle w:val="863"/>
        <w:jc w:val="both"/>
        <w:spacing w:beforeAutospacing="0" w:afterAutospacing="0"/>
        <w:rPr>
          <w:rFonts w:hint="default" w:eastAsiaTheme="minorEastAsia"/>
          <w:color w:val="auto"/>
          <w:highlight w:val="none"/>
          <w:lang w:val="en-US" w:eastAsia="zh-CN"/>
        </w:rPr>
      </w:pPr>
      <w:r>
        <w:rPr>
          <w:rFonts w:hint="eastAsia" w:ascii="宋体" w:hAnsi="宋体" w:eastAsia="宋体" w:cs="宋体"/>
          <w:b/>
          <w:color w:val="auto"/>
          <w:sz w:val="36"/>
          <w:szCs w:val="36"/>
          <w:highlight w:val="none"/>
        </w:rPr>
        <w:t xml:space="preserve">项 目 编 号：</w:t>
      </w:r>
      <w:r>
        <w:rPr>
          <w:b/>
          <w:color w:val="auto"/>
          <w:highlight w:val="none"/>
        </w:rPr>
        <w:t xml:space="preserve">JSZC-320922</w:t>
      </w:r>
      <w:r>
        <w:rPr>
          <w:b/>
          <w:color w:val="auto"/>
          <w:highlight w:val="none"/>
        </w:rPr>
        <w:t xml:space="preserve">-ZQYC-G2026-00</w:t>
      </w:r>
      <w:r>
        <w:rPr>
          <w:rFonts w:hint="eastAsia"/>
          <w:b/>
          <w:color w:val="auto"/>
          <w:highlight w:val="none"/>
          <w:lang w:val="en-US" w:eastAsia="zh-CN"/>
        </w:rPr>
        <w:t xml:space="preserve">18</w:t>
      </w:r>
      <w:r/>
    </w:p>
    <w:p>
      <w:pPr>
        <w:pStyle w:val="86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投标人名称 ：</w:t>
      </w:r>
      <w:r>
        <w:rPr>
          <w:rFonts w:hint="eastAsia" w:ascii="宋体" w:hAnsi="宋体" w:eastAsia="宋体" w:cs="宋体"/>
          <w:b/>
          <w:color w:val="auto"/>
          <w:sz w:val="36"/>
          <w:szCs w:val="36"/>
          <w:highlight w:val="none"/>
          <w:u w:val="single"/>
        </w:rPr>
        <w:t xml:space="preserve">（加盖CA电子公章）</w:t>
      </w:r>
      <w:r/>
    </w:p>
    <w:p>
      <w:pPr>
        <w:pStyle w:val="863"/>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二、上一年度的财务状况报告（至少提供资产负债表、利润表、现金流量表，</w:t>
      </w:r>
      <w:r/>
    </w:p>
    <w:p>
      <w:pPr>
        <w:pStyle w:val="863"/>
        <w:ind w:left="480"/>
        <w:jc w:val="both"/>
        <w:spacing w:beforeAutospacing="0" w:afterAutospacing="0"/>
        <w:rPr>
          <w:i w:val="0"/>
          <w:iCs/>
          <w:color w:val="auto"/>
          <w:highlight w:val="none"/>
          <w:u w:val="none"/>
        </w:rPr>
      </w:pPr>
      <w:r>
        <w:rPr>
          <w:rFonts w:hint="eastAsia" w:ascii="宋体" w:hAnsi="宋体" w:eastAsia="宋体" w:cs="宋体"/>
          <w:i w:val="0"/>
          <w:iCs/>
          <w:color w:val="auto"/>
          <w:highlight w:val="none"/>
          <w:u w:val="none"/>
        </w:rPr>
        <w:t xml:space="preserve">投标人成立不满一年无需提供）</w:t>
      </w:r>
      <w:r/>
    </w:p>
    <w:p>
      <w:pPr>
        <w:pStyle w:val="863"/>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63"/>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63"/>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63"/>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863"/>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二</w:t>
      </w:r>
      <w:r>
        <w:rPr>
          <w:rFonts w:hint="eastAsia" w:ascii="宋体" w:hAnsi="宋体" w:eastAsia="宋体" w:cs="宋体"/>
          <w:i w:val="0"/>
          <w:iCs/>
          <w:color w:val="auto"/>
          <w:highlight w:val="none"/>
          <w:u w:val="none"/>
        </w:rPr>
        <w:t xml:space="preserve">、联合体协议</w:t>
      </w:r>
      <w:r/>
    </w:p>
    <w:p>
      <w:pPr>
        <w:pStyle w:val="863"/>
        <w:ind w:firstLine="480"/>
        <w:jc w:val="both"/>
        <w:spacing w:beforeAutospacing="0" w:afterAutospacing="0" w:line="0" w:lineRule="atLeast"/>
        <w:rPr>
          <w:rFonts w:hint="default" w:ascii="宋体" w:hAnsi="宋体" w:eastAsia="宋体" w:cs="宋体"/>
          <w:i w:val="0"/>
          <w:iCs/>
          <w:color w:val="auto"/>
          <w:highlight w:val="none"/>
          <w:u w:val="none"/>
          <w:lang w:val="en-US" w:eastAsia="zh-CN"/>
        </w:rPr>
      </w:pPr>
      <w:r>
        <w:rPr>
          <w:rFonts w:hint="eastAsia" w:ascii="宋体" w:hAnsi="宋体" w:eastAsia="宋体" w:cs="宋体"/>
          <w:i w:val="0"/>
          <w:iCs/>
          <w:color w:val="auto"/>
          <w:highlight w:val="none"/>
          <w:u w:val="none"/>
          <w:lang w:val="en-US" w:eastAsia="zh-CN"/>
        </w:rPr>
        <w:t xml:space="preserve">十三、投标分项报价表</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、技术要求响应及偏离表</w:t>
      </w:r>
      <w:r/>
    </w:p>
    <w:p>
      <w:pPr>
        <w:pStyle w:val="863"/>
        <w:ind w:firstLine="480"/>
        <w:jc w:val="both"/>
        <w:spacing w:beforeAutospacing="0" w:afterAutospacing="0" w:line="0" w:lineRule="atLeast"/>
        <w:rPr>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五</w:t>
      </w:r>
      <w:r>
        <w:rPr>
          <w:rFonts w:hint="eastAsia" w:ascii="宋体" w:hAnsi="宋体" w:eastAsia="宋体" w:cs="宋体"/>
          <w:i w:val="0"/>
          <w:iCs/>
          <w:color w:val="auto"/>
          <w:highlight w:val="none"/>
          <w:u w:val="none"/>
        </w:rPr>
        <w:t xml:space="preserve">、商务要求响应及偏离表</w:t>
      </w:r>
      <w:r/>
    </w:p>
    <w:p>
      <w:pPr>
        <w:pStyle w:val="863"/>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六</w:t>
      </w:r>
      <w:r>
        <w:rPr>
          <w:rFonts w:hint="eastAsia" w:ascii="宋体" w:hAnsi="宋体" w:eastAsia="宋体" w:cs="宋体"/>
          <w:i w:val="0"/>
          <w:iCs/>
          <w:color w:val="auto"/>
          <w:highlight w:val="none"/>
          <w:u w:val="none"/>
        </w:rPr>
        <w:t xml:space="preserve">、开标一览表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w:t>
      </w:r>
      <w:r>
        <w:rPr>
          <w:rFonts w:hint="eastAsia" w:ascii="宋体" w:hAnsi="宋体" w:eastAsia="宋体" w:cs="宋体"/>
          <w:i w:val="0"/>
          <w:iCs/>
          <w:color w:val="auto"/>
          <w:sz w:val="24"/>
          <w:highlight w:val="none"/>
          <w:u w:val="none"/>
          <w:lang w:val="en-US" w:eastAsia="zh-CN"/>
        </w:rPr>
        <w:t xml:space="preserve">七</w:t>
      </w:r>
      <w:r>
        <w:rPr>
          <w:rFonts w:hint="eastAsia" w:ascii="宋体" w:hAnsi="宋体" w:eastAsia="宋体" w:cs="宋体"/>
          <w:i w:val="0"/>
          <w:iCs/>
          <w:color w:val="auto"/>
          <w:sz w:val="24"/>
          <w:highlight w:val="none"/>
          <w:u w:val="none"/>
        </w:rPr>
        <w:t xml:space="preserve">、技术方案、服务承诺、培训承诺等</w:t>
      </w:r>
      <w:r/>
    </w:p>
    <w:p>
      <w:pPr>
        <w:pStyle w:val="863"/>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w:t>
      </w:r>
      <w:r>
        <w:rPr>
          <w:rFonts w:hint="eastAsia" w:ascii="宋体" w:hAnsi="宋体" w:eastAsia="宋体" w:cs="宋体"/>
          <w:i w:val="0"/>
          <w:iCs/>
          <w:color w:val="auto"/>
          <w:highlight w:val="none"/>
          <w:u w:val="none"/>
          <w:lang w:val="en-US" w:eastAsia="zh-CN"/>
        </w:rPr>
        <w:t xml:space="preserve">八</w:t>
      </w:r>
      <w:r>
        <w:rPr>
          <w:rFonts w:hint="eastAsia" w:ascii="宋体" w:hAnsi="宋体" w:eastAsia="宋体" w:cs="宋体"/>
          <w:i w:val="0"/>
          <w:iCs/>
          <w:color w:val="auto"/>
          <w:highlight w:val="none"/>
          <w:u w:val="none"/>
        </w:rPr>
        <w:t xml:space="preserve">、盐城市政府采购事前信用承诺书</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ind w:firstLine="480"/>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rPr>
          <w:rFonts w:hint="eastAsia" w:eastAsia="黑体"/>
          <w:color w:val="auto"/>
          <w:highlight w:val="none"/>
          <w:lang w:val="en-US" w:eastAsia="zh-CN"/>
        </w:rPr>
      </w:pPr>
      <w:r>
        <w:rPr>
          <w:rFonts w:hint="eastAsia" w:ascii="黑体" w:hAnsi="宋体" w:eastAsia="黑体" w:cs="黑体"/>
          <w:i/>
          <w:color w:val="auto"/>
          <w:sz w:val="32"/>
          <w:szCs w:val="32"/>
          <w:highlight w:val="none"/>
          <w:u w:val="single"/>
        </w:rPr>
        <w:t xml:space="preserve">二、上一年度的财务状况报</w:t>
      </w:r>
      <w:r>
        <w:rPr>
          <w:rFonts w:hint="eastAsia" w:ascii="黑体" w:hAnsi="宋体" w:eastAsia="黑体" w:cs="黑体"/>
          <w:i/>
          <w:color w:val="auto"/>
          <w:sz w:val="32"/>
          <w:szCs w:val="32"/>
          <w:highlight w:val="none"/>
          <w:u w:val="single"/>
          <w:lang w:val="en-US" w:eastAsia="zh-CN"/>
        </w:rPr>
        <w:t xml:space="preserve">告</w:t>
      </w:r>
      <w:r/>
    </w:p>
    <w:p>
      <w:pPr>
        <w:ind w:firstLine="480"/>
        <w:jc w:val="left"/>
        <w:tabs>
          <w:tab w:val="left" w:pos="1331" w:leader="none"/>
        </w:tabs>
        <w:rPr>
          <w:i w:val="0"/>
          <w:iCs/>
          <w:color w:val="auto"/>
          <w:highlight w:val="none"/>
          <w:u w:val="none"/>
        </w:rPr>
      </w:pPr>
      <w:r>
        <w:rPr>
          <w:rFonts w:hint="eastAsia" w:ascii="宋体" w:hAnsi="宋体" w:eastAsia="宋体" w:cs="宋体"/>
          <w:i w:val="0"/>
          <w:iCs/>
          <w:color w:val="auto"/>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auto"/>
          <w:highlight w:val="none"/>
          <w:u w:val="none"/>
        </w:rPr>
        <w:t xml:space="preserve">投标人成立不满一年无需提供）</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63"/>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3"/>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63"/>
        <w:jc w:val="both"/>
        <w:spacing w:beforeAutospacing="0" w:afterAutospacing="0" w:line="0" w:lineRule="atLeast"/>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p>
    <w:p>
      <w:pPr>
        <w:pStyle w:val="863"/>
        <w:ind w:firstLine="309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63"/>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6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63"/>
        <w:jc w:val="center"/>
        <w:spacing w:beforeAutospacing="0" w:afterAutospacing="0"/>
        <w:rPr>
          <w:rFonts w:ascii="黑体" w:hAnsi="宋体" w:eastAsia="黑体" w:cs="黑体"/>
          <w:i/>
          <w:color w:val="auto"/>
          <w:sz w:val="32"/>
          <w:szCs w:val="32"/>
          <w:highlight w:val="none"/>
          <w:u w:val="single"/>
        </w:rPr>
      </w:pPr>
      <w:r/>
      <w:bookmarkStart w:id="181" w:name="_Toc120614284"/>
      <w:r/>
      <w:r/>
    </w:p>
    <w:p>
      <w:pPr>
        <w:pStyle w:val="86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3"/>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63"/>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3"/>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3"/>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3"/>
        <w:jc w:val="center"/>
        <w:spacing w:beforeAutospacing="0" w:afterAutospacing="0"/>
        <w:rPr>
          <w:rFonts w:hint="eastAsia" w:ascii="黑体" w:hAnsi="宋体" w:eastAsia="黑体" w:cs="黑体"/>
          <w:i/>
          <w:color w:val="auto"/>
          <w:sz w:val="32"/>
          <w:szCs w:val="32"/>
          <w:highlight w:val="none"/>
          <w:u w:val="single"/>
        </w:rPr>
      </w:pPr>
      <w:r>
        <w:rPr>
          <w:rFonts w:hint="eastAsia" w:ascii="黑体" w:hAnsi="宋体" w:eastAsia="黑体" w:cs="黑体"/>
          <w:i/>
          <w:color w:val="auto"/>
          <w:sz w:val="32"/>
          <w:szCs w:val="32"/>
          <w:highlight w:val="none"/>
          <w:u w:val="single"/>
        </w:rPr>
      </w:r>
      <w:r/>
    </w:p>
    <w:p>
      <w:pPr>
        <w:pStyle w:val="863"/>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63"/>
        <w:ind w:firstLine="480"/>
        <w:jc w:val="both"/>
        <w:spacing w:beforeAutospacing="0" w:afterAutospacing="0"/>
        <w:tabs>
          <w:tab w:val="left" w:pos="360" w:leader="none"/>
        </w:tabs>
        <w:rPr>
          <w:color w:val="auto"/>
          <w:highlight w:val="none"/>
        </w:rPr>
      </w:pPr>
      <w:r>
        <w:rPr>
          <w:rFonts w:ascii="Times New Roman" w:hAnsi="Times New Roman"/>
          <w:b/>
          <w:color w:val="auto"/>
          <w:highlight w:val="none"/>
        </w:rPr>
        <w:t xml:space="preserve">本授权书声明：____________（投标人名称）授权________________（被授权人的姓名）为我方就</w:t>
      </w:r>
      <w:r>
        <w:rPr>
          <w:rFonts w:ascii="Times New Roman" w:hAnsi="Times New Roman"/>
          <w:b/>
          <w:color w:val="auto"/>
          <w:highlight w:val="none"/>
          <w:u w:val="single"/>
        </w:rPr>
        <w:t xml:space="preserve">JSZC-        号项目</w:t>
      </w:r>
      <w:r>
        <w:rPr>
          <w:rFonts w:ascii="Times New Roman" w:hAnsi="Times New Roman"/>
          <w:b/>
          <w:color w:val="auto"/>
          <w:highlight w:val="none"/>
        </w:rPr>
        <w:t xml:space="preserve">采购活动的合法代理人，以本单位名义全权处理一切与该项目采购有关的事务。</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63"/>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63"/>
        <w:jc w:val="both"/>
        <w:spacing w:beforeAutospacing="0" w:afterAutospacing="0"/>
        <w:tabs>
          <w:tab w:val="left" w:pos="360" w:leader="none"/>
        </w:tabs>
        <w:rPr>
          <w:rFonts w:ascii="Times New Roman" w:hAnsi="Times New Roman"/>
          <w:color w:val="auto"/>
          <w:highlight w:val="none"/>
          <w:u w:val="singl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单位地址：</w:t>
      </w:r>
      <w:r>
        <w:rPr>
          <w:rFonts w:ascii="Times New Roman" w:hAnsi="Times New Roman"/>
          <w:color w:val="auto"/>
          <w:highlight w:val="none"/>
          <w:u w:val="single"/>
        </w:rPr>
        <w:t xml:space="preserve">                                         </w:t>
      </w:r>
      <w:r/>
    </w:p>
    <w:p>
      <w:pPr>
        <w:pStyle w:val="863"/>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日期：</w:t>
      </w:r>
      <w:bookmarkStart w:id="182" w:name="_Hlt26955070"/>
      <w:r/>
      <w:bookmarkStart w:id="183" w:name="_格式3__银行出具的资信证明"/>
      <w:r/>
      <w:bookmarkStart w:id="184" w:name="_Hlt26671380"/>
      <w:r>
        <w:rPr>
          <w:rFonts w:ascii="Times New Roman" w:hAnsi="Times New Roman"/>
          <w:color w:val="auto"/>
          <w:highlight w:val="none"/>
          <w:u w:val="single"/>
        </w:rPr>
        <w:t xml:space="preserve">                                         </w:t>
      </w:r>
      <w:r/>
    </w:p>
    <w:p>
      <w:pPr>
        <w:pStyle w:val="863"/>
        <w:ind w:firstLine="420"/>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863"/>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bCs/>
          <w:color w:val="auto"/>
          <w:highlight w:val="none"/>
        </w:rPr>
      </w:pPr>
      <w:r>
        <w:rPr>
          <w:rFonts w:hint="eastAsia" w:ascii="宋体" w:hAnsi="宋体" w:eastAsia="宋体" w:cs="宋体"/>
          <w:b/>
          <w:color w:val="auto"/>
          <w:highlight w:val="none"/>
        </w:rPr>
      </w: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rPr>
          <w:rFonts w:hint="eastAsia" w:ascii="宋体" w:hAnsi="宋体" w:eastAsia="宋体" w:cs="宋体"/>
          <w:b/>
          <w:bCs/>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bCs/>
          <w:color w:val="auto"/>
          <w:highlight w:val="none"/>
        </w:rPr>
      </w:pPr>
      <w:r>
        <w:rPr>
          <w:rFonts w:hint="eastAsia" w:ascii="宋体" w:hAnsi="宋体" w:eastAsia="宋体" w:cs="宋体"/>
          <w:b/>
          <w:color w:val="auto"/>
          <w:highlight w:val="none"/>
        </w:rPr>
      </w:r>
      <w:r/>
    </w:p>
    <w:p>
      <w:pPr>
        <w:pStyle w:val="863"/>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ind w:firstLine="3390"/>
        <w:jc w:val="both"/>
        <w:keepLines/>
        <w:keepNext/>
        <w:spacing w:before="260" w:beforeAutospacing="0" w:after="260" w:afterAutospacing="0" w:line="415" w:lineRule="auto"/>
        <w:rPr>
          <w:rFonts w:hint="eastAsia" w:ascii="宋体" w:hAnsi="宋体" w:eastAsia="宋体" w:cs="宋体"/>
          <w:b/>
          <w:color w:val="auto"/>
          <w:highlight w:val="none"/>
        </w:rPr>
      </w:pPr>
      <w:r>
        <w:rPr>
          <w:rFonts w:hint="eastAsia" w:ascii="黑体" w:hAnsi="宋体" w:eastAsia="黑体" w:cs="黑体"/>
          <w:b/>
          <w:i/>
          <w:color w:val="auto"/>
          <w:sz w:val="32"/>
          <w:szCs w:val="32"/>
          <w:highlight w:val="none"/>
          <w:u w:val="single"/>
        </w:rPr>
        <w:t xml:space="preserve">八、投标函</w:t>
      </w:r>
      <w:r/>
    </w:p>
    <w:p>
      <w:pPr>
        <w:pStyle w:val="863"/>
        <w:spacing w:beforeAutospacing="0" w:afterAutospacing="0" w:line="0" w:lineRule="atLeas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63"/>
        <w:spacing w:beforeAutospacing="0" w:afterAutospacing="0" w:line="0" w:lineRule="atLeast"/>
        <w:rPr>
          <w:color w:val="auto"/>
          <w:highlight w:val="none"/>
        </w:rPr>
      </w:pPr>
      <w:r>
        <w:rPr>
          <w:rFonts w:hint="eastAsia" w:ascii="宋体" w:hAnsi="宋体" w:eastAsia="宋体" w:cs="宋体"/>
          <w:b/>
          <w:color w:val="auto"/>
          <w:highlight w:val="none"/>
        </w:rPr>
        <w:t xml:space="preserve">致：滨海县公安局</w:t>
      </w:r>
      <w:r/>
    </w:p>
    <w:p>
      <w:pPr>
        <w:pStyle w:val="863"/>
        <w:ind w:firstLine="480"/>
        <w:spacing w:beforeAutospacing="0" w:afterAutospacing="0" w:line="0" w:lineRule="atLeast"/>
        <w:rPr>
          <w:color w:val="auto"/>
          <w:highlight w:val="none"/>
        </w:rPr>
      </w:pPr>
      <w:r>
        <w:rPr>
          <w:rFonts w:hint="eastAsia" w:ascii="宋体" w:hAnsi="宋体" w:eastAsia="宋体" w:cs="宋体"/>
          <w:b/>
          <w:color w:val="auto"/>
          <w:highlight w:val="none"/>
        </w:rPr>
        <w:t xml:space="preserve">根据贵方的</w:t>
      </w:r>
      <w:r>
        <w:rPr>
          <w:rFonts w:hint="eastAsia" w:ascii="宋体" w:hAnsi="宋体" w:eastAsia="宋体" w:cs="宋体"/>
          <w:b/>
          <w:color w:val="auto"/>
          <w:highlight w:val="none"/>
          <w:u w:val="single"/>
        </w:rPr>
        <w:t xml:space="preserve">JSZC-***            </w:t>
      </w:r>
      <w:r>
        <w:rPr>
          <w:rFonts w:hint="eastAsia" w:ascii="宋体" w:hAnsi="宋体" w:eastAsia="宋体" w:cs="宋体"/>
          <w:b/>
          <w:color w:val="auto"/>
          <w:highlight w:val="none"/>
        </w:rPr>
        <w:t xml:space="preserve">号招标文件，正式授权下述签字人_________________(姓名)代表我方______________（投标人的名称），全权处理本次项目投标的有关事宜。</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63"/>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63"/>
        <w:ind w:left="425"/>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地          址：</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邮          编：</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电          话：</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传          真：</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投标人开户行：</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账          号： </w:t>
      </w:r>
      <w:r/>
    </w:p>
    <w:p>
      <w:pPr>
        <w:pStyle w:val="863"/>
        <w:ind w:left="420"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日           期：________年____月____日</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r>
      <w:r/>
    </w:p>
    <w:p>
      <w:pPr>
        <w:pStyle w:val="863"/>
        <w:ind w:firstLine="240"/>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w:t>
      </w:r>
      <w:r>
        <w:rPr>
          <w:rFonts w:hint="eastAsia" w:ascii="黑体" w:hAnsi="宋体" w:eastAsia="黑体" w:cs="黑体"/>
          <w:b/>
          <w:color w:val="auto"/>
          <w:sz w:val="32"/>
          <w:szCs w:val="32"/>
          <w:highlight w:val="none"/>
          <w:lang w:val="en-US" w:eastAsia="zh-CN"/>
        </w:rPr>
        <w:t xml:space="preserve">货物</w:t>
      </w:r>
      <w:r>
        <w:rPr>
          <w:rFonts w:hint="eastAsia" w:ascii="黑体" w:hAnsi="宋体" w:eastAsia="黑体" w:cs="黑体"/>
          <w:b/>
          <w:color w:val="auto"/>
          <w:sz w:val="32"/>
          <w:szCs w:val="32"/>
          <w:highlight w:val="none"/>
        </w:rPr>
        <w:t xml:space="preserve">）（分包号：**）</w:t>
      </w:r>
      <w:r/>
    </w:p>
    <w:p>
      <w:pPr>
        <w:ind w:firstLine="480"/>
        <w:jc w:val="both"/>
        <w:spacing w:line="500" w:lineRule="exact"/>
        <w:rPr>
          <w:rFonts w:hint="eastAsia"/>
          <w:color w:val="auto"/>
          <w:sz w:val="24"/>
          <w:highlight w:val="none"/>
        </w:rPr>
      </w:pPr>
      <w:r>
        <w:rPr>
          <w:rFonts w:hint="eastAsia"/>
          <w:color w:val="auto"/>
          <w:sz w:val="24"/>
          <w:highlight w:val="none"/>
        </w:rPr>
      </w:r>
      <w:r/>
    </w:p>
    <w:p>
      <w:pPr>
        <w:ind w:firstLine="480"/>
        <w:jc w:val="both"/>
        <w:spacing w:line="500" w:lineRule="exact"/>
        <w:rPr>
          <w:rFonts w:hint="eastAsia"/>
          <w:color w:val="auto"/>
          <w:sz w:val="24"/>
          <w:highlight w:val="none"/>
        </w:rPr>
      </w:pPr>
      <w:r>
        <w:rPr>
          <w:rFonts w:hint="eastAsia"/>
          <w:b/>
          <w:color w:val="auto"/>
          <w:sz w:val="24"/>
          <w:highlight w:val="none"/>
        </w:rPr>
        <w:t xml:space="preserve">本公司（联合体）郑重声明，根据《政府采购促进中小企业发展管理办法》(财库〔2020〕46号)的规定，本公司（联合体）参加滨海县公安局组织的滨海县</w:t>
      </w:r>
      <w:r>
        <w:rPr>
          <w:rFonts w:hint="eastAsia"/>
          <w:b/>
          <w:color w:val="auto"/>
          <w:sz w:val="24"/>
          <w:highlight w:val="none"/>
          <w:u w:val="single"/>
        </w:rPr>
        <w:t xml:space="preserve">公安局2026年DNA实验室耗材采购项目，采购编号为JSZC-320922-ZQYC-G2026-00××       的（项目名称）       </w:t>
      </w:r>
      <w:r>
        <w:rPr>
          <w:rFonts w:hint="eastAsia"/>
          <w:b/>
          <w:color w:val="auto"/>
          <w:sz w:val="24"/>
          <w:highlight w:val="none"/>
        </w:rPr>
        <w:t xml:space="preserve">的采购活动，提供的货物全部由符合政策要求的中小企业制造。相关企业（含联合体中的中小企业、签订分包意向协议的中小企业）的具体情况如下：</w:t>
      </w:r>
      <w:r/>
    </w:p>
    <w:p>
      <w:pPr>
        <w:pStyle w:val="8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1.</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2.</w:t>
      </w:r>
      <w:r>
        <w:rPr>
          <w:rFonts w:hint="eastAsia"/>
          <w:color w:val="auto"/>
          <w:highlight w:val="none"/>
          <w:u w:val="single"/>
        </w:rPr>
        <w:t xml:space="preserve">（标的名称）</w:t>
      </w:r>
      <w:r>
        <w:rPr>
          <w:rFonts w:hint="eastAsia"/>
          <w:i/>
          <w:color w:val="auto"/>
          <w:highlight w:val="none"/>
        </w:rPr>
        <w:t xml:space="preserve">，</w:t>
      </w:r>
      <w:r>
        <w:rPr>
          <w:rFonts w:hint="eastAsia"/>
          <w:color w:val="auto"/>
          <w:highlight w:val="none"/>
        </w:rPr>
        <w:t xml:space="preserve">属于</w:t>
      </w:r>
      <w:r>
        <w:rPr>
          <w:rFonts w:hint="eastAsia"/>
          <w:color w:val="auto"/>
          <w:highlight w:val="none"/>
          <w:u w:val="single"/>
          <w:lang w:val="en-US" w:eastAsia="zh-CN"/>
        </w:rPr>
        <w:t xml:space="preserve">(采购文件中明确的所属行业)</w:t>
      </w:r>
      <w:r>
        <w:rPr>
          <w:rFonts w:hint="eastAsia"/>
          <w:color w:val="auto"/>
          <w:highlight w:val="none"/>
        </w:rPr>
        <w:t xml:space="preserve">行业；制造商为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pStyle w:val="8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w:t>
      </w:r>
      <w:r/>
    </w:p>
    <w:p>
      <w:pPr>
        <w:pStyle w:val="8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pStyle w:val="863"/>
        <w:ind w:firstLine="360"/>
        <w:jc w:val="both"/>
        <w:spacing w:before="0" w:beforeAutospacing="0" w:after="0" w:afterAutospacing="0" w:line="360" w:lineRule="auto"/>
        <w:widowControl w:val="off"/>
        <w:rPr>
          <w:color w:val="auto"/>
          <w:highlight w:val="none"/>
        </w:rPr>
      </w:pPr>
      <w:r>
        <w:rPr>
          <w:rFonts w:hint="eastAsia"/>
          <w:color w:val="auto"/>
          <w:highlight w:val="none"/>
        </w:rPr>
        <w:t xml:space="preserve">本企业对上述声明内容的真实性负责。如有虚假，将依法承担相应责任</w:t>
      </w:r>
      <w:r/>
    </w:p>
    <w:p>
      <w:pPr>
        <w:pStyle w:val="863"/>
        <w:ind w:right="720"/>
        <w:jc w:val="both"/>
        <w:spacing w:before="0" w:beforeAutospacing="0" w:after="0" w:afterAutospacing="0" w:line="360" w:lineRule="auto"/>
        <w:widowControl w:val="off"/>
        <w:rPr>
          <w:color w:val="auto"/>
          <w:highlight w:val="none"/>
        </w:rPr>
      </w:pPr>
      <w:r>
        <w:rPr>
          <w:color w:val="auto"/>
          <w:highlight w:val="none"/>
        </w:rPr>
        <w:t xml:space="preserve"> </w:t>
      </w:r>
      <w:r/>
    </w:p>
    <w:p>
      <w:pPr>
        <w:pStyle w:val="863"/>
        <w:ind w:right="180" w:firstLine="360"/>
        <w:jc w:val="right"/>
        <w:spacing w:before="0" w:beforeAutospacing="0" w:after="0" w:afterAutospacing="0" w:line="360" w:lineRule="auto"/>
        <w:widowControl w:val="off"/>
        <w:rPr>
          <w:color w:val="auto"/>
          <w:highlight w:val="none"/>
        </w:rPr>
      </w:pPr>
      <w:r>
        <w:rPr>
          <w:rFonts w:hint="eastAsia"/>
          <w:color w:val="auto"/>
          <w:highlight w:val="none"/>
        </w:rPr>
        <w:t xml:space="preserve">企业名称（加盖CA电子公章）：</w:t>
      </w:r>
      <w:r/>
    </w:p>
    <w:p>
      <w:pPr>
        <w:pStyle w:val="863"/>
        <w:ind w:right="480" w:firstLine="5400"/>
        <w:jc w:val="both"/>
        <w:spacing w:before="0" w:beforeAutospacing="0" w:after="0" w:afterAutospacing="0" w:line="360" w:lineRule="auto"/>
        <w:widowControl w:val="off"/>
        <w:rPr>
          <w:color w:val="auto"/>
          <w:highlight w:val="none"/>
        </w:rPr>
      </w:pPr>
      <w:r>
        <w:rPr>
          <w:rFonts w:hint="eastAsia"/>
          <w:color w:val="auto"/>
          <w:highlight w:val="none"/>
        </w:rPr>
        <w:t xml:space="preserve">日  期：</w:t>
      </w:r>
      <w:r/>
    </w:p>
    <w:p>
      <w:pPr>
        <w:pStyle w:val="863"/>
        <w:ind w:firstLine="360"/>
        <w:jc w:val="both"/>
        <w:spacing w:before="0" w:beforeAutospacing="0" w:after="0" w:afterAutospacing="0" w:line="360" w:lineRule="auto"/>
        <w:widowControl w:val="off"/>
        <w:rPr>
          <w:color w:val="auto"/>
          <w:highlight w:val="none"/>
        </w:rPr>
      </w:pPr>
      <w:r>
        <w:rPr>
          <w:color w:val="auto"/>
          <w:highlight w:val="none"/>
        </w:rPr>
        <w:t xml:space="preserve"> </w:t>
      </w:r>
      <w:r/>
    </w:p>
    <w:p>
      <w:pPr>
        <w:pStyle w:val="863"/>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备注1：从业人员、营业收入、资产总额填报上一年度数据，无上一年度数据的新成立企业可不填报。</w:t>
      </w:r>
      <w:r/>
    </w:p>
    <w:p>
      <w:pPr>
        <w:pStyle w:val="863"/>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备注2：供应商如不提供此声明函，价格将不做相应扣除（如项目全面面向中小企业，则资格审查不通过）。</w:t>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r>
      <w:r/>
    </w:p>
    <w:p>
      <w:pPr>
        <w:pStyle w:val="8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十、残疾人福利性单位声明函（分包号：**）</w:t>
      </w:r>
      <w:r/>
    </w:p>
    <w:p>
      <w:pPr>
        <w:pStyle w:val="8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 xml:space="preserve">〔2017〕141号</w:t>
      </w:r>
      <w:r>
        <w:rPr>
          <w:rFonts w:hint="eastAsia" w:ascii="宋体" w:hAnsi="宋体" w:eastAsia="宋体" w:cs="宋体"/>
          <w:color w:val="auto"/>
          <w:highlight w:val="none"/>
        </w:rPr>
        <w:t xml:space="preserve">）的规定，本单位为符合条件的残疾人福利性单位，且本单位参加______单位的采购文件编号为______的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8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63"/>
        <w:ind w:firstLine="480"/>
        <w:jc w:val="both"/>
        <w:spacing w:beforeAutospacing="0" w:afterAutospacing="0" w:line="0" w:lineRule="atLeast"/>
        <w:rPr>
          <w:color w:val="auto"/>
          <w:highlight w:val="none"/>
        </w:rPr>
      </w:pPr>
      <w:r>
        <w:rPr>
          <w:color w:val="auto"/>
          <w:highlight w:val="none"/>
        </w:rPr>
        <w:t xml:space="preserve"> </w:t>
      </w:r>
      <w:r/>
    </w:p>
    <w:p>
      <w:pPr>
        <w:pStyle w:val="863"/>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。2、中标供应商为残疾人福利单位的，此声明函将随中标结果同时公告，接受社会监督</w:t>
      </w:r>
      <w:r/>
    </w:p>
    <w:p>
      <w:pPr>
        <w:pStyle w:val="863"/>
        <w:ind w:firstLine="624"/>
        <w:jc w:val="both"/>
        <w:spacing w:beforeAutospacing="0" w:afterAutospacing="0" w:line="0" w:lineRule="atLeast"/>
        <w:rPr>
          <w:color w:val="auto"/>
          <w:highlight w:val="none"/>
        </w:rPr>
      </w:pPr>
      <w:r>
        <w:rPr>
          <w:color w:val="auto"/>
          <w:highlight w:val="none"/>
        </w:rPr>
        <w:t xml:space="preserve"> </w:t>
      </w:r>
      <w:r/>
    </w:p>
    <w:p>
      <w:pPr>
        <w:pStyle w:val="863"/>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63"/>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t xml:space="preserve"> </w:t>
      </w:r>
      <w:r/>
    </w:p>
    <w:p>
      <w:pPr>
        <w:rPr>
          <w:color w:val="auto"/>
          <w:spacing w:val="27"/>
          <w:sz w:val="39"/>
          <w:szCs w:val="39"/>
          <w:highlight w:val="none"/>
        </w:rPr>
      </w:pPr>
      <w:r>
        <w:rPr>
          <w:color w:val="auto"/>
          <w:spacing w:val="27"/>
          <w:sz w:val="39"/>
          <w:szCs w:val="39"/>
          <w:highlight w:val="none"/>
        </w:rPr>
        <w:br w:type="page" w:clear="all"/>
      </w:r>
      <w:r/>
    </w:p>
    <w:p>
      <w:pPr>
        <w:pStyle w:val="859"/>
        <w:ind w:left="1537"/>
        <w:spacing w:before="168" w:line="207" w:lineRule="auto"/>
        <w:rPr>
          <w:color w:val="auto"/>
          <w:spacing w:val="27"/>
          <w:sz w:val="39"/>
          <w:szCs w:val="39"/>
          <w:highlight w:val="none"/>
        </w:rPr>
      </w:pPr>
      <w:r>
        <w:rPr>
          <w:color w:val="auto"/>
          <w:spacing w:val="27"/>
          <w:sz w:val="39"/>
          <w:szCs w:val="39"/>
          <w:highlight w:val="none"/>
        </w:rPr>
      </w:r>
      <w:r/>
    </w:p>
    <w:p>
      <w:pPr>
        <w:pStyle w:val="863"/>
        <w:ind w:left="0" w:right="0"/>
        <w:jc w:val="center"/>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863"/>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bCs/>
          <w:color w:val="auto"/>
          <w:sz w:val="24"/>
          <w:szCs w:val="24"/>
          <w:highlight w:val="none"/>
        </w:rPr>
        <w:t xml:space="preserve"> </w:t>
      </w:r>
      <w:r/>
    </w:p>
    <w:p>
      <w:pPr>
        <w:pStyle w:val="863"/>
        <w:ind w:left="0" w:firstLine="420"/>
        <w:jc w:val="both"/>
        <w:keepLines w:val="0"/>
        <w:keepNext w:val="0"/>
        <w:spacing w:before="0" w:beforeAutospacing="0" w:after="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w:t>
      </w:r>
      <w:r>
        <w:rPr>
          <w:rFonts w:ascii="宋体" w:hAnsi="宋体" w:eastAsia="宋体" w:cs="宋体"/>
          <w:b/>
          <w:bCs/>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vertAlign w:val="superscript"/>
        </w:rPr>
        <w:t xml:space="preserve">1</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vertAlign w:val="superscript"/>
        </w:rPr>
        <w:t xml:space="preserve">2</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 （产品名称1）</w:t>
      </w:r>
      <w:r>
        <w:rPr>
          <w:rFonts w:ascii="宋体" w:hAnsi="宋体" w:eastAsia="宋体" w:cs="宋体"/>
          <w:b/>
          <w:bCs/>
          <w:color w:val="auto"/>
          <w:sz w:val="24"/>
          <w:szCs w:val="24"/>
          <w:highlight w:val="none"/>
          <w:u w:val="single"/>
          <w:shd w:val="clear" w:color="auto" w:fill="ffffff"/>
        </w:rPr>
        <w:t xml:space="preserve"> </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strike/>
          <w:color w:val="auto"/>
          <w:sz w:val="24"/>
          <w:szCs w:val="24"/>
          <w:highlight w:val="none"/>
          <w:shd w:val="clear" w:color="auto" w:fill="ffffff"/>
          <w:vertAlign w:val="superscript"/>
        </w:rPr>
        <w:t xml:space="preserve">3</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strike/>
          <w:color w:val="auto"/>
          <w:sz w:val="24"/>
          <w:szCs w:val="24"/>
          <w:highlight w:val="none"/>
          <w:shd w:val="clear" w:color="auto" w:fill="ffffff"/>
          <w:vertAlign w:val="superscript"/>
        </w:rPr>
        <w:t xml:space="preserve">4</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strike/>
          <w:color w:val="auto"/>
          <w:sz w:val="24"/>
          <w:szCs w:val="24"/>
          <w:highlight w:val="none"/>
          <w:shd w:val="clear" w:color="auto" w:fill="ffffff"/>
          <w:vertAlign w:val="superscript"/>
        </w:rPr>
        <w:t xml:space="preserve">5</w:t>
      </w:r>
      <w:r>
        <w:rPr>
          <w:rFonts w:ascii="宋体" w:hAnsi="宋体" w:eastAsia="宋体" w:cs="宋体"/>
          <w:b/>
          <w:bCs/>
          <w:color w:val="auto"/>
          <w:sz w:val="24"/>
          <w:szCs w:val="24"/>
          <w:highlight w:val="none"/>
          <w:shd w:val="clear" w:color="auto" w:fill="ffffff"/>
        </w:rPr>
        <w:t xml:space="preserve">在中国境内完成。</w:t>
      </w:r>
      <w:r/>
    </w:p>
    <w:p>
      <w:pPr>
        <w:pStyle w:val="86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w:t>
      </w:r>
      <w:r>
        <w:rPr>
          <w:rFonts w:ascii="宋体" w:hAnsi="宋体" w:eastAsia="宋体" w:cs="宋体"/>
          <w:b/>
          <w:bCs/>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，生产厂为</w:t>
      </w:r>
      <w:r>
        <w:rPr>
          <w:rFonts w:ascii="宋体" w:hAnsi="宋体" w:eastAsia="宋体" w:cs="宋体"/>
          <w:b/>
          <w:bCs/>
          <w:color w:val="auto"/>
          <w:sz w:val="24"/>
          <w:szCs w:val="24"/>
          <w:highlight w:val="none"/>
          <w:u w:val="single"/>
          <w:shd w:val="clear" w:color="auto" w:fill="ffffff"/>
        </w:rPr>
        <w:t xml:space="preserve">（厂名）</w:t>
      </w:r>
      <w:r>
        <w:rPr>
          <w:rFonts w:ascii="宋体" w:hAnsi="宋体" w:eastAsia="宋体" w:cs="宋体"/>
          <w:b/>
          <w:bCs/>
          <w:color w:val="auto"/>
          <w:sz w:val="24"/>
          <w:szCs w:val="24"/>
          <w:highlight w:val="none"/>
          <w:shd w:val="clear" w:color="auto" w:fill="ffffff"/>
        </w:rPr>
        <w:t xml:space="preserve">，厂址为</w:t>
      </w:r>
      <w:r>
        <w:rPr>
          <w:rFonts w:ascii="宋体" w:hAnsi="宋体" w:eastAsia="宋体" w:cs="宋体"/>
          <w:b/>
          <w:bCs/>
          <w:color w:val="auto"/>
          <w:sz w:val="24"/>
          <w:szCs w:val="24"/>
          <w:highlight w:val="none"/>
          <w:u w:val="single"/>
          <w:shd w:val="clear" w:color="auto" w:fill="ffffff"/>
        </w:rPr>
        <w:t xml:space="preserve">（生产厂址）</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的中国境内生产的组件成本占比≥</w:t>
      </w:r>
      <w:r>
        <w:rPr>
          <w:rFonts w:ascii="宋体" w:hAnsi="宋体" w:eastAsia="宋体" w:cs="宋体"/>
          <w:b/>
          <w:bCs/>
          <w:strike/>
          <w:color w:val="auto"/>
          <w:sz w:val="24"/>
          <w:szCs w:val="24"/>
          <w:highlight w:val="none"/>
          <w:u w:val="single"/>
          <w:shd w:val="clear" w:color="auto" w:fill="ffffff"/>
        </w:rPr>
        <w:t xml:space="preserve">（规定比例）</w:t>
      </w:r>
      <w:r>
        <w:rPr>
          <w:rFonts w:ascii="宋体" w:hAnsi="宋体" w:eastAsia="宋体" w:cs="宋体"/>
          <w:b/>
          <w:bCs/>
          <w:color w:val="auto"/>
          <w:sz w:val="24"/>
          <w:szCs w:val="24"/>
          <w:highlight w:val="none"/>
          <w:shd w:val="clear" w:color="auto" w:fill="ffffff"/>
        </w:rPr>
        <w:t xml:space="preserve">。</w:t>
      </w:r>
      <w:r>
        <w:rPr>
          <w:rFonts w:ascii="宋体" w:hAnsi="宋体" w:eastAsia="宋体" w:cs="宋体"/>
          <w:b/>
          <w:bCs/>
          <w:strike/>
          <w:color w:val="auto"/>
          <w:sz w:val="24"/>
          <w:szCs w:val="24"/>
          <w:highlight w:val="none"/>
          <w:u w:val="single"/>
          <w:shd w:val="clear" w:color="auto" w:fill="ffffff"/>
        </w:rPr>
        <w:t xml:space="preserve">（产品名称2）</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（关键组件）</w:t>
      </w:r>
      <w:r>
        <w:rPr>
          <w:rFonts w:ascii="宋体" w:hAnsi="宋体" w:eastAsia="宋体" w:cs="宋体"/>
          <w:b/>
          <w:bCs/>
          <w:color w:val="auto"/>
          <w:sz w:val="24"/>
          <w:szCs w:val="24"/>
          <w:highlight w:val="none"/>
          <w:shd w:val="clear" w:color="auto" w:fill="ffffff"/>
        </w:rPr>
        <w:t xml:space="preserve">在中国境内生产。</w:t>
      </w:r>
      <w:r>
        <w:rPr>
          <w:rFonts w:ascii="宋体" w:hAnsi="宋体" w:eastAsia="宋体" w:cs="宋体"/>
          <w:b/>
          <w:bCs/>
          <w:strike/>
          <w:color w:val="auto"/>
          <w:sz w:val="24"/>
          <w:szCs w:val="24"/>
          <w:highlight w:val="none"/>
          <w:u w:val="single"/>
          <w:shd w:val="clear" w:color="auto" w:fill="ffffff"/>
        </w:rPr>
        <w:t xml:space="preserve">（产品名称1）</w:t>
      </w:r>
      <w:r>
        <w:rPr>
          <w:rFonts w:ascii="宋体" w:hAnsi="宋体" w:eastAsia="宋体" w:cs="宋体"/>
          <w:b/>
          <w:bCs/>
          <w:color w:val="auto"/>
          <w:sz w:val="24"/>
          <w:szCs w:val="24"/>
          <w:highlight w:val="none"/>
          <w:shd w:val="clear" w:color="auto" w:fill="ffffff"/>
        </w:rPr>
        <w:t xml:space="preserve">的</w:t>
      </w:r>
      <w:r>
        <w:rPr>
          <w:rFonts w:ascii="宋体" w:hAnsi="宋体" w:eastAsia="宋体" w:cs="宋体"/>
          <w:b/>
          <w:bCs/>
          <w:strike/>
          <w:color w:val="auto"/>
          <w:sz w:val="24"/>
          <w:szCs w:val="24"/>
          <w:highlight w:val="none"/>
          <w:u w:val="single"/>
          <w:shd w:val="clear" w:color="auto" w:fill="ffffff"/>
        </w:rPr>
        <w:t xml:space="preserve">（关键工序）</w:t>
      </w:r>
      <w:r>
        <w:rPr>
          <w:rFonts w:ascii="宋体" w:hAnsi="宋体" w:eastAsia="宋体" w:cs="宋体"/>
          <w:b/>
          <w:bCs/>
          <w:color w:val="auto"/>
          <w:sz w:val="24"/>
          <w:szCs w:val="24"/>
          <w:highlight w:val="none"/>
          <w:shd w:val="clear" w:color="auto" w:fill="ffffff"/>
        </w:rPr>
        <w:t xml:space="preserve">在中国境内完成。</w:t>
      </w:r>
      <w:r/>
    </w:p>
    <w:p>
      <w:pPr>
        <w:pStyle w:val="86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w:t>
      </w:r>
      <w:r/>
    </w:p>
    <w:p>
      <w:pPr>
        <w:pStyle w:val="863"/>
        <w:ind w:left="0" w:firstLine="4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本公司（单位）对上述声明内容的真实性负责。如有虚假，愿承担相应法律责任。</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rPr>
        <w:t xml:space="preserve"> </w:t>
      </w:r>
      <w:r/>
    </w:p>
    <w:p>
      <w:pPr>
        <w:pStyle w:val="863"/>
        <w:ind w:left="0" w:right="480" w:firstLine="3720"/>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公司（单位）名称（盖章）：　</w:t>
      </w:r>
      <w:r/>
    </w:p>
    <w:p>
      <w:pPr>
        <w:pStyle w:val="863"/>
        <w:jc w:val="center"/>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                                日期：　   年　  月　  日         </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__________________</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1.产品如有型号，请在“产品名称”栏一并填写。</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63"/>
        <w:jc w:val="both"/>
        <w:keepLines w:val="0"/>
        <w:keepNext w:val="0"/>
        <w:spacing w:before="30" w:beforeAutospacing="0" w:after="30" w:afterAutospacing="0"/>
        <w:widowControl w:val="off"/>
        <w:rPr>
          <w:b/>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63"/>
        <w:jc w:val="both"/>
        <w:keepLines w:val="0"/>
        <w:keepNext w:val="0"/>
        <w:spacing w:before="30" w:beforeAutospacing="0" w:after="30" w:afterAutospacing="0"/>
        <w:widowControl w:val="off"/>
        <w:rPr>
          <w:rFonts w:ascii="宋体" w:hAnsi="宋体" w:eastAsia="宋体" w:cs="宋体"/>
          <w:b/>
          <w:bCs/>
          <w:color w:val="auto"/>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auto"/>
          <w:sz w:val="24"/>
          <w:szCs w:val="24"/>
          <w:highlight w:val="none"/>
          <w:shd w:val="clear" w:color="auto" w:fill="ffffff"/>
        </w:rPr>
        <w:t xml:space="preserve">6.用</w:t>
      </w:r>
      <w:r>
        <w:rPr>
          <w:rFonts w:hint="eastAsia" w:ascii="宋体" w:hAnsi="宋体" w:eastAsia="宋体" w:cs="宋体"/>
          <w:b/>
          <w:bCs/>
          <w:color w:val="auto"/>
          <w:sz w:val="24"/>
          <w:szCs w:val="24"/>
          <w:highlight w:val="none"/>
          <w:shd w:val="clear" w:color="auto" w:fill="ffffff"/>
          <w:lang w:val="en-US" w:eastAsia="zh-CN"/>
        </w:rPr>
        <w:t xml:space="preserve">横</w:t>
      </w:r>
      <w:r>
        <w:rPr>
          <w:rFonts w:ascii="宋体" w:hAnsi="宋体" w:eastAsia="宋体" w:cs="宋体"/>
          <w:b/>
          <w:bCs/>
          <w:color w:val="auto"/>
          <w:sz w:val="24"/>
          <w:szCs w:val="24"/>
          <w:highlight w:val="none"/>
          <w:shd w:val="clear" w:color="auto" w:fill="ffffff"/>
        </w:rPr>
        <w:t xml:space="preserve">线划除的地方无需填写。</w:t>
      </w:r>
      <w:r/>
    </w:p>
    <w:p>
      <w:pPr>
        <w:numPr>
          <w:ilvl w:val="0"/>
          <w:numId w:val="0"/>
        </w:numPr>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b/>
          <w:bCs/>
          <w:color w:val="auto"/>
          <w:sz w:val="24"/>
          <w:szCs w:val="24"/>
          <w:highlight w:val="none"/>
          <w:shd w:val="clear" w:color="auto" w:fill="ffffff"/>
          <w:lang w:val="en-US" w:eastAsia="zh-CN"/>
        </w:rPr>
        <w:t xml:space="preserve">备注：</w:t>
      </w:r>
      <w:r>
        <w:rPr>
          <w:rFonts w:hint="eastAsia" w:ascii="宋体" w:hAnsi="宋体" w:eastAsia="宋体" w:cs="宋体"/>
          <w:b/>
          <w:bCs/>
          <w:color w:val="auto"/>
          <w:sz w:val="24"/>
          <w:szCs w:val="24"/>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863"/>
        <w:jc w:val="both"/>
        <w:keepLines w:val="0"/>
        <w:keepNext w:val="0"/>
        <w:spacing w:before="30" w:beforeAutospacing="0" w:after="30" w:afterAutospacing="0"/>
        <w:widowControl w:val="off"/>
        <w:rPr>
          <w:rFonts w:hint="default" w:ascii="宋体" w:hAnsi="宋体" w:eastAsia="宋体" w:cs="宋体"/>
          <w:b/>
          <w:bCs/>
          <w:color w:val="auto"/>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4"/>
          <w:highlight w:val="none"/>
          <w:shd w:val="clear" w:color="auto" w:fill="ffffff"/>
          <w:lang w:val="en-US" w:eastAsia="zh-CN"/>
        </w:rPr>
      </w:r>
      <w:r/>
    </w:p>
    <w:p>
      <w:pPr>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r>
      <w:r/>
    </w:p>
    <w:p>
      <w:pPr>
        <w:spacing w:line="241" w:lineRule="auto"/>
        <w:rPr>
          <w:rFonts w:ascii="Arial"/>
          <w:color w:val="auto"/>
          <w:sz w:val="21"/>
          <w:highlight w:val="none"/>
        </w:rPr>
      </w:pPr>
      <w:r>
        <w:rPr>
          <w:rFonts w:ascii="Arial"/>
          <w:color w:val="auto"/>
          <w:sz w:val="21"/>
          <w:highlight w:val="none"/>
        </w:rPr>
      </w:r>
      <w:r/>
    </w:p>
    <w:p>
      <w:pPr>
        <w:spacing w:line="241" w:lineRule="auto"/>
        <w:rPr>
          <w:rFonts w:ascii="Arial"/>
          <w:color w:val="auto"/>
          <w:sz w:val="21"/>
          <w:highlight w:val="none"/>
        </w:rPr>
      </w:pPr>
      <w:r>
        <w:rPr>
          <w:rFonts w:ascii="Arial"/>
          <w:color w:val="auto"/>
          <w:sz w:val="21"/>
          <w:highlight w:val="none"/>
        </w:rPr>
      </w:r>
      <w:r/>
    </w:p>
    <w:p>
      <w:pPr>
        <w:pStyle w:val="863"/>
        <w:jc w:val="center"/>
        <w:spacing w:beforeAutospacing="0" w:afterAutospacing="0" w:line="0" w:lineRule="atLeast"/>
        <w:rPr>
          <w:color w:val="auto"/>
          <w:highlight w:val="none"/>
        </w:rPr>
      </w:pPr>
      <w:r>
        <w:rPr>
          <w:color w:val="auto"/>
          <w:highlight w:val="none"/>
        </w:rPr>
        <w:t xml:space="preserve"> </w:t>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color w:val="auto"/>
          <w:highlight w:val="none"/>
        </w:rPr>
      </w:r>
      <w:r/>
    </w:p>
    <w:p>
      <w:pPr>
        <w:pStyle w:val="863"/>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二</w:t>
      </w:r>
      <w:r>
        <w:rPr>
          <w:rFonts w:hint="eastAsia" w:ascii="黑体" w:hAnsi="宋体" w:eastAsia="黑体" w:cs="黑体"/>
          <w:b/>
          <w:color w:val="auto"/>
          <w:sz w:val="32"/>
          <w:szCs w:val="32"/>
          <w:highlight w:val="none"/>
        </w:rPr>
        <w:t xml:space="preserve">、联合体协议（参考格式）（分包号：**）</w:t>
      </w:r>
      <w:r/>
    </w:p>
    <w:p>
      <w:pPr>
        <w:pStyle w:val="86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自愿组成联合体，参加盐城市政府采购中心组织的采购编号为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63"/>
        <w:ind w:firstLine="645"/>
        <w:jc w:val="both"/>
        <w:spacing w:beforeAutospacing="0" w:afterAutospacing="0" w:line="0" w:lineRule="atLeast"/>
        <w:rPr>
          <w:color w:val="auto"/>
          <w:highlight w:val="none"/>
        </w:rPr>
      </w:pPr>
      <w:r>
        <w:rPr>
          <w:color w:val="auto"/>
          <w:highlight w:val="none"/>
        </w:rPr>
        <w:t xml:space="preserve"> </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63"/>
        <w:ind w:firstLine="645"/>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63"/>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w:t>
      </w:r>
      <w:r/>
    </w:p>
    <w:p>
      <w:pPr>
        <w:pStyle w:val="863"/>
        <w:ind w:firstLine="645"/>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line="0" w:lineRule="atLeast"/>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三</w:t>
      </w:r>
      <w:r>
        <w:rPr>
          <w:rFonts w:hint="eastAsia" w:ascii="黑体" w:hAnsi="宋体" w:eastAsia="黑体" w:cs="黑体"/>
          <w:b/>
          <w:color w:val="auto"/>
          <w:sz w:val="32"/>
          <w:szCs w:val="32"/>
          <w:highlight w:val="none"/>
        </w:rPr>
        <w:t xml:space="preserve">、投标分项报价表（分包号：***）</w:t>
      </w:r>
      <w:r/>
    </w:p>
    <w:tbl>
      <w:tblPr>
        <w:tblStyle w:val="85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产品</w:t>
            </w:r>
            <w:r/>
          </w:p>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规格</w:t>
            </w:r>
            <w:r/>
          </w:p>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63"/>
              <w:jc w:val="center"/>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63"/>
              <w:jc w:val="both"/>
              <w:spacing w:beforeAutospacing="0" w:afterAutospacing="0" w:line="0" w:lineRule="atLeast"/>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both"/>
              <w:spacing w:beforeAutospacing="0" w:afterAutospacing="0" w:line="0" w:lineRule="atLeast"/>
              <w:rPr>
                <w:color w:val="auto"/>
                <w:highlight w:val="none"/>
              </w:rPr>
            </w:pPr>
            <w:r>
              <w:rPr>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63"/>
              <w:jc w:val="both"/>
              <w:spacing w:beforeAutospacing="0" w:afterAutospacing="0"/>
              <w:rPr>
                <w:color w:val="auto"/>
                <w:highlight w:val="none"/>
              </w:rPr>
            </w:pPr>
            <w:r>
              <w:rPr>
                <w:color w:val="auto"/>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863"/>
              <w:jc w:val="both"/>
              <w:spacing w:beforeAutospacing="0" w:afterAutospacing="0"/>
              <w:rPr>
                <w:color w:val="auto"/>
                <w:highlight w:val="none"/>
              </w:rPr>
            </w:pPr>
            <w:r>
              <w:rPr>
                <w:rFonts w:hint="eastAsia" w:asciiTheme="minorEastAsia" w:hAnsiTheme="minorEastAsia" w:eastAsiaTheme="minorEastAsia" w:cstheme="minorEastAsia"/>
                <w:color w:val="auto"/>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rPr>
              <w:t xml:space="preserve">%。</w:t>
            </w:r>
            <w:r/>
          </w:p>
        </w:tc>
      </w:tr>
    </w:tbl>
    <w:p>
      <w:pPr>
        <w:pStyle w:val="863"/>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p>
      <w:pPr>
        <w:pStyle w:val="863"/>
        <w:numPr>
          <w:ilvl w:val="0"/>
          <w:numId w:val="10"/>
        </w:numPr>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63"/>
        <w:numPr>
          <w:ilvl w:val="0"/>
          <w:numId w:val="0"/>
        </w:numPr>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2.</w:t>
      </w:r>
      <w:r>
        <w:rPr>
          <w:rFonts w:ascii="Times New Roman" w:hAnsi="Times New Roman"/>
          <w:color w:val="auto"/>
          <w:sz w:val="21"/>
          <w:szCs w:val="21"/>
          <w:highlight w:val="none"/>
        </w:rPr>
        <w:t xml:space="preserve"> “</w:t>
      </w:r>
      <w:r>
        <w:rPr>
          <w:rFonts w:hint="eastAsia" w:ascii="宋体" w:hAnsi="宋体" w:eastAsia="宋体" w:cs="宋体"/>
          <w:color w:val="auto"/>
          <w:highlight w:val="none"/>
        </w:rPr>
        <w:t xml:space="preserve">投标分项报价表</w:t>
      </w:r>
      <w:r>
        <w:rPr>
          <w:rFonts w:ascii="Times New Roman" w:hAnsi="Times New Roman"/>
          <w:color w:val="auto"/>
          <w:sz w:val="21"/>
          <w:szCs w:val="21"/>
          <w:highlight w:val="none"/>
        </w:rPr>
        <w:t xml:space="preserve">”</w:t>
      </w:r>
      <w:r>
        <w:rPr>
          <w:rFonts w:hint="eastAsia" w:ascii="宋体" w:hAnsi="宋体" w:eastAsia="宋体" w:cs="宋体"/>
          <w:color w:val="auto"/>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color w:val="auto"/>
          <w:highlight w:val="none"/>
          <w:shd w:val="clear" w:color="auto" w:fill="auto"/>
        </w:rPr>
      </w:pPr>
      <w:r>
        <w:rPr>
          <w:rFonts w:hint="eastAsia" w:asciiTheme="minorEastAsia" w:hAnsiTheme="minorEastAsia" w:eastAsiaTheme="minorEastAsia" w:cstheme="minorEastAsia"/>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3"/>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r>
      <w:r>
        <w:rPr>
          <w:color w:val="auto"/>
          <w:highlight w:val="none"/>
        </w:rPr>
      </w:r>
      <w:r/>
    </w:p>
    <w:p>
      <w:pPr>
        <w:pStyle w:val="863"/>
        <w:jc w:val="both"/>
        <w:spacing w:beforeAutospacing="0" w:afterAutospacing="0"/>
        <w:rPr>
          <w:color w:val="auto"/>
          <w:highlight w:val="none"/>
        </w:rPr>
      </w:pPr>
      <w:r>
        <w:rPr>
          <w:color w:val="auto"/>
          <w:highlight w:val="none"/>
        </w:rPr>
      </w:r>
      <w:r>
        <w:rPr>
          <w:color w:val="auto"/>
          <w:highlight w:val="none"/>
        </w:rPr>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t xml:space="preserve"> </w:t>
      </w: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四</w:t>
      </w:r>
      <w:r>
        <w:rPr>
          <w:rFonts w:hint="eastAsia" w:ascii="黑体" w:hAnsi="宋体" w:eastAsia="黑体" w:cs="黑体"/>
          <w:b/>
          <w:color w:val="auto"/>
          <w:sz w:val="32"/>
          <w:szCs w:val="32"/>
          <w:highlight w:val="none"/>
        </w:rPr>
        <w:t xml:space="preserve">、技术要求响应及偏离表（分包号：**）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bl>
    <w:p>
      <w:pPr>
        <w:pStyle w:val="86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both"/>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bookmarkStart w:id="185" w:name="_Hlt26955054"/>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val="en-US" w:eastAsia="zh-CN"/>
        </w:rPr>
        <w:t xml:space="preserve">五</w:t>
      </w:r>
      <w:r>
        <w:rPr>
          <w:rFonts w:hint="eastAsia" w:ascii="黑体" w:hAnsi="宋体" w:eastAsia="黑体" w:cs="黑体"/>
          <w:b/>
          <w:color w:val="auto"/>
          <w:sz w:val="32"/>
          <w:szCs w:val="32"/>
          <w:highlight w:val="none"/>
        </w:rPr>
        <w:t xml:space="preserve">、商务要求响应及偏离表（分包号：**）</w:t>
      </w:r>
      <w:r/>
    </w:p>
    <w:tbl>
      <w:tblPr>
        <w:tblStyle w:val="857"/>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bookmarkStart w:id="186" w:name="_Hlt26782999"/>
            <w:r/>
            <w:bookmarkStart w:id="187" w:name="_Hlt26671372"/>
            <w:r/>
            <w:bookmarkStart w:id="188" w:name="_Hlt26955064"/>
            <w:r/>
            <w:bookmarkStart w:id="189" w:name="_Hlt26671343"/>
            <w:r/>
            <w:bookmarkStart w:id="190" w:name="_Hlt26580838"/>
            <w:r/>
            <w:bookmarkStart w:id="191" w:name="_Hlt26955056"/>
            <w:r/>
            <w:bookmarkStart w:id="192" w:name="_Hlt26609391"/>
            <w:r/>
            <w:bookmarkStart w:id="193" w:name="_Hlt24879081"/>
            <w:r>
              <w:rPr>
                <w:rFonts w:hint="eastAsia" w:ascii="宋体" w:hAnsi="宋体" w:eastAsia="宋体" w:cs="宋体"/>
                <w:color w:val="auto"/>
                <w:highlight w:val="none"/>
              </w:rPr>
              <w:t xml:space="preserve">序号</w:t>
            </w:r>
            <w:bookmarkEnd w:id="186"/>
            <w:r/>
            <w:bookmarkEnd w:id="187"/>
            <w:r/>
            <w:bookmarkEnd w:id="188"/>
            <w:r/>
            <w:bookmarkEnd w:id="189"/>
            <w:r/>
            <w:bookmarkEnd w:id="190"/>
            <w:r/>
            <w:bookmarkEnd w:id="191"/>
            <w:r/>
            <w:bookmarkEnd w:id="192"/>
            <w:r/>
            <w:bookmarkEnd w:id="193"/>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3"/>
              <w:jc w:val="center"/>
              <w:spacing w:beforeAutospacing="0" w:afterAutospacing="0"/>
              <w:rPr>
                <w:color w:val="auto"/>
                <w:highlight w:val="none"/>
              </w:rPr>
            </w:pPr>
            <w:r>
              <w:rPr>
                <w:color w:val="auto"/>
                <w:highlight w:val="none"/>
              </w:rPr>
              <w:t xml:space="preserve"> </w:t>
            </w:r>
            <w:r/>
          </w:p>
        </w:tc>
      </w:tr>
    </w:tbl>
    <w:p>
      <w:pPr>
        <w:pStyle w:val="863"/>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both"/>
        <w:spacing w:beforeAutospacing="0" w:afterAutospacing="0" w:line="480" w:lineRule="auto"/>
        <w:rPr>
          <w:color w:val="auto"/>
          <w:highlight w:val="none"/>
        </w:rPr>
      </w:pPr>
      <w:r>
        <w:rPr>
          <w:color w:val="auto"/>
          <w:highlight w:val="none"/>
        </w:rPr>
        <w:t xml:space="preserve"> </w:t>
      </w:r>
      <w:r/>
    </w:p>
    <w:p>
      <w:pPr>
        <w:pStyle w:val="863"/>
        <w:jc w:val="center"/>
        <w:spacing w:beforeAutospacing="0" w:afterAutospacing="0"/>
        <w:rPr>
          <w:color w:val="auto"/>
          <w:highlight w:val="none"/>
        </w:rPr>
      </w:pPr>
      <w:r/>
      <w:bookmarkStart w:id="194" w:name="_格式2__法定代表人授权书"/>
      <w:r/>
      <w:bookmarkStart w:id="195" w:name="_Toc462564146"/>
      <w:r/>
      <w:bookmarkStart w:id="196" w:name="_Hlt26671374"/>
      <w:r/>
      <w:bookmarkStart w:id="197" w:name="_Hlt26609389"/>
      <w:r/>
      <w:bookmarkStart w:id="198" w:name="_Hlt26955066"/>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shd w:val="clear" w:color="auto" w:fill="auto"/>
        </w:rPr>
      </w:pPr>
      <w:r>
        <w:rPr>
          <w:rFonts w:hint="eastAsia" w:ascii="黑体" w:hAnsi="宋体" w:eastAsia="黑体" w:cs="黑体"/>
          <w:b/>
          <w:i/>
          <w:color w:val="auto"/>
          <w:sz w:val="32"/>
          <w:szCs w:val="32"/>
          <w:highlight w:val="none"/>
          <w:u w:val="single"/>
        </w:rPr>
        <w:t xml:space="preserve">十六、开标一览表</w:t>
      </w:r>
      <w:r/>
    </w:p>
    <w:p>
      <w:pPr>
        <w:pStyle w:val="863"/>
        <w:ind w:firstLine="480"/>
        <w:jc w:val="both"/>
        <w:spacing w:beforeAutospacing="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投标人全称（加盖CA电子签章）：</w:t>
      </w:r>
      <w:r/>
    </w:p>
    <w:p>
      <w:pPr>
        <w:pStyle w:val="863"/>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rPr>
          <w:b/>
          <w:color w:val="auto"/>
          <w:highlight w:val="none"/>
        </w:rPr>
        <w:t xml:space="preserve">滨海县公安局2026年DN</w:t>
      </w:r>
      <w:r>
        <w:rPr>
          <w:b/>
          <w:color w:val="auto"/>
          <w:highlight w:val="none"/>
        </w:rPr>
        <w:t xml:space="preserve">A实验室耗材采购项目</w:t>
      </w:r>
      <w:r/>
    </w:p>
    <w:p>
      <w:pPr>
        <w:pStyle w:val="863"/>
        <w:ind w:firstLine="480"/>
        <w:jc w:val="both"/>
        <w:spacing w:beforeAutospacing="0" w:afterAutospacing="0"/>
        <w:rPr>
          <w:rFonts w:hint="default" w:ascii="宋体" w:hAnsi="宋体" w:cs="宋体" w:eastAsiaTheme="minorEastAsia"/>
          <w:color w:val="auto"/>
          <w:highlight w:val="none"/>
          <w:lang w:val="en-US" w:eastAsia="zh-CN"/>
        </w:rPr>
      </w:pPr>
      <w:r>
        <w:rPr>
          <w:rFonts w:hint="eastAsia" w:ascii="宋体" w:hAnsi="宋体" w:eastAsia="宋体" w:cs="宋体"/>
          <w:color w:val="auto"/>
          <w:highlight w:val="none"/>
          <w:lang w:val="en-US" w:eastAsia="zh-CN"/>
        </w:rPr>
        <w:t xml:space="preserve">项目编号：</w:t>
      </w:r>
      <w:r>
        <w:rPr>
          <w:b/>
          <w:color w:val="auto"/>
          <w:highlight w:val="none"/>
        </w:rPr>
        <w:t xml:space="preserve">JSZC-320922-ZQYC-G2026-00</w:t>
      </w:r>
      <w:r>
        <w:rPr>
          <w:rFonts w:hint="eastAsia"/>
          <w:b/>
          <w:color w:val="auto"/>
          <w:highlight w:val="none"/>
          <w:lang w:val="en-US" w:eastAsia="zh-CN"/>
        </w:rPr>
        <w:t xml:space="preserve">18</w:t>
      </w:r>
      <w:r/>
    </w:p>
    <w:p>
      <w:pPr>
        <w:pStyle w:val="863"/>
        <w:ind w:firstLine="480"/>
        <w:jc w:val="both"/>
        <w:spacing w:beforeAutospacing="0" w:afterAutospacing="0"/>
        <w:rPr>
          <w:color w:val="auto"/>
          <w:highlight w:val="none"/>
        </w:rPr>
      </w:pPr>
      <w:r>
        <w:rPr>
          <w:color w:val="auto"/>
          <w:highlight w:val="none"/>
        </w:rPr>
      </w:r>
      <w:r/>
    </w:p>
    <w:tbl>
      <w:tblPr>
        <w:tblStyle w:val="857"/>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3"/>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3"/>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63"/>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63"/>
              <w:jc w:val="center"/>
              <w:spacing w:beforeAutospacing="0" w:afterAutospacing="0" w:line="300" w:lineRule="auto"/>
              <w:rPr>
                <w:color w:val="auto"/>
                <w:highlight w:val="none"/>
              </w:rPr>
            </w:pPr>
            <w:r>
              <w:rPr>
                <w:rFonts w:hint="eastAsia" w:ascii="宋体" w:hAnsi="宋体" w:eastAsia="宋体" w:cs="宋体"/>
                <w:color w:val="auto"/>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63"/>
              <w:spacing w:beforeAutospacing="0" w:afterAutospacing="0" w:line="0" w:lineRule="atLeast"/>
              <w:rPr>
                <w:color w:val="auto"/>
                <w:highlight w:val="none"/>
              </w:rPr>
            </w:pPr>
            <w:r>
              <w:rPr>
                <w:color w:val="auto"/>
                <w:highlight w:val="none"/>
              </w:rPr>
              <w:t xml:space="preserve"> </w:t>
            </w:r>
            <w:r/>
          </w:p>
        </w:tc>
      </w:tr>
    </w:tbl>
    <w:p>
      <w:pPr>
        <w:pStyle w:val="863"/>
        <w:ind w:firstLine="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color w:val="auto"/>
          <w:highlight w:val="none"/>
        </w:rPr>
      </w:r>
      <w:r/>
    </w:p>
    <w:p>
      <w:pPr>
        <w:pStyle w:val="863"/>
        <w:ind w:firstLine="0"/>
        <w:jc w:val="both"/>
        <w:spacing w:beforeAutospacing="0" w:afterAutospacing="0"/>
        <w:rPr>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63"/>
        <w:ind w:firstLine="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63"/>
        <w:jc w:val="both"/>
        <w:spacing w:beforeAutospacing="0" w:afterAutospacing="0"/>
        <w:rPr>
          <w:color w:val="auto"/>
          <w:highlight w:val="none"/>
        </w:rPr>
      </w:pPr>
      <w:r>
        <w:rPr>
          <w:color w:val="auto"/>
          <w:highlight w:val="none"/>
        </w:rPr>
        <w:t xml:space="preserve"> </w:t>
      </w:r>
      <w:r/>
    </w:p>
    <w:p>
      <w:pPr>
        <w:pStyle w:val="863"/>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863"/>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863"/>
        <w:jc w:val="center"/>
        <w:spacing w:beforeAutospacing="0" w:afterAutospacing="0"/>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before="50" w:after="50"/>
        <w:widowControl/>
        <w:rPr>
          <w:rFonts w:ascii="宋体" w:hAnsi="宋体" w:eastAsia="宋体" w:cs="宋体"/>
          <w:color w:val="auto"/>
          <w:sz w:val="24"/>
          <w:highlight w:val="none"/>
        </w:rPr>
      </w:pPr>
      <w:r>
        <w:rPr>
          <w:color w:val="auto"/>
          <w:highlight w:val="none"/>
        </w:rPr>
        <w:tab/>
      </w: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七</w:t>
      </w:r>
      <w:r>
        <w:rPr>
          <w:rFonts w:hint="eastAsia" w:ascii="宋体" w:hAnsi="宋体" w:eastAsia="宋体" w:cs="宋体"/>
          <w:color w:val="auto"/>
          <w:sz w:val="32"/>
          <w:szCs w:val="32"/>
          <w:highlight w:val="none"/>
        </w:rPr>
        <w:t xml:space="preserve">、技术方案、服务承诺、培训承诺等</w:t>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rPr>
          <w:rFonts w:ascii="宋体" w:hAnsi="宋体" w:eastAsia="宋体" w:cs="宋体"/>
          <w:b/>
          <w:bCs/>
          <w:color w:val="auto"/>
          <w:sz w:val="32"/>
          <w:szCs w:val="32"/>
          <w:highlight w:val="none"/>
        </w:rPr>
      </w:r>
      <w:r/>
    </w:p>
    <w:p>
      <w:pPr>
        <w:pStyle w:val="863"/>
        <w:jc w:val="center"/>
        <w:spacing w:beforeAutospacing="0" w:afterAutospacing="0"/>
        <w:rPr>
          <w:rFonts w:ascii="宋体" w:hAnsi="宋体" w:eastAsia="宋体" w:cs="宋体"/>
          <w:b/>
          <w:bCs/>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ind w:firstLine="1600"/>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十</w:t>
      </w:r>
      <w:r>
        <w:rPr>
          <w:rFonts w:hint="eastAsia" w:ascii="宋体" w:hAnsi="宋体" w:eastAsia="宋体" w:cs="宋体"/>
          <w:color w:val="auto"/>
          <w:sz w:val="32"/>
          <w:szCs w:val="32"/>
          <w:highlight w:val="none"/>
          <w:lang w:val="en-US" w:eastAsia="zh-CN"/>
        </w:rPr>
        <w:t xml:space="preserve">八</w:t>
      </w:r>
      <w:r>
        <w:rPr>
          <w:rFonts w:hint="eastAsia" w:ascii="宋体" w:hAnsi="宋体" w:eastAsia="宋体" w:cs="宋体"/>
          <w:color w:val="auto"/>
          <w:sz w:val="32"/>
          <w:szCs w:val="32"/>
          <w:highlight w:val="none"/>
        </w:rPr>
        <w:t xml:space="preserve">、盐城市政府采购事前信用承诺书</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 xml:space="preserve">虚假成分</w:t>
      </w:r>
      <w:r>
        <w:rPr>
          <w:rFonts w:hint="eastAsia" w:ascii="宋体" w:hAnsi="宋体" w:eastAsia="宋体" w:cs="宋体"/>
          <w:color w:val="auto"/>
          <w:sz w:val="24"/>
          <w:highlight w:val="none"/>
        </w:rPr>
        <w:t xml:space="preserve">，并对所提供资料的真实性负责；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w:t>
      </w:r>
      <w:r>
        <w:rPr>
          <w:rFonts w:hint="eastAsia" w:ascii="宋体" w:hAnsi="宋体" w:eastAsia="宋体" w:cs="宋体"/>
          <w:color w:val="auto"/>
          <w:sz w:val="24"/>
          <w:highlight w:val="none"/>
          <w:lang w:eastAsia="zh-CN"/>
        </w:rPr>
        <w:t xml:space="preserve">维护和更新</w:t>
      </w:r>
      <w:r>
        <w:rPr>
          <w:rFonts w:hint="eastAsia" w:ascii="宋体" w:hAnsi="宋体" w:eastAsia="宋体" w:cs="宋体"/>
          <w:color w:val="auto"/>
          <w:sz w:val="24"/>
          <w:highlight w:val="none"/>
        </w:rPr>
        <w:t xml:space="preserve">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r>
        <w:rPr>
          <w:color w:val="auto"/>
          <w:highlight w:val="none"/>
        </w:rPr>
      </w:r>
      <w:r/>
    </w:p>
    <w:p>
      <w:pPr>
        <w:pStyle w:val="863"/>
        <w:jc w:val="center"/>
        <w:spacing w:beforeAutospacing="0" w:afterAutospacing="0"/>
        <w:rPr>
          <w:color w:val="auto"/>
          <w:highlight w:val="none"/>
        </w:rPr>
      </w:pPr>
      <w:r>
        <w:rPr>
          <w:color w:val="auto"/>
          <w:highlight w:val="none"/>
        </w:rPr>
      </w:r>
      <w:bookmarkEnd w:id="6"/>
      <w:r/>
      <w:bookmarkEnd w:id="95"/>
      <w:r/>
      <w:bookmarkEnd w:id="96"/>
      <w:r/>
      <w:bookmarkEnd w:id="97"/>
      <w:r/>
      <w:bookmarkEnd w:id="98"/>
      <w:r/>
      <w:bookmarkEnd w:id="99"/>
      <w:r/>
      <w:bookmarkEnd w:id="100"/>
      <w:r/>
      <w:bookmarkEnd w:id="101"/>
      <w:r/>
      <w:bookmarkEnd w:id="102"/>
      <w:r/>
      <w:bookmarkEnd w:id="111"/>
      <w:r/>
      <w:bookmarkEnd w:id="112"/>
      <w:r/>
      <w:bookmarkEnd w:id="119"/>
      <w:r/>
      <w:bookmarkEnd w:id="166"/>
      <w:r/>
      <w:bookmarkEnd w:id="175"/>
      <w:r/>
      <w:bookmarkEnd w:id="178"/>
      <w:r/>
      <w:bookmarkEnd w:id="179"/>
      <w:r/>
      <w:bookmarkEnd w:id="180"/>
      <w:r/>
      <w:bookmarkEnd w:id="181"/>
      <w:r/>
      <w:bookmarkEnd w:id="182"/>
      <w:r/>
      <w:bookmarkEnd w:id="183"/>
      <w:r/>
      <w:bookmarkEnd w:id="184"/>
      <w:r/>
      <w:bookmarkEnd w:id="185"/>
      <w:r/>
      <w:bookmarkEnd w:id="194"/>
      <w:r/>
      <w:bookmarkEnd w:id="195"/>
      <w:r/>
      <w:bookmarkEnd w:id="196"/>
      <w:r/>
      <w:bookmarkEnd w:id="197"/>
      <w:r/>
      <w:bookmarkEnd w:id="198"/>
      <w:r/>
      <w:r/>
    </w:p>
    <w:p>
      <w:pPr>
        <w:pStyle w:val="863"/>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63"/>
        <w:jc w:val="center"/>
        <w:spacing w:beforeAutospacing="0" w:afterAutospacing="0"/>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63"/>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63"/>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63"/>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63"/>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63"/>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63"/>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63"/>
        <w:spacing w:beforeAutospacing="0" w:afterAutospacing="0"/>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86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9"/>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name w:val="Heading 1"/>
    <w:basedOn w:val="854"/>
    <w:next w:val="854"/>
    <w:link w:val="680"/>
    <w:uiPriority w:val="9"/>
    <w:qFormat/>
    <w:pPr>
      <w:keepLines/>
      <w:keepNext/>
      <w:spacing w:before="480" w:after="200"/>
      <w:outlineLvl w:val="0"/>
    </w:pPr>
    <w:rPr>
      <w:rFonts w:ascii="Arial" w:hAnsi="Arial" w:eastAsia="Arial" w:cs="Arial"/>
      <w:sz w:val="40"/>
      <w:szCs w:val="40"/>
    </w:rPr>
  </w:style>
  <w:style w:type="character" w:styleId="680">
    <w:name w:val="Heading 1 Char"/>
    <w:basedOn w:val="856"/>
    <w:link w:val="679"/>
    <w:uiPriority w:val="9"/>
    <w:rPr>
      <w:rFonts w:ascii="Arial" w:hAnsi="Arial" w:eastAsia="Arial" w:cs="Arial"/>
      <w:sz w:val="40"/>
      <w:szCs w:val="40"/>
    </w:rPr>
  </w:style>
  <w:style w:type="character" w:styleId="681">
    <w:name w:val="Heading 2 Char"/>
    <w:basedOn w:val="856"/>
    <w:link w:val="855"/>
    <w:uiPriority w:val="9"/>
    <w:rPr>
      <w:rFonts w:ascii="Arial" w:hAnsi="Arial" w:eastAsia="Arial" w:cs="Arial"/>
      <w:sz w:val="34"/>
    </w:rPr>
  </w:style>
  <w:style w:type="paragraph" w:styleId="682">
    <w:name w:val="Heading 3"/>
    <w:basedOn w:val="854"/>
    <w:next w:val="854"/>
    <w:link w:val="683"/>
    <w:uiPriority w:val="9"/>
    <w:unhideWhenUsed/>
    <w:qFormat/>
    <w:pPr>
      <w:keepLines/>
      <w:keepNext/>
      <w:spacing w:before="320" w:after="200"/>
      <w:outlineLvl w:val="2"/>
    </w:pPr>
    <w:rPr>
      <w:rFonts w:ascii="Arial" w:hAnsi="Arial" w:eastAsia="Arial" w:cs="Arial"/>
      <w:sz w:val="30"/>
      <w:szCs w:val="30"/>
    </w:rPr>
  </w:style>
  <w:style w:type="character" w:styleId="683">
    <w:name w:val="Heading 3 Char"/>
    <w:basedOn w:val="856"/>
    <w:link w:val="682"/>
    <w:uiPriority w:val="9"/>
    <w:rPr>
      <w:rFonts w:ascii="Arial" w:hAnsi="Arial" w:eastAsia="Arial" w:cs="Arial"/>
      <w:sz w:val="30"/>
      <w:szCs w:val="30"/>
    </w:rPr>
  </w:style>
  <w:style w:type="paragraph" w:styleId="684">
    <w:name w:val="Heading 4"/>
    <w:basedOn w:val="854"/>
    <w:next w:val="854"/>
    <w:link w:val="685"/>
    <w:uiPriority w:val="9"/>
    <w:unhideWhenUsed/>
    <w:qFormat/>
    <w:pPr>
      <w:keepLines/>
      <w:keepNext/>
      <w:spacing w:before="320" w:after="200"/>
      <w:outlineLvl w:val="3"/>
    </w:pPr>
    <w:rPr>
      <w:rFonts w:ascii="Arial" w:hAnsi="Arial" w:eastAsia="Arial" w:cs="Arial"/>
      <w:b/>
      <w:bCs/>
      <w:sz w:val="26"/>
      <w:szCs w:val="26"/>
    </w:rPr>
  </w:style>
  <w:style w:type="character" w:styleId="685">
    <w:name w:val="Heading 4 Char"/>
    <w:basedOn w:val="856"/>
    <w:link w:val="684"/>
    <w:uiPriority w:val="9"/>
    <w:rPr>
      <w:rFonts w:ascii="Arial" w:hAnsi="Arial" w:eastAsia="Arial" w:cs="Arial"/>
      <w:b/>
      <w:bCs/>
      <w:sz w:val="26"/>
      <w:szCs w:val="26"/>
    </w:rPr>
  </w:style>
  <w:style w:type="paragraph" w:styleId="686">
    <w:name w:val="Heading 5"/>
    <w:basedOn w:val="854"/>
    <w:next w:val="854"/>
    <w:link w:val="687"/>
    <w:uiPriority w:val="9"/>
    <w:unhideWhenUsed/>
    <w:qFormat/>
    <w:pPr>
      <w:keepLines/>
      <w:keepNext/>
      <w:spacing w:before="320" w:after="200"/>
      <w:outlineLvl w:val="4"/>
    </w:pPr>
    <w:rPr>
      <w:rFonts w:ascii="Arial" w:hAnsi="Arial" w:eastAsia="Arial" w:cs="Arial"/>
      <w:b/>
      <w:bCs/>
      <w:sz w:val="24"/>
      <w:szCs w:val="24"/>
    </w:rPr>
  </w:style>
  <w:style w:type="character" w:styleId="687">
    <w:name w:val="Heading 5 Char"/>
    <w:basedOn w:val="856"/>
    <w:link w:val="686"/>
    <w:uiPriority w:val="9"/>
    <w:rPr>
      <w:rFonts w:ascii="Arial" w:hAnsi="Arial" w:eastAsia="Arial" w:cs="Arial"/>
      <w:b/>
      <w:bCs/>
      <w:sz w:val="24"/>
      <w:szCs w:val="24"/>
    </w:rPr>
  </w:style>
  <w:style w:type="paragraph" w:styleId="688">
    <w:name w:val="Heading 6"/>
    <w:basedOn w:val="854"/>
    <w:next w:val="854"/>
    <w:link w:val="689"/>
    <w:uiPriority w:val="9"/>
    <w:unhideWhenUsed/>
    <w:qFormat/>
    <w:pPr>
      <w:keepLines/>
      <w:keepNext/>
      <w:spacing w:before="320" w:after="200"/>
      <w:outlineLvl w:val="5"/>
    </w:pPr>
    <w:rPr>
      <w:rFonts w:ascii="Arial" w:hAnsi="Arial" w:eastAsia="Arial" w:cs="Arial"/>
      <w:b/>
      <w:bCs/>
      <w:sz w:val="22"/>
      <w:szCs w:val="22"/>
    </w:rPr>
  </w:style>
  <w:style w:type="character" w:styleId="689">
    <w:name w:val="Heading 6 Char"/>
    <w:basedOn w:val="856"/>
    <w:link w:val="688"/>
    <w:uiPriority w:val="9"/>
    <w:rPr>
      <w:rFonts w:ascii="Arial" w:hAnsi="Arial" w:eastAsia="Arial" w:cs="Arial"/>
      <w:b/>
      <w:bCs/>
      <w:sz w:val="22"/>
      <w:szCs w:val="22"/>
    </w:rPr>
  </w:style>
  <w:style w:type="paragraph" w:styleId="690">
    <w:name w:val="Heading 7"/>
    <w:basedOn w:val="854"/>
    <w:next w:val="854"/>
    <w:link w:val="691"/>
    <w:uiPriority w:val="9"/>
    <w:unhideWhenUsed/>
    <w:qFormat/>
    <w:pPr>
      <w:keepLines/>
      <w:keepNext/>
      <w:spacing w:before="320" w:after="200"/>
      <w:outlineLvl w:val="6"/>
    </w:pPr>
    <w:rPr>
      <w:rFonts w:ascii="Arial" w:hAnsi="Arial" w:eastAsia="Arial" w:cs="Arial"/>
      <w:b/>
      <w:bCs/>
      <w:i/>
      <w:iCs/>
      <w:sz w:val="22"/>
      <w:szCs w:val="22"/>
    </w:rPr>
  </w:style>
  <w:style w:type="character" w:styleId="691">
    <w:name w:val="Heading 7 Char"/>
    <w:basedOn w:val="856"/>
    <w:link w:val="690"/>
    <w:uiPriority w:val="9"/>
    <w:rPr>
      <w:rFonts w:ascii="Arial" w:hAnsi="Arial" w:eastAsia="Arial" w:cs="Arial"/>
      <w:b/>
      <w:bCs/>
      <w:i/>
      <w:iCs/>
      <w:sz w:val="22"/>
      <w:szCs w:val="22"/>
    </w:rPr>
  </w:style>
  <w:style w:type="paragraph" w:styleId="692">
    <w:name w:val="Heading 8"/>
    <w:basedOn w:val="854"/>
    <w:next w:val="854"/>
    <w:link w:val="693"/>
    <w:uiPriority w:val="9"/>
    <w:unhideWhenUsed/>
    <w:qFormat/>
    <w:pPr>
      <w:keepLines/>
      <w:keepNext/>
      <w:spacing w:before="320" w:after="200"/>
      <w:outlineLvl w:val="7"/>
    </w:pPr>
    <w:rPr>
      <w:rFonts w:ascii="Arial" w:hAnsi="Arial" w:eastAsia="Arial" w:cs="Arial"/>
      <w:i/>
      <w:iCs/>
      <w:sz w:val="22"/>
      <w:szCs w:val="22"/>
    </w:rPr>
  </w:style>
  <w:style w:type="character" w:styleId="693">
    <w:name w:val="Heading 8 Char"/>
    <w:basedOn w:val="856"/>
    <w:link w:val="692"/>
    <w:uiPriority w:val="9"/>
    <w:rPr>
      <w:rFonts w:ascii="Arial" w:hAnsi="Arial" w:eastAsia="Arial" w:cs="Arial"/>
      <w:i/>
      <w:iCs/>
      <w:sz w:val="22"/>
      <w:szCs w:val="22"/>
    </w:rPr>
  </w:style>
  <w:style w:type="paragraph" w:styleId="694">
    <w:name w:val="Heading 9"/>
    <w:basedOn w:val="854"/>
    <w:next w:val="854"/>
    <w:link w:val="695"/>
    <w:uiPriority w:val="9"/>
    <w:unhideWhenUsed/>
    <w:qFormat/>
    <w:pPr>
      <w:keepLines/>
      <w:keepNext/>
      <w:spacing w:before="320" w:after="200"/>
      <w:outlineLvl w:val="8"/>
    </w:pPr>
    <w:rPr>
      <w:rFonts w:ascii="Arial" w:hAnsi="Arial" w:eastAsia="Arial" w:cs="Arial"/>
      <w:i/>
      <w:iCs/>
      <w:sz w:val="21"/>
      <w:szCs w:val="21"/>
    </w:rPr>
  </w:style>
  <w:style w:type="character" w:styleId="695">
    <w:name w:val="Heading 9 Char"/>
    <w:basedOn w:val="856"/>
    <w:link w:val="694"/>
    <w:uiPriority w:val="9"/>
    <w:rPr>
      <w:rFonts w:ascii="Arial" w:hAnsi="Arial" w:eastAsia="Arial" w:cs="Arial"/>
      <w:i/>
      <w:iCs/>
      <w:sz w:val="21"/>
      <w:szCs w:val="21"/>
    </w:rPr>
  </w:style>
  <w:style w:type="paragraph" w:styleId="696">
    <w:name w:val="List Paragraph"/>
    <w:basedOn w:val="854"/>
    <w:uiPriority w:val="34"/>
    <w:qFormat/>
    <w:pPr>
      <w:contextualSpacing/>
      <w:ind w:left="720"/>
    </w:pPr>
  </w:style>
  <w:style w:type="paragraph" w:styleId="697">
    <w:name w:val="No Spacing"/>
    <w:uiPriority w:val="1"/>
    <w:qFormat/>
    <w:pPr>
      <w:spacing w:before="0" w:after="0" w:line="240" w:lineRule="auto"/>
    </w:pPr>
  </w:style>
  <w:style w:type="paragraph" w:styleId="698">
    <w:name w:val="Title"/>
    <w:basedOn w:val="854"/>
    <w:next w:val="854"/>
    <w:link w:val="699"/>
    <w:uiPriority w:val="10"/>
    <w:qFormat/>
    <w:pPr>
      <w:contextualSpacing/>
      <w:spacing w:before="300" w:after="200"/>
    </w:pPr>
    <w:rPr>
      <w:sz w:val="48"/>
      <w:szCs w:val="48"/>
    </w:rPr>
  </w:style>
  <w:style w:type="character" w:styleId="699">
    <w:name w:val="Title Char"/>
    <w:basedOn w:val="856"/>
    <w:link w:val="698"/>
    <w:uiPriority w:val="10"/>
    <w:rPr>
      <w:sz w:val="48"/>
      <w:szCs w:val="48"/>
    </w:rPr>
  </w:style>
  <w:style w:type="paragraph" w:styleId="700">
    <w:name w:val="Subtitle"/>
    <w:basedOn w:val="854"/>
    <w:next w:val="854"/>
    <w:link w:val="701"/>
    <w:uiPriority w:val="11"/>
    <w:qFormat/>
    <w:pPr>
      <w:spacing w:before="200" w:after="200"/>
    </w:pPr>
    <w:rPr>
      <w:sz w:val="24"/>
      <w:szCs w:val="24"/>
    </w:rPr>
  </w:style>
  <w:style w:type="character" w:styleId="701">
    <w:name w:val="Subtitle Char"/>
    <w:basedOn w:val="856"/>
    <w:link w:val="700"/>
    <w:uiPriority w:val="11"/>
    <w:rPr>
      <w:sz w:val="24"/>
      <w:szCs w:val="24"/>
    </w:rPr>
  </w:style>
  <w:style w:type="paragraph" w:styleId="702">
    <w:name w:val="Quote"/>
    <w:basedOn w:val="854"/>
    <w:next w:val="854"/>
    <w:link w:val="703"/>
    <w:uiPriority w:val="29"/>
    <w:qFormat/>
    <w:pPr>
      <w:ind w:left="720" w:right="720"/>
    </w:pPr>
    <w:rPr>
      <w:i/>
    </w:rPr>
  </w:style>
  <w:style w:type="character" w:styleId="703">
    <w:name w:val="Quote Char"/>
    <w:link w:val="702"/>
    <w:uiPriority w:val="29"/>
    <w:rPr>
      <w:i/>
    </w:rPr>
  </w:style>
  <w:style w:type="paragraph" w:styleId="704">
    <w:name w:val="Intense Quote"/>
    <w:basedOn w:val="854"/>
    <w:next w:val="854"/>
    <w:link w:val="7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5">
    <w:name w:val="Intense Quote Char"/>
    <w:link w:val="704"/>
    <w:uiPriority w:val="30"/>
    <w:rPr>
      <w:i/>
    </w:rPr>
  </w:style>
  <w:style w:type="character" w:styleId="706">
    <w:name w:val="Header Char"/>
    <w:basedOn w:val="856"/>
    <w:link w:val="862"/>
    <w:uiPriority w:val="99"/>
  </w:style>
  <w:style w:type="character" w:styleId="707">
    <w:name w:val="Footer Char"/>
    <w:basedOn w:val="856"/>
    <w:link w:val="861"/>
    <w:uiPriority w:val="99"/>
  </w:style>
  <w:style w:type="paragraph" w:styleId="708">
    <w:name w:val="Caption"/>
    <w:basedOn w:val="854"/>
    <w:next w:val="854"/>
    <w:uiPriority w:val="35"/>
    <w:semiHidden/>
    <w:unhideWhenUsed/>
    <w:qFormat/>
    <w:pPr>
      <w:spacing w:line="276" w:lineRule="auto"/>
    </w:pPr>
    <w:rPr>
      <w:b/>
      <w:bCs/>
      <w:color w:val="4f81bd" w:themeColor="accent1"/>
      <w:sz w:val="18"/>
      <w:szCs w:val="18"/>
    </w:rPr>
  </w:style>
  <w:style w:type="character" w:styleId="709">
    <w:name w:val="Caption Char"/>
    <w:basedOn w:val="708"/>
    <w:link w:val="861"/>
    <w:uiPriority w:val="99"/>
  </w:style>
  <w:style w:type="table" w:styleId="710">
    <w:name w:val="Table Grid"/>
    <w:basedOn w:val="85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7">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8">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9">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0">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1">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2">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9">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3">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4">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5">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6">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7">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9">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0">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1">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2">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3">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4">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3">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4">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5">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6">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7">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8">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0">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1">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2">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3">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4">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5">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4">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8">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54"/>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basedOn w:val="856"/>
    <w:uiPriority w:val="99"/>
    <w:unhideWhenUsed/>
    <w:rPr>
      <w:vertAlign w:val="superscript"/>
    </w:rPr>
  </w:style>
  <w:style w:type="paragraph" w:styleId="840">
    <w:name w:val="endnote text"/>
    <w:basedOn w:val="854"/>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basedOn w:val="856"/>
    <w:uiPriority w:val="99"/>
    <w:semiHidden/>
    <w:unhideWhenUsed/>
    <w:rPr>
      <w:vertAlign w:val="superscript"/>
    </w:rPr>
  </w:style>
  <w:style w:type="paragraph" w:styleId="843">
    <w:name w:val="toc 1"/>
    <w:basedOn w:val="854"/>
    <w:next w:val="854"/>
    <w:uiPriority w:val="39"/>
    <w:unhideWhenUsed/>
    <w:pPr>
      <w:ind w:left="0" w:right="0" w:firstLine="0"/>
      <w:spacing w:after="57"/>
    </w:pPr>
  </w:style>
  <w:style w:type="paragraph" w:styleId="844">
    <w:name w:val="toc 2"/>
    <w:basedOn w:val="854"/>
    <w:next w:val="854"/>
    <w:uiPriority w:val="39"/>
    <w:unhideWhenUsed/>
    <w:pPr>
      <w:ind w:left="283"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5">
    <w:name w:val="Heading 2"/>
    <w:basedOn w:val="854"/>
    <w:next w:val="854"/>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annotation text"/>
    <w:basedOn w:val="854"/>
    <w:uiPriority w:val="0"/>
    <w:qFormat/>
    <w:pPr>
      <w:jc w:val="left"/>
    </w:pPr>
  </w:style>
  <w:style w:type="paragraph" w:styleId="859">
    <w:name w:val="Body Text"/>
    <w:basedOn w:val="854"/>
    <w:uiPriority w:val="0"/>
    <w:unhideWhenUsed/>
    <w:qFormat/>
    <w:pPr>
      <w:spacing w:after="120"/>
    </w:pPr>
    <w:rPr>
      <w:rFonts w:ascii="Calibri" w:hAnsi="Calibri"/>
      <w:szCs w:val="22"/>
    </w:rPr>
  </w:style>
  <w:style w:type="paragraph" w:styleId="860">
    <w:name w:val="Plain Text"/>
    <w:basedOn w:val="854"/>
    <w:uiPriority w:val="0"/>
    <w:unhideWhenUsed/>
    <w:qFormat/>
    <w:rPr>
      <w:rFonts w:ascii="宋体" w:hAnsi="Courier New" w:cs="Courier New"/>
      <w:szCs w:val="21"/>
    </w:rPr>
  </w:style>
  <w:style w:type="paragraph" w:styleId="861">
    <w:name w:val="Footer"/>
    <w:basedOn w:val="854"/>
    <w:link w:val="867"/>
    <w:uiPriority w:val="0"/>
    <w:qFormat/>
    <w:pPr>
      <w:jc w:val="left"/>
      <w:tabs>
        <w:tab w:val="center" w:pos="4153" w:leader="none"/>
        <w:tab w:val="right" w:pos="8306" w:leader="none"/>
      </w:tabs>
    </w:pPr>
    <w:rPr>
      <w:sz w:val="18"/>
      <w:szCs w:val="18"/>
    </w:rPr>
  </w:style>
  <w:style w:type="paragraph" w:styleId="862">
    <w:name w:val="Header"/>
    <w:basedOn w:val="854"/>
    <w:link w:val="866"/>
    <w:uiPriority w:val="0"/>
    <w:qFormat/>
    <w:pPr>
      <w:jc w:val="center"/>
      <w:tabs>
        <w:tab w:val="center" w:pos="4153" w:leader="none"/>
        <w:tab w:val="right" w:pos="8306" w:leader="none"/>
      </w:tabs>
      <w:pBdr>
        <w:bottom w:val="single" w:color="auto" w:sz="6" w:space="1"/>
      </w:pBdr>
    </w:pPr>
    <w:rPr>
      <w:sz w:val="18"/>
      <w:szCs w:val="18"/>
    </w:rPr>
  </w:style>
  <w:style w:type="paragraph" w:styleId="863">
    <w:name w:val="Normal (Web)"/>
    <w:basedOn w:val="854"/>
    <w:uiPriority w:val="0"/>
    <w:qFormat/>
    <w:pPr>
      <w:jc w:val="left"/>
      <w:spacing w:beforeAutospacing="1" w:afterAutospacing="1"/>
    </w:pPr>
    <w:rPr>
      <w:rFonts w:cs="Times New Roman"/>
      <w:sz w:val="24"/>
    </w:rPr>
  </w:style>
  <w:style w:type="character" w:styleId="864">
    <w:name w:val="Emphasis"/>
    <w:uiPriority w:val="0"/>
    <w:qFormat/>
    <w:rPr>
      <w:i/>
    </w:rPr>
  </w:style>
  <w:style w:type="paragraph" w:styleId="865" w:customStyle="1">
    <w:name w:val="Default"/>
    <w:basedOn w:val="854"/>
    <w:uiPriority w:val="0"/>
    <w:semiHidden/>
    <w:qFormat/>
    <w:pPr>
      <w:jc w:val="left"/>
    </w:pPr>
    <w:rPr>
      <w:rFonts w:ascii="宋体" w:hAnsi="Calibri" w:cs="宋体"/>
      <w:color w:val="000000"/>
      <w:sz w:val="24"/>
    </w:rPr>
  </w:style>
  <w:style w:type="character" w:styleId="866" w:customStyle="1">
    <w:name w:val="页眉 Char"/>
    <w:basedOn w:val="856"/>
    <w:link w:val="862"/>
    <w:uiPriority w:val="0"/>
    <w:qFormat/>
    <w:rPr>
      <w:rFonts w:asciiTheme="minorHAnsi" w:hAnsiTheme="minorHAnsi" w:eastAsiaTheme="minorEastAsia" w:cstheme="minorBidi"/>
      <w:sz w:val="18"/>
      <w:szCs w:val="18"/>
    </w:rPr>
  </w:style>
  <w:style w:type="character" w:styleId="867" w:customStyle="1">
    <w:name w:val="页脚 Char"/>
    <w:basedOn w:val="856"/>
    <w:link w:val="861"/>
    <w:uiPriority w:val="0"/>
    <w:qFormat/>
    <w:rPr>
      <w:rFonts w:asciiTheme="minorHAnsi" w:hAnsiTheme="minorHAnsi" w:eastAsiaTheme="minorEastAsia" w:cstheme="minorBidi"/>
      <w:sz w:val="18"/>
      <w:szCs w:val="18"/>
    </w:rPr>
  </w:style>
  <w:style w:type="paragraph" w:styleId="8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69" w:customStyle="1">
    <w:name w:val="页脚1"/>
    <w:basedOn w:val="854"/>
    <w:uiPriority w:val="99"/>
    <w:unhideWhenUsed/>
    <w:qFormat/>
    <w:pPr>
      <w:jc w:val="left"/>
      <w:tabs>
        <w:tab w:val="center" w:pos="4153" w:leader="none"/>
        <w:tab w:val="right" w:pos="8306" w:leader="none"/>
      </w:tabs>
    </w:pPr>
    <w:rPr>
      <w:sz w:val="18"/>
      <w:szCs w:val="18"/>
    </w:rPr>
  </w:style>
  <w:style w:type="paragraph" w:styleId="870" w:customStyle="1">
    <w:name w:val="普通正文"/>
    <w:basedOn w:val="854"/>
    <w:uiPriority w:val="0"/>
    <w:qFormat/>
    <w:pPr>
      <w:ind w:firstLine="480"/>
      <w:jc w:val="left"/>
      <w:spacing w:before="120" w:after="120" w:line="360" w:lineRule="auto"/>
    </w:pPr>
    <w:rPr>
      <w:rFonts w:ascii="Arial" w:hAnsi="Arial" w:eastAsia="等线" w:cs="Arial"/>
      <w:sz w:val="24"/>
      <w:szCs w:val="24"/>
    </w:rPr>
  </w:style>
  <w:style w:type="paragraph" w:styleId="871" w:customStyle="1">
    <w:name w:val="正文首行缩进 21"/>
    <w:basedOn w:val="872"/>
    <w:uiPriority w:val="0"/>
    <w:qFormat/>
    <w:pPr>
      <w:ind w:firstLine="420"/>
    </w:pPr>
  </w:style>
  <w:style w:type="paragraph" w:styleId="872" w:customStyle="1">
    <w:name w:val="正文文本缩进1"/>
    <w:basedOn w:val="854"/>
    <w:uiPriority w:val="0"/>
    <w:qFormat/>
    <w:pPr>
      <w:ind w:left="420"/>
      <w:spacing w:after="120"/>
    </w:pPr>
  </w:style>
  <w:style w:type="numbering" w:styleId="8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cwmse</dc:creator>
  <cp:lastModifiedBy>高权</cp:lastModifiedBy>
  <cp:revision>121</cp:revision>
  <dcterms:created xsi:type="dcterms:W3CDTF">2014-10-29T12:08:00Z</dcterms:created>
  <dcterms:modified xsi:type="dcterms:W3CDTF">2026-09-08T23:57:37Z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2CE725C660F74BC6B9F9F213959B39C7_13</vt:lpwstr>
  </property>
  <property fmtid="{D5CDD505-2E9C-101B-9397-08002B2CF9AE}" pid="4" name="KSOTemplateDocerSaveRecord">
    <vt:lpwstr>eyJoZGlkIjoiMjU0NzQ2YzAyN2QxOWYzODJjODhlMjEyZWM0NTBmZWIiLCJ1c2VySWQiOiIyNTg2MjM1MDcifQ==</vt:lpwstr>
  </property>
</Properties>
</file>