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300"/>
        <w:spacing w:line="360" w:lineRule="auto"/>
        <w:rPr>
          <w:rFonts w:hint="eastAsia" w:ascii="宋体" w:hAnsi="宋体" w:eastAsia="宋体" w:cs="宋体"/>
          <w:sz w:val="60"/>
          <w:szCs w:val="60"/>
          <w:highlight w:val="none"/>
        </w:rPr>
      </w:pPr>
      <w:r>
        <w:rPr>
          <w:rFonts w:hint="eastAsia" w:ascii="宋体" w:hAnsi="宋体" w:eastAsia="宋体" w:cs="宋体"/>
          <w:sz w:val="60"/>
          <w:szCs w:val="60"/>
          <w:highlight w:val="none"/>
        </w:rPr>
      </w:r>
      <w:r/>
    </w:p>
    <w:p>
      <w:pPr>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t xml:space="preserve">常州市政府采购项目</w:t>
      </w:r>
      <w:r/>
    </w:p>
    <w:p>
      <w:pPr>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r>
      <w:r/>
    </w:p>
    <w:p>
      <w:pPr>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t xml:space="preserve">公开招标文件</w:t>
      </w:r>
      <w:r/>
    </w:p>
    <w:p>
      <w:pPr>
        <w:jc w:val="left"/>
        <w:tabs>
          <w:tab w:val="left" w:pos="7670" w:leader="none"/>
        </w:tabs>
        <w:rPr>
          <w:rFonts w:hint="eastAsia" w:ascii="宋体" w:hAnsi="宋体" w:eastAsia="宋体" w:cs="宋体"/>
          <w:b/>
          <w:bCs/>
          <w:sz w:val="60"/>
          <w:szCs w:val="60"/>
          <w:highlight w:val="none"/>
          <w:lang w:eastAsia="zh-CN"/>
        </w:rPr>
      </w:pPr>
      <w:r>
        <w:rPr>
          <w:rFonts w:hint="eastAsia" w:ascii="宋体" w:hAnsi="宋体" w:eastAsia="宋体" w:cs="宋体"/>
          <w:b/>
          <w:bCs/>
          <w:sz w:val="60"/>
          <w:szCs w:val="60"/>
          <w:highlight w:val="none"/>
          <w:lang w:eastAsia="zh-CN"/>
        </w:rPr>
        <w:tab/>
      </w:r>
      <w:r/>
    </w:p>
    <w:p>
      <w:pPr>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r>
      <w:r/>
    </w:p>
    <w:p>
      <w:pPr>
        <w:jc w:val="center"/>
        <w:spacing w:line="360" w:lineRule="auto"/>
        <w:rPr>
          <w:rFonts w:hint="eastAsia" w:ascii="宋体" w:hAnsi="宋体" w:eastAsia="宋体" w:cs="宋体"/>
          <w:sz w:val="60"/>
          <w:szCs w:val="60"/>
          <w:highlight w:val="none"/>
        </w:rPr>
      </w:pPr>
      <w:r>
        <w:rPr>
          <w:rFonts w:hint="eastAsia" w:ascii="宋体" w:hAnsi="宋体" w:eastAsia="宋体" w:cs="宋体"/>
          <w:sz w:val="60"/>
          <w:szCs w:val="60"/>
          <w:highlight w:val="none"/>
        </w:rPr>
      </w:r>
      <w:r/>
    </w:p>
    <w:p>
      <w:pPr>
        <w:ind w:left="2833" w:hanging="1901"/>
        <w:jc w:val="left"/>
        <w:spacing w:line="360" w:lineRule="auto"/>
        <w:tabs>
          <w:tab w:val="left" w:pos="3240" w:leader="none"/>
          <w:tab w:val="left" w:pos="3420" w:leader="none"/>
        </w:tabs>
        <w:rPr>
          <w:rFonts w:hint="eastAsia" w:ascii="宋体" w:hAnsi="宋体" w:eastAsia="宋体" w:cs="宋体"/>
          <w:bCs/>
          <w:sz w:val="36"/>
          <w:szCs w:val="36"/>
          <w:highlight w:val="none"/>
        </w:rPr>
      </w:pPr>
      <w:r>
        <w:rPr>
          <w:rFonts w:hint="eastAsia" w:ascii="宋体" w:hAnsi="宋体" w:eastAsia="宋体" w:cs="宋体"/>
          <w:bCs/>
          <w:sz w:val="36"/>
          <w:szCs w:val="36"/>
          <w:highlight w:val="none"/>
        </w:rPr>
        <w:t xml:space="preserve">项目名称：</w:t>
      </w:r>
      <w:r>
        <w:rPr>
          <w:rFonts w:hint="eastAsia" w:ascii="宋体" w:hAnsi="宋体" w:eastAsia="宋体" w:cs="宋体"/>
          <w:bCs/>
          <w:sz w:val="36"/>
          <w:szCs w:val="36"/>
          <w:highlight w:val="none"/>
          <w:lang w:val="en-US" w:eastAsia="zh-CN"/>
        </w:rPr>
        <w:t xml:space="preserve">202</w:t>
      </w:r>
      <w:r>
        <w:rPr>
          <w:rFonts w:hint="eastAsia" w:ascii="宋体" w:hAnsi="宋体" w:cs="宋体"/>
          <w:bCs/>
          <w:sz w:val="36"/>
          <w:szCs w:val="36"/>
          <w:highlight w:val="none"/>
          <w:lang w:val="en-US" w:eastAsia="zh-CN"/>
        </w:rPr>
        <w:t xml:space="preserve">6</w:t>
      </w:r>
      <w:r>
        <w:rPr>
          <w:rFonts w:hint="eastAsia" w:ascii="宋体" w:hAnsi="宋体" w:eastAsia="宋体" w:cs="宋体"/>
          <w:bCs/>
          <w:sz w:val="36"/>
          <w:szCs w:val="36"/>
          <w:highlight w:val="none"/>
          <w:lang w:val="en-US" w:eastAsia="zh-CN"/>
        </w:rPr>
        <w:t xml:space="preserve">-</w:t>
      </w:r>
      <w:r>
        <w:rPr>
          <w:rFonts w:hint="eastAsia" w:ascii="宋体" w:hAnsi="宋体" w:cs="宋体"/>
          <w:bCs/>
          <w:sz w:val="36"/>
          <w:szCs w:val="36"/>
          <w:highlight w:val="none"/>
          <w:lang w:val="en-US" w:eastAsia="zh-CN"/>
        </w:rPr>
        <w:t xml:space="preserve">2027</w:t>
      </w:r>
      <w:r>
        <w:rPr>
          <w:rFonts w:hint="eastAsia" w:ascii="宋体" w:hAnsi="宋体" w:eastAsia="宋体" w:cs="宋体"/>
          <w:bCs/>
          <w:sz w:val="36"/>
          <w:szCs w:val="36"/>
          <w:highlight w:val="none"/>
        </w:rPr>
        <w:t xml:space="preserve">年度</w:t>
      </w:r>
      <w:r>
        <w:rPr>
          <w:rFonts w:hint="eastAsia" w:ascii="宋体" w:hAnsi="宋体" w:cs="宋体"/>
          <w:bCs/>
          <w:sz w:val="36"/>
          <w:szCs w:val="36"/>
          <w:highlight w:val="none"/>
          <w:lang w:eastAsia="zh-CN"/>
        </w:rPr>
        <w:t xml:space="preserve">常州市第二人民医院</w:t>
      </w:r>
      <w:r>
        <w:rPr>
          <w:rFonts w:hint="eastAsia" w:ascii="宋体" w:hAnsi="宋体" w:eastAsia="宋体" w:cs="宋体"/>
          <w:bCs/>
          <w:sz w:val="36"/>
          <w:szCs w:val="36"/>
          <w:highlight w:val="none"/>
        </w:rPr>
        <w:t xml:space="preserve">医疗责任险</w:t>
      </w:r>
      <w:r>
        <w:rPr>
          <w:rFonts w:hint="eastAsia" w:ascii="宋体" w:hAnsi="宋体" w:eastAsia="宋体" w:cs="宋体"/>
          <w:bCs/>
          <w:sz w:val="36"/>
          <w:szCs w:val="36"/>
          <w:highlight w:val="none"/>
          <w:lang w:eastAsia="zh-CN"/>
        </w:rPr>
        <w:t xml:space="preserve">、</w:t>
      </w:r>
      <w:r>
        <w:rPr>
          <w:rFonts w:hint="eastAsia" w:ascii="宋体" w:hAnsi="宋体" w:eastAsia="宋体" w:cs="宋体"/>
          <w:bCs/>
          <w:sz w:val="36"/>
          <w:szCs w:val="36"/>
          <w:highlight w:val="none"/>
        </w:rPr>
        <w:t xml:space="preserve">财产险项目  </w:t>
      </w:r>
      <w:r/>
    </w:p>
    <w:p>
      <w:pPr>
        <w:ind w:left="2833" w:hanging="1901"/>
        <w:jc w:val="left"/>
        <w:spacing w:line="360" w:lineRule="auto"/>
        <w:tabs>
          <w:tab w:val="left" w:pos="3240" w:leader="none"/>
          <w:tab w:val="left" w:pos="3420" w:leader="none"/>
        </w:tabs>
        <w:rPr>
          <w:rFonts w:hint="eastAsia" w:ascii="宋体" w:hAnsi="宋体" w:eastAsia="宋体" w:cs="宋体"/>
          <w:bCs/>
          <w:sz w:val="36"/>
          <w:szCs w:val="36"/>
          <w:highlight w:val="none"/>
          <w:lang w:val="en-US" w:eastAsia="zh-CN"/>
        </w:rPr>
      </w:pPr>
      <w:r>
        <w:rPr>
          <w:rFonts w:hint="eastAsia" w:ascii="宋体" w:hAnsi="宋体" w:eastAsia="宋体" w:cs="宋体"/>
          <w:bCs/>
          <w:sz w:val="36"/>
          <w:szCs w:val="36"/>
          <w:highlight w:val="none"/>
        </w:rPr>
        <w:t xml:space="preserve">项目编号：</w:t>
      </w:r>
      <w:r>
        <w:rPr>
          <w:rFonts w:hint="eastAsia" w:ascii="宋体" w:hAnsi="宋体" w:cs="宋体"/>
          <w:bCs/>
          <w:sz w:val="36"/>
          <w:szCs w:val="36"/>
          <w:highlight w:val="none"/>
          <w:lang w:val="en-US" w:eastAsia="zh-CN"/>
        </w:rPr>
      </w:r>
      <w:r>
        <w:rPr>
          <w:rFonts w:ascii="FangSong" w:hAnsi="FangSong" w:eastAsia="FangSong" w:cs="FangSong"/>
          <w:color w:val="000000"/>
          <w:sz w:val="28"/>
          <w:highlight w:val="white"/>
        </w:rPr>
        <w:t xml:space="preserve">JSZC-320400-CXBX-G2026-0007 </w:t>
      </w:r>
      <w:r>
        <w:rPr>
          <w:rFonts w:hint="eastAsia" w:ascii="宋体" w:hAnsi="宋体" w:cs="宋体"/>
          <w:bCs/>
          <w:sz w:val="36"/>
          <w:szCs w:val="36"/>
          <w:highlight w:val="none"/>
          <w:lang w:val="en-US" w:eastAsia="zh-CN"/>
        </w:rPr>
        <w:t xml:space="preserve"> </w:t>
      </w:r>
      <w:r/>
    </w:p>
    <w:p>
      <w:pPr>
        <w:ind w:left="2833" w:hanging="1901"/>
        <w:jc w:val="left"/>
        <w:spacing w:line="360" w:lineRule="auto"/>
        <w:tabs>
          <w:tab w:val="left" w:pos="3240" w:leader="none"/>
          <w:tab w:val="left" w:pos="3420" w:leader="none"/>
        </w:tabs>
        <w:rPr>
          <w:rFonts w:hint="eastAsia" w:ascii="宋体" w:hAnsi="宋体" w:eastAsia="宋体" w:cs="宋体"/>
          <w:bCs/>
          <w:sz w:val="36"/>
          <w:szCs w:val="36"/>
          <w:highlight w:val="none"/>
          <w:lang w:val="en-US" w:eastAsia="zh-CN"/>
        </w:rPr>
      </w:pPr>
      <w:r>
        <w:rPr>
          <w:rFonts w:hint="eastAsia" w:ascii="宋体" w:hAnsi="宋体" w:eastAsia="宋体" w:cs="宋体"/>
          <w:bCs/>
          <w:sz w:val="36"/>
          <w:szCs w:val="36"/>
          <w:highlight w:val="none"/>
        </w:rPr>
        <w:t xml:space="preserve">采 购 人：</w:t>
      </w:r>
      <w:r>
        <w:rPr>
          <w:rFonts w:hint="eastAsia" w:ascii="宋体" w:hAnsi="宋体" w:cs="宋体"/>
          <w:bCs/>
          <w:sz w:val="36"/>
          <w:szCs w:val="36"/>
          <w:highlight w:val="none"/>
          <w:lang w:eastAsia="zh-CN"/>
        </w:rPr>
        <w:t xml:space="preserve">常州市第二人民医院</w:t>
      </w:r>
      <w:r/>
    </w:p>
    <w:p>
      <w:pPr>
        <w:ind w:left="2833" w:hanging="1901"/>
        <w:jc w:val="left"/>
        <w:spacing w:line="360" w:lineRule="auto"/>
        <w:tabs>
          <w:tab w:val="left" w:pos="3240" w:leader="none"/>
          <w:tab w:val="left" w:pos="3420" w:leader="none"/>
        </w:tabs>
        <w:rPr>
          <w:rFonts w:hint="eastAsia" w:ascii="宋体" w:hAnsi="宋体" w:eastAsia="宋体" w:cs="宋体"/>
          <w:b/>
          <w:sz w:val="72"/>
          <w:highlight w:val="none"/>
          <w:lang w:val="en-US" w:eastAsia="zh-CN"/>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eastAsia="宋体" w:cs="宋体"/>
          <w:bCs/>
          <w:sz w:val="36"/>
          <w:szCs w:val="36"/>
          <w:highlight w:val="none"/>
        </w:rPr>
        <w:t xml:space="preserve">采购代理机构：</w:t>
      </w:r>
      <w:r>
        <w:rPr>
          <w:rFonts w:hint="eastAsia" w:ascii="宋体" w:hAnsi="宋体" w:eastAsia="宋体" w:cs="宋体"/>
          <w:bCs/>
          <w:sz w:val="36"/>
          <w:szCs w:val="36"/>
          <w:highlight w:val="none"/>
          <w:lang w:val="en-US" w:eastAsia="zh-CN"/>
        </w:rPr>
        <w:t xml:space="preserve">江苏常信保险经纪有限公司</w:t>
      </w:r>
      <w:r/>
    </w:p>
    <w:p>
      <w:pPr>
        <w:jc w:val="center"/>
        <w:spacing w:line="360" w:lineRule="auto"/>
        <w:rPr>
          <w:rFonts w:hint="eastAsia" w:ascii="宋体" w:hAnsi="宋体" w:eastAsia="宋体" w:cs="宋体"/>
          <w:b/>
          <w:sz w:val="36"/>
          <w:szCs w:val="36"/>
          <w:highlight w:val="none"/>
        </w:rPr>
        <w:outlineLvl w:val="0"/>
      </w:pPr>
      <w:r/>
      <w:bookmarkStart w:id="0" w:name="_Toc99301418"/>
      <w:r/>
      <w:r/>
    </w:p>
    <w:p>
      <w:pPr>
        <w:jc w:val="center"/>
        <w:spacing w:line="360" w:lineRule="auto"/>
        <w:rPr>
          <w:rFonts w:hint="eastAsia" w:ascii="宋体" w:hAnsi="宋体" w:eastAsia="宋体" w:cs="宋体"/>
          <w:b/>
          <w:sz w:val="44"/>
          <w:szCs w:val="44"/>
          <w:highlight w:val="none"/>
        </w:rPr>
        <w:outlineLvl w:val="0"/>
      </w:pPr>
      <w:r>
        <w:rPr>
          <w:rFonts w:hint="eastAsia" w:ascii="宋体" w:hAnsi="宋体" w:eastAsia="宋体" w:cs="宋体"/>
          <w:b/>
          <w:sz w:val="44"/>
          <w:szCs w:val="44"/>
          <w:highlight w:val="none"/>
        </w:rPr>
        <w:t xml:space="preserve">目      录</w:t>
      </w:r>
      <w:bookmarkEnd w:id="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90"/>
        <w:spacing w:line="720" w:lineRule="auto"/>
        <w:rPr>
          <w:rFonts w:hint="eastAsia" w:ascii="宋体" w:hAnsi="宋体" w:eastAsia="宋体" w:cs="宋体"/>
          <w:b w:val="0"/>
          <w:sz w:val="32"/>
          <w:szCs w:val="32"/>
          <w:highlight w:val="none"/>
        </w:rPr>
      </w:pPr>
      <w:r>
        <w:rPr>
          <w:rFonts w:hint="eastAsia" w:ascii="宋体" w:hAnsi="宋体" w:eastAsia="宋体" w:cs="宋体"/>
          <w:b w:val="0"/>
          <w:sz w:val="32"/>
          <w:szCs w:val="32"/>
          <w:highlight w:val="none"/>
        </w:rPr>
        <w:fldChar w:fldCharType="begin"/>
      </w:r>
      <w:r>
        <w:rPr>
          <w:rFonts w:hint="eastAsia" w:ascii="宋体" w:hAnsi="宋体" w:eastAsia="宋体" w:cs="宋体"/>
          <w:b w:val="0"/>
          <w:sz w:val="32"/>
          <w:szCs w:val="32"/>
          <w:highlight w:val="none"/>
        </w:rPr>
        <w:instrText xml:space="preserve"> TOC \o "1-1" \h \z \u </w:instrText>
      </w:r>
      <w:r>
        <w:rPr>
          <w:rFonts w:hint="eastAsia" w:ascii="宋体" w:hAnsi="宋体" w:eastAsia="宋体" w:cs="宋体"/>
          <w:b w:val="0"/>
          <w:sz w:val="32"/>
          <w:szCs w:val="32"/>
          <w:highlight w:val="none"/>
        </w:rPr>
        <w:fldChar w:fldCharType="separate"/>
      </w:r>
      <w:r/>
    </w:p>
    <w:p>
      <w:pPr>
        <w:pStyle w:val="1090"/>
        <w:spacing w:line="720" w:lineRule="auto"/>
        <w:rPr>
          <w:rFonts w:hint="eastAsia" w:ascii="宋体" w:hAnsi="宋体" w:eastAsia="宋体" w:cs="宋体"/>
          <w:b w:val="0"/>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"_Toc99301419" </w:instrText>
      </w:r>
      <w:r>
        <w:rPr>
          <w:rFonts w:hint="eastAsia" w:ascii="宋体" w:hAnsi="宋体" w:eastAsia="宋体" w:cs="宋体"/>
          <w:sz w:val="32"/>
          <w:szCs w:val="32"/>
          <w:highlight w:val="none"/>
        </w:rPr>
        <w:fldChar w:fldCharType="separate"/>
      </w:r>
      <w:r>
        <w:rPr>
          <w:rStyle w:val="1112"/>
          <w:rFonts w:hint="eastAsia" w:ascii="宋体" w:hAnsi="宋体" w:eastAsia="宋体" w:cs="宋体"/>
          <w:color w:val="000000"/>
          <w:sz w:val="32"/>
          <w:szCs w:val="32"/>
          <w:highlight w:val="none"/>
        </w:rPr>
        <w:t xml:space="preserve">第一章   投标邀请</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_Toc99301419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1090"/>
        <w:spacing w:line="720" w:lineRule="auto"/>
        <w:rPr>
          <w:rFonts w:hint="eastAsia" w:ascii="宋体" w:hAnsi="宋体" w:eastAsia="宋体" w:cs="宋体"/>
          <w:b w:val="0"/>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"_Toc99301420" </w:instrText>
      </w:r>
      <w:r>
        <w:rPr>
          <w:rFonts w:hint="eastAsia" w:ascii="宋体" w:hAnsi="宋体" w:eastAsia="宋体" w:cs="宋体"/>
          <w:sz w:val="32"/>
          <w:szCs w:val="32"/>
          <w:highlight w:val="none"/>
        </w:rPr>
        <w:fldChar w:fldCharType="separate"/>
      </w:r>
      <w:r>
        <w:rPr>
          <w:rStyle w:val="1112"/>
          <w:rFonts w:hint="eastAsia" w:ascii="宋体" w:hAnsi="宋体" w:eastAsia="宋体" w:cs="宋体"/>
          <w:color w:val="000000"/>
          <w:sz w:val="32"/>
          <w:szCs w:val="32"/>
          <w:highlight w:val="none"/>
        </w:rPr>
        <w:t xml:space="preserve">第二章   投标人须知</w:t>
      </w:r>
      <w:r>
        <w:rPr>
          <w:rFonts w:hint="eastAsia" w:ascii="宋体" w:hAnsi="宋体" w:eastAsia="宋体" w:cs="宋体"/>
          <w:sz w:val="32"/>
          <w:szCs w:val="32"/>
          <w:highlight w:val="none"/>
        </w:rPr>
        <w:tab/>
      </w:r>
      <w:r>
        <w:rPr>
          <w:rFonts w:hint="eastAsia" w:cs="宋体"/>
          <w:sz w:val="32"/>
          <w:szCs w:val="32"/>
          <w:highlight w:val="none"/>
          <w:lang w:val="en-US" w:eastAsia="zh-CN"/>
        </w:rPr>
        <w:t xml:space="preserve">6</w:t>
      </w:r>
      <w:r>
        <w:rPr>
          <w:rFonts w:hint="eastAsia" w:ascii="宋体" w:hAnsi="宋体" w:eastAsia="宋体" w:cs="宋体"/>
          <w:sz w:val="32"/>
          <w:szCs w:val="32"/>
          <w:highlight w:val="none"/>
        </w:rPr>
        <w:fldChar w:fldCharType="end"/>
      </w:r>
      <w:r/>
    </w:p>
    <w:p>
      <w:pPr>
        <w:pStyle w:val="1090"/>
        <w:spacing w:line="720" w:lineRule="auto"/>
        <w:rPr>
          <w:rFonts w:hint="eastAsia" w:ascii="宋体" w:hAnsi="宋体" w:eastAsia="宋体" w:cs="宋体"/>
          <w:b w:val="0"/>
          <w:sz w:val="32"/>
          <w:szCs w:val="32"/>
          <w:highlight w:val="none"/>
          <w:lang w:val="en-US" w:eastAsia="zh-CN"/>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"_Toc99301421" </w:instrText>
      </w:r>
      <w:r>
        <w:rPr>
          <w:rFonts w:hint="eastAsia" w:ascii="宋体" w:hAnsi="宋体" w:eastAsia="宋体" w:cs="宋体"/>
          <w:sz w:val="32"/>
          <w:szCs w:val="32"/>
          <w:highlight w:val="none"/>
        </w:rPr>
        <w:fldChar w:fldCharType="separate"/>
      </w:r>
      <w:r>
        <w:rPr>
          <w:rStyle w:val="1112"/>
          <w:rFonts w:hint="eastAsia" w:ascii="宋体" w:hAnsi="宋体" w:eastAsia="宋体" w:cs="宋体"/>
          <w:color w:val="000000"/>
          <w:sz w:val="32"/>
          <w:szCs w:val="32"/>
          <w:highlight w:val="none"/>
        </w:rPr>
        <w:t xml:space="preserve">第三章   资</w:t>
      </w:r>
      <w:bookmarkStart w:id="1" w:name="_Hlt100754117"/>
      <w:r>
        <w:rPr>
          <w:rStyle w:val="1112"/>
          <w:rFonts w:hint="eastAsia" w:ascii="宋体" w:hAnsi="宋体" w:eastAsia="宋体" w:cs="宋体"/>
          <w:color w:val="000000"/>
          <w:sz w:val="32"/>
          <w:szCs w:val="32"/>
          <w:highlight w:val="none"/>
        </w:rPr>
        <w:t xml:space="preserve">格</w:t>
      </w:r>
      <w:bookmarkEnd w:id="1"/>
      <w:r>
        <w:rPr>
          <w:rStyle w:val="1112"/>
          <w:rFonts w:hint="eastAsia" w:ascii="宋体" w:hAnsi="宋体" w:eastAsia="宋体" w:cs="宋体"/>
          <w:color w:val="000000"/>
          <w:sz w:val="32"/>
          <w:szCs w:val="32"/>
          <w:highlight w:val="none"/>
        </w:rPr>
        <w:t xml:space="preserve">审查</w:t>
      </w:r>
      <w:r>
        <w:rPr>
          <w:rFonts w:hint="eastAsia" w:ascii="宋体" w:hAnsi="宋体" w:eastAsia="宋体" w:cs="宋体"/>
          <w:sz w:val="32"/>
          <w:szCs w:val="32"/>
          <w:highlight w:val="none"/>
        </w:rPr>
        <w:tab/>
      </w:r>
      <w:r>
        <w:rPr>
          <w:rFonts w:hint="eastAsia" w:cs="宋体"/>
          <w:sz w:val="32"/>
          <w:szCs w:val="32"/>
          <w:highlight w:val="none"/>
          <w:lang w:val="en-US" w:eastAsia="zh-CN"/>
        </w:rPr>
        <w:t xml:space="preserve">2</w:t>
      </w:r>
      <w:r>
        <w:rPr>
          <w:rFonts w:hint="eastAsia" w:ascii="宋体" w:hAnsi="宋体" w:eastAsia="宋体" w:cs="宋体"/>
          <w:sz w:val="32"/>
          <w:szCs w:val="32"/>
          <w:highlight w:val="none"/>
        </w:rPr>
        <w:fldChar w:fldCharType="end"/>
      </w:r>
      <w:r>
        <w:rPr>
          <w:rFonts w:hint="eastAsia" w:cs="宋体"/>
          <w:sz w:val="32"/>
          <w:szCs w:val="32"/>
          <w:highlight w:val="none"/>
          <w:lang w:val="en-US" w:eastAsia="zh-CN"/>
        </w:rPr>
        <w:t xml:space="preserve">1</w:t>
      </w:r>
      <w:r/>
    </w:p>
    <w:p>
      <w:pPr>
        <w:pStyle w:val="1090"/>
        <w:spacing w:line="720" w:lineRule="auto"/>
        <w:rPr>
          <w:rFonts w:hint="eastAsia" w:ascii="宋体" w:hAnsi="宋体" w:eastAsia="宋体" w:cs="宋体"/>
          <w:b w:val="0"/>
          <w:sz w:val="32"/>
          <w:szCs w:val="32"/>
          <w:highlight w:val="none"/>
          <w:lang w:val="en-US" w:eastAsia="zh-CN"/>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"_Toc99301423" </w:instrText>
      </w:r>
      <w:r>
        <w:rPr>
          <w:rFonts w:hint="eastAsia" w:ascii="宋体" w:hAnsi="宋体" w:eastAsia="宋体" w:cs="宋体"/>
          <w:sz w:val="32"/>
          <w:szCs w:val="32"/>
          <w:highlight w:val="none"/>
        </w:rPr>
        <w:fldChar w:fldCharType="separate"/>
      </w:r>
      <w:r>
        <w:rPr>
          <w:rStyle w:val="1112"/>
          <w:rFonts w:hint="eastAsia" w:ascii="宋体" w:hAnsi="宋体" w:eastAsia="宋体" w:cs="宋体"/>
          <w:color w:val="000000"/>
          <w:sz w:val="32"/>
          <w:szCs w:val="32"/>
          <w:highlight w:val="none"/>
        </w:rPr>
        <w:t xml:space="preserve">第四章   评标程序、评标方法和评标标准</w:t>
      </w:r>
      <w:r>
        <w:rPr>
          <w:rFonts w:hint="eastAsia" w:ascii="宋体" w:hAnsi="宋体" w:eastAsia="宋体" w:cs="宋体"/>
          <w:sz w:val="32"/>
          <w:szCs w:val="32"/>
          <w:highlight w:val="none"/>
        </w:rPr>
        <w:tab/>
      </w:r>
      <w:r>
        <w:rPr>
          <w:rFonts w:hint="eastAsia" w:cs="宋体"/>
          <w:sz w:val="32"/>
          <w:szCs w:val="32"/>
          <w:highlight w:val="none"/>
          <w:lang w:val="en-US" w:eastAsia="zh-CN"/>
        </w:rPr>
        <w:t xml:space="preserve">2</w:t>
      </w:r>
      <w:r>
        <w:rPr>
          <w:rFonts w:hint="eastAsia" w:ascii="宋体" w:hAnsi="宋体" w:eastAsia="宋体" w:cs="宋体"/>
          <w:sz w:val="32"/>
          <w:szCs w:val="32"/>
          <w:highlight w:val="none"/>
        </w:rPr>
        <w:fldChar w:fldCharType="end"/>
      </w:r>
      <w:r>
        <w:rPr>
          <w:rFonts w:hint="eastAsia" w:cs="宋体"/>
          <w:sz w:val="32"/>
          <w:szCs w:val="32"/>
          <w:highlight w:val="none"/>
          <w:lang w:val="en-US" w:eastAsia="zh-CN"/>
        </w:rPr>
        <w:t xml:space="preserve">3</w:t>
      </w:r>
      <w:r/>
    </w:p>
    <w:p>
      <w:pPr>
        <w:pStyle w:val="1090"/>
        <w:spacing w:line="720" w:lineRule="auto"/>
        <w:rPr>
          <w:rFonts w:hint="eastAsia" w:ascii="宋体" w:hAnsi="宋体" w:eastAsia="宋体" w:cs="宋体"/>
          <w:b w:val="0"/>
          <w:sz w:val="32"/>
          <w:szCs w:val="32"/>
          <w:highlight w:val="none"/>
          <w:lang w:val="en-US" w:eastAsia="zh-CN"/>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"_Toc99301424" </w:instrText>
      </w:r>
      <w:r>
        <w:rPr>
          <w:rFonts w:hint="eastAsia" w:ascii="宋体" w:hAnsi="宋体" w:eastAsia="宋体" w:cs="宋体"/>
          <w:sz w:val="32"/>
          <w:szCs w:val="32"/>
          <w:highlight w:val="none"/>
        </w:rPr>
        <w:fldChar w:fldCharType="separate"/>
      </w:r>
      <w:r>
        <w:rPr>
          <w:rStyle w:val="1112"/>
          <w:rFonts w:hint="eastAsia" w:ascii="宋体" w:hAnsi="宋体" w:eastAsia="宋体" w:cs="宋体"/>
          <w:color w:val="000000"/>
          <w:sz w:val="32"/>
          <w:szCs w:val="32"/>
          <w:highlight w:val="none"/>
        </w:rPr>
        <w:t xml:space="preserve">第五章   采购</w:t>
      </w:r>
      <w:bookmarkStart w:id="2" w:name="_Hlt100754103"/>
      <w:r/>
      <w:bookmarkStart w:id="3" w:name="_Hlt100754102"/>
      <w:r>
        <w:rPr>
          <w:rStyle w:val="1112"/>
          <w:rFonts w:hint="eastAsia" w:ascii="宋体" w:hAnsi="宋体" w:eastAsia="宋体" w:cs="宋体"/>
          <w:color w:val="000000"/>
          <w:sz w:val="32"/>
          <w:szCs w:val="32"/>
          <w:highlight w:val="none"/>
        </w:rPr>
        <w:t xml:space="preserve">需</w:t>
      </w:r>
      <w:bookmarkEnd w:id="2"/>
      <w:r/>
      <w:bookmarkEnd w:id="3"/>
      <w:r>
        <w:rPr>
          <w:rStyle w:val="1112"/>
          <w:rFonts w:hint="eastAsia" w:ascii="宋体" w:hAnsi="宋体" w:eastAsia="宋体" w:cs="宋体"/>
          <w:color w:val="000000"/>
          <w:sz w:val="32"/>
          <w:szCs w:val="32"/>
          <w:highlight w:val="none"/>
        </w:rPr>
        <w:t xml:space="preserve">求</w:t>
      </w:r>
      <w:r>
        <w:rPr>
          <w:rFonts w:hint="eastAsia" w:ascii="宋体" w:hAnsi="宋体" w:eastAsia="宋体" w:cs="宋体"/>
          <w:sz w:val="32"/>
          <w:szCs w:val="32"/>
          <w:highlight w:val="none"/>
        </w:rPr>
        <w:tab/>
      </w:r>
      <w:r>
        <w:rPr>
          <w:rFonts w:hint="eastAsia" w:ascii="宋体" w:hAnsi="宋体" w:eastAsia="宋体" w:cs="宋体"/>
          <w:sz w:val="32"/>
          <w:szCs w:val="32"/>
          <w:highlight w:val="none"/>
          <w:lang w:val="en-US" w:eastAsia="zh-CN"/>
        </w:rPr>
        <w:t xml:space="preserve">3</w:t>
      </w:r>
      <w:r>
        <w:rPr>
          <w:rFonts w:hint="eastAsia" w:ascii="宋体" w:hAnsi="宋体" w:eastAsia="宋体" w:cs="宋体"/>
          <w:sz w:val="32"/>
          <w:szCs w:val="32"/>
          <w:highlight w:val="none"/>
        </w:rPr>
        <w:fldChar w:fldCharType="end"/>
      </w:r>
      <w:r>
        <w:rPr>
          <w:rFonts w:hint="eastAsia" w:cs="宋体"/>
          <w:sz w:val="32"/>
          <w:szCs w:val="32"/>
          <w:highlight w:val="none"/>
          <w:lang w:val="en-US" w:eastAsia="zh-CN"/>
        </w:rPr>
        <w:t xml:space="preserve">4</w:t>
      </w:r>
      <w:r/>
    </w:p>
    <w:p>
      <w:pPr>
        <w:pStyle w:val="1090"/>
        <w:spacing w:line="720" w:lineRule="auto"/>
        <w:rPr>
          <w:rFonts w:hint="eastAsia" w:ascii="宋体" w:hAnsi="宋体" w:eastAsia="宋体" w:cs="宋体"/>
          <w:b w:val="0"/>
          <w:sz w:val="32"/>
          <w:szCs w:val="32"/>
          <w:highlight w:val="none"/>
          <w:lang w:val="en-US" w:eastAsia="zh-CN"/>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"_Toc99301425" </w:instrText>
      </w:r>
      <w:r>
        <w:rPr>
          <w:rFonts w:hint="eastAsia" w:ascii="宋体" w:hAnsi="宋体" w:eastAsia="宋体" w:cs="宋体"/>
          <w:sz w:val="32"/>
          <w:szCs w:val="32"/>
          <w:highlight w:val="none"/>
        </w:rPr>
        <w:fldChar w:fldCharType="separate"/>
      </w:r>
      <w:r>
        <w:rPr>
          <w:rStyle w:val="1112"/>
          <w:rFonts w:hint="eastAsia" w:ascii="宋体" w:hAnsi="宋体" w:eastAsia="宋体" w:cs="宋体"/>
          <w:color w:val="000000"/>
          <w:sz w:val="32"/>
          <w:szCs w:val="32"/>
          <w:highlight w:val="none"/>
        </w:rPr>
        <w:t xml:space="preserve">第六章   拟签订的合同文本</w:t>
      </w:r>
      <w:r>
        <w:rPr>
          <w:rFonts w:hint="eastAsia" w:ascii="宋体" w:hAnsi="宋体" w:eastAsia="宋体" w:cs="宋体"/>
          <w:sz w:val="32"/>
          <w:szCs w:val="32"/>
          <w:highlight w:val="none"/>
        </w:rPr>
        <w:tab/>
      </w:r>
      <w:r>
        <w:rPr>
          <w:rFonts w:hint="eastAsia" w:ascii="宋体" w:hAnsi="宋体" w:eastAsia="宋体" w:cs="宋体"/>
          <w:sz w:val="32"/>
          <w:szCs w:val="32"/>
          <w:highlight w:val="none"/>
          <w:lang w:val="en-US" w:eastAsia="zh-CN"/>
        </w:rPr>
        <w:t xml:space="preserve">5</w:t>
      </w:r>
      <w:r>
        <w:rPr>
          <w:rFonts w:hint="eastAsia" w:ascii="宋体" w:hAnsi="宋体" w:eastAsia="宋体" w:cs="宋体"/>
          <w:sz w:val="32"/>
          <w:szCs w:val="32"/>
          <w:highlight w:val="none"/>
        </w:rPr>
        <w:fldChar w:fldCharType="end"/>
      </w:r>
      <w:r>
        <w:rPr>
          <w:rFonts w:hint="eastAsia" w:cs="宋体"/>
          <w:sz w:val="32"/>
          <w:szCs w:val="32"/>
          <w:highlight w:val="none"/>
          <w:lang w:val="en-US" w:eastAsia="zh-CN"/>
        </w:rPr>
        <w:t xml:space="preserve">3</w:t>
      </w:r>
      <w:r/>
    </w:p>
    <w:p>
      <w:pPr>
        <w:pStyle w:val="1090"/>
        <w:spacing w:line="720" w:lineRule="auto"/>
        <w:rPr>
          <w:rFonts w:hint="eastAsia" w:ascii="宋体" w:hAnsi="宋体" w:eastAsia="宋体" w:cs="宋体"/>
          <w:b w:val="0"/>
          <w:sz w:val="32"/>
          <w:szCs w:val="32"/>
          <w:highlight w:val="none"/>
          <w:lang w:val="en-US" w:eastAsia="zh-CN"/>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"_Toc99301426" </w:instrText>
      </w:r>
      <w:r>
        <w:rPr>
          <w:rFonts w:hint="eastAsia" w:ascii="宋体" w:hAnsi="宋体" w:eastAsia="宋体" w:cs="宋体"/>
          <w:sz w:val="32"/>
          <w:szCs w:val="32"/>
          <w:highlight w:val="none"/>
        </w:rPr>
        <w:fldChar w:fldCharType="separate"/>
      </w:r>
      <w:r>
        <w:rPr>
          <w:rStyle w:val="1112"/>
          <w:rFonts w:hint="eastAsia" w:ascii="宋体" w:hAnsi="宋体" w:eastAsia="宋体" w:cs="宋体"/>
          <w:color w:val="000000"/>
          <w:sz w:val="32"/>
          <w:szCs w:val="32"/>
          <w:highlight w:val="none"/>
        </w:rPr>
        <w:t xml:space="preserve">第七章   投标文件格式</w:t>
      </w:r>
      <w:r>
        <w:rPr>
          <w:rFonts w:hint="eastAsia" w:ascii="宋体" w:hAnsi="宋体" w:eastAsia="宋体" w:cs="宋体"/>
          <w:sz w:val="32"/>
          <w:szCs w:val="32"/>
          <w:highlight w:val="none"/>
        </w:rPr>
        <w:tab/>
      </w:r>
      <w:r>
        <w:rPr>
          <w:rFonts w:hint="eastAsia" w:cs="宋体"/>
          <w:sz w:val="32"/>
          <w:szCs w:val="32"/>
          <w:highlight w:val="none"/>
          <w:lang w:val="en-US" w:eastAsia="zh-CN"/>
        </w:rPr>
        <w:t xml:space="preserve">5</w:t>
      </w:r>
      <w:r>
        <w:rPr>
          <w:rFonts w:hint="eastAsia" w:ascii="宋体" w:hAnsi="宋体" w:eastAsia="宋体" w:cs="宋体"/>
          <w:sz w:val="32"/>
          <w:szCs w:val="32"/>
          <w:highlight w:val="none"/>
        </w:rPr>
        <w:fldChar w:fldCharType="end"/>
      </w:r>
      <w:r>
        <w:rPr>
          <w:rFonts w:hint="eastAsia" w:cs="宋体"/>
          <w:sz w:val="32"/>
          <w:szCs w:val="32"/>
          <w:highlight w:val="none"/>
          <w:lang w:val="en-US" w:eastAsia="zh-CN"/>
        </w:rPr>
        <w:t xml:space="preserve">8</w:t>
      </w:r>
      <w:r/>
    </w:p>
    <w:p>
      <w:pPr>
        <w:pStyle w:val="1090"/>
        <w:spacing w:line="720" w:lineRule="auto"/>
        <w:rPr>
          <w:rFonts w:hint="eastAsia" w:ascii="宋体" w:hAnsi="宋体" w:eastAsia="宋体" w:cs="宋体"/>
          <w:b w:val="0"/>
          <w:highlight w:val="none"/>
        </w:rPr>
      </w:pPr>
      <w:r>
        <w:rPr>
          <w:rFonts w:hint="eastAsia" w:ascii="宋体" w:hAnsi="宋体" w:eastAsia="宋体" w:cs="宋体"/>
          <w:b w:val="0"/>
          <w:sz w:val="32"/>
          <w:szCs w:val="32"/>
          <w:highlight w:val="none"/>
        </w:rPr>
        <w:fldChar w:fldCharType="end"/>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sz w:val="24"/>
          <w:highlight w:val="none"/>
        </w:rPr>
        <w:br w:type="page" w:clear="all"/>
      </w:r>
      <w:bookmarkStart w:id="4" w:name="_Toc99301419"/>
      <w:r>
        <w:rPr>
          <w:rFonts w:hint="eastAsia" w:ascii="宋体" w:hAnsi="宋体" w:eastAsia="宋体" w:cs="宋体"/>
          <w:b/>
          <w:sz w:val="36"/>
          <w:szCs w:val="36"/>
          <w:highlight w:val="none"/>
        </w:rPr>
        <w:t xml:space="preserve">第一章   投标邀请</w:t>
      </w:r>
      <w:bookmarkEnd w:id="4"/>
      <w:r/>
      <w:r/>
    </w:p>
    <w:p>
      <w:pPr>
        <w:ind w:firstLine="640"/>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640"/>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年度</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医疗责任险、财产险项目的潜在投标人应在</w:t>
      </w:r>
      <w:r>
        <w:rPr>
          <w:rFonts w:hint="eastAsia" w:ascii="宋体" w:hAnsi="宋体" w:eastAsia="宋体" w:cs="宋体"/>
          <w:sz w:val="24"/>
          <w:szCs w:val="24"/>
          <w:highlight w:val="none"/>
          <w:lang w:bidi="ar"/>
        </w:rPr>
        <w:t xml:space="preserve">“苏采云”政府采购一体化平台</w:t>
      </w:r>
      <w:r>
        <w:rPr>
          <w:rFonts w:hint="eastAsia" w:ascii="宋体" w:hAnsi="宋体" w:eastAsia="宋体" w:cs="宋体"/>
          <w:sz w:val="24"/>
          <w:szCs w:val="24"/>
          <w:highlight w:val="none"/>
          <w:lang w:val="en-US" w:eastAsia="zh-CN" w:bidi="ar"/>
        </w:rPr>
        <w:t xml:space="preserve">自行免费下载</w:t>
      </w:r>
      <w:r>
        <w:rPr>
          <w:rFonts w:hint="eastAsia" w:ascii="宋体" w:hAnsi="宋体" w:eastAsia="宋体" w:cs="宋体"/>
          <w:sz w:val="24"/>
          <w:szCs w:val="24"/>
          <w:highlight w:val="none"/>
        </w:rPr>
        <w:t xml:space="preserve">获取招标文件，</w:t>
      </w:r>
      <w:r>
        <w:rPr>
          <w:rFonts w:hint="eastAsia" w:ascii="宋体" w:hAnsi="宋体" w:eastAsia="宋体" w:cs="宋体"/>
          <w:sz w:val="24"/>
          <w:szCs w:val="24"/>
          <w:highlight w:val="none"/>
        </w:rPr>
        <w:t xml:space="preserve">并于</w:t>
      </w:r>
      <w:r>
        <w:rPr>
          <w:rFonts w:hint="eastAsia" w:ascii="宋体" w:hAnsi="宋体" w:eastAsia="宋体" w:cs="宋体"/>
          <w:b/>
          <w:bCs/>
          <w:sz w:val="24"/>
          <w:szCs w:val="24"/>
          <w:highlight w:val="none"/>
        </w:rPr>
        <w:t xml:space="preserve">202</w:t>
      </w:r>
      <w:r>
        <w:rPr>
          <w:rFonts w:hint="eastAsia" w:ascii="宋体" w:hAnsi="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-15</w:t>
      </w:r>
      <w:r>
        <w:rPr>
          <w:rFonts w:hint="eastAsia" w:ascii="宋体" w:hAnsi="宋体" w:cs="宋体"/>
          <w:b/>
          <w:bCs/>
          <w:sz w:val="24"/>
          <w:szCs w:val="24"/>
          <w:highlight w:val="none"/>
          <w:lang w:val="en-US" w:eastAsia="zh-CN"/>
        </w:rPr>
        <w:t xml:space="preserve">下午</w:t>
      </w:r>
      <w:r>
        <w:rPr>
          <w:rFonts w:hint="eastAsia" w:ascii="宋体" w:hAnsi="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00</w:t>
      </w:r>
      <w:r>
        <w:rPr>
          <w:rFonts w:hint="eastAsia" w:ascii="宋体" w:hAnsi="宋体" w:eastAsia="宋体" w:cs="宋体"/>
          <w:b/>
          <w:bCs/>
          <w:sz w:val="24"/>
          <w:szCs w:val="24"/>
          <w:highlight w:val="none"/>
        </w:rPr>
        <w:t xml:space="preserve">（北京时间）</w:t>
      </w:r>
      <w:r>
        <w:rPr>
          <w:rFonts w:hint="eastAsia" w:ascii="宋体" w:hAnsi="宋体" w:eastAsia="宋体" w:cs="宋体"/>
          <w:bCs/>
          <w:sz w:val="24"/>
          <w:szCs w:val="24"/>
          <w:highlight w:val="none"/>
        </w:rPr>
        <w:t xml:space="preserve">前递交投标文件</w:t>
      </w:r>
      <w:r>
        <w:rPr>
          <w:rFonts w:hint="eastAsia" w:ascii="宋体" w:hAnsi="宋体" w:eastAsia="宋体" w:cs="宋体"/>
          <w:sz w:val="24"/>
          <w:szCs w:val="24"/>
          <w:highlight w:val="none"/>
        </w:rPr>
        <w:t xml:space="preserve">。</w:t>
      </w:r>
      <w:r>
        <w:rPr>
          <w:highlight w:val="none"/>
        </w:rPr>
      </w:r>
    </w:p>
    <w:p>
      <w:pPr>
        <w:pStyle w:val="1038"/>
        <w:ind w:firstLine="643"/>
        <w:jc w:val="left"/>
        <w:spacing w:before="240" w:line="360" w:lineRule="auto"/>
        <w:rPr>
          <w:rFonts w:hint="eastAsia" w:ascii="宋体" w:hAnsi="宋体" w:eastAsia="宋体" w:cs="宋体"/>
          <w:sz w:val="24"/>
          <w:szCs w:val="24"/>
          <w:highlight w:val="none"/>
        </w:rPr>
      </w:pPr>
      <w:r/>
      <w:bookmarkStart w:id="5" w:name="_Toc35393790"/>
      <w:r/>
      <w:bookmarkStart w:id="6" w:name="_Toc28359002"/>
      <w:r/>
      <w:bookmarkStart w:id="7" w:name="_Toc35393621"/>
      <w:r/>
      <w:bookmarkStart w:id="8" w:name="_Toc28359079"/>
      <w:r/>
      <w:bookmarkStart w:id="9" w:name="_Hlk24379207"/>
      <w:r>
        <w:rPr>
          <w:rFonts w:hint="eastAsia" w:ascii="宋体" w:hAnsi="宋体" w:eastAsia="宋体" w:cs="宋体"/>
          <w:sz w:val="24"/>
          <w:szCs w:val="24"/>
          <w:highlight w:val="none"/>
        </w:rPr>
        <w:t xml:space="preserve">一、项目基本情况</w:t>
      </w:r>
      <w:bookmarkEnd w:id="5"/>
      <w:r/>
      <w:bookmarkEnd w:id="6"/>
      <w:r/>
      <w:bookmarkEnd w:id="7"/>
      <w:r/>
      <w:bookmarkEnd w:id="8"/>
      <w:r/>
      <w:r/>
    </w:p>
    <w:p>
      <w:pPr>
        <w:ind w:firstLine="64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项目编号：</w:t>
      </w:r>
      <w:r>
        <w:rPr>
          <w:rFonts w:ascii="FangSong" w:hAnsi="FangSong" w:eastAsia="FangSong" w:cs="FangSong"/>
          <w:color w:val="000000"/>
          <w:sz w:val="28"/>
          <w:highlight w:val="white"/>
        </w:rPr>
        <w:t xml:space="preserve">JSZC-320400-CXBX-G2026-0007 </w:t>
      </w:r>
      <w:r>
        <w:rPr>
          <w:rFonts w:hint="eastAsia" w:ascii="宋体" w:hAnsi="宋体" w:cs="宋体"/>
          <w:sz w:val="24"/>
          <w:szCs w:val="24"/>
          <w:highlight w:val="none"/>
          <w:lang w:val="en-US" w:eastAsia="zh-CN"/>
        </w:rPr>
        <w:t xml:space="preserve"> </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项目名称：202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年度</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医疗责任险、财产险项目</w:t>
      </w:r>
      <w:bookmarkEnd w:id="9"/>
      <w:r/>
      <w:r/>
    </w:p>
    <w:p>
      <w:pPr>
        <w:ind w:firstLine="6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预算金额：人民币</w:t>
      </w:r>
      <w:r>
        <w:rPr>
          <w:rFonts w:hint="eastAsia" w:ascii="宋体" w:hAnsi="宋体" w:cs="宋体"/>
          <w:sz w:val="24"/>
          <w:szCs w:val="24"/>
          <w:highlight w:val="none"/>
          <w:lang w:val="en-US" w:eastAsia="zh-CN"/>
        </w:rPr>
        <w:t xml:space="preserve">500</w:t>
      </w:r>
      <w:r>
        <w:rPr>
          <w:rFonts w:hint="eastAsia" w:ascii="宋体" w:hAnsi="宋体" w:eastAsia="宋体" w:cs="宋体"/>
          <w:sz w:val="24"/>
          <w:szCs w:val="24"/>
          <w:highlight w:val="none"/>
          <w:lang w:val="en-US" w:eastAsia="zh-CN"/>
        </w:rPr>
        <w:t xml:space="preserve">万元</w:t>
      </w:r>
      <w:r>
        <w:rPr>
          <w:rFonts w:hint="eastAsia" w:ascii="宋体" w:hAnsi="宋体" w:cs="宋体"/>
          <w:sz w:val="24"/>
          <w:szCs w:val="24"/>
          <w:highlight w:val="none"/>
          <w:lang w:val="en-US" w:eastAsia="zh-CN"/>
        </w:rPr>
        <w:t xml:space="preserve"> </w:t>
      </w:r>
      <w:r/>
    </w:p>
    <w:p>
      <w:pPr>
        <w:ind w:firstLine="640"/>
        <w:spacing w:line="360" w:lineRule="auto"/>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 xml:space="preserve">最高限价：人民币</w:t>
      </w:r>
      <w:r>
        <w:rPr>
          <w:rFonts w:hint="eastAsia" w:ascii="宋体" w:hAnsi="宋体" w:cs="宋体"/>
          <w:sz w:val="24"/>
          <w:szCs w:val="24"/>
          <w:highlight w:val="none"/>
          <w:lang w:val="en-US" w:eastAsia="zh-CN"/>
        </w:rPr>
        <w:t xml:space="preserve">500</w:t>
      </w:r>
      <w:r>
        <w:rPr>
          <w:rFonts w:hint="eastAsia" w:ascii="宋体" w:hAnsi="宋体" w:eastAsia="宋体" w:cs="宋体"/>
          <w:sz w:val="24"/>
          <w:szCs w:val="24"/>
          <w:highlight w:val="none"/>
          <w:lang w:val="en-US" w:eastAsia="zh-CN"/>
        </w:rPr>
        <w:t xml:space="preserve">万元</w:t>
      </w:r>
      <w:r>
        <w:rPr>
          <w:rFonts w:hint="eastAsia" w:ascii="宋体" w:hAnsi="宋体" w:cs="宋体"/>
          <w:sz w:val="24"/>
          <w:szCs w:val="24"/>
          <w:highlight w:val="none"/>
          <w:lang w:val="en-US" w:eastAsia="zh-CN"/>
        </w:rPr>
        <w:t xml:space="preserve"> </w:t>
      </w:r>
      <w:r/>
    </w:p>
    <w:p>
      <w:pPr>
        <w:numPr>
          <w:ilvl w:val="0"/>
          <w:numId w:val="0"/>
        </w:numPr>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采购需求：</w:t>
      </w:r>
      <w:r>
        <w:rPr>
          <w:rFonts w:hint="eastAsia" w:ascii="宋体" w:hAnsi="宋体" w:eastAsia="宋体" w:cs="宋体"/>
          <w:bCs/>
          <w:sz w:val="24"/>
          <w:szCs w:val="24"/>
          <w:highlight w:val="none"/>
        </w:rPr>
        <w:t xml:space="preserve">为构建和谐医患关系，创建“平安医院”，进一步建立完善医疗风险分担机制和医疗纠纷一体化处理模式，</w:t>
      </w:r>
      <w:r>
        <w:rPr>
          <w:rFonts w:hint="eastAsia" w:ascii="宋体" w:hAnsi="宋体" w:eastAsia="宋体" w:cs="宋体"/>
          <w:bCs/>
          <w:sz w:val="24"/>
          <w:szCs w:val="24"/>
          <w:highlight w:val="none"/>
          <w:lang w:val="en-US" w:eastAsia="zh-CN"/>
        </w:rPr>
        <w:t xml:space="preserve">本项目</w:t>
      </w:r>
      <w:r>
        <w:rPr>
          <w:rFonts w:hint="eastAsia" w:ascii="宋体" w:hAnsi="宋体" w:eastAsia="宋体" w:cs="宋体"/>
          <w:bCs/>
          <w:sz w:val="24"/>
          <w:szCs w:val="24"/>
          <w:highlight w:val="none"/>
        </w:rPr>
        <w:t xml:space="preserve">对</w:t>
      </w:r>
      <w:r>
        <w:rPr>
          <w:rFonts w:hint="eastAsia" w:ascii="宋体" w:hAnsi="宋体" w:eastAsia="宋体" w:cs="宋体"/>
          <w:bCs/>
          <w:sz w:val="24"/>
          <w:szCs w:val="24"/>
          <w:highlight w:val="none"/>
          <w:lang w:val="en-US" w:eastAsia="zh-CN"/>
        </w:rPr>
        <w:t xml:space="preserve">202</w:t>
      </w: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lang w:val="en-US" w:eastAsia="zh-CN"/>
        </w:rPr>
        <w:t xml:space="preserve">-</w:t>
      </w:r>
      <w:r>
        <w:rPr>
          <w:rFonts w:hint="eastAsia" w:ascii="宋体" w:hAnsi="宋体" w:cs="宋体"/>
          <w:bCs/>
          <w:sz w:val="24"/>
          <w:szCs w:val="24"/>
          <w:highlight w:val="none"/>
          <w:lang w:val="en-US" w:eastAsia="zh-CN"/>
        </w:rPr>
        <w:t xml:space="preserve">2027</w:t>
      </w:r>
      <w:r>
        <w:rPr>
          <w:rFonts w:hint="eastAsia" w:ascii="宋体" w:hAnsi="宋体" w:eastAsia="宋体" w:cs="宋体"/>
          <w:bCs/>
          <w:sz w:val="24"/>
          <w:szCs w:val="24"/>
          <w:highlight w:val="none"/>
          <w:lang w:val="en-US" w:eastAsia="zh-CN"/>
        </w:rPr>
        <w:t xml:space="preserve">年度</w:t>
      </w:r>
      <w:r>
        <w:rPr>
          <w:rFonts w:hint="eastAsia" w:ascii="宋体" w:hAnsi="宋体" w:cs="宋体"/>
          <w:bCs/>
          <w:sz w:val="24"/>
          <w:szCs w:val="24"/>
          <w:highlight w:val="none"/>
          <w:lang w:val="en-US" w:eastAsia="zh-CN"/>
        </w:rPr>
        <w:t xml:space="preserve">常州市第二人民医院</w:t>
      </w:r>
      <w:r>
        <w:rPr>
          <w:rFonts w:hint="eastAsia" w:ascii="宋体" w:hAnsi="宋体" w:eastAsia="宋体" w:cs="宋体"/>
          <w:bCs/>
          <w:sz w:val="24"/>
          <w:szCs w:val="24"/>
          <w:highlight w:val="none"/>
          <w:lang w:val="en-US" w:eastAsia="zh-CN"/>
        </w:rPr>
        <w:t xml:space="preserve">医疗责任</w:t>
      </w:r>
      <w:r>
        <w:rPr>
          <w:rFonts w:hint="eastAsia" w:ascii="宋体" w:hAnsi="宋体" w:eastAsia="宋体" w:cs="宋体"/>
          <w:bCs/>
          <w:sz w:val="24"/>
          <w:szCs w:val="24"/>
          <w:highlight w:val="none"/>
        </w:rPr>
        <w:t xml:space="preserve">险、财产险项目进行</w:t>
      </w:r>
      <w:r>
        <w:rPr>
          <w:rFonts w:hint="eastAsia" w:ascii="宋体" w:hAnsi="宋体" w:eastAsia="宋体" w:cs="宋体"/>
          <w:bCs/>
          <w:sz w:val="24"/>
          <w:szCs w:val="24"/>
          <w:highlight w:val="none"/>
          <w:lang w:val="en-US" w:eastAsia="zh-CN"/>
        </w:rPr>
        <w:t xml:space="preserve">公开招标</w:t>
      </w:r>
      <w:r>
        <w:rPr>
          <w:rFonts w:hint="eastAsia" w:ascii="宋体" w:hAnsi="宋体" w:eastAsia="宋体" w:cs="宋体"/>
          <w:bCs/>
          <w:sz w:val="24"/>
          <w:szCs w:val="24"/>
          <w:highlight w:val="none"/>
        </w:rPr>
        <w:t xml:space="preserve">。</w:t>
      </w:r>
      <w:r/>
    </w:p>
    <w:p>
      <w:pPr>
        <w:numPr>
          <w:ilvl w:val="0"/>
          <w:numId w:val="0"/>
        </w:num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    本项目由采购人委托的第三方保险经纪公司制定详细实施方案并经采购人确认后负责具体实施。 </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合同履行期限：</w:t>
      </w:r>
      <w:r>
        <w:rPr>
          <w:rFonts w:hint="eastAsia" w:ascii="宋体" w:hAnsi="宋体" w:cs="宋体"/>
          <w:sz w:val="24"/>
          <w:szCs w:val="24"/>
          <w:highlight w:val="none"/>
          <w:lang w:val="en-US" w:eastAsia="zh-CN"/>
        </w:rPr>
        <w:t xml:space="preserve">一</w:t>
      </w:r>
      <w:r>
        <w:rPr>
          <w:rFonts w:hint="eastAsia" w:ascii="宋体" w:hAnsi="宋体" w:eastAsia="宋体" w:cs="宋体"/>
          <w:sz w:val="24"/>
          <w:szCs w:val="24"/>
          <w:highlight w:val="none"/>
        </w:rPr>
        <w:t xml:space="preserve">年。</w:t>
      </w:r>
      <w:r/>
    </w:p>
    <w:p>
      <w:pPr>
        <w:ind w:firstLine="640"/>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合同期限为：202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年04月23日零时起—</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年04月22日二十四时止</w:t>
      </w:r>
      <w:r>
        <w:rPr>
          <w:rFonts w:hint="eastAsia" w:ascii="宋体" w:hAnsi="宋体" w:eastAsia="宋体" w:cs="宋体"/>
          <w:sz w:val="24"/>
          <w:szCs w:val="24"/>
          <w:highlight w:val="none"/>
          <w:lang w:val="en-US" w:eastAsia="zh-CN"/>
        </w:rPr>
        <w:t xml:space="preserve">。</w:t>
      </w:r>
      <w:r/>
    </w:p>
    <w:p>
      <w:pPr>
        <w:numPr>
          <w:ilvl w:val="0"/>
          <w:numId w:val="0"/>
        </w:numPr>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6.本项目是否接受联合体投标：□是  </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lang w:val="en-US" w:eastAsia="zh-CN"/>
        </w:rPr>
        <w:t xml:space="preserve">否。</w:t>
      </w:r>
      <w:r/>
    </w:p>
    <w:p>
      <w:pPr>
        <w:numPr>
          <w:ilvl w:val="0"/>
          <w:numId w:val="0"/>
        </w:numPr>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7.本项目是否接受进口产品投标：□是  </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lang w:val="en-US" w:eastAsia="zh-CN"/>
        </w:rPr>
        <w:t xml:space="preserve">否。</w:t>
      </w:r>
      <w:r/>
    </w:p>
    <w:p>
      <w:pPr>
        <w:pStyle w:val="1038"/>
        <w:ind w:firstLine="643"/>
        <w:jc w:val="left"/>
        <w:spacing w:before="0" w:line="360" w:lineRule="auto"/>
        <w:rPr>
          <w:rFonts w:hint="eastAsia" w:ascii="宋体" w:hAnsi="宋体" w:eastAsia="宋体" w:cs="宋体"/>
          <w:sz w:val="24"/>
          <w:szCs w:val="24"/>
          <w:highlight w:val="none"/>
        </w:rPr>
      </w:pPr>
      <w:r/>
      <w:bookmarkStart w:id="10" w:name="_Toc28359080"/>
      <w:r/>
      <w:bookmarkStart w:id="11" w:name="_Toc28359003"/>
      <w:r/>
      <w:bookmarkStart w:id="12" w:name="_Toc35393791"/>
      <w:r/>
      <w:bookmarkStart w:id="13" w:name="_Toc35393622"/>
      <w:r>
        <w:rPr>
          <w:rFonts w:hint="eastAsia" w:ascii="宋体" w:hAnsi="宋体" w:eastAsia="宋体" w:cs="宋体"/>
          <w:sz w:val="24"/>
          <w:szCs w:val="24"/>
          <w:highlight w:val="none"/>
        </w:rPr>
        <w:t xml:space="preserve">二、申请人的资格要求（须同时满足）</w:t>
      </w:r>
      <w:bookmarkEnd w:id="10"/>
      <w:r/>
      <w:bookmarkEnd w:id="11"/>
      <w:r/>
      <w:bookmarkEnd w:id="12"/>
      <w:r/>
      <w:bookmarkEnd w:id="13"/>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满足《中华人民共和国政府采购法》第二十二条规定以及下列情形：</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1.2单位负责人为同一人或者存在直接控股、管理关系的不同</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（包含法定代表人为同一个人的两个及两个以上法人，母公司、全资子公司及其控股公司），不得参加同一合同项下的政府采购活动;</w:t>
      </w:r>
      <w:r/>
    </w:p>
    <w:p>
      <w:pPr>
        <w:ind w:firstLine="640"/>
        <w:spacing w:line="360" w:lineRule="auto"/>
        <w:rPr>
          <w:rFonts w:hint="eastAsia" w:ascii="宋体" w:hAnsi="宋体" w:eastAsia="宋体" w:cs="宋体"/>
          <w:sz w:val="24"/>
          <w:szCs w:val="24"/>
          <w:highlight w:val="none"/>
        </w:rPr>
      </w:pPr>
      <w:r/>
      <w:bookmarkStart w:id="14" w:name="_Toc28359004"/>
      <w:r/>
      <w:bookmarkStart w:id="15" w:name="_Toc28359081"/>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落实政府采购政策需满足的资格要求：</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1.中小企业政策</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■本项目不专门面向中小企业预留采购份额。</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□本项目专门面向  □中小 □小微企业  采购。即：提供的货物全部由符合政策要求的中小/小微企业制造、服务全部由符合政策要求的中小/小微企业承接。</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   /  。</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2.其它落实政府采购政策的资格要求（如有）：</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640"/>
        <w:spacing w:line="360" w:lineRule="auto"/>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3.1本项目是否接受分支机构参与响应：■是   □否。 </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本项目是否属于政府购买服务：</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否</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□是，公益一类事业单位、使用事业编制且由财政拨款保障的群团组织，不得作为承接主体。</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3.其他特定资格要求：</w:t>
      </w:r>
      <w:bookmarkEnd w:id="14"/>
      <w:r/>
      <w:bookmarkEnd w:id="15"/>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b w:val="0"/>
          <w:bCs w:val="0"/>
          <w:color w:val="auto"/>
          <w:sz w:val="24"/>
          <w:szCs w:val="24"/>
          <w:highlight w:val="none"/>
        </w:rPr>
      </w:pPr>
      <w:r/>
      <w:bookmarkStart w:id="16" w:name="_Toc35393623"/>
      <w:r/>
      <w:bookmarkStart w:id="17" w:name="_Toc35393792"/>
      <w:r>
        <w:rPr>
          <w:rFonts w:hint="eastAsia" w:ascii="宋体" w:hAnsi="宋体" w:eastAsia="宋体" w:cs="宋体"/>
          <w:b w:val="0"/>
          <w:bCs w:val="0"/>
          <w:color w:val="auto"/>
          <w:sz w:val="24"/>
          <w:szCs w:val="24"/>
          <w:highlight w:val="none"/>
        </w:rPr>
        <w:t xml:space="preserve">经国家金融监督管理总局（原中国银行保险监督管理委员会）批准的具有承保资质的财产保险公司。如分支机构参与投标的，需提供总公司项目授权书并承诺由总公司承担民事责任，格式自拟。</w:t>
      </w:r>
      <w:r/>
    </w:p>
    <w:p>
      <w:pPr>
        <w:pStyle w:val="1038"/>
        <w:ind w:firstLine="643"/>
        <w:jc w:val="left"/>
        <w:spacing w:before="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三、获取招标文件</w:t>
      </w:r>
      <w:bookmarkEnd w:id="16"/>
      <w:r/>
      <w:bookmarkEnd w:id="17"/>
      <w:r/>
      <w:r/>
    </w:p>
    <w:p>
      <w:pPr>
        <w:ind w:firstLine="640"/>
        <w:spacing w:line="360" w:lineRule="auto"/>
        <w:rPr>
          <w:rFonts w:hint="default" w:ascii="宋体" w:hAnsi="宋体" w:eastAsia="宋体" w:cs="宋体"/>
          <w:sz w:val="24"/>
          <w:szCs w:val="24"/>
          <w:highlight w:val="yellow"/>
          <w:lang w:val="en-US" w:eastAsia="zh-CN"/>
        </w:rPr>
      </w:pPr>
      <w:r>
        <w:rPr>
          <w:rFonts w:hint="eastAsia" w:ascii="宋体" w:hAnsi="宋体" w:eastAsia="宋体" w:cs="宋体"/>
          <w:sz w:val="24"/>
          <w:szCs w:val="24"/>
          <w:highlight w:val="none"/>
          <w:lang w:bidi="ar"/>
        </w:rPr>
        <w:t xml:space="preserve">时间：</w:t>
      </w:r>
      <w:r>
        <w:rPr>
          <w:rFonts w:hint="eastAsia" w:ascii="宋体" w:hAnsi="宋体" w:cs="宋体"/>
          <w:sz w:val="24"/>
          <w:szCs w:val="24"/>
          <w:highlight w:val="none"/>
          <w:lang w:val="en-US" w:eastAsia="zh-CN" w:bidi="ar"/>
        </w:rPr>
        <w:t xml:space="preserve"> </w:t>
      </w:r>
      <w:r>
        <w:rPr>
          <w:rFonts w:hint="eastAsia" w:ascii="宋体" w:hAnsi="宋体" w:cs="宋体"/>
          <w:sz w:val="24"/>
          <w:szCs w:val="24"/>
          <w:highlight w:val="none"/>
          <w:lang w:val="en-US" w:eastAsia="zh-CN" w:bidi="ar"/>
        </w:rPr>
        <w:t xml:space="preserve">自</w:t>
      </w:r>
      <w:r>
        <w:rPr>
          <w:rFonts w:hint="eastAsia" w:ascii="宋体" w:hAnsi="宋体" w:cs="宋体"/>
          <w:sz w:val="24"/>
          <w:szCs w:val="24"/>
          <w:highlight w:val="none"/>
          <w:lang w:val="en-US" w:eastAsia="zh-CN" w:bidi="ar"/>
        </w:rPr>
        <w:t xml:space="preserve">招标</w:t>
      </w:r>
      <w:r>
        <w:rPr>
          <w:rFonts w:hint="eastAsia" w:ascii="宋体" w:hAnsi="宋体" w:cs="宋体"/>
          <w:sz w:val="24"/>
          <w:szCs w:val="24"/>
          <w:highlight w:val="none"/>
          <w:lang w:val="en-US" w:eastAsia="zh-CN" w:bidi="ar"/>
        </w:rPr>
        <w:t xml:space="preserve">公告</w:t>
      </w:r>
      <w:r>
        <w:rPr>
          <w:rFonts w:hint="eastAsia" w:ascii="宋体" w:hAnsi="宋体" w:cs="宋体"/>
          <w:sz w:val="24"/>
          <w:szCs w:val="24"/>
          <w:highlight w:val="none"/>
          <w:lang w:val="en-US" w:eastAsia="zh-CN" w:bidi="ar"/>
        </w:rPr>
        <w:t xml:space="preserve">发布</w:t>
      </w:r>
      <w:r>
        <w:rPr>
          <w:rFonts w:hint="eastAsia" w:ascii="宋体" w:hAnsi="宋体" w:cs="宋体"/>
          <w:sz w:val="24"/>
          <w:szCs w:val="24"/>
          <w:highlight w:val="none"/>
          <w:lang w:val="en-US" w:eastAsia="zh-CN" w:bidi="ar"/>
        </w:rPr>
        <w:t xml:space="preserve">之日</w:t>
      </w:r>
      <w:r>
        <w:rPr>
          <w:rFonts w:hint="eastAsia" w:ascii="宋体" w:hAnsi="宋体" w:cs="宋体"/>
          <w:sz w:val="24"/>
          <w:szCs w:val="24"/>
          <w:highlight w:val="none"/>
          <w:lang w:val="en-US" w:eastAsia="zh-CN" w:bidi="ar"/>
        </w:rPr>
        <w:t xml:space="preserve">起5</w:t>
      </w:r>
      <w:r>
        <w:rPr>
          <w:rFonts w:hint="eastAsia" w:ascii="宋体" w:hAnsi="宋体" w:cs="宋体"/>
          <w:sz w:val="24"/>
          <w:szCs w:val="24"/>
          <w:highlight w:val="none"/>
          <w:lang w:val="en-US" w:eastAsia="zh-CN" w:bidi="ar"/>
        </w:rPr>
        <w:t xml:space="preserve">个</w:t>
      </w:r>
      <w:r>
        <w:rPr>
          <w:rFonts w:hint="eastAsia" w:ascii="宋体" w:hAnsi="宋体" w:cs="宋体"/>
          <w:sz w:val="24"/>
          <w:szCs w:val="24"/>
          <w:highlight w:val="none"/>
          <w:lang w:val="en-US" w:eastAsia="zh-CN" w:bidi="ar"/>
        </w:rPr>
        <w:t xml:space="preserve">工作日</w:t>
      </w:r>
      <w:r>
        <w:rPr>
          <w:rFonts w:hint="eastAsia" w:ascii="宋体" w:hAnsi="宋体" w:cs="宋体"/>
          <w:sz w:val="24"/>
          <w:szCs w:val="24"/>
          <w:highlight w:val="none"/>
          <w:lang w:val="en-US" w:eastAsia="zh-CN" w:bidi="ar"/>
        </w:rPr>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地点：“苏采云”政府采购一体化平台 </w:t>
      </w:r>
      <w:r/>
    </w:p>
    <w:p>
      <w:pPr>
        <w:ind w:firstLine="640"/>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方式：“苏采云”政府采购一体化平台自行免费下载  </w:t>
      </w:r>
      <w:r/>
    </w:p>
    <w:p>
      <w:pPr>
        <w:ind w:firstLine="64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售价：0.00元</w:t>
      </w:r>
      <w:r/>
    </w:p>
    <w:p>
      <w:pPr>
        <w:pStyle w:val="1038"/>
        <w:ind w:firstLine="643"/>
        <w:jc w:val="left"/>
        <w:spacing w:before="0" w:line="360" w:lineRule="auto"/>
        <w:widowControl/>
        <w:rPr>
          <w:rFonts w:hint="eastAsia" w:ascii="宋体" w:hAnsi="宋体" w:eastAsia="宋体" w:cs="宋体"/>
          <w:sz w:val="24"/>
          <w:szCs w:val="24"/>
          <w:highlight w:val="none"/>
        </w:rPr>
      </w:pPr>
      <w:r/>
      <w:bookmarkStart w:id="18" w:name="_Toc28359082"/>
      <w:r/>
      <w:bookmarkStart w:id="19" w:name="_Toc28359005"/>
      <w:r/>
      <w:bookmarkStart w:id="20" w:name="_Toc35393624"/>
      <w:r/>
      <w:bookmarkStart w:id="21" w:name="_Toc35393793"/>
      <w:r>
        <w:rPr>
          <w:rFonts w:hint="eastAsia" w:ascii="宋体" w:hAnsi="宋体" w:eastAsia="宋体" w:cs="宋体"/>
          <w:sz w:val="24"/>
          <w:szCs w:val="24"/>
          <w:highlight w:val="none"/>
        </w:rPr>
        <w:t xml:space="preserve">四、提交投标文件</w:t>
      </w:r>
      <w:bookmarkEnd w:id="18"/>
      <w:r/>
      <w:bookmarkEnd w:id="19"/>
      <w:r>
        <w:rPr>
          <w:rFonts w:hint="eastAsia" w:ascii="宋体" w:hAnsi="宋体" w:eastAsia="宋体" w:cs="宋体"/>
          <w:sz w:val="24"/>
          <w:szCs w:val="24"/>
          <w:highlight w:val="none"/>
        </w:rPr>
        <w:t xml:space="preserve">截止时间、开标时间和地点</w:t>
      </w:r>
      <w:bookmarkEnd w:id="20"/>
      <w:r/>
      <w:bookmarkEnd w:id="21"/>
      <w:r/>
      <w:r/>
    </w:p>
    <w:p>
      <w:pPr>
        <w:ind w:firstLine="640"/>
        <w:spacing w:line="360" w:lineRule="auto"/>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 xml:space="preserve">投标截止时间、开标时间：</w:t>
      </w:r>
      <w:r>
        <w:rPr>
          <w:rFonts w:hint="eastAsia" w:ascii="宋体" w:hAnsi="宋体" w:eastAsia="宋体" w:cs="宋体"/>
          <w:b/>
          <w:bCs/>
          <w:color w:val="auto"/>
          <w:sz w:val="24"/>
          <w:szCs w:val="24"/>
          <w:highlight w:val="none"/>
          <w:lang w:val="en-US" w:eastAsia="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月15</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 14</w:t>
      </w:r>
      <w:r>
        <w:rPr>
          <w:rFonts w:hint="eastAsia" w:ascii="宋体" w:hAnsi="宋体" w:eastAsia="宋体" w:cs="宋体"/>
          <w:b/>
          <w:bCs/>
          <w:color w:val="auto"/>
          <w:sz w:val="24"/>
          <w:szCs w:val="24"/>
          <w:highlight w:val="none"/>
        </w:rPr>
        <w:t xml:space="preserve">点</w:t>
      </w:r>
      <w:r>
        <w:rPr>
          <w:rFonts w:hint="eastAsia" w:ascii="宋体" w:hAnsi="宋体" w:eastAsia="宋体" w:cs="宋体"/>
          <w:b/>
          <w:bCs/>
          <w:color w:val="auto"/>
          <w:sz w:val="24"/>
          <w:szCs w:val="24"/>
          <w:highlight w:val="none"/>
          <w:lang w:val="en-US" w:eastAsia="zh-CN"/>
        </w:rPr>
        <w:t xml:space="preserve">00</w:t>
      </w:r>
      <w:r>
        <w:rPr>
          <w:rFonts w:hint="eastAsia" w:ascii="宋体" w:hAnsi="宋体" w:eastAsia="宋体" w:cs="宋体"/>
          <w:b/>
          <w:bCs/>
          <w:color w:val="auto"/>
          <w:sz w:val="24"/>
          <w:szCs w:val="24"/>
          <w:highlight w:val="none"/>
        </w:rPr>
        <w:t xml:space="preserve">分（北京时间）</w:t>
      </w:r>
      <w:r>
        <w:rPr>
          <w:rFonts w:hint="eastAsia" w:ascii="宋体" w:hAnsi="宋体" w:eastAsia="宋体" w:cs="宋体"/>
          <w:iCs/>
          <w:sz w:val="24"/>
          <w:szCs w:val="24"/>
          <w:highlight w:val="none"/>
          <w:lang w:bidi="ar"/>
        </w:rPr>
        <w:t xml:space="preserve">。</w:t>
      </w:r>
      <w:r/>
    </w:p>
    <w:p>
      <w:pPr>
        <w:ind w:firstLine="64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bidi="ar"/>
        </w:rPr>
        <w:t xml:space="preserve">地点：</w:t>
      </w:r>
      <w:r>
        <w:rPr>
          <w:rFonts w:hint="eastAsia" w:ascii="宋体" w:hAnsi="宋体" w:eastAsia="宋体" w:cs="宋体"/>
          <w:b/>
          <w:sz w:val="24"/>
          <w:szCs w:val="24"/>
          <w:highlight w:val="none"/>
        </w:rPr>
        <w:t xml:space="preserve">“苏采云”政府采购一体化平台 。</w:t>
      </w:r>
      <w:r/>
    </w:p>
    <w:p>
      <w:pPr>
        <w:pStyle w:val="1038"/>
        <w:ind w:firstLine="643"/>
        <w:jc w:val="left"/>
        <w:spacing w:before="0" w:line="360" w:lineRule="auto"/>
        <w:rPr>
          <w:rFonts w:hint="eastAsia" w:ascii="宋体" w:hAnsi="宋体" w:eastAsia="宋体" w:cs="宋体"/>
          <w:sz w:val="24"/>
          <w:szCs w:val="24"/>
          <w:highlight w:val="none"/>
        </w:rPr>
      </w:pPr>
      <w:r/>
      <w:bookmarkStart w:id="22" w:name="_Toc35393794"/>
      <w:r/>
      <w:bookmarkStart w:id="23" w:name="_Toc28359007"/>
      <w:r/>
      <w:bookmarkStart w:id="24" w:name="_Toc35393625"/>
      <w:r/>
      <w:bookmarkStart w:id="25" w:name="_Toc28359084"/>
      <w:r>
        <w:rPr>
          <w:rFonts w:hint="eastAsia" w:ascii="宋体" w:hAnsi="宋体" w:eastAsia="宋体" w:cs="宋体"/>
          <w:sz w:val="24"/>
          <w:szCs w:val="24"/>
          <w:highlight w:val="none"/>
        </w:rPr>
        <w:t xml:space="preserve">五、公告期限</w:t>
      </w:r>
      <w:bookmarkEnd w:id="22"/>
      <w:r/>
      <w:bookmarkEnd w:id="23"/>
      <w:r/>
      <w:bookmarkEnd w:id="24"/>
      <w:r/>
      <w:bookmarkEnd w:id="25"/>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pStyle w:val="1038"/>
        <w:ind w:firstLine="643"/>
        <w:jc w:val="left"/>
        <w:spacing w:before="0" w:line="360" w:lineRule="auto"/>
        <w:rPr>
          <w:rFonts w:hint="eastAsia" w:ascii="宋体" w:hAnsi="宋体" w:eastAsia="宋体" w:cs="宋体"/>
          <w:sz w:val="24"/>
          <w:szCs w:val="24"/>
          <w:highlight w:val="none"/>
        </w:rPr>
      </w:pPr>
      <w:r/>
      <w:bookmarkStart w:id="26" w:name="_Toc35393795"/>
      <w:r/>
      <w:bookmarkStart w:id="27" w:name="_Toc35393626"/>
      <w:r>
        <w:rPr>
          <w:rFonts w:hint="eastAsia" w:ascii="宋体" w:hAnsi="宋体" w:eastAsia="宋体" w:cs="宋体"/>
          <w:sz w:val="24"/>
          <w:szCs w:val="24"/>
          <w:highlight w:val="none"/>
        </w:rPr>
        <w:t xml:space="preserve">六、其他补充事宜</w:t>
      </w:r>
      <w:bookmarkEnd w:id="26"/>
      <w:r/>
      <w:bookmarkEnd w:id="27"/>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1.本项目需要落实的政府采购政策：</w:t>
      </w:r>
      <w:r>
        <w:rPr>
          <w:rFonts w:hint="eastAsia" w:ascii="宋体" w:hAnsi="宋体" w:eastAsia="宋体" w:cs="宋体"/>
          <w:sz w:val="24"/>
          <w:szCs w:val="24"/>
          <w:highlight w:val="none"/>
          <w:u w:val="single"/>
          <w:lang w:bidi="ar"/>
        </w:rPr>
        <w:t xml:space="preserve">/</w:t>
      </w:r>
      <w:r>
        <w:rPr>
          <w:rFonts w:hint="eastAsia" w:ascii="宋体" w:hAnsi="宋体" w:eastAsia="宋体" w:cs="宋体"/>
          <w:sz w:val="24"/>
          <w:szCs w:val="24"/>
          <w:highlight w:val="none"/>
          <w:lang w:bidi="ar"/>
        </w:rPr>
        <w:t xml:space="preserve">。</w:t>
      </w:r>
      <w:r>
        <w:rPr>
          <w:rFonts w:hint="eastAsia" w:ascii="宋体" w:hAnsi="宋体" w:eastAsia="宋体" w:cs="宋体"/>
          <w:sz w:val="24"/>
          <w:szCs w:val="24"/>
          <w:highlight w:val="none"/>
        </w:rPr>
        <w:t xml:space="preserve"> </w:t>
      </w:r>
      <w:r/>
    </w:p>
    <w:p>
      <w:pPr>
        <w:ind w:firstLine="64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highlight w:val="none"/>
          <w:lang w:bidi="ar"/>
        </w:rPr>
        <w:t xml:space="preserve">.根据省财政厅《关于更</w:t>
      </w:r>
      <w:r>
        <w:rPr>
          <w:rFonts w:hint="eastAsia" w:ascii="宋体" w:hAnsi="宋体" w:eastAsia="宋体" w:cs="宋体"/>
          <w:sz w:val="24"/>
          <w:szCs w:val="24"/>
          <w:highlight w:val="none"/>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64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.关于常州市中小企业政府采购信用融资：</w:t>
      </w:r>
      <w:r/>
    </w:p>
    <w:p>
      <w:pPr>
        <w:ind w:firstLine="64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038"/>
        <w:ind w:firstLine="643"/>
        <w:jc w:val="left"/>
        <w:spacing w:before="0" w:line="360" w:lineRule="auto"/>
        <w:rPr>
          <w:rFonts w:hint="eastAsia" w:ascii="宋体" w:hAnsi="宋体" w:eastAsia="宋体" w:cs="宋体"/>
          <w:sz w:val="24"/>
          <w:szCs w:val="24"/>
          <w:highlight w:val="none"/>
        </w:rPr>
      </w:pPr>
      <w:r/>
      <w:bookmarkStart w:id="28" w:name="_Toc35393627"/>
      <w:r/>
      <w:bookmarkStart w:id="29" w:name="_Toc28359008"/>
      <w:r/>
      <w:bookmarkStart w:id="30" w:name="_Toc35393796"/>
      <w:r/>
      <w:bookmarkStart w:id="31" w:name="_Toc28359085"/>
      <w:r>
        <w:rPr>
          <w:rFonts w:hint="eastAsia" w:ascii="宋体" w:hAnsi="宋体" w:eastAsia="宋体" w:cs="宋体"/>
          <w:sz w:val="24"/>
          <w:szCs w:val="24"/>
          <w:highlight w:val="none"/>
        </w:rPr>
        <w:t xml:space="preserve">七、对本次招标提出询问，请按以下方式联系。</w:t>
      </w:r>
      <w:bookmarkEnd w:id="28"/>
      <w:r/>
      <w:bookmarkEnd w:id="29"/>
      <w:r/>
      <w:bookmarkEnd w:id="30"/>
      <w:r/>
      <w:bookmarkEnd w:id="31"/>
      <w:r/>
      <w:r/>
    </w:p>
    <w:p>
      <w:pPr>
        <w:ind w:firstLine="643"/>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1.采购人信息</w:t>
      </w:r>
      <w:r/>
    </w:p>
    <w:p>
      <w:pPr>
        <w:ind w:left="-2" w:firstLine="640"/>
        <w:jc w:val="left"/>
        <w:spacing w:line="360" w:lineRule="auto"/>
        <w:rPr>
          <w:rFonts w:hint="eastAsia" w:ascii="宋体" w:hAnsi="宋体" w:eastAsia="宋体" w:cs="宋体"/>
          <w:sz w:val="24"/>
          <w:szCs w:val="24"/>
          <w:highlight w:val="none"/>
        </w:rPr>
      </w:pPr>
      <w:r/>
      <w:bookmarkStart w:id="32" w:name="_Toc28359009"/>
      <w:r/>
      <w:bookmarkStart w:id="33" w:name="_Toc28359086"/>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 </w:t>
      </w:r>
      <w:r/>
    </w:p>
    <w:p>
      <w:pPr>
        <w:ind w:left="-2" w:firstLine="64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址：常州市滆湖中路68号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w:t>
      </w:r>
      <w:r/>
    </w:p>
    <w:p>
      <w:pPr>
        <w:ind w:left="-2" w:firstLine="64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联系人：</w:t>
      </w:r>
      <w:r>
        <w:rPr>
          <w:rFonts w:hint="eastAsia" w:ascii="宋体" w:hAnsi="宋体" w:cs="宋体"/>
          <w:sz w:val="24"/>
          <w:szCs w:val="24"/>
          <w:highlight w:val="none"/>
          <w:lang w:val="en-US" w:eastAsia="zh-CN"/>
        </w:rPr>
        <w:t xml:space="preserve">华</w:t>
      </w:r>
      <w:r>
        <w:rPr>
          <w:rFonts w:hint="eastAsia" w:ascii="宋体" w:hAnsi="宋体" w:eastAsia="宋体" w:cs="宋体"/>
          <w:sz w:val="24"/>
          <w:szCs w:val="24"/>
          <w:highlight w:val="none"/>
        </w:rPr>
        <w:t xml:space="preserve">主任</w:t>
      </w:r>
      <w:r>
        <w:rPr>
          <w:rFonts w:hint="eastAsia" w:ascii="宋体" w:hAnsi="宋体" w:cs="宋体"/>
          <w:sz w:val="24"/>
          <w:szCs w:val="24"/>
          <w:highlight w:val="none"/>
          <w:lang w:val="en-US" w:eastAsia="zh-CN"/>
        </w:rPr>
        <w:t xml:space="preserve"> </w:t>
      </w:r>
      <w:r/>
    </w:p>
    <w:p>
      <w:pPr>
        <w:ind w:left="-2" w:firstLine="64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联系方式：0519-88065618</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w:t>
      </w:r>
      <w:r/>
    </w:p>
    <w:p>
      <w:pPr>
        <w:ind w:left="-2" w:firstLine="643"/>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2.采购代理机构信息</w:t>
      </w:r>
      <w:bookmarkEnd w:id="32"/>
      <w:r/>
      <w:bookmarkEnd w:id="33"/>
      <w:r/>
      <w:r/>
    </w:p>
    <w:p>
      <w:pPr>
        <w:ind w:left="-2" w:firstLine="643"/>
        <w:spacing w:line="360" w:lineRule="auto"/>
        <w:rPr>
          <w:rFonts w:hint="eastAsia" w:ascii="宋体" w:hAnsi="宋体" w:eastAsia="宋体" w:cs="宋体"/>
          <w:sz w:val="24"/>
          <w:szCs w:val="24"/>
          <w:highlight w:val="none"/>
        </w:rPr>
      </w:pPr>
      <w:r/>
      <w:bookmarkStart w:id="34" w:name="_Toc28359010"/>
      <w:r/>
      <w:bookmarkStart w:id="35" w:name="_Toc28359087"/>
      <w:r>
        <w:rPr>
          <w:rFonts w:hint="eastAsia" w:ascii="宋体" w:hAnsi="宋体" w:eastAsia="宋体" w:cs="宋体"/>
          <w:sz w:val="24"/>
          <w:szCs w:val="24"/>
          <w:highlight w:val="none"/>
        </w:rPr>
        <w:t xml:space="preserve">名    称：江苏常信保险经纪有限公司</w:t>
      </w:r>
      <w:r/>
    </w:p>
    <w:p>
      <w:pPr>
        <w:ind w:left="-2" w:firstLine="64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址：常州市局前街285号嘉乐广场A座710</w:t>
      </w:r>
      <w:r/>
    </w:p>
    <w:p>
      <w:pPr>
        <w:ind w:left="-2" w:firstLine="64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联系人：陈女士</w:t>
      </w:r>
      <w:r/>
    </w:p>
    <w:p>
      <w:pPr>
        <w:ind w:left="-2" w:firstLine="64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联系方式：0519-88126007  </w:t>
      </w:r>
      <w:r/>
    </w:p>
    <w:p>
      <w:pPr>
        <w:ind w:left="-2" w:firstLine="643"/>
        <w:spacing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3.项目联系方式</w:t>
      </w:r>
      <w:bookmarkEnd w:id="34"/>
      <w:r/>
      <w:bookmarkEnd w:id="35"/>
      <w:r/>
      <w:r/>
    </w:p>
    <w:p>
      <w:pPr>
        <w:pStyle w:val="1076"/>
        <w:ind w:left="-2"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项目联系人：陈女士 </w:t>
      </w:r>
      <w:r/>
    </w:p>
    <w:p>
      <w:pPr>
        <w:pStyle w:val="1076"/>
        <w:ind w:firstLine="480"/>
        <w:jc w:val="both"/>
        <w:spacing w:line="360" w:lineRule="auto"/>
        <w:rPr>
          <w:rFonts w:hint="eastAsia" w:ascii="宋体" w:hAnsi="宋体" w:eastAsia="宋体" w:cs="宋体"/>
          <w:b/>
          <w:sz w:val="32"/>
          <w:szCs w:val="32"/>
          <w:highlight w:val="none"/>
        </w:rPr>
      </w:pPr>
      <w:r>
        <w:rPr>
          <w:rFonts w:hint="eastAsia" w:ascii="宋体" w:hAnsi="宋体" w:eastAsia="宋体" w:cs="宋体"/>
          <w:sz w:val="24"/>
          <w:szCs w:val="24"/>
          <w:highlight w:val="none"/>
        </w:rPr>
        <w:t xml:space="preserve">电      话：0519-88126007  </w:t>
      </w:r>
      <w:r>
        <w:rPr>
          <w:rFonts w:hint="eastAsia" w:ascii="宋体" w:hAnsi="宋体" w:eastAsia="宋体" w:cs="宋体"/>
          <w:sz w:val="24"/>
          <w:highlight w:val="none"/>
        </w:rPr>
        <w:br w:type="page" w:clear="all"/>
      </w:r>
      <w:bookmarkStart w:id="36" w:name="_Toc99301420"/>
      <w:r/>
      <w:bookmarkStart w:id="37" w:name="_Toc264969275"/>
      <w:r/>
      <w:bookmarkStart w:id="38" w:name="_Toc226965856"/>
      <w:r/>
      <w:bookmarkStart w:id="39" w:name="_Toc150774783"/>
      <w:r/>
      <w:bookmarkStart w:id="40" w:name="_Toc195842950"/>
      <w:r/>
      <w:bookmarkStart w:id="41" w:name="_Toc127161488"/>
      <w:r/>
      <w:bookmarkStart w:id="42" w:name="_Toc305158854"/>
      <w:r/>
      <w:bookmarkStart w:id="43" w:name="_Toc127151777"/>
      <w:r/>
      <w:bookmarkStart w:id="44" w:name="_Toc353873938"/>
      <w:r/>
      <w:bookmarkStart w:id="45" w:name="_Toc305158928"/>
      <w:r/>
      <w:bookmarkStart w:id="46" w:name="_Toc353825548"/>
      <w:r/>
      <w:bookmarkStart w:id="47" w:name="_Toc512937850"/>
      <w:r/>
      <w:bookmarkStart w:id="48" w:name="_Toc265228423"/>
      <w:r>
        <w:rPr>
          <w:rFonts w:hint="eastAsia" w:ascii="宋体" w:hAnsi="宋体" w:eastAsia="宋体" w:cs="宋体"/>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38"/>
        <w:spacing w:before="0" w:line="360" w:lineRule="auto"/>
        <w:tabs>
          <w:tab w:val="center" w:pos="4592" w:leader="none"/>
          <w:tab w:val="left" w:pos="7860" w:leader="none"/>
        </w:tabs>
        <w:rPr>
          <w:rFonts w:hint="eastAsia" w:ascii="宋体" w:hAnsi="宋体" w:eastAsia="宋体" w:cs="宋体"/>
          <w:b/>
          <w:sz w:val="28"/>
          <w:szCs w:val="28"/>
          <w:highlight w:val="none"/>
        </w:rPr>
      </w:pPr>
      <w:r/>
      <w:bookmarkStart w:id="49" w:name="_Toc226965709"/>
      <w:r/>
      <w:bookmarkStart w:id="50" w:name="_Toc226309763"/>
      <w:r/>
      <w:bookmarkStart w:id="51" w:name="_Toc150480757"/>
      <w:r/>
      <w:bookmarkStart w:id="52" w:name="_Toc127161433"/>
      <w:r/>
      <w:bookmarkStart w:id="53" w:name="_Toc151193907"/>
      <w:r/>
      <w:bookmarkStart w:id="54" w:name="_Toc164608633"/>
      <w:r/>
      <w:bookmarkStart w:id="55" w:name="_Toc195842884"/>
      <w:r/>
      <w:bookmarkStart w:id="56" w:name="_Toc164229360"/>
      <w:r/>
      <w:bookmarkStart w:id="57" w:name="_Toc150774724"/>
      <w:r/>
      <w:bookmarkStart w:id="58" w:name="_Toc164608788"/>
      <w:r/>
      <w:bookmarkStart w:id="59" w:name="_Toc164229214"/>
      <w:r/>
      <w:bookmarkStart w:id="60" w:name="_Toc127151720"/>
      <w:r/>
      <w:bookmarkStart w:id="61" w:name="_Toc151193761"/>
      <w:r/>
      <w:bookmarkStart w:id="62" w:name="_Toc150509270"/>
      <w:r/>
      <w:bookmarkStart w:id="63" w:name="_Toc226337215"/>
      <w:r/>
      <w:bookmarkStart w:id="64" w:name="_Toc226965792"/>
      <w:r/>
      <w:bookmarkStart w:id="65" w:name="_Toc127151519"/>
      <w:r/>
      <w:bookmarkStart w:id="66" w:name="_Toc151190146"/>
      <w:r/>
      <w:bookmarkStart w:id="67" w:name="_Toc520356144"/>
      <w:r/>
      <w:bookmarkStart w:id="68" w:name="_Toc164351613"/>
      <w:r/>
      <w:bookmarkStart w:id="69" w:name="_Toc142311021"/>
      <w:r/>
      <w:bookmarkStart w:id="70" w:name="_Toc151193617"/>
      <w:r/>
      <w:bookmarkStart w:id="71" w:name="_Toc150774619"/>
      <w:r/>
      <w:bookmarkStart w:id="72" w:name="_Toc151193689"/>
      <w:r/>
      <w:bookmarkStart w:id="73" w:name="_Toc149720812"/>
      <w:r/>
      <w:bookmarkStart w:id="74" w:name="_Toc151193833"/>
      <w:r>
        <w:rPr>
          <w:rFonts w:hint="eastAsia" w:ascii="宋体" w:hAnsi="宋体" w:eastAsia="宋体" w:cs="宋体"/>
          <w:sz w:val="28"/>
          <w:highlight w:val="none"/>
        </w:rPr>
        <w:t xml:space="preserve">投标人须知资料表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本表是对投标人须知的具体补充和修改，如有矛盾，均以本资料表为准。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标记“</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”的选项意为适用于本项目，标记“□”的选项意为不适用于本项目。</w:t>
      </w:r>
      <w:r/>
    </w:p>
    <w:tbl>
      <w:tblPr>
        <w:tblStyle w:val="861"/>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sz w:val="24"/>
                <w:highlight w:val="none"/>
              </w:rPr>
              <w:t xml:space="preserve">条款号</w:t>
            </w:r>
            <w:r/>
          </w:p>
        </w:tc>
        <w:tc>
          <w:tcPr>
            <w:tcW w:w="1701"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条目</w:t>
            </w:r>
            <w:r/>
          </w:p>
        </w:tc>
        <w:tc>
          <w:tcPr>
            <w:tcW w:w="7540"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内容</w:t>
            </w:r>
            <w:r/>
          </w:p>
        </w:tc>
      </w:tr>
      <w:tr>
        <w:trPr>
          <w:jc w:val="center"/>
          <w:trHeight w:val="20"/>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项目属性</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项目属性：</w:t>
            </w:r>
            <w:r/>
          </w:p>
          <w:p>
            <w:pPr>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■服务</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lang w:eastAsia="zh-CN"/>
              </w:rPr>
              <w:t xml:space="preserve">□货物</w:t>
            </w:r>
            <w:r/>
          </w:p>
        </w:tc>
      </w:tr>
      <w:tr>
        <w:trPr>
          <w:jc w:val="center"/>
          <w:trHeight w:val="20"/>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科研仪器设备</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是否属于科研仪器设备采购项目：</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□是</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■否</w:t>
            </w:r>
            <w:r/>
          </w:p>
        </w:tc>
      </w:tr>
      <w:tr>
        <w:trPr>
          <w:jc w:val="center"/>
          <w:trHeight w:val="20"/>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核心产品</w:t>
            </w:r>
            <w:r/>
          </w:p>
        </w:tc>
        <w:tc>
          <w:tcPr>
            <w:tcW w:w="7540" w:type="dxa"/>
            <w:vAlign w:val="center"/>
            <w:textDirection w:val="lrTb"/>
            <w:noWrap w:val="false"/>
          </w:tcPr>
          <w:p>
            <w:pPr>
              <w:pStyle w:val="1076"/>
              <w:rPr>
                <w:rFonts w:hint="eastAsia" w:ascii="宋体" w:hAnsi="宋体" w:eastAsia="宋体" w:cs="宋体"/>
                <w:sz w:val="24"/>
                <w:szCs w:val="24"/>
                <w:highlight w:val="none"/>
              </w:rPr>
            </w:pPr>
            <w:r>
              <w:rPr>
                <w:rFonts w:hint="eastAsia" w:ascii="宋体" w:hAnsi="宋体" w:eastAsia="宋体" w:cs="宋体"/>
                <w:sz w:val="24"/>
                <w:highlight w:val="none"/>
              </w:rPr>
              <w:t xml:space="preserve">■</w:t>
            </w:r>
            <w:r>
              <w:rPr>
                <w:rFonts w:hint="eastAsia" w:ascii="宋体" w:hAnsi="宋体" w:eastAsia="宋体" w:cs="宋体"/>
                <w:sz w:val="24"/>
                <w:szCs w:val="24"/>
                <w:highlight w:val="none"/>
              </w:rPr>
              <w:t xml:space="preserve">关于核心产品本项目__包不适用。</w:t>
            </w:r>
            <w:r/>
          </w:p>
          <w:p>
            <w:pPr>
              <w:pStyle w:val="1076"/>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本项目__包为单一产品采购项目。</w:t>
            </w:r>
            <w:r/>
          </w:p>
          <w:p>
            <w:pPr>
              <w:jc w:val="left"/>
              <w:rPr>
                <w:rFonts w:hint="eastAsia" w:ascii="宋体" w:hAnsi="宋体" w:eastAsia="宋体" w:cs="宋体"/>
                <w:sz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highlight w:val="none"/>
              </w:rPr>
              <w:t xml:space="preserve">本项目__包为非单一产品采购项目，核心产品为：</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w:t>
            </w:r>
            <w:r/>
          </w:p>
        </w:tc>
      </w:tr>
      <w:tr>
        <w:trPr>
          <w:cantSplit/>
          <w:jc w:val="center"/>
          <w:trHeight w:val="20"/>
        </w:trPr>
        <w:tc>
          <w:tcPr>
            <w:tcW w:w="988" w:type="dxa"/>
            <w:vAlign w:val="center"/>
            <w:vMerge w:val="restart"/>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现场考察</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■不组织</w:t>
            </w:r>
            <w:r/>
          </w:p>
          <w:p>
            <w:pPr>
              <w:jc w:val="left"/>
              <w:rPr>
                <w:rFonts w:hint="eastAsia" w:ascii="宋体" w:hAnsi="宋体" w:eastAsia="宋体" w:cs="宋体"/>
                <w:bCs/>
                <w:sz w:val="24"/>
                <w:highlight w:val="none"/>
              </w:rPr>
            </w:pPr>
            <w:r>
              <w:rPr>
                <w:rFonts w:hint="eastAsia" w:ascii="宋体" w:hAnsi="宋体" w:eastAsia="宋体" w:cs="宋体"/>
                <w:sz w:val="24"/>
                <w:highlight w:val="none"/>
              </w:rPr>
              <w:t xml:space="preserve">□组织，考察时间：</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日</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点</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分</w:t>
            </w:r>
            <w:r/>
          </w:p>
          <w:p>
            <w:pPr>
              <w:pStyle w:val="107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考察地点：</w:t>
            </w:r>
            <w:r>
              <w:rPr>
                <w:rFonts w:hint="eastAsia" w:ascii="宋体" w:hAnsi="宋体" w:eastAsia="宋体" w:cs="宋体"/>
                <w:sz w:val="24"/>
                <w:highlight w:val="none"/>
                <w:u w:val="single"/>
              </w:rPr>
              <w:t xml:space="preserve">/</w:t>
            </w:r>
            <w:r>
              <w:rPr>
                <w:rFonts w:hint="eastAsia" w:ascii="宋体" w:hAnsi="宋体" w:eastAsia="宋体" w:cs="宋体"/>
                <w:sz w:val="24"/>
                <w:szCs w:val="24"/>
                <w:highlight w:val="none"/>
              </w:rPr>
              <w:t xml:space="preserve">。</w:t>
            </w:r>
            <w:r/>
          </w:p>
        </w:tc>
      </w:tr>
      <w:tr>
        <w:trPr>
          <w:cantSplit/>
          <w:jc w:val="center"/>
          <w:trHeight w:val="20"/>
        </w:trPr>
        <w:tc>
          <w:tcPr>
            <w:tcW w:w="988" w:type="dxa"/>
            <w:vAlign w:val="center"/>
            <w:vMerge w:val="continue"/>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开标前答疑会</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■不召开</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□召开，召开时间：</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日</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点</w:t>
            </w:r>
            <w:r>
              <w:rPr>
                <w:rFonts w:hint="eastAsia" w:ascii="宋体" w:hAnsi="宋体" w:eastAsia="宋体" w:cs="宋体"/>
                <w:sz w:val="24"/>
                <w:highlight w:val="none"/>
                <w:u w:val="single"/>
              </w:rPr>
              <w:t xml:space="preserve">/</w:t>
            </w:r>
            <w:r>
              <w:rPr>
                <w:rFonts w:hint="eastAsia" w:ascii="宋体" w:hAnsi="宋体" w:eastAsia="宋体" w:cs="宋体"/>
                <w:sz w:val="24"/>
                <w:highlight w:val="none"/>
                <w:lang w:bidi="ar"/>
              </w:rPr>
              <w:t xml:space="preserve">分</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召开地点：</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w:t>
            </w:r>
            <w:r/>
          </w:p>
        </w:tc>
      </w:tr>
      <w:tr>
        <w:trPr>
          <w:jc w:val="center"/>
          <w:trHeight w:val="20"/>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样品</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投标样品递交：</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■不需要</w:t>
            </w:r>
            <w:r/>
          </w:p>
          <w:p>
            <w:pPr>
              <w:jc w:val="left"/>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□需要</w:t>
            </w:r>
            <w:r/>
          </w:p>
        </w:tc>
      </w:tr>
      <w:tr>
        <w:trPr>
          <w:jc w:val="center"/>
          <w:trHeight w:val="517"/>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5.2.5</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标的所属行业</w:t>
            </w:r>
            <w:r/>
          </w:p>
        </w:tc>
        <w:tc>
          <w:tcPr>
            <w:tcW w:w="7540" w:type="dxa"/>
            <w:vAlign w:val="center"/>
            <w:textDirection w:val="lrTb"/>
            <w:noWrap w:val="false"/>
          </w:tcPr>
          <w:p>
            <w:pPr>
              <w:jc w:val="left"/>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本项目采购标的对应的中小企业划分标准所属行业：</w:t>
            </w:r>
            <w:r>
              <w:rPr>
                <w:rFonts w:hint="eastAsia" w:ascii="宋体" w:hAnsi="宋体" w:eastAsia="宋体" w:cs="宋体"/>
                <w:sz w:val="24"/>
                <w:highlight w:val="none"/>
                <w:u w:val="single"/>
                <w:lang w:val="en-US" w:eastAsia="zh-CN"/>
              </w:rPr>
              <w:t xml:space="preserve">其他未列明行业</w:t>
            </w:r>
            <w:r/>
          </w:p>
        </w:tc>
      </w:tr>
      <w:tr>
        <w:trPr>
          <w:jc w:val="center"/>
          <w:trHeight w:val="517"/>
        </w:trPr>
        <w:tc>
          <w:tcPr>
            <w:tcW w:w="988" w:type="dxa"/>
            <w:vAlign w:val="center"/>
            <w:textDirection w:val="lrTb"/>
            <w:noWrap w:val="false"/>
          </w:tcPr>
          <w:p>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5.9</w:t>
            </w:r>
            <w:r/>
          </w:p>
        </w:tc>
        <w:tc>
          <w:tcPr>
            <w:tcW w:w="1701" w:type="dxa"/>
            <w:vAlign w:val="center"/>
            <w:textDirection w:val="lrTb"/>
            <w:noWrap w:val="false"/>
          </w:tcPr>
          <w:p>
            <w:pPr>
              <w:jc w:val="left"/>
              <w:rPr>
                <w:rFonts w:hint="eastAsia" w:ascii="宋体" w:hAnsi="宋体" w:eastAsia="宋体" w:cs="宋体"/>
                <w:sz w:val="24"/>
                <w:highlight w:val="none"/>
                <w:lang w:val="en-US" w:eastAsia="zh-CN"/>
              </w:rPr>
            </w:pPr>
            <w:r>
              <w:rPr>
                <w:rFonts w:hint="eastAsia"/>
                <w:color w:val="000000"/>
                <w:sz w:val="24"/>
                <w:highlight w:val="none"/>
              </w:rPr>
              <w:t xml:space="preserve">本国产品政策支持</w:t>
            </w:r>
            <w:r/>
          </w:p>
        </w:tc>
        <w:tc>
          <w:tcPr>
            <w:tcW w:w="7540" w:type="dxa"/>
            <w:vAlign w:val="center"/>
            <w:textDirection w:val="lrTb"/>
            <w:noWrap w:val="false"/>
          </w:tcPr>
          <w:p>
            <w:pPr>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w:t>
            </w:r>
            <w:r>
              <w:rPr>
                <w:rFonts w:hint="eastAsia"/>
                <w:color w:val="000000"/>
                <w:sz w:val="24"/>
                <w:highlight w:val="none"/>
              </w:rPr>
              <w:t xml:space="preserve">适用 </w:t>
            </w:r>
            <w:r>
              <w:rPr>
                <w:rFonts w:hint="eastAsia" w:ascii="宋体" w:hAnsi="宋体" w:cs="宋体"/>
                <w:color w:val="000000"/>
                <w:sz w:val="24"/>
                <w:highlight w:val="none"/>
              </w:rPr>
              <w:t xml:space="preserve">■</w:t>
            </w:r>
            <w:r>
              <w:rPr>
                <w:rFonts w:hint="eastAsia"/>
                <w:color w:val="000000"/>
                <w:sz w:val="24"/>
                <w:highlight w:val="none"/>
              </w:rPr>
              <w:t xml:space="preserve">不适用。</w:t>
            </w:r>
            <w:r/>
          </w:p>
          <w:p>
            <w:pPr>
              <w:jc w:val="left"/>
              <w:rPr>
                <w:rFonts w:hint="eastAsia" w:ascii="宋体" w:hAnsi="宋体" w:eastAsia="宋体" w:cs="宋体"/>
                <w:color w:val="000000"/>
                <w:sz w:val="24"/>
                <w:szCs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517"/>
        </w:trPr>
        <w:tc>
          <w:tcPr>
            <w:tcW w:w="988" w:type="dxa"/>
            <w:vAlign w:val="center"/>
            <w:textDirection w:val="lrTb"/>
            <w:noWrap w:val="false"/>
          </w:tcPr>
          <w:p>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10</w:t>
            </w:r>
            <w:r/>
          </w:p>
        </w:tc>
        <w:tc>
          <w:tcPr>
            <w:tcW w:w="1701" w:type="dxa"/>
            <w:vAlign w:val="center"/>
            <w:textDirection w:val="lrTb"/>
            <w:noWrap w:val="false"/>
          </w:tcPr>
          <w:p>
            <w:pPr>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纸质中标（成交）文件</w:t>
            </w:r>
            <w:r/>
          </w:p>
        </w:tc>
        <w:tc>
          <w:tcPr>
            <w:tcW w:w="7540" w:type="dxa"/>
            <w:vAlign w:val="center"/>
            <w:textDirection w:val="lrTb"/>
            <w:noWrap w:val="false"/>
          </w:tcPr>
          <w:p>
            <w:pPr>
              <w:jc w:val="left"/>
              <w:rPr>
                <w:rFonts w:hint="eastAsia" w:ascii="宋体" w:hAnsi="宋体" w:eastAsia="宋体" w:cs="宋体"/>
                <w:sz w:val="24"/>
                <w:highlight w:val="none"/>
                <w:lang w:val="en-US" w:eastAsia="zh-CN"/>
              </w:rPr>
            </w:pPr>
            <w:r>
              <w:rPr>
                <w:rFonts w:hint="eastAsia" w:ascii="宋体" w:hAnsi="宋体" w:eastAsia="宋体" w:cs="宋体"/>
                <w:color w:val="000000"/>
                <w:sz w:val="24"/>
                <w:szCs w:val="24"/>
                <w:highlight w:val="none"/>
              </w:rPr>
              <w:t xml:space="preserve">中标（成交）单位在签订合同前需递交与电子投标文件内容一致的纸质投标文件一份正本两份副本（需打印清晰，标注目录及页码），作为项目归档使用。（递交方式可采用邮寄或现场送达，联系方式见《第一章 采购邀请》）</w:t>
            </w:r>
            <w:r/>
          </w:p>
        </w:tc>
      </w:tr>
      <w:tr>
        <w:trPr>
          <w:jc w:val="center"/>
          <w:trHeight w:val="358"/>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11.2</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投标报价</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投标报价的特殊规定：</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■无</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□有，具体情形：_____。</w:t>
            </w:r>
            <w:r/>
          </w:p>
        </w:tc>
      </w:tr>
      <w:tr>
        <w:trPr>
          <w:jc w:val="center"/>
          <w:trHeight w:val="20"/>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投标保证金</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免收</w:t>
            </w:r>
            <w:r/>
          </w:p>
        </w:tc>
      </w:tr>
      <w:tr>
        <w:trPr>
          <w:jc w:val="center"/>
          <w:trHeight w:val="20"/>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投标有效期</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25.5</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分包</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本项目的非主体、非关键性工作是否允许分包： </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■不允许</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□允许，具体要求：</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（1）可以分包履行的具体内容：</w:t>
            </w:r>
            <w:r>
              <w:rPr>
                <w:rFonts w:hint="eastAsia" w:ascii="宋体" w:hAnsi="宋体" w:eastAsia="宋体" w:cs="宋体"/>
                <w:sz w:val="24"/>
                <w:highlight w:val="none"/>
                <w:u w:val="single"/>
                <w:lang w:bidi="ar"/>
              </w:rPr>
              <w:t xml:space="preserve">/</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（2）允许分包的金额或者比例：</w:t>
            </w:r>
            <w:r>
              <w:rPr>
                <w:rFonts w:hint="eastAsia" w:ascii="宋体" w:hAnsi="宋体" w:eastAsia="宋体" w:cs="宋体"/>
                <w:sz w:val="24"/>
                <w:highlight w:val="none"/>
                <w:u w:val="single"/>
                <w:lang w:bidi="ar"/>
              </w:rPr>
              <w:t xml:space="preserve">/</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（3）其他要求：</w:t>
            </w:r>
            <w:r>
              <w:rPr>
                <w:rFonts w:hint="eastAsia" w:ascii="宋体" w:hAnsi="宋体" w:eastAsia="宋体" w:cs="宋体"/>
                <w:sz w:val="24"/>
                <w:highlight w:val="none"/>
                <w:u w:val="single"/>
                <w:lang w:bidi="ar"/>
              </w:rPr>
              <w:t xml:space="preserve">/</w:t>
            </w:r>
            <w:r>
              <w:rPr>
                <w:rFonts w:hint="eastAsia" w:ascii="宋体" w:hAnsi="宋体" w:eastAsia="宋体" w:cs="宋体"/>
                <w:sz w:val="24"/>
                <w:highlight w:val="none"/>
              </w:rPr>
              <w:t xml:space="preserve">。</w:t>
            </w:r>
            <w:r/>
          </w:p>
        </w:tc>
      </w:tr>
      <w:tr>
        <w:trPr>
          <w:jc w:val="center"/>
          <w:trHeight w:val="20"/>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26.1.1</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询问</w:t>
            </w:r>
            <w:r/>
          </w:p>
        </w:tc>
        <w:tc>
          <w:tcPr>
            <w:tcW w:w="7540" w:type="dxa"/>
            <w:vAlign w:val="center"/>
            <w:textDirection w:val="lrTb"/>
            <w:noWrap w:val="false"/>
          </w:tcPr>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年08</w:t>
            </w:r>
            <w:r>
              <w:rPr>
                <w:rFonts w:hint="eastAsia" w:ascii="宋体" w:hAnsi="宋体" w:cs="宋体"/>
                <w:b/>
                <w:color w:val="000000"/>
                <w:sz w:val="24"/>
                <w:highlight w:val="none"/>
              </w:rPr>
              <w:t xml:space="preserve">月31</w:t>
            </w:r>
            <w:r>
              <w:rPr>
                <w:rFonts w:hint="eastAsia" w:ascii="宋体" w:hAnsi="宋体" w:cs="宋体"/>
                <w:b/>
                <w:color w:val="000000"/>
                <w:sz w:val="24"/>
                <w:highlight w:val="none"/>
              </w:rPr>
              <w:t xml:space="preserve">日12</w:t>
            </w:r>
            <w:r>
              <w:rPr>
                <w:rFonts w:hint="eastAsia" w:ascii="宋体" w:hAnsi="宋体" w:cs="宋体"/>
                <w:b/>
                <w:color w:val="000000"/>
                <w:sz w:val="24"/>
                <w:highlight w:val="none"/>
              </w:rPr>
              <w:t xml:space="preserve">点00分</w:t>
            </w:r>
            <w:r>
              <w:rPr>
                <w:rFonts w:hint="eastAsia" w:ascii="宋体" w:hAnsi="宋体" w:cs="宋体"/>
                <w:color w:val="000000"/>
                <w:sz w:val="24"/>
                <w:highlight w:val="none"/>
              </w:rPr>
              <w:t xml:space="preserve">（北京时间）前以书面形式提交至</w:t>
            </w:r>
            <w:r>
              <w:rPr>
                <w:rFonts w:hint="eastAsia" w:ascii="宋体" w:hAnsi="宋体" w:eastAsia="宋体" w:cs="宋体"/>
                <w:sz w:val="24"/>
                <w:highlight w:val="none"/>
              </w:rPr>
              <w:t xml:space="preserve">江苏常信保险经纪有限公司</w:t>
            </w:r>
            <w:r>
              <w:rPr>
                <w:rFonts w:hint="eastAsia" w:ascii="宋体" w:hAnsi="宋体" w:cs="宋体"/>
                <w:color w:val="000000"/>
                <w:sz w:val="24"/>
                <w:highlight w:val="none"/>
              </w:rPr>
              <w:t xml:space="preserve">。</w:t>
            </w:r>
            <w:r>
              <w:rPr>
                <w:highlight w:val="none"/>
              </w:rP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（注：① 质疑文件须加盖响应单位公章；② 质疑文件以代理机构收到时间为准；否则代理机构有权拒收其质疑文件）。</w:t>
            </w:r>
            <w:r>
              <w:rPr>
                <w:highlight w:val="none"/>
              </w:rPr>
            </w:r>
          </w:p>
        </w:tc>
      </w:tr>
      <w:tr>
        <w:trPr>
          <w:jc w:val="center"/>
          <w:trHeight w:val="1411"/>
        </w:trPr>
        <w:tc>
          <w:tcPr>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w:t>
            </w:r>
            <w:r/>
          </w:p>
        </w:tc>
        <w:tc>
          <w:tcPr>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联系方式</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接收询问和质疑的联系方式</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联系部门：江苏常信保险经纪有限公司；</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联系电话：0519-88126007 ；</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通讯地址：常州市局前街285号嘉乐广场A座710。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(一)</w:t>
            </w:r>
            <w:r>
              <w:rPr>
                <w:rFonts w:hint="eastAsia" w:ascii="宋体" w:hAnsi="宋体" w:eastAsia="宋体" w:cs="宋体"/>
                <w:b/>
                <w:sz w:val="24"/>
                <w:highlight w:val="none"/>
              </w:rPr>
              <w:t xml:space="preserve">收费对象：</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□采购人</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■中标人</w:t>
            </w:r>
            <w:r/>
          </w:p>
          <w:p>
            <w:pPr>
              <w:numPr>
                <w:ilvl w:val="0"/>
                <w:numId w:val="8"/>
              </w:numPr>
              <w:jc w:val="left"/>
              <w:rPr>
                <w:rFonts w:hint="eastAsia" w:ascii="宋体" w:hAnsi="宋体" w:eastAsia="宋体" w:cs="宋体"/>
                <w:b/>
                <w:sz w:val="24"/>
                <w:highlight w:val="none"/>
              </w:rPr>
            </w:pPr>
            <w:r>
              <w:rPr>
                <w:rFonts w:hint="eastAsia" w:ascii="宋体" w:hAnsi="宋体" w:eastAsia="宋体" w:cs="宋体"/>
                <w:b/>
                <w:sz w:val="24"/>
                <w:highlight w:val="none"/>
              </w:rPr>
              <w:t xml:space="preserve">收费标准：</w:t>
            </w:r>
            <w:r/>
          </w:p>
          <w:p>
            <w:pPr>
              <w:numPr>
                <w:ilvl w:val="0"/>
                <w:numId w:val="0"/>
              </w:numPr>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本次招标代理费：人民币伍仟元整（小写：¥5000.00）</w:t>
            </w:r>
            <w:r/>
          </w:p>
          <w:p>
            <w:pPr>
              <w:jc w:val="left"/>
              <w:rPr>
                <w:rFonts w:hint="eastAsia" w:ascii="宋体" w:hAnsi="宋体" w:eastAsia="宋体" w:cs="宋体"/>
                <w:sz w:val="24"/>
                <w:highlight w:val="none"/>
                <w:lang w:val="en-US"/>
              </w:rPr>
            </w:pPr>
            <w:r>
              <w:rPr>
                <w:rFonts w:hint="eastAsia" w:ascii="宋体" w:hAnsi="宋体" w:eastAsia="宋体" w:cs="宋体"/>
                <w:b/>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1" name="任意多边形 7"/>
                      <wp:cNvGraphicFramePr/>
                      <a:graphic xmlns:a="http://schemas.openxmlformats.org/drawingml/2006/main">
                        <a:graphicData uri="http://schemas.microsoft.com/office/word/2010/wordprocessingShape">
                          <wps:wsp>
                            <wps:cNvPr id="0" name=""/>
                            <wps:cNvSpPr/>
                            <wps:spPr bwMode="auto">
                              <a:xfrm>
                                <a:off x="0" y="0"/>
                                <a:ext cx="0" cy="9525"/>
                              </a:xfrm>
                              <a:custGeom>
                                <a:avLst/>
                                <a:gdLst>
                                  <a:gd name="adj0" fmla="val 0"/>
                                  <a:gd name="adj1" fmla="val 0"/>
                                  <a:gd name="adj2" fmla="val 0"/>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0" o:spid="_x0000_s0" style="position:absolute;z-index:-251659264;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三</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缴纳时间：</w:t>
            </w:r>
            <w:r>
              <w:rPr>
                <w:rFonts w:hint="eastAsia" w:ascii="宋体" w:hAnsi="宋体" w:eastAsia="宋体" w:cs="宋体"/>
                <w:sz w:val="24"/>
                <w:highlight w:val="none"/>
                <w:lang w:val="en-US" w:eastAsia="zh-CN"/>
              </w:rPr>
              <w:t xml:space="preserve">中标人应在领取中标通知书时将服务期代理费支付至江苏常信保险经纪有限公司账户</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收款单位：</w:t>
            </w:r>
            <w:r>
              <w:rPr>
                <w:rFonts w:hint="eastAsia" w:ascii="宋体" w:hAnsi="宋体" w:eastAsia="宋体" w:cs="宋体"/>
                <w:sz w:val="24"/>
                <w:highlight w:val="none"/>
                <w:u w:val="single"/>
              </w:rPr>
              <w:t xml:space="preserve">江苏常信保险经纪有限公司</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开户银行：</w:t>
            </w:r>
            <w:r>
              <w:rPr>
                <w:rFonts w:hint="eastAsia" w:ascii="宋体" w:hAnsi="宋体" w:eastAsia="宋体" w:cs="宋体"/>
                <w:sz w:val="24"/>
                <w:highlight w:val="none"/>
                <w:u w:val="single"/>
              </w:rPr>
              <w:t xml:space="preserve">中国建设银行股份有限公司常州钟楼支行</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账号：</w:t>
            </w:r>
            <w:r>
              <w:rPr>
                <w:rFonts w:hint="eastAsia" w:ascii="宋体" w:hAnsi="宋体" w:eastAsia="宋体" w:cs="宋体"/>
                <w:sz w:val="24"/>
                <w:highlight w:val="none"/>
                <w:u w:val="single"/>
              </w:rPr>
              <w:t xml:space="preserve">3205 0162 8836 0000 1954</w:t>
            </w:r>
            <w:r/>
          </w:p>
          <w:p>
            <w:pPr>
              <w:jc w:val="left"/>
              <w:tabs>
                <w:tab w:val="left" w:pos="1589"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ab/>
            </w:r>
            <w:r/>
          </w:p>
        </w:tc>
      </w:tr>
    </w:tbl>
    <w:p>
      <w:pPr>
        <w:jc w:val="both"/>
        <w:spacing w:line="360" w:lineRule="auto"/>
        <w:tabs>
          <w:tab w:val="left" w:pos="5580" w:leader="none"/>
        </w:tabs>
        <w:rPr>
          <w:rFonts w:hint="eastAsia" w:ascii="宋体" w:hAnsi="宋体" w:eastAsia="宋体" w:cs="宋体"/>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eastAsia="宋体" w:cs="宋体"/>
          <w:sz w:val="24"/>
          <w:highlight w:val="none"/>
        </w:rPr>
        <w:br w:type="page" w:clear="all"/>
      </w:r>
      <w:r/>
    </w:p>
    <w:p>
      <w:pPr>
        <w:jc w:val="center"/>
        <w:spacing w:before="240" w:after="240"/>
        <w:rPr>
          <w:rFonts w:hint="eastAsia" w:ascii="宋体" w:hAnsi="宋体" w:eastAsia="宋体" w:cs="宋体"/>
          <w:b/>
          <w:sz w:val="28"/>
          <w:szCs w:val="28"/>
          <w:highlight w:val="none"/>
        </w:rPr>
      </w:pPr>
      <w:r/>
      <w:bookmarkStart w:id="75" w:name="_Toc150480755"/>
      <w:r/>
      <w:bookmarkStart w:id="76" w:name="_Toc226337213"/>
      <w:r/>
      <w:bookmarkStart w:id="77" w:name="_Toc305158859"/>
      <w:r/>
      <w:bookmarkStart w:id="78" w:name="_Toc150774722"/>
      <w:r/>
      <w:bookmarkStart w:id="79" w:name="_Toc264969207"/>
      <w:r/>
      <w:bookmarkStart w:id="80" w:name="_Toc226965790"/>
      <w:r/>
      <w:bookmarkStart w:id="81" w:name="_Toc305158785"/>
      <w:r/>
      <w:bookmarkStart w:id="82" w:name="_Toc195842882"/>
      <w:r/>
      <w:bookmarkStart w:id="83" w:name="_Toc353873662"/>
      <w:r/>
      <w:bookmarkStart w:id="84" w:name="_Toc142311019"/>
      <w:r/>
      <w:bookmarkStart w:id="85" w:name="_Toc353873932"/>
      <w:r/>
      <w:bookmarkStart w:id="86" w:name="_Toc265228355"/>
      <w:r/>
      <w:bookmarkStart w:id="87" w:name="_Toc353825542"/>
      <w:r/>
      <w:bookmarkStart w:id="88" w:name="_Toc127151517"/>
      <w:r>
        <w:rPr>
          <w:rFonts w:hint="eastAsia" w:ascii="宋体" w:hAnsi="宋体" w:eastAsia="宋体" w:cs="宋体"/>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852"/>
        <w:jc w:val="left"/>
        <w:spacing w:before="0" w:line="360" w:lineRule="auto"/>
        <w:tabs>
          <w:tab w:val="center" w:pos="4592" w:leader="none"/>
          <w:tab w:val="left" w:pos="7860" w:leader="none"/>
        </w:tabs>
        <w:rPr>
          <w:rFonts w:hint="eastAsia" w:ascii="宋体" w:hAnsi="宋体" w:eastAsia="宋体" w:cs="宋体"/>
          <w:sz w:val="28"/>
          <w:highlight w:val="none"/>
        </w:rPr>
      </w:pPr>
      <w:r/>
      <w:bookmarkStart w:id="89" w:name="_Toc127151518"/>
      <w:r/>
      <w:bookmarkStart w:id="90" w:name="_Toc520356143"/>
      <w:r>
        <w:rPr>
          <w:rFonts w:hint="eastAsia" w:ascii="宋体" w:hAnsi="宋体" w:eastAsia="宋体" w:cs="宋体"/>
          <w:sz w:val="28"/>
          <w:highlight w:val="none"/>
        </w:rPr>
        <w:tab/>
      </w:r>
      <w:bookmarkEnd w:id="89"/>
      <w:r/>
      <w:bookmarkEnd w:id="90"/>
      <w:r/>
      <w:bookmarkStart w:id="91" w:name="_Toc265228356"/>
      <w:r/>
      <w:bookmarkStart w:id="92" w:name="_Toc151193832"/>
      <w:r/>
      <w:bookmarkStart w:id="93" w:name="_Toc151193906"/>
      <w:r/>
      <w:bookmarkStart w:id="94" w:name="_Toc150774723"/>
      <w:r/>
      <w:bookmarkStart w:id="95" w:name="_Toc151193688"/>
      <w:r/>
      <w:bookmarkStart w:id="96" w:name="_Toc150509269"/>
      <w:r/>
      <w:bookmarkStart w:id="97" w:name="_Toc226337214"/>
      <w:r/>
      <w:bookmarkStart w:id="98" w:name="_Toc226309762"/>
      <w:r/>
      <w:bookmarkStart w:id="99" w:name="_Toc226965708"/>
      <w:r/>
      <w:bookmarkStart w:id="100" w:name="_Toc305158786"/>
      <w:r/>
      <w:bookmarkStart w:id="101" w:name="_Toc195842883"/>
      <w:r/>
      <w:bookmarkStart w:id="102" w:name="_Toc150774618"/>
      <w:r/>
      <w:bookmarkStart w:id="103" w:name="_Toc226965791"/>
      <w:r/>
      <w:bookmarkStart w:id="104" w:name="_Toc151193760"/>
      <w:r/>
      <w:bookmarkStart w:id="105" w:name="_Toc305158860"/>
      <w:r/>
      <w:bookmarkStart w:id="106" w:name="_Toc150480756"/>
      <w:r/>
      <w:bookmarkStart w:id="107" w:name="_Toc264969208"/>
      <w:r/>
      <w:bookmarkStart w:id="108" w:name="_Toc151190145"/>
      <w:r/>
      <w:bookmarkStart w:id="109" w:name="_Toc142311020"/>
      <w:r/>
      <w:bookmarkStart w:id="110" w:name="_Toc151193616"/>
      <w:r/>
      <w:bookmarkStart w:id="111" w:name="_Toc150774622"/>
      <w:r/>
      <w:bookmarkStart w:id="112" w:name="_Toc305158864"/>
      <w:r/>
      <w:bookmarkStart w:id="113" w:name="_Toc226309766"/>
      <w:r/>
      <w:bookmarkStart w:id="114" w:name="_Toc150509273"/>
      <w:r/>
      <w:bookmarkStart w:id="115" w:name="_Toc150480760"/>
      <w:r/>
      <w:bookmarkStart w:id="116" w:name="_Toc195842887"/>
      <w:r/>
      <w:bookmarkStart w:id="117" w:name="_Toc150774727"/>
      <w:r/>
      <w:bookmarkStart w:id="118" w:name="_Toc520356146"/>
      <w:r/>
      <w:bookmarkStart w:id="119" w:name="_Toc265228360"/>
      <w:r/>
      <w:bookmarkStart w:id="120" w:name="_Toc226337218"/>
      <w:r/>
      <w:bookmarkStart w:id="121" w:name="_Toc264969212"/>
      <w:r/>
      <w:bookmarkStart w:id="122" w:name="_Toc151190149"/>
      <w:r/>
      <w:bookmarkStart w:id="123" w:name="_Toc305158790"/>
      <w:r/>
      <w:bookmarkStart w:id="124" w:name="_Toc151193910"/>
      <w:r/>
      <w:bookmarkStart w:id="125" w:name="_Toc226965795"/>
      <w:r/>
      <w:bookmarkStart w:id="126" w:name="_Toc151193692"/>
      <w:r/>
      <w:bookmarkStart w:id="127" w:name="_Toc151193764"/>
      <w:r/>
      <w:bookmarkStart w:id="128" w:name="_Toc151193836"/>
      <w:r/>
      <w:bookmarkStart w:id="129" w:name="_Toc226965712"/>
      <w:r/>
      <w:bookmarkStart w:id="130" w:name="_Toc142311024"/>
      <w:r/>
      <w:bookmarkStart w:id="131" w:name="_Toc127151522"/>
      <w:r/>
      <w:bookmarkStart w:id="132" w:name="_Toc151193620"/>
      <w:r>
        <w:rPr>
          <w:rFonts w:hint="eastAsia" w:ascii="宋体" w:hAnsi="宋体" w:eastAsia="宋体" w:cs="宋体"/>
          <w:sz w:val="28"/>
          <w:highlight w:val="none"/>
        </w:rPr>
        <w:t xml:space="preserve">一   说  明</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highlight w:val="none"/>
        </w:rPr>
        <w:tab/>
      </w:r>
      <w:r/>
    </w:p>
    <w:p>
      <w:pPr>
        <w:numPr>
          <w:ilvl w:val="0"/>
          <w:numId w:val="9"/>
        </w:numPr>
        <w:ind w:left="357" w:hanging="357"/>
        <w:spacing w:line="360" w:lineRule="auto"/>
        <w:tabs>
          <w:tab w:val="left" w:pos="360" w:leader="none"/>
          <w:tab w:val="clear" w:pos="900" w:leader="none"/>
        </w:tabs>
        <w:rPr>
          <w:rFonts w:hint="eastAsia" w:ascii="宋体" w:hAnsi="宋体" w:eastAsia="宋体" w:cs="宋体"/>
          <w:sz w:val="24"/>
          <w:highlight w:val="none"/>
        </w:rPr>
        <w:outlineLvl w:val="1"/>
      </w:pPr>
      <w:r/>
      <w:bookmarkStart w:id="133" w:name="_Toc305158787"/>
      <w:r/>
      <w:bookmarkStart w:id="134" w:name="_Toc265228357"/>
      <w:r/>
      <w:bookmarkStart w:id="135" w:name="_Toc305158861"/>
      <w:r/>
      <w:bookmarkStart w:id="136" w:name="_Toc264969209"/>
      <w:r>
        <w:rPr>
          <w:rFonts w:hint="eastAsia" w:ascii="宋体" w:hAnsi="宋体" w:eastAsia="宋体" w:cs="宋体"/>
          <w:sz w:val="24"/>
          <w:highlight w:val="none"/>
        </w:rPr>
        <w:t xml:space="preserve">采购人、采购代理机构、投标人</w:t>
      </w:r>
      <w:bookmarkEnd w:id="133"/>
      <w:r/>
      <w:bookmarkEnd w:id="134"/>
      <w:r/>
      <w:bookmarkEnd w:id="135"/>
      <w:r/>
      <w:bookmarkEnd w:id="136"/>
      <w:r>
        <w:rPr>
          <w:rFonts w:hint="eastAsia" w:ascii="宋体" w:hAnsi="宋体" w:eastAsia="宋体" w:cs="宋体"/>
          <w:sz w:val="24"/>
          <w:highlight w:val="none"/>
        </w:rPr>
        <w:t xml:space="preserve">、联合体</w:t>
      </w:r>
      <w:r/>
    </w:p>
    <w:p>
      <w:pPr>
        <w:numPr>
          <w:ilvl w:val="1"/>
          <w:numId w:val="9"/>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投标人（也称“供应商”、“申请人”）：指向采购人提供货物、工程或者服务的法人、其他组织或者自然人。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 w:val="clear" w:pos="900" w:leader="none"/>
        </w:tabs>
        <w:rPr>
          <w:rFonts w:hint="eastAsia" w:ascii="宋体" w:hAnsi="宋体" w:eastAsia="宋体" w:cs="宋体"/>
          <w:sz w:val="24"/>
          <w:highlight w:val="none"/>
        </w:rPr>
        <w:outlineLvl w:val="1"/>
      </w:pPr>
      <w:r/>
      <w:bookmarkStart w:id="137" w:name="_Toc149720813"/>
      <w:r/>
      <w:bookmarkStart w:id="138" w:name="_Toc226309764"/>
      <w:r/>
      <w:bookmarkStart w:id="139" w:name="_Toc264969210"/>
      <w:r/>
      <w:bookmarkStart w:id="140" w:name="_Toc305158788"/>
      <w:r/>
      <w:bookmarkStart w:id="141" w:name="_Toc164351614"/>
      <w:r/>
      <w:bookmarkStart w:id="142" w:name="_Toc164608634"/>
      <w:r/>
      <w:bookmarkStart w:id="143" w:name="_Toc164229215"/>
      <w:r/>
      <w:bookmarkStart w:id="144" w:name="_Toc151193834"/>
      <w:r/>
      <w:bookmarkStart w:id="145" w:name="_Toc226965793"/>
      <w:r/>
      <w:bookmarkStart w:id="146" w:name="_Toc164229361"/>
      <w:r/>
      <w:bookmarkStart w:id="147" w:name="_Toc151193690"/>
      <w:r/>
      <w:bookmarkStart w:id="148" w:name="_Toc305158862"/>
      <w:r/>
      <w:bookmarkStart w:id="149" w:name="_Toc164608789"/>
      <w:r/>
      <w:bookmarkStart w:id="150" w:name="_Toc265228358"/>
      <w:r/>
      <w:bookmarkStart w:id="151" w:name="_Toc150480758"/>
      <w:r/>
      <w:bookmarkStart w:id="152" w:name="_Toc151193762"/>
      <w:r/>
      <w:bookmarkStart w:id="153" w:name="_Toc226965710"/>
      <w:r/>
      <w:bookmarkStart w:id="154" w:name="_Toc150774620"/>
      <w:r/>
      <w:bookmarkStart w:id="155" w:name="_Toc127151721"/>
      <w:r/>
      <w:bookmarkStart w:id="156" w:name="_Toc151190147"/>
      <w:r/>
      <w:bookmarkStart w:id="157" w:name="_Toc151193908"/>
      <w:r/>
      <w:bookmarkStart w:id="158" w:name="_Toc150774725"/>
      <w:r/>
      <w:bookmarkStart w:id="159" w:name="_Toc226337216"/>
      <w:r/>
      <w:bookmarkStart w:id="160" w:name="_Toc195842885"/>
      <w:r/>
      <w:bookmarkStart w:id="161" w:name="_Toc142311022"/>
      <w:r/>
      <w:bookmarkStart w:id="162" w:name="_Toc127161434"/>
      <w:r/>
      <w:bookmarkStart w:id="163" w:name="_Toc151193618"/>
      <w:r/>
      <w:bookmarkStart w:id="164" w:name="_Toc150509271"/>
      <w:r/>
      <w:bookmarkStart w:id="165" w:name="_Toc127151520"/>
      <w:r>
        <w:rPr>
          <w:rFonts w:hint="eastAsia" w:ascii="宋体" w:hAnsi="宋体" w:eastAsia="宋体" w:cs="宋体"/>
          <w:sz w:val="24"/>
          <w:highlight w:val="none"/>
        </w:rPr>
        <w:t xml:space="preserve">资金来源</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4"/>
          <w:highlight w:val="none"/>
        </w:rPr>
        <w:t xml:space="preserve">、项目属性、科研仪器设备采购、核心产品</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项目属性见《投标人须知资料表》。</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rFonts w:hint="eastAsia" w:ascii="宋体" w:hAnsi="宋体" w:eastAsia="宋体" w:cs="宋体"/>
          <w:sz w:val="24"/>
          <w:highlight w:val="none"/>
        </w:rPr>
      </w:pPr>
      <w:r>
        <w:rPr>
          <w:rFonts w:hint="eastAsia" w:ascii="宋体" w:hAnsi="宋体" w:eastAsia="宋体" w:cs="宋体"/>
          <w:sz w:val="24"/>
          <w:highlight w:val="none"/>
        </w:rPr>
        <w:t xml:space="preserve">核心产品见《投标人须知资料表》。</w:t>
      </w:r>
      <w:r/>
    </w:p>
    <w:p>
      <w:pPr>
        <w:numPr>
          <w:ilvl w:val="0"/>
          <w:numId w:val="9"/>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现场考察、开标前答疑会</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8"/>
          <w:highlight w:val="none"/>
        </w:rPr>
      </w:pPr>
      <w:r>
        <w:rPr>
          <w:rFonts w:hint="eastAsia" w:ascii="宋体" w:hAnsi="宋体" w:eastAsia="宋体" w:cs="宋体"/>
          <w:sz w:val="24"/>
          <w:highlight w:val="none"/>
        </w:rPr>
        <w:t xml:space="preserve">若《投标人须知资料表》中规定了组织现场考察、召开开标前答疑会，则投标人应按要求在规定的时间和地点参加。</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样品</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样品的评审方法以及评审标准等内容见第四章《评标方法和评标标准》。</w:t>
      </w:r>
      <w:r/>
    </w:p>
    <w:p>
      <w:pPr>
        <w:numPr>
          <w:ilvl w:val="0"/>
          <w:numId w:val="9"/>
        </w:numPr>
        <w:ind w:left="357" w:hanging="357"/>
        <w:spacing w:line="360" w:lineRule="auto"/>
        <w:tabs>
          <w:tab w:val="left" w:pos="360" w:leader="none"/>
          <w:tab w:val="clear"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进口产品</w:t>
      </w:r>
      <w:r/>
    </w:p>
    <w:p>
      <w:pPr>
        <w:numPr>
          <w:ilvl w:val="2"/>
          <w:numId w:val="9"/>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中小企业、监狱企业及残疾人福利性单位</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中小企业定义：</w:t>
      </w:r>
      <w:r/>
    </w:p>
    <w:p>
      <w:pPr>
        <w:pStyle w:val="898"/>
        <w:numPr>
          <w:ilvl w:val="0"/>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98"/>
        <w:numPr>
          <w:ilvl w:val="0"/>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98"/>
        <w:numPr>
          <w:ilvl w:val="0"/>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98"/>
        <w:numPr>
          <w:ilvl w:val="0"/>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98"/>
        <w:numPr>
          <w:ilvl w:val="0"/>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98"/>
        <w:numPr>
          <w:ilvl w:val="1"/>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98"/>
        <w:numPr>
          <w:ilvl w:val="1"/>
          <w:numId w:val="10"/>
        </w:numPr>
        <w:spacing w:line="360" w:lineRule="auto"/>
        <w:tabs>
          <w:tab w:val="left" w:pos="1980" w:leader="none"/>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98"/>
        <w:numPr>
          <w:ilvl w:val="2"/>
          <w:numId w:val="10"/>
        </w:numPr>
        <w:spacing w:line="360" w:lineRule="auto"/>
        <w:tabs>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中小企业是</w:t>
      </w:r>
      <w:r>
        <w:rPr>
          <w:rFonts w:hint="eastAsia" w:ascii="宋体" w:hAnsi="宋体" w:eastAsia="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（3）在服务采购项目中，服务由中小企业承接，即提供服务的人员为中小企业依照《中华人民共和国劳动合同法》订立劳动合同的从业人员。</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sz w:val="24"/>
          <w:highlight w:val="none"/>
        </w:rPr>
        <w:t xml:space="preserve">在货物采购项目中，供应商提供的货物既有中小企业制造货物，也有大型企业制造货物的，不享受中小企业扶持政策。</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残疾人福利单位定义：享受政府采购支持政策的残疾人福利性单位应当同时满足以下条件：</w:t>
      </w:r>
      <w:r/>
    </w:p>
    <w:p>
      <w:pPr>
        <w:pStyle w:val="898"/>
        <w:numPr>
          <w:ilvl w:val="2"/>
          <w:numId w:val="10"/>
        </w:numPr>
        <w:spacing w:line="360" w:lineRule="auto"/>
        <w:tabs>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pStyle w:val="898"/>
        <w:numPr>
          <w:ilvl w:val="2"/>
          <w:numId w:val="10"/>
        </w:numPr>
        <w:spacing w:line="360" w:lineRule="auto"/>
        <w:tabs>
          <w:tab w:val="left" w:pos="2035" w:leader="none"/>
          <w:tab w:val="left" w:pos="2977" w:leader="none"/>
        </w:tabs>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安置的残疾人占本单位在职职工人数的比例不低于25%（含25%），并且安置的残疾人人数不少于10 人（含10 人）；</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依法与安置的每位残疾人签订了一年以上（含一年）的劳动合同或服务协议；</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eastAsia="宋体" w:cs="宋体"/>
          <w:color w:val="000000"/>
          <w:sz w:val="24"/>
          <w:highlight w:val="none"/>
        </w:rPr>
      </w:pPr>
      <w:r>
        <w:rPr>
          <w:rFonts w:hint="eastAsia" w:ascii="宋体" w:hAnsi="宋体" w:eastAsia="宋体" w:cs="宋体"/>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本项目是否专门面向中小企业预留采购份额见第一章《投标邀请》。</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采购标的对应的中小企业划分标准所属行业见《投标人须知资料表》。</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小微企业价格评审优惠的政策调整：见第四章《评标方法和评标标准》。</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政府采购节能产品、环境标志产品</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sz w:val="24"/>
          <w:highlight w:val="none"/>
        </w:rPr>
        <w:t xml:space="preserve">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9"/>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支持乡村产业振兴管理</w:t>
      </w:r>
      <w:r/>
    </w:p>
    <w:p>
      <w:pPr>
        <w:numPr>
          <w:ilvl w:val="2"/>
          <w:numId w:val="9"/>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正版软件</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sz w:val="24"/>
          <w:highlight w:val="none"/>
        </w:rPr>
        <w:t xml:space="preserve">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信息安全产品</w:t>
      </w:r>
      <w:r/>
    </w:p>
    <w:p>
      <w:pPr>
        <w:numPr>
          <w:ilvl w:val="2"/>
          <w:numId w:val="9"/>
        </w:num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所投产品属于《关于调整信息安全产品强制性认证实施要求的公告》（2009 年第33 号）范围的，采购经国家认证的信息安全产品，否则投标无效。关于信息安全相关规定依据《关于信息安全产品实施政府采购的通知》（财库〔2010〕48 号）。</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政府采购创新产品政策</w:t>
      </w:r>
      <w:r/>
    </w:p>
    <w:p>
      <w:pPr>
        <w:numPr>
          <w:ilvl w:val="2"/>
          <w:numId w:val="9"/>
        </w:numPr>
        <w:spacing w:line="360" w:lineRule="auto"/>
        <w:tabs>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 5.</w:t>
      </w: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    绿色采购政策</w:t>
      </w:r>
      <w:r/>
    </w:p>
    <w:p>
      <w:pPr>
        <w:ind w:firstLine="1200"/>
        <w:spacing w:line="480" w:lineRule="exact"/>
        <w:rPr>
          <w:rFonts w:hint="eastAsia" w:ascii="宋体" w:hAnsi="宋体" w:eastAsia="宋体" w:cs="宋体"/>
          <w:b/>
          <w:sz w:val="24"/>
          <w:highlight w:val="none"/>
        </w:rPr>
      </w:pPr>
      <w:r>
        <w:rPr>
          <w:rFonts w:hint="eastAsia" w:ascii="宋体" w:hAnsi="宋体" w:eastAsia="宋体" w:cs="宋体"/>
          <w:sz w:val="24"/>
          <w:highlight w:val="none"/>
        </w:rPr>
        <w:t xml:space="preserve">5.</w:t>
      </w: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.1  </w:t>
      </w:r>
      <w:r>
        <w:rPr>
          <w:rFonts w:hint="eastAsia" w:ascii="宋体" w:hAnsi="宋体" w:eastAsia="宋体" w:cs="宋体"/>
          <w:b/>
          <w:sz w:val="24"/>
          <w:highlight w:val="none"/>
        </w:rPr>
        <w:t xml:space="preserve">绿色数据中心政策 </w:t>
      </w:r>
      <w:r/>
    </w:p>
    <w:p>
      <w:pPr>
        <w:ind w:left="1197"/>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依据《绿色数据中心政府采购需求标准（试行）》（财办库〔2023〕7 号）文件精神，采购</w:t>
      </w:r>
      <w:r>
        <w:rPr>
          <w:rFonts w:hint="eastAsia" w:ascii="宋体" w:hAnsi="宋体" w:eastAsia="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.2 推广应用绿色建材</w:t>
      </w:r>
      <w:r/>
    </w:p>
    <w:p>
      <w:pPr>
        <w:ind w:left="1197"/>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10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.3 优先使用低挥发性有机化合物产品</w:t>
      </w:r>
      <w:r/>
    </w:p>
    <w:p>
      <w:pPr>
        <w:ind w:left="1079" w:hanging="60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79" w:hanging="60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5.9采购本国产品的支持政策</w:t>
      </w:r>
      <w:r/>
    </w:p>
    <w:p>
      <w:pPr>
        <w:ind w:left="1079" w:hanging="60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9"/>
        </w:numPr>
        <w:ind w:left="357" w:hanging="357"/>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投标费用</w:t>
      </w:r>
      <w:r/>
    </w:p>
    <w:p>
      <w:pPr>
        <w:numPr>
          <w:ilvl w:val="1"/>
          <w:numId w:val="9"/>
        </w:numPr>
        <w:ind w:left="1080" w:hanging="720"/>
        <w:spacing w:line="360" w:lineRule="auto"/>
        <w:tabs>
          <w:tab w:val="left" w:pos="1080" w:leader="none"/>
          <w:tab w:val="left" w:pos="2014" w:leader="none"/>
        </w:tabs>
        <w:rPr>
          <w:rFonts w:hint="eastAsia" w:ascii="宋体" w:hAnsi="宋体" w:eastAsia="宋体" w:cs="宋体"/>
          <w:sz w:val="28"/>
          <w:highlight w:val="none"/>
        </w:rPr>
      </w:pPr>
      <w:r>
        <w:rPr>
          <w:rFonts w:hint="eastAsia" w:ascii="宋体" w:hAnsi="宋体" w:eastAsia="宋体" w:cs="宋体"/>
          <w:sz w:val="24"/>
          <w:highlight w:val="none"/>
        </w:rPr>
        <w:t xml:space="preserve">投标人应自行承担所有与准备和参加投标有关的费用，无论投标的结果如何，采购人或采购代理机构在任何情况下均无承担这些费用的义务和责任。</w:t>
      </w:r>
      <w:bookmarkStart w:id="166" w:name="_1.8_计量单位"/>
      <w:r/>
      <w:bookmarkEnd w:id="166"/>
      <w:r/>
      <w:r/>
    </w:p>
    <w:p>
      <w:pPr>
        <w:pStyle w:val="1038"/>
        <w:ind w:firstLine="562"/>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二   招标文件</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numPr>
          <w:ilvl w:val="0"/>
          <w:numId w:val="0"/>
        </w:numPr>
        <w:ind w:left="482"/>
        <w:spacing w:line="360" w:lineRule="auto"/>
        <w:tabs>
          <w:tab w:val="left" w:pos="360" w:leader="none"/>
        </w:tabs>
        <w:rPr>
          <w:rFonts w:hint="eastAsia" w:ascii="宋体" w:hAnsi="宋体" w:eastAsia="宋体" w:cs="宋体"/>
          <w:b/>
          <w:sz w:val="24"/>
          <w:highlight w:val="none"/>
        </w:rPr>
        <w:outlineLvl w:val="1"/>
      </w:pPr>
      <w:r/>
      <w:bookmarkStart w:id="167" w:name="_Toc164608637"/>
      <w:r/>
      <w:bookmarkStart w:id="168" w:name="_Toc305158791"/>
      <w:r/>
      <w:bookmarkStart w:id="169" w:name="_Toc151193837"/>
      <w:r/>
      <w:bookmarkStart w:id="170" w:name="_Toc226965713"/>
      <w:r/>
      <w:bookmarkStart w:id="171" w:name="_Toc150774728"/>
      <w:r/>
      <w:bookmarkStart w:id="172" w:name="_Toc164229364"/>
      <w:r/>
      <w:bookmarkStart w:id="173" w:name="_Toc151193911"/>
      <w:r/>
      <w:bookmarkStart w:id="174" w:name="_Toc226309767"/>
      <w:r/>
      <w:bookmarkStart w:id="175" w:name="_Toc151193621"/>
      <w:r/>
      <w:bookmarkStart w:id="176" w:name="_Toc265228361"/>
      <w:r/>
      <w:bookmarkStart w:id="177" w:name="_Toc520356147"/>
      <w:r/>
      <w:bookmarkStart w:id="178" w:name="_Toc151193765"/>
      <w:r/>
      <w:bookmarkStart w:id="179" w:name="_Toc164608792"/>
      <w:r/>
      <w:bookmarkStart w:id="180" w:name="_Toc149720816"/>
      <w:r/>
      <w:bookmarkStart w:id="181" w:name="_Toc142311025"/>
      <w:r/>
      <w:bookmarkStart w:id="182" w:name="_Toc151193693"/>
      <w:r/>
      <w:bookmarkStart w:id="183" w:name="_Toc127151523"/>
      <w:r/>
      <w:bookmarkStart w:id="184" w:name="_Toc195842888"/>
      <w:r/>
      <w:bookmarkStart w:id="185" w:name="_Toc305158865"/>
      <w:r/>
      <w:bookmarkStart w:id="186" w:name="_Toc164351617"/>
      <w:r/>
      <w:bookmarkStart w:id="187" w:name="_Toc150509274"/>
      <w:r/>
      <w:bookmarkStart w:id="188" w:name="_Toc150774623"/>
      <w:r/>
      <w:bookmarkStart w:id="189" w:name="_Toc226337219"/>
      <w:r/>
      <w:bookmarkStart w:id="190" w:name="_Toc150480761"/>
      <w:r/>
      <w:bookmarkStart w:id="191" w:name="_Toc164229218"/>
      <w:r/>
      <w:bookmarkStart w:id="192" w:name="_Toc264969213"/>
      <w:r/>
      <w:bookmarkStart w:id="193" w:name="_Toc151190150"/>
      <w:r/>
      <w:bookmarkStart w:id="194" w:name="_Toc127151724"/>
      <w:r/>
      <w:bookmarkStart w:id="195" w:name="_Toc226965796"/>
      <w:r/>
      <w:bookmarkStart w:id="196" w:name="_Toc127161437"/>
      <w:r>
        <w:rPr>
          <w:rFonts w:hint="eastAsia" w:ascii="宋体" w:hAnsi="宋体" w:cs="宋体"/>
          <w:b/>
          <w:sz w:val="24"/>
          <w:highlight w:val="none"/>
          <w:lang w:val="en-US" w:eastAsia="zh-CN"/>
        </w:rPr>
        <w:t xml:space="preserve">7 </w:t>
      </w:r>
      <w:r>
        <w:rPr>
          <w:rFonts w:hint="eastAsia" w:ascii="宋体" w:hAnsi="宋体" w:eastAsia="宋体" w:cs="宋体"/>
          <w:b/>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eastAsia="宋体" w:cs="宋体"/>
          <w:b/>
          <w:sz w:val="24"/>
          <w:highlight w:val="none"/>
        </w:rPr>
        <w:t xml:space="preserve">成</w:t>
      </w:r>
      <w:r/>
    </w:p>
    <w:p>
      <w:pPr>
        <w:numPr>
          <w:ilvl w:val="0"/>
          <w:numId w:val="0"/>
        </w:numPr>
        <w:ind w:left="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7.1</w:t>
      </w:r>
      <w:r>
        <w:rPr>
          <w:rFonts w:hint="eastAsia" w:ascii="宋体" w:hAnsi="宋体" w:eastAsia="宋体" w:cs="宋体"/>
          <w:sz w:val="24"/>
          <w:highlight w:val="none"/>
        </w:rPr>
        <w:t xml:space="preserve">招标文件包括以下部分：</w:t>
      </w:r>
      <w:r/>
    </w:p>
    <w:p>
      <w:pPr>
        <w:numPr>
          <w:ilvl w:val="0"/>
          <w:numId w:val="11"/>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投标邀请</w:t>
      </w:r>
      <w:r/>
    </w:p>
    <w:p>
      <w:pPr>
        <w:numPr>
          <w:ilvl w:val="0"/>
          <w:numId w:val="11"/>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投标人须知</w:t>
      </w:r>
      <w:r/>
    </w:p>
    <w:p>
      <w:pPr>
        <w:numPr>
          <w:ilvl w:val="0"/>
          <w:numId w:val="11"/>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资格审查</w:t>
      </w:r>
      <w:r/>
    </w:p>
    <w:p>
      <w:pPr>
        <w:numPr>
          <w:ilvl w:val="0"/>
          <w:numId w:val="11"/>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评标程序、评标方法和评标标准</w:t>
      </w:r>
      <w:r/>
    </w:p>
    <w:p>
      <w:pPr>
        <w:numPr>
          <w:ilvl w:val="0"/>
          <w:numId w:val="11"/>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采购需求</w:t>
      </w:r>
      <w:r/>
    </w:p>
    <w:p>
      <w:pPr>
        <w:numPr>
          <w:ilvl w:val="0"/>
          <w:numId w:val="11"/>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拟签订的合同文本</w:t>
      </w:r>
      <w:r/>
    </w:p>
    <w:p>
      <w:pPr>
        <w:numPr>
          <w:ilvl w:val="0"/>
          <w:numId w:val="11"/>
        </w:numPr>
        <w:ind w:left="0" w:firstLine="480"/>
        <w:spacing w:line="360" w:lineRule="auto"/>
        <w:tabs>
          <w:tab w:val="left" w:pos="1418" w:leader="none"/>
          <w:tab w:val="left" w:pos="252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投标文件格式</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7</w:t>
      </w:r>
      <w:r>
        <w:rPr>
          <w:rFonts w:hint="eastAsia" w:ascii="宋体" w:hAnsi="宋体" w:eastAsia="宋体" w:cs="Times New Roman"/>
          <w:sz w:val="24"/>
          <w:szCs w:val="24"/>
          <w:lang w:val="en-US" w:eastAsia="zh-CN" w:bidi="ar-SA"/>
        </w:rPr>
        <w:t xml:space="preserve">.</w:t>
      </w:r>
      <w:r>
        <w:rPr>
          <w:rFonts w:hint="eastAsia" w:ascii="宋体" w:hAnsi="宋体" w:cs="Times New Roman"/>
          <w:sz w:val="24"/>
          <w:szCs w:val="24"/>
          <w:lang w:val="en-US" w:eastAsia="zh-CN" w:bidi="ar-SA"/>
        </w:rPr>
        <w:t xml:space="preserve">2</w:t>
      </w:r>
      <w:r>
        <w:rPr>
          <w:rFonts w:hint="eastAsia" w:ascii="宋体" w:hAnsi="宋体" w:eastAsia="宋体" w:cs="宋体"/>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cs="宋体"/>
          <w:b/>
          <w:sz w:val="24"/>
          <w:szCs w:val="24"/>
          <w:lang w:val="en-US" w:eastAsia="zh-CN" w:bidi="ar-SA"/>
        </w:rPr>
        <w:t xml:space="preserve">8</w:t>
      </w:r>
      <w:r>
        <w:rPr>
          <w:rFonts w:hint="eastAsia" w:ascii="宋体" w:hAnsi="宋体" w:eastAsia="宋体" w:cs="宋体"/>
          <w:b/>
          <w:sz w:val="24"/>
          <w:highlight w:val="none"/>
        </w:rPr>
        <w:t xml:space="preserve">对招标文件的澄清或修改</w:t>
      </w:r>
      <w:r/>
    </w:p>
    <w:p>
      <w:pPr>
        <w:numPr>
          <w:ilvl w:val="1"/>
          <w:numId w:val="0"/>
        </w:numPr>
        <w:ind w:left="0" w:firstLine="480"/>
        <w:spacing w:line="360" w:lineRule="auto"/>
        <w:tabs>
          <w:tab w:val="left" w:pos="1080" w:leader="none"/>
          <w:tab w:val="left" w:pos="1561"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0"/>
        </w:numPr>
        <w:ind w:left="0" w:firstLine="480"/>
        <w:spacing w:line="360" w:lineRule="auto"/>
        <w:tabs>
          <w:tab w:val="left" w:pos="1080" w:leader="none"/>
          <w:tab w:val="left" w:pos="1561"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.2</w:t>
      </w:r>
      <w:r>
        <w:rPr>
          <w:rFonts w:hint="eastAsia" w:ascii="宋体" w:hAnsi="宋体" w:eastAsia="宋体" w:cs="宋体"/>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38"/>
        <w:ind w:firstLine="562"/>
        <w:spacing w:before="0" w:line="360" w:lineRule="auto"/>
        <w:rPr>
          <w:rFonts w:hint="eastAsia" w:ascii="宋体" w:hAnsi="宋体" w:eastAsia="宋体" w:cs="宋体"/>
          <w:sz w:val="28"/>
          <w:highlight w:val="none"/>
        </w:rPr>
      </w:pPr>
      <w:r/>
      <w:bookmarkStart w:id="197" w:name="_Toc516367020"/>
      <w:r/>
      <w:bookmarkStart w:id="198" w:name="_Toc226337222"/>
      <w:r/>
      <w:bookmarkStart w:id="199" w:name="_Toc127151526"/>
      <w:r/>
      <w:bookmarkStart w:id="200" w:name="_Toc226309770"/>
      <w:r/>
      <w:bookmarkStart w:id="201" w:name="_Toc264969216"/>
      <w:r/>
      <w:bookmarkStart w:id="202" w:name="_Toc151193624"/>
      <w:r/>
      <w:bookmarkStart w:id="203" w:name="_Toc151193768"/>
      <w:r/>
      <w:bookmarkStart w:id="204" w:name="_Toc305158868"/>
      <w:r/>
      <w:bookmarkStart w:id="205" w:name="_Toc151193914"/>
      <w:r/>
      <w:bookmarkStart w:id="206" w:name="_Toc520356150"/>
      <w:r/>
      <w:bookmarkStart w:id="207" w:name="_Toc195842891"/>
      <w:r/>
      <w:bookmarkStart w:id="208" w:name="_Toc226965716"/>
      <w:r/>
      <w:bookmarkStart w:id="209" w:name="_Toc226965799"/>
      <w:r/>
      <w:bookmarkStart w:id="210" w:name="_Toc150480764"/>
      <w:r/>
      <w:bookmarkStart w:id="211" w:name="_Toc150774731"/>
      <w:r/>
      <w:bookmarkStart w:id="212" w:name="_Toc265228364"/>
      <w:r/>
      <w:bookmarkStart w:id="213" w:name="_Toc151190153"/>
      <w:r/>
      <w:bookmarkStart w:id="214" w:name="_Toc150774626"/>
      <w:r/>
      <w:bookmarkStart w:id="215" w:name="_Toc150509277"/>
      <w:r/>
      <w:bookmarkStart w:id="216" w:name="_Toc305158794"/>
      <w:r/>
      <w:bookmarkStart w:id="217" w:name="_Toc151193696"/>
      <w:r/>
      <w:bookmarkStart w:id="218" w:name="_Toc142311028"/>
      <w:r/>
      <w:bookmarkStart w:id="219" w:name="_Toc151193840"/>
      <w:r>
        <w:rPr>
          <w:rFonts w:hint="eastAsia" w:ascii="宋体" w:hAnsi="宋体" w:eastAsia="宋体" w:cs="宋体"/>
          <w:sz w:val="28"/>
          <w:highlight w:val="none"/>
        </w:rPr>
        <w:t xml:space="preserve">三   投标文件</w:t>
      </w:r>
      <w:bookmarkEnd w:id="197"/>
      <w:r>
        <w:rPr>
          <w:rFonts w:hint="eastAsia" w:ascii="宋体" w:hAnsi="宋体" w:eastAsia="宋体" w:cs="宋体"/>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bookmarkStart w:id="220" w:name="_Toc520356151"/>
      <w:r/>
      <w:bookmarkStart w:id="221" w:name="_Toc164351621"/>
      <w:r/>
      <w:bookmarkStart w:id="222" w:name="_Toc142311029"/>
      <w:r/>
      <w:bookmarkStart w:id="223" w:name="_Toc127151527"/>
      <w:r/>
      <w:bookmarkStart w:id="224" w:name="_Toc151193769"/>
      <w:r/>
      <w:bookmarkStart w:id="225" w:name="_Toc150480765"/>
      <w:r/>
      <w:bookmarkStart w:id="226" w:name="_Toc226965800"/>
      <w:r/>
      <w:bookmarkStart w:id="227" w:name="_Toc226337223"/>
      <w:r/>
      <w:bookmarkStart w:id="228" w:name="_Toc127151728"/>
      <w:r/>
      <w:bookmarkStart w:id="229" w:name="_Toc305158869"/>
      <w:r/>
      <w:bookmarkStart w:id="230" w:name="_Toc195842892"/>
      <w:r/>
      <w:bookmarkStart w:id="231" w:name="_Toc151193697"/>
      <w:r/>
      <w:bookmarkStart w:id="232" w:name="_Toc150774627"/>
      <w:r/>
      <w:bookmarkStart w:id="233" w:name="_Toc265228365"/>
      <w:r/>
      <w:bookmarkStart w:id="234" w:name="_Toc226309771"/>
      <w:r/>
      <w:bookmarkStart w:id="235" w:name="_Toc305158795"/>
      <w:r/>
      <w:bookmarkStart w:id="236" w:name="_Toc226965717"/>
      <w:r/>
      <w:bookmarkStart w:id="237" w:name="_Toc151193915"/>
      <w:r/>
      <w:bookmarkStart w:id="238" w:name="_Toc164229222"/>
      <w:r/>
      <w:bookmarkStart w:id="239" w:name="_Toc151193625"/>
      <w:r/>
      <w:bookmarkStart w:id="240" w:name="_Toc127161441"/>
      <w:r/>
      <w:bookmarkStart w:id="241" w:name="_Toc516367021"/>
      <w:r/>
      <w:bookmarkStart w:id="242" w:name="_Toc264969217"/>
      <w:r/>
      <w:bookmarkStart w:id="243" w:name="_Toc151193841"/>
      <w:r/>
      <w:bookmarkStart w:id="244" w:name="_Toc150774732"/>
      <w:r/>
      <w:bookmarkStart w:id="245" w:name="_Toc151190154"/>
      <w:r/>
      <w:bookmarkStart w:id="246" w:name="_Toc149720820"/>
      <w:r/>
      <w:bookmarkStart w:id="247" w:name="_Toc164608641"/>
      <w:r/>
      <w:bookmarkStart w:id="248" w:name="_Toc164229368"/>
      <w:r/>
      <w:bookmarkStart w:id="249" w:name="_Toc164608796"/>
      <w:r/>
      <w:bookmarkStart w:id="250" w:name="_Toc150509278"/>
      <w:r>
        <w:rPr>
          <w:rFonts w:hint="eastAsia" w:ascii="宋体" w:hAnsi="宋体" w:cs="宋体"/>
          <w:b/>
          <w:sz w:val="24"/>
          <w:szCs w:val="24"/>
          <w:lang w:val="en-US" w:eastAsia="zh-CN" w:bidi="ar-SA"/>
        </w:rPr>
        <w:t xml:space="preserve">9</w:t>
      </w:r>
      <w:r>
        <w:rPr>
          <w:rFonts w:hint="eastAsia" w:ascii="宋体" w:hAnsi="宋体" w:eastAsia="宋体" w:cs="宋体"/>
          <w:b/>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eastAsia="宋体" w:cs="宋体"/>
          <w:b/>
          <w:sz w:val="24"/>
          <w:highlight w:val="none"/>
        </w:rPr>
        <w:t xml:space="preserve">及投标语言</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9</w:t>
      </w: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highlight w:val="none"/>
        </w:rPr>
        <w:t xml:space="preserve">无效投标</w:t>
      </w:r>
      <w:r>
        <w:rPr>
          <w:rFonts w:hint="eastAsia" w:ascii="宋体" w:hAnsi="宋体" w:eastAsia="宋体" w:cs="宋体"/>
          <w:sz w:val="24"/>
          <w:highlight w:val="none"/>
        </w:rPr>
        <w:t xml:space="preserve">。</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9</w:t>
      </w:r>
      <w:r>
        <w:rPr>
          <w:rFonts w:hint="eastAsia" w:ascii="宋体" w:hAnsi="宋体" w:eastAsia="宋体" w:cs="Times New Roman"/>
          <w:sz w:val="24"/>
          <w:szCs w:val="24"/>
          <w:lang w:val="en-US" w:eastAsia="zh-CN" w:bidi="ar-SA"/>
        </w:rPr>
        <w:t xml:space="preserve">.2</w:t>
      </w:r>
      <w:r>
        <w:rPr>
          <w:rFonts w:hint="eastAsia" w:ascii="宋体" w:hAnsi="宋体" w:eastAsia="宋体" w:cs="宋体"/>
          <w:sz w:val="24"/>
          <w:highlight w:val="none"/>
        </w:rPr>
        <w:t xml:space="preserve">除招标文件有特殊要求外，本项目投标所使用的计量单位，应采用中华人民共和国法定计量单位。</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9</w:t>
      </w:r>
      <w:r>
        <w:rPr>
          <w:rFonts w:hint="eastAsia" w:ascii="宋体" w:hAnsi="宋体" w:eastAsia="宋体" w:cs="Times New Roman"/>
          <w:sz w:val="24"/>
          <w:szCs w:val="24"/>
          <w:lang w:val="en-US" w:eastAsia="zh-CN" w:bidi="ar-SA"/>
        </w:rPr>
        <w:t xml:space="preserve">.3</w:t>
      </w:r>
      <w:r>
        <w:rPr>
          <w:rFonts w:hint="eastAsia" w:ascii="宋体" w:hAnsi="宋体" w:eastAsia="宋体" w:cs="宋体"/>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bookmarkStart w:id="251" w:name="_Ref467306195"/>
      <w:r/>
      <w:bookmarkStart w:id="252" w:name="_Toc516367022"/>
      <w:r/>
      <w:bookmarkStart w:id="253" w:name="_Ref467306676"/>
      <w:r/>
      <w:bookmarkStart w:id="254" w:name="_Toc164608642"/>
      <w:r/>
      <w:bookmarkStart w:id="255" w:name="_Toc164229223"/>
      <w:r/>
      <w:bookmarkStart w:id="256" w:name="_Toc226309772"/>
      <w:r/>
      <w:bookmarkStart w:id="257" w:name="_Toc127161442"/>
      <w:r/>
      <w:bookmarkStart w:id="258" w:name="_Toc151193770"/>
      <w:r/>
      <w:bookmarkStart w:id="259" w:name="_Toc195842893"/>
      <w:r/>
      <w:bookmarkStart w:id="260" w:name="_Toc226337224"/>
      <w:r/>
      <w:bookmarkStart w:id="261" w:name="_Toc127151528"/>
      <w:r/>
      <w:bookmarkStart w:id="262" w:name="_Toc151190155"/>
      <w:r/>
      <w:bookmarkStart w:id="263" w:name="_Toc305158796"/>
      <w:r/>
      <w:bookmarkStart w:id="264" w:name="_Toc164229369"/>
      <w:r/>
      <w:bookmarkStart w:id="265" w:name="_Toc150774628"/>
      <w:r/>
      <w:bookmarkStart w:id="266" w:name="_Toc226965718"/>
      <w:r/>
      <w:bookmarkStart w:id="267" w:name="_Toc520356152"/>
      <w:r/>
      <w:bookmarkStart w:id="268" w:name="_Toc149720821"/>
      <w:r/>
      <w:bookmarkStart w:id="269" w:name="_Toc151193698"/>
      <w:r/>
      <w:bookmarkStart w:id="270" w:name="_Toc264969218"/>
      <w:r/>
      <w:bookmarkStart w:id="271" w:name="_Toc150774733"/>
      <w:r/>
      <w:bookmarkStart w:id="272" w:name="_Toc151193916"/>
      <w:r/>
      <w:bookmarkStart w:id="273" w:name="_Toc226965801"/>
      <w:r/>
      <w:bookmarkStart w:id="274" w:name="_Toc151193626"/>
      <w:r/>
      <w:bookmarkStart w:id="275" w:name="_Toc164608797"/>
      <w:r/>
      <w:bookmarkStart w:id="276" w:name="_Toc164351622"/>
      <w:r/>
      <w:bookmarkStart w:id="277" w:name="_Toc150480766"/>
      <w:r/>
      <w:bookmarkStart w:id="278" w:name="_Toc305158870"/>
      <w:r/>
      <w:bookmarkStart w:id="279" w:name="_Toc150509279"/>
      <w:r/>
      <w:bookmarkStart w:id="280" w:name="_Toc265228366"/>
      <w:r/>
      <w:bookmarkStart w:id="281" w:name="_Toc151193842"/>
      <w:r/>
      <w:bookmarkStart w:id="282" w:name="_Toc142311030"/>
      <w:r/>
      <w:bookmarkStart w:id="283" w:name="_Toc127151729"/>
      <w:r>
        <w:rPr>
          <w:rFonts w:hint="eastAsia" w:ascii="宋体" w:hAnsi="宋体" w:cs="宋体"/>
          <w:b/>
          <w:sz w:val="24"/>
          <w:szCs w:val="24"/>
          <w:lang w:val="en-US" w:eastAsia="zh-CN" w:bidi="ar-SA"/>
        </w:rPr>
        <w:t xml:space="preserve">10</w:t>
      </w:r>
      <w:r>
        <w:rPr>
          <w:rFonts w:hint="eastAsia" w:ascii="宋体" w:hAnsi="宋体" w:eastAsia="宋体" w:cs="宋体"/>
          <w:b/>
          <w:sz w:val="24"/>
          <w:highlight w:val="none"/>
        </w:rPr>
        <w:t xml:space="preserve">投标文件</w:t>
      </w:r>
      <w:bookmarkEnd w:id="251"/>
      <w:r/>
      <w:bookmarkEnd w:id="252"/>
      <w:r/>
      <w:bookmarkEnd w:id="253"/>
      <w:r>
        <w:rPr>
          <w:rFonts w:hint="eastAsia" w:ascii="宋体" w:hAnsi="宋体" w:eastAsia="宋体" w:cs="宋体"/>
          <w:b/>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bookmarkStart w:id="284" w:name="_Ref467052588"/>
      <w:r>
        <w:rPr>
          <w:rFonts w:hint="eastAsia" w:ascii="宋体" w:hAnsi="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.2</w:t>
      </w:r>
      <w:r>
        <w:rPr>
          <w:rFonts w:hint="eastAsia" w:ascii="宋体" w:hAnsi="宋体" w:eastAsia="宋体" w:cs="宋体"/>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。未标记“实质性格式”的文件和招标文件未提供格式的内容，可由投标人自行编写。</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.3</w:t>
      </w:r>
      <w:r>
        <w:rPr>
          <w:rFonts w:hint="eastAsia" w:ascii="宋体" w:hAnsi="宋体" w:eastAsia="宋体" w:cs="宋体"/>
          <w:sz w:val="24"/>
          <w:highlight w:val="none"/>
        </w:rPr>
        <w:t xml:space="preserve">第四章《评标程序、评标方法和评标标准》中涉及的证明文件。</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.4</w:t>
      </w:r>
      <w:r>
        <w:rPr>
          <w:rFonts w:hint="eastAsia" w:ascii="宋体" w:hAnsi="宋体" w:eastAsia="宋体" w:cs="宋体"/>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t xml:space="preserve">.5</w:t>
      </w:r>
      <w:r>
        <w:rPr>
          <w:rFonts w:hint="eastAsia" w:ascii="宋体" w:hAnsi="宋体" w:eastAsia="宋体" w:cs="宋体"/>
          <w:sz w:val="24"/>
          <w:highlight w:val="none"/>
        </w:rPr>
        <w:t xml:space="preserve">投标人认为应附的其他材料。</w:t>
      </w:r>
      <w:bookmarkEnd w:id="284"/>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bookmarkStart w:id="285" w:name="_Toc151193772"/>
      <w:r/>
      <w:bookmarkStart w:id="286" w:name="_Toc127161444"/>
      <w:r/>
      <w:bookmarkStart w:id="287" w:name="_Toc164608799"/>
      <w:r/>
      <w:bookmarkStart w:id="288" w:name="_Toc520356155"/>
      <w:r/>
      <w:bookmarkStart w:id="289" w:name="_Toc164229371"/>
      <w:r/>
      <w:bookmarkStart w:id="290" w:name="_Toc150774630"/>
      <w:r/>
      <w:bookmarkStart w:id="291" w:name="_Toc195842895"/>
      <w:r/>
      <w:bookmarkStart w:id="292" w:name="_Toc164351624"/>
      <w:r/>
      <w:bookmarkStart w:id="293" w:name="_Toc142311032"/>
      <w:r/>
      <w:bookmarkStart w:id="294" w:name="_Toc127151530"/>
      <w:r/>
      <w:bookmarkStart w:id="295" w:name="_Toc151193628"/>
      <w:r/>
      <w:bookmarkStart w:id="296" w:name="_Toc151193918"/>
      <w:r/>
      <w:bookmarkStart w:id="297" w:name="_Toc164608644"/>
      <w:r/>
      <w:bookmarkStart w:id="298" w:name="_Toc150774735"/>
      <w:r/>
      <w:bookmarkStart w:id="299" w:name="_Toc151193700"/>
      <w:r/>
      <w:bookmarkStart w:id="300" w:name="_Toc151190157"/>
      <w:r/>
      <w:bookmarkStart w:id="301" w:name="_Toc151193844"/>
      <w:r/>
      <w:bookmarkStart w:id="302" w:name="_Toc150480768"/>
      <w:r/>
      <w:bookmarkStart w:id="303" w:name="_Toc150509281"/>
      <w:r/>
      <w:bookmarkStart w:id="304" w:name="_Toc164229225"/>
      <w:r/>
      <w:bookmarkStart w:id="305" w:name="_Toc127151731"/>
      <w:r/>
      <w:bookmarkStart w:id="306" w:name="_Toc149720823"/>
      <w:r>
        <w:rPr>
          <w:rFonts w:hint="eastAsia" w:ascii="宋体" w:hAnsi="宋体" w:cs="宋体"/>
          <w:b/>
          <w:sz w:val="24"/>
          <w:szCs w:val="24"/>
          <w:lang w:val="en-US" w:eastAsia="zh-CN" w:bidi="ar-SA"/>
        </w:rPr>
        <w:t xml:space="preserve">11</w:t>
      </w:r>
      <w:r>
        <w:rPr>
          <w:rFonts w:hint="eastAsia" w:ascii="宋体" w:hAnsi="宋体" w:eastAsia="宋体" w:cs="宋体"/>
          <w:b/>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11</w:t>
      </w: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highlight w:val="none"/>
        </w:rPr>
        <w:t xml:space="preserve">所有投标均以人民币报价。</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11</w:t>
      </w:r>
      <w:r>
        <w:rPr>
          <w:rFonts w:hint="eastAsia" w:ascii="宋体" w:hAnsi="宋体" w:eastAsia="宋体" w:cs="Times New Roman"/>
          <w:sz w:val="24"/>
          <w:szCs w:val="24"/>
          <w:lang w:val="en-US" w:eastAsia="zh-CN" w:bidi="ar-SA"/>
        </w:rPr>
        <w:t xml:space="preserve">.2</w:t>
      </w:r>
      <w:r>
        <w:rPr>
          <w:rFonts w:hint="eastAsia" w:ascii="宋体" w:hAnsi="宋体" w:eastAsia="宋体" w:cs="宋体"/>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0"/>
        </w:numPr>
        <w:ind w:left="0" w:firstLine="480"/>
        <w:spacing w:line="360" w:lineRule="auto"/>
        <w:tabs>
          <w:tab w:val="left" w:pos="1276" w:leader="none"/>
        </w:tabs>
        <w:rPr>
          <w:rFonts w:hint="eastAsia" w:ascii="宋体" w:hAnsi="宋体" w:eastAsia="宋体" w:cs="宋体"/>
          <w:sz w:val="24"/>
          <w:highlight w:val="none"/>
        </w:rPr>
      </w:pPr>
      <w:r>
        <w:rPr>
          <w:rFonts w:hint="eastAsia" w:ascii="宋体" w:hAnsi="宋体" w:cs="宋体"/>
          <w:sz w:val="24"/>
          <w:szCs w:val="24"/>
          <w:lang w:val="en-US" w:eastAsia="zh-CN" w:bidi="ar-SA"/>
        </w:rPr>
        <w:t xml:space="preserve">11</w:t>
      </w:r>
      <w:r>
        <w:rPr>
          <w:rFonts w:hint="eastAsia" w:ascii="宋体" w:hAnsi="宋体" w:eastAsia="宋体" w:cs="宋体"/>
          <w:sz w:val="24"/>
          <w:szCs w:val="24"/>
          <w:lang w:val="en-US" w:eastAsia="zh-CN" w:bidi="ar-SA"/>
        </w:rPr>
        <w:t xml:space="preserve">.2.1</w:t>
      </w:r>
      <w:r>
        <w:rPr>
          <w:rFonts w:hint="eastAsia" w:ascii="宋体" w:hAnsi="宋体" w:eastAsia="宋体" w:cs="宋体"/>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0"/>
        </w:numPr>
        <w:ind w:left="0" w:firstLine="480"/>
        <w:spacing w:line="360" w:lineRule="auto"/>
        <w:tabs>
          <w:tab w:val="left" w:pos="1276" w:leader="none"/>
        </w:tabs>
        <w:rPr>
          <w:rFonts w:hint="eastAsia" w:ascii="宋体" w:hAnsi="宋体" w:eastAsia="宋体" w:cs="宋体"/>
          <w:sz w:val="24"/>
          <w:highlight w:val="none"/>
        </w:rPr>
      </w:pPr>
      <w:r>
        <w:rPr>
          <w:rFonts w:hint="eastAsia" w:ascii="宋体" w:hAnsi="宋体" w:cs="宋体"/>
          <w:sz w:val="24"/>
          <w:szCs w:val="24"/>
          <w:lang w:val="en-US" w:eastAsia="zh-CN" w:bidi="ar-SA"/>
        </w:rPr>
        <w:t xml:space="preserve">11</w:t>
      </w:r>
      <w:r>
        <w:rPr>
          <w:rFonts w:hint="eastAsia" w:ascii="宋体" w:hAnsi="宋体" w:eastAsia="宋体" w:cs="宋体"/>
          <w:sz w:val="24"/>
          <w:szCs w:val="24"/>
          <w:lang w:val="en-US" w:eastAsia="zh-CN" w:bidi="ar-SA"/>
        </w:rPr>
        <w:t xml:space="preserve">.2.2</w:t>
      </w:r>
      <w:r>
        <w:rPr>
          <w:rFonts w:hint="eastAsia" w:ascii="宋体" w:hAnsi="宋体" w:eastAsia="宋体" w:cs="宋体"/>
          <w:sz w:val="24"/>
          <w:highlight w:val="none"/>
        </w:rPr>
        <w:t xml:space="preserve">按照招标文件要求完成本项目的全部相关服务费用。 </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11</w:t>
      </w:r>
      <w:r>
        <w:rPr>
          <w:rFonts w:hint="eastAsia" w:ascii="宋体" w:hAnsi="宋体" w:eastAsia="宋体" w:cs="Times New Roman"/>
          <w:sz w:val="24"/>
          <w:szCs w:val="24"/>
          <w:lang w:val="en-US" w:eastAsia="zh-CN" w:bidi="ar-SA"/>
        </w:rPr>
        <w:t xml:space="preserve">.3</w:t>
      </w:r>
      <w:r>
        <w:rPr>
          <w:rFonts w:hint="eastAsia" w:ascii="宋体" w:hAnsi="宋体" w:eastAsia="宋体" w:cs="宋体"/>
          <w:sz w:val="24"/>
          <w:highlight w:val="none"/>
        </w:rPr>
        <w:t xml:space="preserve">采购人不得向供应商索要或者接受其给予的赠品、回扣或者与采购无关的其他商品、服务。</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11</w:t>
      </w:r>
      <w:r>
        <w:rPr>
          <w:rFonts w:hint="eastAsia" w:ascii="宋体" w:hAnsi="宋体" w:eastAsia="宋体" w:cs="Times New Roman"/>
          <w:sz w:val="24"/>
          <w:szCs w:val="24"/>
          <w:lang w:val="en-US" w:eastAsia="zh-CN" w:bidi="ar-SA"/>
        </w:rPr>
        <w:t xml:space="preserve">.4</w:t>
      </w:r>
      <w:r>
        <w:rPr>
          <w:rFonts w:hint="eastAsia" w:ascii="宋体" w:hAnsi="宋体" w:eastAsia="宋体" w:cs="宋体"/>
          <w:sz w:val="24"/>
          <w:highlight w:val="none"/>
        </w:rPr>
        <w:t xml:space="preserve">投标人不能提供任何有选择性或可调整的报价，否则其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bookmarkStart w:id="307" w:name="_Toc164229226"/>
      <w:r/>
      <w:bookmarkStart w:id="308" w:name="_Toc164229372"/>
      <w:r/>
      <w:bookmarkStart w:id="309" w:name="_Toc150774631"/>
      <w:r/>
      <w:bookmarkStart w:id="310" w:name="_Toc149720824"/>
      <w:r/>
      <w:bookmarkStart w:id="311" w:name="_Toc151190158"/>
      <w:r/>
      <w:bookmarkStart w:id="312" w:name="_Toc226309775"/>
      <w:r/>
      <w:bookmarkStart w:id="313" w:name="_Toc195842896"/>
      <w:r/>
      <w:bookmarkStart w:id="314" w:name="_Toc127161445"/>
      <w:r/>
      <w:bookmarkStart w:id="315" w:name="_Toc305158799"/>
      <w:r/>
      <w:bookmarkStart w:id="316" w:name="_Toc150480769"/>
      <w:r/>
      <w:bookmarkStart w:id="317" w:name="_Toc226337227"/>
      <w:r/>
      <w:bookmarkStart w:id="318" w:name="_Toc265228369"/>
      <w:r/>
      <w:bookmarkStart w:id="319" w:name="_Toc142311033"/>
      <w:r/>
      <w:bookmarkStart w:id="320" w:name="_Toc520356156"/>
      <w:r/>
      <w:bookmarkStart w:id="321" w:name="_Toc164351625"/>
      <w:r/>
      <w:bookmarkStart w:id="322" w:name="_Toc164608645"/>
      <w:r/>
      <w:bookmarkStart w:id="323" w:name="_Toc150509282"/>
      <w:r/>
      <w:bookmarkStart w:id="324" w:name="_Toc264969221"/>
      <w:r/>
      <w:bookmarkStart w:id="325" w:name="_Toc164608800"/>
      <w:r/>
      <w:bookmarkStart w:id="326" w:name="_Toc226965721"/>
      <w:r/>
      <w:bookmarkStart w:id="327" w:name="_Toc226965804"/>
      <w:r/>
      <w:bookmarkStart w:id="328" w:name="_Toc151193701"/>
      <w:r/>
      <w:bookmarkStart w:id="329" w:name="_Toc127151531"/>
      <w:r/>
      <w:bookmarkStart w:id="330" w:name="_Toc151193919"/>
      <w:r/>
      <w:bookmarkStart w:id="331" w:name="_Toc151193773"/>
      <w:r/>
      <w:bookmarkStart w:id="332" w:name="_Toc305158873"/>
      <w:r/>
      <w:bookmarkStart w:id="333" w:name="_Toc150774736"/>
      <w:r/>
      <w:bookmarkStart w:id="334" w:name="_Toc151193845"/>
      <w:r/>
      <w:bookmarkStart w:id="335" w:name="_Toc151193629"/>
      <w:r/>
      <w:bookmarkStart w:id="336" w:name="_Ref467306513"/>
      <w:r/>
      <w:bookmarkStart w:id="337" w:name="_Toc127151732"/>
      <w:r>
        <w:rPr>
          <w:rFonts w:hint="eastAsia" w:ascii="宋体" w:hAnsi="宋体" w:cs="宋体"/>
          <w:b/>
          <w:sz w:val="24"/>
          <w:szCs w:val="24"/>
          <w:lang w:val="en-US" w:eastAsia="zh-CN" w:bidi="ar-SA"/>
        </w:rPr>
        <w:t xml:space="preserve">12</w:t>
      </w:r>
      <w:r>
        <w:rPr>
          <w:rFonts w:hint="eastAsia" w:ascii="宋体" w:hAnsi="宋体" w:eastAsia="宋体" w:cs="宋体"/>
          <w:b/>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0"/>
        <w:spacing w:line="360" w:lineRule="auto"/>
        <w:tabs>
          <w:tab w:val="left" w:pos="36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根据江苏省和常州市的相关文件规定，免收投标保证金。</w:t>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bookmarkStart w:id="338" w:name="_Toc151190159"/>
      <w:r/>
      <w:bookmarkStart w:id="339" w:name="_Toc151193630"/>
      <w:r/>
      <w:bookmarkStart w:id="340" w:name="_Toc164229227"/>
      <w:r/>
      <w:bookmarkStart w:id="341" w:name="_Toc264969222"/>
      <w:r/>
      <w:bookmarkStart w:id="342" w:name="_Toc142311034"/>
      <w:r/>
      <w:bookmarkStart w:id="343" w:name="_Toc164608646"/>
      <w:r/>
      <w:bookmarkStart w:id="344" w:name="_Toc305158800"/>
      <w:r/>
      <w:bookmarkStart w:id="345" w:name="_Toc150774632"/>
      <w:r/>
      <w:bookmarkStart w:id="346" w:name="_Toc520356157"/>
      <w:r/>
      <w:bookmarkStart w:id="347" w:name="_Toc149720825"/>
      <w:r/>
      <w:bookmarkStart w:id="348" w:name="_Toc150480770"/>
      <w:r/>
      <w:bookmarkStart w:id="349" w:name="_Toc226337228"/>
      <w:r/>
      <w:bookmarkStart w:id="350" w:name="_Toc150774737"/>
      <w:r/>
      <w:bookmarkStart w:id="351" w:name="_Toc151193846"/>
      <w:r/>
      <w:bookmarkStart w:id="352" w:name="_Toc151193920"/>
      <w:r/>
      <w:bookmarkStart w:id="353" w:name="_Toc226965805"/>
      <w:r/>
      <w:bookmarkStart w:id="354" w:name="_Toc195842897"/>
      <w:r/>
      <w:bookmarkStart w:id="355" w:name="_Toc226965722"/>
      <w:r/>
      <w:bookmarkStart w:id="356" w:name="_Toc164351626"/>
      <w:r/>
      <w:bookmarkStart w:id="357" w:name="_Toc127151733"/>
      <w:r/>
      <w:bookmarkStart w:id="358" w:name="_Toc150509283"/>
      <w:r/>
      <w:bookmarkStart w:id="359" w:name="_Toc127151532"/>
      <w:r/>
      <w:bookmarkStart w:id="360" w:name="_Toc226309776"/>
      <w:r/>
      <w:bookmarkStart w:id="361" w:name="_Toc265228370"/>
      <w:r/>
      <w:bookmarkStart w:id="362" w:name="_Toc151193702"/>
      <w:r/>
      <w:bookmarkStart w:id="363" w:name="_Toc164229373"/>
      <w:r/>
      <w:bookmarkStart w:id="364" w:name="_Toc151193774"/>
      <w:r/>
      <w:bookmarkStart w:id="365" w:name="_Toc164608801"/>
      <w:r/>
      <w:bookmarkStart w:id="366" w:name="_Toc305158874"/>
      <w:r/>
      <w:bookmarkStart w:id="367" w:name="_Toc127161446"/>
      <w:r>
        <w:rPr>
          <w:rFonts w:hint="eastAsia" w:ascii="宋体" w:hAnsi="宋体" w:cs="宋体"/>
          <w:b/>
          <w:sz w:val="24"/>
          <w:szCs w:val="24"/>
          <w:lang w:val="en-US" w:eastAsia="zh-CN" w:bidi="ar-SA"/>
        </w:rPr>
        <w:t xml:space="preserve">13</w:t>
      </w:r>
      <w:r>
        <w:rPr>
          <w:rFonts w:hint="eastAsia" w:ascii="宋体" w:hAnsi="宋体" w:eastAsia="宋体" w:cs="宋体"/>
          <w:b/>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13</w:t>
      </w: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bookmarkStart w:id="368" w:name="_Toc149720826"/>
      <w:r/>
      <w:bookmarkStart w:id="369" w:name="_Toc195842898"/>
      <w:r/>
      <w:bookmarkStart w:id="370" w:name="_Toc150774738"/>
      <w:r/>
      <w:bookmarkStart w:id="371" w:name="_Toc150509284"/>
      <w:r/>
      <w:bookmarkStart w:id="372" w:name="_Toc151193631"/>
      <w:r/>
      <w:bookmarkStart w:id="373" w:name="_Toc226337229"/>
      <w:r/>
      <w:bookmarkStart w:id="374" w:name="_Toc150774633"/>
      <w:r/>
      <w:bookmarkStart w:id="375" w:name="_Toc127151533"/>
      <w:r/>
      <w:bookmarkStart w:id="376" w:name="_Toc164351627"/>
      <w:r/>
      <w:bookmarkStart w:id="377" w:name="_Toc264969223"/>
      <w:r/>
      <w:bookmarkStart w:id="378" w:name="_Toc265228371"/>
      <w:r/>
      <w:bookmarkStart w:id="379" w:name="_Toc226309777"/>
      <w:r/>
      <w:bookmarkStart w:id="380" w:name="_Toc151190160"/>
      <w:r/>
      <w:bookmarkStart w:id="381" w:name="_Toc164608802"/>
      <w:r/>
      <w:bookmarkStart w:id="382" w:name="_Toc164229374"/>
      <w:r/>
      <w:bookmarkStart w:id="383" w:name="_Toc127161447"/>
      <w:r/>
      <w:bookmarkStart w:id="384" w:name="_Toc305158801"/>
      <w:r/>
      <w:bookmarkStart w:id="385" w:name="_Toc520356158"/>
      <w:r/>
      <w:bookmarkStart w:id="386" w:name="_Toc164608647"/>
      <w:r/>
      <w:bookmarkStart w:id="387" w:name="_Toc226965723"/>
      <w:r/>
      <w:bookmarkStart w:id="388" w:name="_Toc150480771"/>
      <w:r/>
      <w:bookmarkStart w:id="389" w:name="_Toc164229228"/>
      <w:r/>
      <w:bookmarkStart w:id="390" w:name="_Toc127151734"/>
      <w:r/>
      <w:bookmarkStart w:id="391" w:name="_Toc305158875"/>
      <w:r/>
      <w:bookmarkStart w:id="392" w:name="_Toc151193847"/>
      <w:r/>
      <w:bookmarkStart w:id="393" w:name="_Toc142311035"/>
      <w:r/>
      <w:bookmarkStart w:id="394" w:name="_Toc226965806"/>
      <w:r/>
      <w:bookmarkStart w:id="395" w:name="_Toc151193703"/>
      <w:r/>
      <w:bookmarkStart w:id="396" w:name="_Toc151193775"/>
      <w:r/>
      <w:bookmarkStart w:id="397" w:name="_Toc151193921"/>
      <w:r>
        <w:rPr>
          <w:rFonts w:hint="eastAsia" w:ascii="宋体" w:hAnsi="宋体" w:cs="宋体"/>
          <w:b/>
          <w:sz w:val="24"/>
          <w:szCs w:val="24"/>
          <w:lang w:val="en-US" w:eastAsia="zh-CN" w:bidi="ar-SA"/>
        </w:rPr>
        <w:t xml:space="preserve">14</w:t>
      </w:r>
      <w:r>
        <w:rPr>
          <w:rFonts w:hint="eastAsia" w:ascii="宋体" w:hAnsi="宋体" w:eastAsia="宋体" w:cs="宋体"/>
          <w:b/>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eastAsia="宋体" w:cs="宋体"/>
          <w:b/>
          <w:sz w:val="24"/>
          <w:highlight w:val="none"/>
        </w:rPr>
        <w:t xml:space="preserve">、加盖公章</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bookmarkStart w:id="398" w:name="_Toc151193776"/>
      <w:r/>
      <w:bookmarkStart w:id="399" w:name="_Toc305158802"/>
      <w:r/>
      <w:bookmarkStart w:id="400" w:name="_Toc195842899"/>
      <w:r/>
      <w:bookmarkStart w:id="401" w:name="_Toc226965724"/>
      <w:r/>
      <w:bookmarkStart w:id="402" w:name="_Toc226337230"/>
      <w:r/>
      <w:bookmarkStart w:id="403" w:name="_Toc305158876"/>
      <w:r/>
      <w:bookmarkStart w:id="404" w:name="_Toc142311036"/>
      <w:r/>
      <w:bookmarkStart w:id="405" w:name="_Toc151193848"/>
      <w:r/>
      <w:bookmarkStart w:id="406" w:name="_Toc151193704"/>
      <w:r/>
      <w:bookmarkStart w:id="407" w:name="_Toc150774739"/>
      <w:r/>
      <w:bookmarkStart w:id="408" w:name="_Toc151193922"/>
      <w:r/>
      <w:bookmarkStart w:id="409" w:name="_Toc127151534"/>
      <w:r/>
      <w:bookmarkStart w:id="410" w:name="_Toc150509285"/>
      <w:r/>
      <w:bookmarkStart w:id="411" w:name="_Toc226965807"/>
      <w:r/>
      <w:bookmarkStart w:id="412" w:name="_Toc151193632"/>
      <w:r/>
      <w:bookmarkStart w:id="413" w:name="_Toc226309778"/>
      <w:r/>
      <w:bookmarkStart w:id="414" w:name="_Toc264969224"/>
      <w:r/>
      <w:bookmarkStart w:id="415" w:name="_Toc520356159"/>
      <w:r/>
      <w:bookmarkStart w:id="416" w:name="_Toc150480772"/>
      <w:r/>
      <w:bookmarkStart w:id="417" w:name="_Toc150774634"/>
      <w:r/>
      <w:bookmarkStart w:id="418" w:name="_Toc265228372"/>
      <w:r/>
      <w:bookmarkStart w:id="419" w:name="_Toc151190161"/>
      <w:r>
        <w:rPr>
          <w:rFonts w:hint="eastAsia" w:ascii="宋体" w:hAnsi="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14</w:t>
      </w:r>
      <w:r>
        <w:rPr>
          <w:rFonts w:hint="eastAsia" w:ascii="宋体" w:hAnsi="宋体" w:eastAsia="宋体" w:cs="Times New Roman"/>
          <w:sz w:val="24"/>
          <w:szCs w:val="24"/>
          <w:lang w:val="en-US" w:eastAsia="zh-CN" w:bidi="ar-SA"/>
        </w:rPr>
        <w:t xml:space="preserve">.2</w:t>
      </w:r>
      <w:r>
        <w:rPr>
          <w:rFonts w:hint="eastAsia" w:ascii="宋体" w:hAnsi="宋体" w:eastAsia="宋体" w:cs="宋体"/>
          <w:sz w:val="24"/>
          <w:highlight w:val="none"/>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eastAsia="宋体" w:cs="宋体"/>
          <w:highlight w:val="none"/>
        </w:rPr>
      </w:pPr>
      <w:r>
        <w:rPr>
          <w:rFonts w:hint="eastAsia" w:ascii="宋体" w:hAnsi="宋体" w:eastAsia="宋体" w:cs="宋体"/>
          <w:highlight w:val="none"/>
        </w:rPr>
      </w:r>
      <w:r/>
    </w:p>
    <w:p>
      <w:pPr>
        <w:pStyle w:val="1038"/>
        <w:ind w:firstLine="562"/>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bookmarkStart w:id="420" w:name="_Toc265228373"/>
      <w:r/>
      <w:bookmarkStart w:id="421" w:name="_Toc150509286"/>
      <w:r/>
      <w:bookmarkStart w:id="422" w:name="_Toc226965808"/>
      <w:r/>
      <w:bookmarkStart w:id="423" w:name="_Toc127151736"/>
      <w:r/>
      <w:bookmarkStart w:id="424" w:name="_Toc151190162"/>
      <w:r/>
      <w:bookmarkStart w:id="425" w:name="_Toc151193849"/>
      <w:r/>
      <w:bookmarkStart w:id="426" w:name="_Toc520356160"/>
      <w:r/>
      <w:bookmarkStart w:id="427" w:name="_Toc151193923"/>
      <w:r/>
      <w:bookmarkStart w:id="428" w:name="_Toc164608649"/>
      <w:r/>
      <w:bookmarkStart w:id="429" w:name="_Toc149720828"/>
      <w:r/>
      <w:bookmarkStart w:id="430" w:name="_Toc142311037"/>
      <w:r/>
      <w:bookmarkStart w:id="431" w:name="_Toc226309779"/>
      <w:r/>
      <w:bookmarkStart w:id="432" w:name="_Toc127151535"/>
      <w:r/>
      <w:bookmarkStart w:id="433" w:name="_Toc305158877"/>
      <w:r/>
      <w:bookmarkStart w:id="434" w:name="_Toc195842900"/>
      <w:r/>
      <w:bookmarkStart w:id="435" w:name="_Toc164351629"/>
      <w:r/>
      <w:bookmarkStart w:id="436" w:name="_Toc305158803"/>
      <w:r/>
      <w:bookmarkStart w:id="437" w:name="_Toc127161449"/>
      <w:r/>
      <w:bookmarkStart w:id="438" w:name="_Toc264969225"/>
      <w:r/>
      <w:bookmarkStart w:id="439" w:name="_Toc150774740"/>
      <w:r/>
      <w:bookmarkStart w:id="440" w:name="_Toc164229230"/>
      <w:r/>
      <w:bookmarkStart w:id="441" w:name="_Toc150774635"/>
      <w:r/>
      <w:bookmarkStart w:id="442" w:name="_Toc151193633"/>
      <w:r/>
      <w:bookmarkStart w:id="443" w:name="_Toc226965725"/>
      <w:r/>
      <w:bookmarkStart w:id="444" w:name="_Toc150480773"/>
      <w:r/>
      <w:bookmarkStart w:id="445" w:name="_Toc151193705"/>
      <w:r/>
      <w:bookmarkStart w:id="446" w:name="_Toc151193777"/>
      <w:r/>
      <w:bookmarkStart w:id="447" w:name="_Toc164229376"/>
      <w:r/>
      <w:bookmarkStart w:id="448" w:name="_Toc226337231"/>
      <w:r/>
      <w:bookmarkStart w:id="449" w:name="_Toc164608804"/>
      <w:r>
        <w:rPr>
          <w:rFonts w:hint="eastAsia" w:ascii="宋体" w:hAnsi="宋体" w:cs="宋体"/>
          <w:b/>
          <w:sz w:val="24"/>
          <w:szCs w:val="24"/>
          <w:lang w:val="en-US" w:eastAsia="zh-CN" w:bidi="ar-SA"/>
        </w:rPr>
        <w:t xml:space="preserve">15</w:t>
      </w:r>
      <w:r>
        <w:rPr>
          <w:rFonts w:hint="eastAsia" w:ascii="宋体" w:hAnsi="宋体" w:eastAsia="宋体" w:cs="宋体"/>
          <w:b/>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eastAsia="宋体" w:cs="宋体"/>
          <w:b/>
          <w:sz w:val="24"/>
          <w:highlight w:val="none"/>
        </w:rPr>
        <w:t xml:space="preserve">提交</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highlight w:val="none"/>
        </w:rPr>
        <w:t xml:space="preserve">本项目使用</w:t>
      </w:r>
      <w:r>
        <w:rPr>
          <w:rFonts w:hint="eastAsia" w:ascii="宋体" w:hAnsi="宋体" w:eastAsia="宋体" w:cs="宋体"/>
          <w:sz w:val="24"/>
          <w:highlight w:val="none"/>
          <w:lang w:bidi="ar"/>
        </w:rPr>
        <w:t xml:space="preserve">政府采购一体化平台“苏采云”</w:t>
      </w:r>
      <w:r>
        <w:rPr>
          <w:rFonts w:hint="eastAsia" w:ascii="宋体" w:hAnsi="宋体" w:eastAsia="宋体" w:cs="宋体"/>
          <w:sz w:val="24"/>
          <w:highlight w:val="none"/>
        </w:rPr>
        <w:t xml:space="preserve">。投标人根据招标文件及</w:t>
      </w:r>
      <w:r>
        <w:rPr>
          <w:rFonts w:hint="eastAsia" w:ascii="宋体" w:hAnsi="宋体" w:eastAsia="宋体" w:cs="宋体"/>
          <w:sz w:val="24"/>
          <w:highlight w:val="none"/>
          <w:lang w:bidi="ar"/>
        </w:rPr>
        <w:t xml:space="preserve">政府采购一体化平台“苏采云”</w:t>
      </w:r>
      <w:r>
        <w:rPr>
          <w:rFonts w:hint="eastAsia" w:ascii="宋体" w:hAnsi="宋体" w:eastAsia="宋体" w:cs="宋体"/>
          <w:sz w:val="24"/>
          <w:highlight w:val="none"/>
        </w:rPr>
        <w:t xml:space="preserve">供应商操作手册要求编制、生成并提交电子投标文件。</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15</w:t>
      </w:r>
      <w:r>
        <w:rPr>
          <w:rFonts w:hint="eastAsia" w:ascii="宋体" w:hAnsi="宋体" w:eastAsia="宋体" w:cs="Times New Roman"/>
          <w:sz w:val="24"/>
          <w:szCs w:val="24"/>
          <w:lang w:val="en-US" w:eastAsia="zh-CN" w:bidi="ar-SA"/>
        </w:rPr>
        <w:t xml:space="preserve">.2</w:t>
      </w:r>
      <w:r>
        <w:rPr>
          <w:rFonts w:hint="eastAsia" w:ascii="宋体" w:hAnsi="宋体" w:eastAsia="宋体" w:cs="宋体"/>
          <w:sz w:val="24"/>
          <w:highlight w:val="none"/>
        </w:rPr>
        <w:t xml:space="preserve">采购人及采购代理机构拒绝接受通过政府采购一体化平台“苏采云”以外任何形式提交的投标文件。</w:t>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bookmarkStart w:id="450" w:name="_Toc195842901"/>
      <w:r/>
      <w:bookmarkStart w:id="451" w:name="_Toc151193924"/>
      <w:r/>
      <w:bookmarkStart w:id="452" w:name="_Toc226309780"/>
      <w:r/>
      <w:bookmarkStart w:id="453" w:name="_Toc164608650"/>
      <w:r/>
      <w:bookmarkStart w:id="454" w:name="_Toc164229377"/>
      <w:r/>
      <w:bookmarkStart w:id="455" w:name="_Toc151190163"/>
      <w:r/>
      <w:bookmarkStart w:id="456" w:name="_Toc151193706"/>
      <w:r/>
      <w:bookmarkStart w:id="457" w:name="_Toc164351630"/>
      <w:r/>
      <w:bookmarkStart w:id="458" w:name="_Toc305158804"/>
      <w:r/>
      <w:bookmarkStart w:id="459" w:name="_Toc151193778"/>
      <w:r/>
      <w:bookmarkStart w:id="460" w:name="_Toc226965726"/>
      <w:r/>
      <w:bookmarkStart w:id="461" w:name="_Toc520356161"/>
      <w:r/>
      <w:bookmarkStart w:id="462" w:name="_Toc127161450"/>
      <w:r/>
      <w:bookmarkStart w:id="463" w:name="_Toc164608805"/>
      <w:r/>
      <w:bookmarkStart w:id="464" w:name="_Toc127151737"/>
      <w:r/>
      <w:bookmarkStart w:id="465" w:name="_Toc151193850"/>
      <w:r/>
      <w:bookmarkStart w:id="466" w:name="_Toc150509287"/>
      <w:r/>
      <w:bookmarkStart w:id="467" w:name="_Toc151193634"/>
      <w:r/>
      <w:bookmarkStart w:id="468" w:name="_Toc226965809"/>
      <w:r/>
      <w:bookmarkStart w:id="469" w:name="_Toc150774741"/>
      <w:r/>
      <w:bookmarkStart w:id="470" w:name="_Toc149720829"/>
      <w:r/>
      <w:bookmarkStart w:id="471" w:name="_Toc264969226"/>
      <w:r/>
      <w:bookmarkStart w:id="472" w:name="_Toc150480774"/>
      <w:r/>
      <w:bookmarkStart w:id="473" w:name="_Toc305158878"/>
      <w:r/>
      <w:bookmarkStart w:id="474" w:name="_Toc164229231"/>
      <w:r/>
      <w:bookmarkStart w:id="475" w:name="_Toc265228374"/>
      <w:r/>
      <w:bookmarkStart w:id="476" w:name="_Toc127151536"/>
      <w:r/>
      <w:bookmarkStart w:id="477" w:name="_Toc142311038"/>
      <w:r/>
      <w:bookmarkStart w:id="478" w:name="_Toc150774636"/>
      <w:r/>
      <w:bookmarkStart w:id="479" w:name="_Toc226337232"/>
      <w:r>
        <w:rPr>
          <w:rFonts w:hint="eastAsia" w:ascii="宋体" w:hAnsi="宋体" w:eastAsia="宋体" w:cs="宋体"/>
          <w:b/>
          <w:sz w:val="24"/>
          <w:szCs w:val="24"/>
          <w:lang w:val="en-US" w:eastAsia="zh-CN" w:bidi="ar-SA"/>
        </w:rPr>
        <w:t xml:space="preserve">1</w:t>
      </w:r>
      <w:r>
        <w:rPr>
          <w:rFonts w:hint="eastAsia" w:ascii="宋体" w:hAnsi="宋体" w:cs="宋体"/>
          <w:b/>
          <w:sz w:val="24"/>
          <w:szCs w:val="24"/>
          <w:lang w:val="en-US" w:eastAsia="zh-CN" w:bidi="ar-SA"/>
        </w:rPr>
        <w:t xml:space="preserve">6</w:t>
      </w:r>
      <w:r>
        <w:rPr>
          <w:rFonts w:hint="eastAsia" w:ascii="宋体" w:hAnsi="宋体" w:eastAsia="宋体" w:cs="宋体"/>
          <w:b/>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eastAsia="宋体" w:cs="宋体"/>
          <w:b/>
          <w:sz w:val="24"/>
          <w:highlight w:val="none"/>
        </w:rPr>
        <w:t xml:space="preserve">时间</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6</w:t>
      </w: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highlight w:val="none"/>
        </w:rPr>
        <w:t xml:space="preserve">投标人应在招标文件要求提交投标文件截止时间前，将电子投标文件提交至政府采购一体化平台“苏采云”。</w:t>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bookmarkStart w:id="480" w:name="_Toc164351631"/>
      <w:r/>
      <w:bookmarkStart w:id="481" w:name="_Toc226309781"/>
      <w:r/>
      <w:bookmarkStart w:id="482" w:name="_Toc142311039"/>
      <w:r/>
      <w:bookmarkStart w:id="483" w:name="_Toc226965727"/>
      <w:r/>
      <w:bookmarkStart w:id="484" w:name="_Toc305158805"/>
      <w:r/>
      <w:bookmarkStart w:id="485" w:name="_Toc264969227"/>
      <w:r/>
      <w:bookmarkStart w:id="486" w:name="_Toc127151738"/>
      <w:r/>
      <w:bookmarkStart w:id="487" w:name="_Toc164229232"/>
      <w:r/>
      <w:bookmarkStart w:id="488" w:name="_Toc195842902"/>
      <w:r/>
      <w:bookmarkStart w:id="489" w:name="_Toc226965810"/>
      <w:r/>
      <w:bookmarkStart w:id="490" w:name="_Toc164608806"/>
      <w:r/>
      <w:bookmarkStart w:id="491" w:name="_Toc265228375"/>
      <w:r/>
      <w:bookmarkStart w:id="492" w:name="_Toc150774637"/>
      <w:r/>
      <w:bookmarkStart w:id="493" w:name="_Toc151193925"/>
      <w:r/>
      <w:bookmarkStart w:id="494" w:name="_Toc127161451"/>
      <w:r/>
      <w:bookmarkStart w:id="495" w:name="_Toc151193779"/>
      <w:r/>
      <w:bookmarkStart w:id="496" w:name="_Toc149720830"/>
      <w:r/>
      <w:bookmarkStart w:id="497" w:name="_Toc150774742"/>
      <w:r/>
      <w:bookmarkStart w:id="498" w:name="_Toc151193707"/>
      <w:r/>
      <w:bookmarkStart w:id="499" w:name="_Toc127151537"/>
      <w:r/>
      <w:bookmarkStart w:id="500" w:name="_Toc151193635"/>
      <w:r/>
      <w:bookmarkStart w:id="501" w:name="_Toc520356162"/>
      <w:r/>
      <w:bookmarkStart w:id="502" w:name="_Toc164608651"/>
      <w:r/>
      <w:bookmarkStart w:id="503" w:name="_Toc151193851"/>
      <w:r/>
      <w:bookmarkStart w:id="504" w:name="_Toc151190164"/>
      <w:r/>
      <w:bookmarkStart w:id="505" w:name="_Toc226337233"/>
      <w:r/>
      <w:bookmarkStart w:id="506" w:name="_Toc150509288"/>
      <w:r/>
      <w:bookmarkStart w:id="507" w:name="_Toc164229378"/>
      <w:r/>
      <w:bookmarkStart w:id="508" w:name="_Toc150480775"/>
      <w:r/>
      <w:bookmarkStart w:id="509" w:name="_Toc305158879"/>
      <w:r>
        <w:rPr>
          <w:rFonts w:hint="eastAsia" w:ascii="宋体" w:hAnsi="宋体" w:eastAsia="宋体" w:cs="宋体"/>
          <w:b/>
          <w:sz w:val="24"/>
          <w:szCs w:val="24"/>
          <w:lang w:val="en-US" w:eastAsia="zh-CN" w:bidi="ar-SA"/>
        </w:rPr>
        <w:t xml:space="preserve">1</w:t>
      </w:r>
      <w:r>
        <w:rPr>
          <w:rFonts w:hint="eastAsia" w:ascii="宋体" w:hAnsi="宋体" w:cs="宋体"/>
          <w:b/>
          <w:sz w:val="24"/>
          <w:szCs w:val="24"/>
          <w:lang w:val="en-US" w:eastAsia="zh-CN" w:bidi="ar-SA"/>
        </w:rPr>
        <w:t xml:space="preserve">7</w:t>
      </w:r>
      <w:r>
        <w:rPr>
          <w:rFonts w:hint="eastAsia" w:ascii="宋体" w:hAnsi="宋体" w:eastAsia="宋体" w:cs="宋体"/>
          <w:b/>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7</w:t>
      </w: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highlight w:val="none"/>
        </w:rPr>
        <w:t xml:space="preserve">投标截止时间前，投标人可以通过政府采购一体化平台“苏采云”对所提交的投标文件进行补充、修改或者撤回。</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7</w:t>
      </w:r>
      <w:r>
        <w:rPr>
          <w:rFonts w:hint="eastAsia" w:ascii="宋体" w:hAnsi="宋体" w:eastAsia="宋体" w:cs="Times New Roman"/>
          <w:sz w:val="24"/>
          <w:szCs w:val="24"/>
          <w:lang w:val="en-US" w:eastAsia="zh-CN" w:bidi="ar-SA"/>
        </w:rPr>
        <w:t xml:space="preserve">.2</w:t>
      </w:r>
      <w:r>
        <w:rPr>
          <w:rFonts w:hint="eastAsia" w:ascii="宋体" w:hAnsi="宋体" w:eastAsia="宋体" w:cs="宋体"/>
          <w:sz w:val="24"/>
          <w:highlight w:val="none"/>
        </w:rPr>
        <w:t xml:space="preserve">投标人对投标文件的补充、修改的内容应当按照招标文件要求签署、加盖公章，作为投标文件的组成部分。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38"/>
        <w:ind w:firstLine="562"/>
        <w:spacing w:before="0" w:line="360" w:lineRule="auto"/>
        <w:rPr>
          <w:rFonts w:hint="eastAsia" w:ascii="宋体" w:hAnsi="宋体" w:eastAsia="宋体" w:cs="宋体"/>
          <w:sz w:val="28"/>
          <w:highlight w:val="none"/>
        </w:rPr>
      </w:pPr>
      <w:r/>
      <w:bookmarkStart w:id="510" w:name="_Toc151193926"/>
      <w:r/>
      <w:bookmarkStart w:id="511" w:name="_Toc150509289"/>
      <w:r/>
      <w:bookmarkStart w:id="512" w:name="_Toc151193780"/>
      <w:r/>
      <w:bookmarkStart w:id="513" w:name="_Toc151190165"/>
      <w:r/>
      <w:bookmarkStart w:id="514" w:name="_Toc142311040"/>
      <w:r/>
      <w:bookmarkStart w:id="515" w:name="_Toc520356163"/>
      <w:r/>
      <w:bookmarkStart w:id="516" w:name="_Toc265228376"/>
      <w:r/>
      <w:bookmarkStart w:id="517" w:name="_Toc226337234"/>
      <w:r/>
      <w:bookmarkStart w:id="518" w:name="_Toc305158806"/>
      <w:r/>
      <w:bookmarkStart w:id="519" w:name="_Toc226965728"/>
      <w:r/>
      <w:bookmarkStart w:id="520" w:name="_Toc305158880"/>
      <w:r/>
      <w:bookmarkStart w:id="521" w:name="_Toc150480776"/>
      <w:r/>
      <w:bookmarkStart w:id="522" w:name="_Toc226965811"/>
      <w:r/>
      <w:bookmarkStart w:id="523" w:name="_Toc127151538"/>
      <w:r/>
      <w:bookmarkStart w:id="524" w:name="_Toc151193708"/>
      <w:r/>
      <w:bookmarkStart w:id="525" w:name="_Toc264969228"/>
      <w:r/>
      <w:bookmarkStart w:id="526" w:name="_Toc151193636"/>
      <w:r/>
      <w:bookmarkStart w:id="527" w:name="_Toc195842903"/>
      <w:r/>
      <w:bookmarkStart w:id="528" w:name="_Toc150774743"/>
      <w:r/>
      <w:bookmarkStart w:id="529" w:name="_Toc150774638"/>
      <w:r/>
      <w:bookmarkStart w:id="530" w:name="_Toc151193852"/>
      <w:r/>
      <w:bookmarkStart w:id="531" w:name="_Toc226309782"/>
      <w:r>
        <w:rPr>
          <w:rFonts w:hint="eastAsia" w:ascii="宋体" w:hAnsi="宋体" w:eastAsia="宋体" w:cs="宋体"/>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bookmarkStart w:id="532" w:name="_Toc150774744"/>
      <w:r/>
      <w:bookmarkStart w:id="533" w:name="_Toc305158807"/>
      <w:r/>
      <w:bookmarkStart w:id="534" w:name="_Toc150774639"/>
      <w:r/>
      <w:bookmarkStart w:id="535" w:name="_Toc265228377"/>
      <w:r/>
      <w:bookmarkStart w:id="536" w:name="_Toc127161453"/>
      <w:r/>
      <w:bookmarkStart w:id="537" w:name="_Toc164229234"/>
      <w:r/>
      <w:bookmarkStart w:id="538" w:name="_Toc264969229"/>
      <w:r/>
      <w:bookmarkStart w:id="539" w:name="_Toc226337235"/>
      <w:r/>
      <w:bookmarkStart w:id="540" w:name="_Toc142311041"/>
      <w:r/>
      <w:bookmarkStart w:id="541" w:name="_Toc151193781"/>
      <w:r/>
      <w:bookmarkStart w:id="542" w:name="_Toc151193927"/>
      <w:r/>
      <w:bookmarkStart w:id="543" w:name="_Toc127151740"/>
      <w:r/>
      <w:bookmarkStart w:id="544" w:name="_Toc305158881"/>
      <w:r/>
      <w:bookmarkStart w:id="545" w:name="_Toc151193853"/>
      <w:r/>
      <w:bookmarkStart w:id="546" w:name="_Toc150509290"/>
      <w:r/>
      <w:bookmarkStart w:id="547" w:name="_Toc226965729"/>
      <w:r/>
      <w:bookmarkStart w:id="548" w:name="_Toc164351633"/>
      <w:r/>
      <w:bookmarkStart w:id="549" w:name="_Toc226965812"/>
      <w:r/>
      <w:bookmarkStart w:id="550" w:name="_Toc520356164"/>
      <w:r/>
      <w:bookmarkStart w:id="551" w:name="_Toc164229380"/>
      <w:r/>
      <w:bookmarkStart w:id="552" w:name="_Toc226309783"/>
      <w:r/>
      <w:bookmarkStart w:id="553" w:name="_Toc164608808"/>
      <w:r/>
      <w:bookmarkStart w:id="554" w:name="_Toc151190166"/>
      <w:r/>
      <w:bookmarkStart w:id="555" w:name="_Toc127151539"/>
      <w:r/>
      <w:bookmarkStart w:id="556" w:name="_Toc149720832"/>
      <w:r/>
      <w:bookmarkStart w:id="557" w:name="_Toc164608653"/>
      <w:r/>
      <w:bookmarkStart w:id="558" w:name="_Toc195842904"/>
      <w:r/>
      <w:bookmarkStart w:id="559" w:name="_Toc151193709"/>
      <w:r/>
      <w:bookmarkStart w:id="560" w:name="_Toc150480777"/>
      <w:r/>
      <w:bookmarkStart w:id="561" w:name="_Toc151193637"/>
      <w:r>
        <w:rPr>
          <w:rFonts w:hint="eastAsia" w:ascii="宋体" w:hAnsi="宋体" w:eastAsia="宋体" w:cs="宋体"/>
          <w:b/>
          <w:sz w:val="24"/>
          <w:szCs w:val="24"/>
          <w:lang w:val="en-US" w:eastAsia="zh-CN" w:bidi="ar-SA"/>
        </w:rPr>
        <w:t xml:space="preserve">1</w:t>
      </w:r>
      <w:r>
        <w:rPr>
          <w:rFonts w:hint="eastAsia" w:ascii="宋体" w:hAnsi="宋体" w:cs="宋体"/>
          <w:b/>
          <w:sz w:val="24"/>
          <w:szCs w:val="24"/>
          <w:lang w:val="en-US" w:eastAsia="zh-CN" w:bidi="ar-SA"/>
        </w:rPr>
        <w:t xml:space="preserve">8</w:t>
      </w:r>
      <w:r>
        <w:rPr>
          <w:rFonts w:hint="eastAsia" w:ascii="宋体" w:hAnsi="宋体" w:eastAsia="宋体" w:cs="宋体"/>
          <w:b/>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highlight w:val="none"/>
        </w:rPr>
        <w:t xml:space="preserve">采购人或采购代理机构将按招标文件的规定，在投标截止时间的同一时间和招标文件预先确定的地点组织开标。</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.2</w:t>
      </w:r>
      <w:r>
        <w:rPr>
          <w:rFonts w:hint="eastAsia" w:ascii="宋体" w:hAnsi="宋体" w:eastAsia="宋体" w:cs="宋体"/>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.3</w:t>
      </w:r>
      <w:r>
        <w:rPr>
          <w:rFonts w:hint="eastAsia" w:ascii="宋体" w:hAnsi="宋体" w:eastAsia="宋体" w:cs="宋体"/>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eastAsia="宋体" w:cs="宋体"/>
          <w:sz w:val="24"/>
          <w:highlight w:val="none"/>
        </w:rPr>
        <w:t xml:space="preserve">。投标人超过规定时间未确认但是未提出疑义的，系统将视同已确认。</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.4</w:t>
      </w:r>
      <w:r>
        <w:rPr>
          <w:rFonts w:hint="eastAsia" w:ascii="宋体" w:hAnsi="宋体" w:eastAsia="宋体" w:cs="宋体"/>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.5</w:t>
      </w:r>
      <w:r>
        <w:rPr>
          <w:rFonts w:hint="eastAsia" w:ascii="宋体" w:hAnsi="宋体" w:eastAsia="宋体" w:cs="宋体"/>
          <w:sz w:val="24"/>
          <w:highlight w:val="none"/>
        </w:rPr>
        <w:t xml:space="preserve">投标人不足3家的，不予开标。</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.6</w:t>
      </w:r>
      <w:r>
        <w:rPr>
          <w:rFonts w:hint="eastAsia" w:ascii="宋体" w:hAnsi="宋体" w:eastAsia="宋体" w:cs="宋体"/>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.7</w:t>
      </w:r>
      <w:r>
        <w:rPr>
          <w:rFonts w:hint="eastAsia" w:ascii="宋体" w:hAnsi="宋体" w:eastAsia="宋体" w:cs="宋体"/>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t xml:space="preserve">.8</w:t>
      </w:r>
      <w:r>
        <w:rPr>
          <w:rFonts w:hint="eastAsia" w:ascii="宋体" w:hAnsi="宋体" w:eastAsia="宋体" w:cs="宋体"/>
          <w:sz w:val="24"/>
          <w:highlight w:val="none"/>
        </w:rPr>
        <w:t xml:space="preserve">如果在采购活动过程中出现以下情形，导致“</w:t>
      </w:r>
      <w:r>
        <w:rPr>
          <w:rFonts w:hint="eastAsia" w:ascii="宋体" w:hAnsi="宋体" w:eastAsia="宋体" w:cs="宋体"/>
          <w:sz w:val="24"/>
          <w:highlight w:val="none"/>
          <w:lang w:bidi="ar"/>
        </w:rPr>
        <w:t xml:space="preserve">政府采购一体化平台“苏采云”</w:t>
      </w:r>
      <w:r>
        <w:rPr>
          <w:rFonts w:hint="eastAsia" w:ascii="宋体" w:hAnsi="宋体" w:eastAsia="宋体" w:cs="宋体"/>
          <w:sz w:val="24"/>
          <w:highlight w:val="none"/>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 1)平台系统发生故障而无法登录访问的；</w:t>
      </w:r>
      <w:r/>
    </w:p>
    <w:p>
      <w:pPr>
        <w:ind w:left="357" w:firstLine="209"/>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2)平台系统应用或数据库出现错误，不能进行正常操作的；</w:t>
      </w:r>
      <w:r/>
    </w:p>
    <w:p>
      <w:pPr>
        <w:ind w:left="357" w:firstLine="209"/>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3)平台系统发现严重安全漏洞，有潜在泄密危险的；</w:t>
      </w:r>
      <w:r/>
    </w:p>
    <w:p>
      <w:pPr>
        <w:ind w:left="357" w:firstLine="209"/>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4)病毒发作导致平台系统不能进行正常操作的；</w:t>
      </w:r>
      <w:r/>
    </w:p>
    <w:p>
      <w:pPr>
        <w:ind w:left="357" w:firstLine="209"/>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eastAsia="宋体" w:cs="宋体"/>
          <w:b/>
          <w:sz w:val="24"/>
          <w:szCs w:val="24"/>
          <w:lang w:val="en-US" w:eastAsia="zh-CN" w:bidi="ar-SA"/>
        </w:rPr>
        <w:t xml:space="preserve">1</w:t>
      </w:r>
      <w:r>
        <w:rPr>
          <w:rFonts w:hint="eastAsia" w:ascii="宋体" w:hAnsi="宋体" w:cs="宋体"/>
          <w:b/>
          <w:sz w:val="24"/>
          <w:szCs w:val="24"/>
          <w:lang w:val="en-US" w:eastAsia="zh-CN" w:bidi="ar-SA"/>
        </w:rPr>
        <w:t xml:space="preserve">9</w:t>
      </w:r>
      <w:r>
        <w:rPr>
          <w:rFonts w:hint="eastAsia" w:ascii="宋体" w:hAnsi="宋体" w:eastAsia="宋体" w:cs="宋体"/>
          <w:b/>
          <w:sz w:val="24"/>
          <w:highlight w:val="none"/>
        </w:rPr>
        <w:t xml:space="preserve">资格审查</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Times New Roman"/>
          <w:sz w:val="24"/>
          <w:szCs w:val="24"/>
          <w:lang w:val="en-US" w:eastAsia="zh-CN" w:bidi="ar-SA"/>
        </w:rPr>
        <w:t xml:space="preserve">1</w:t>
      </w:r>
      <w:r>
        <w:rPr>
          <w:rFonts w:hint="eastAsia" w:ascii="宋体" w:hAnsi="宋体" w:cs="Times New Roman"/>
          <w:sz w:val="24"/>
          <w:szCs w:val="24"/>
          <w:lang w:val="en-US" w:eastAsia="zh-CN" w:bidi="ar-SA"/>
        </w:rPr>
        <w:t xml:space="preserve">9</w:t>
      </w: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highlight w:val="none"/>
        </w:rPr>
        <w:t xml:space="preserve">见第三章《资格审查》。</w:t>
      </w:r>
      <w:bookmarkEnd w:id="562"/>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bookmarkStart w:id="563" w:name="_Toc150774745"/>
      <w:r/>
      <w:bookmarkStart w:id="564" w:name="_Toc305158882"/>
      <w:r/>
      <w:bookmarkStart w:id="565" w:name="_Toc151190167"/>
      <w:r/>
      <w:bookmarkStart w:id="566" w:name="_Toc150509291"/>
      <w:r/>
      <w:bookmarkStart w:id="567" w:name="_Toc151193782"/>
      <w:r/>
      <w:bookmarkStart w:id="568" w:name="_Toc150480778"/>
      <w:r/>
      <w:bookmarkStart w:id="569" w:name="_Toc164351634"/>
      <w:r/>
      <w:bookmarkStart w:id="570" w:name="_Toc265228378"/>
      <w:r/>
      <w:bookmarkStart w:id="571" w:name="_Toc151193928"/>
      <w:r/>
      <w:bookmarkStart w:id="572" w:name="_Toc127161454"/>
      <w:r/>
      <w:bookmarkStart w:id="573" w:name="_Toc164608654"/>
      <w:r/>
      <w:bookmarkStart w:id="574" w:name="_Toc149720833"/>
      <w:r/>
      <w:bookmarkStart w:id="575" w:name="_Toc164608809"/>
      <w:r/>
      <w:bookmarkStart w:id="576" w:name="_Toc150774640"/>
      <w:r/>
      <w:bookmarkStart w:id="577" w:name="_Toc226965813"/>
      <w:r/>
      <w:bookmarkStart w:id="578" w:name="_Toc226309784"/>
      <w:r/>
      <w:bookmarkStart w:id="579" w:name="_Toc142311042"/>
      <w:r/>
      <w:bookmarkStart w:id="580" w:name="_Toc151193710"/>
      <w:r/>
      <w:bookmarkStart w:id="581" w:name="_Toc164229381"/>
      <w:r/>
      <w:bookmarkStart w:id="582" w:name="_Toc264969230"/>
      <w:r/>
      <w:bookmarkStart w:id="583" w:name="_Toc164229235"/>
      <w:r/>
      <w:bookmarkStart w:id="584" w:name="_Toc151193638"/>
      <w:r/>
      <w:bookmarkStart w:id="585" w:name="_Toc195842905"/>
      <w:r/>
      <w:bookmarkStart w:id="586" w:name="_Toc226337236"/>
      <w:r/>
      <w:bookmarkStart w:id="587" w:name="_Toc305158808"/>
      <w:r/>
      <w:bookmarkStart w:id="588" w:name="_Toc151193854"/>
      <w:r/>
      <w:bookmarkStart w:id="589" w:name="_Toc127151540"/>
      <w:r/>
      <w:bookmarkStart w:id="590" w:name="_Toc127151741"/>
      <w:r/>
      <w:bookmarkStart w:id="591" w:name="_Toc226965730"/>
      <w:r>
        <w:rPr>
          <w:rFonts w:hint="eastAsia" w:ascii="宋体" w:hAnsi="宋体" w:cs="宋体"/>
          <w:b/>
          <w:sz w:val="24"/>
          <w:szCs w:val="24"/>
          <w:lang w:val="en-US" w:eastAsia="zh-CN" w:bidi="ar-SA"/>
        </w:rPr>
        <w:t xml:space="preserve">20</w:t>
      </w:r>
      <w:r>
        <w:rPr>
          <w:rFonts w:hint="eastAsia" w:ascii="宋体" w:hAnsi="宋体" w:eastAsia="宋体" w:cs="宋体"/>
          <w:b/>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20</w:t>
      </w: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20</w:t>
      </w:r>
      <w:r>
        <w:rPr>
          <w:rFonts w:hint="eastAsia" w:ascii="宋体" w:hAnsi="宋体" w:eastAsia="宋体" w:cs="Times New Roman"/>
          <w:sz w:val="24"/>
          <w:szCs w:val="24"/>
          <w:lang w:val="en-US" w:eastAsia="zh-CN" w:bidi="ar-SA"/>
        </w:rPr>
        <w:t xml:space="preserve">.2</w:t>
      </w:r>
      <w:r>
        <w:rPr>
          <w:rFonts w:hint="eastAsia" w:ascii="宋体" w:hAnsi="宋体" w:eastAsia="宋体" w:cs="宋体"/>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cs="宋体"/>
          <w:b/>
          <w:sz w:val="24"/>
          <w:highlight w:val="none"/>
          <w:lang w:val="en-US" w:eastAsia="zh-CN"/>
        </w:rPr>
        <w:t xml:space="preserve">21</w:t>
      </w:r>
      <w:r>
        <w:rPr>
          <w:rFonts w:hint="eastAsia" w:ascii="宋体" w:hAnsi="宋体" w:eastAsia="宋体" w:cs="宋体"/>
          <w:b/>
          <w:sz w:val="24"/>
          <w:highlight w:val="none"/>
        </w:rPr>
        <w:t xml:space="preserve">评标程序、评标方法和评标标准</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21</w:t>
      </w: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highlight w:val="none"/>
        </w:rPr>
        <w:t xml:space="preserve">见第四章《评标程序、评标方法和评标标准》。</w:t>
      </w:r>
      <w:r/>
    </w:p>
    <w:p>
      <w:pPr>
        <w:ind w:firstLine="480"/>
        <w:spacing w:line="360" w:lineRule="auto"/>
        <w:tabs>
          <w:tab w:val="left" w:pos="360"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1038"/>
        <w:ind w:firstLine="562"/>
        <w:spacing w:before="0" w:line="360" w:lineRule="auto"/>
        <w:rPr>
          <w:rFonts w:hint="eastAsia" w:ascii="宋体" w:hAnsi="宋体" w:eastAsia="宋体" w:cs="宋体"/>
          <w:sz w:val="28"/>
          <w:highlight w:val="none"/>
        </w:rPr>
      </w:pPr>
      <w:r/>
      <w:bookmarkStart w:id="594" w:name="_Toc151193715"/>
      <w:r/>
      <w:bookmarkStart w:id="595" w:name="_Toc151193933"/>
      <w:r/>
      <w:bookmarkStart w:id="596" w:name="_Toc195842910"/>
      <w:r/>
      <w:bookmarkStart w:id="597" w:name="_Toc151193859"/>
      <w:r/>
      <w:bookmarkStart w:id="598" w:name="_Toc151193787"/>
      <w:r/>
      <w:bookmarkStart w:id="599" w:name="_Toc127151545"/>
      <w:r/>
      <w:bookmarkStart w:id="600" w:name="_Toc226965735"/>
      <w:r/>
      <w:bookmarkStart w:id="601" w:name="_Toc150774750"/>
      <w:r/>
      <w:bookmarkStart w:id="602" w:name="_Toc264969235"/>
      <w:r/>
      <w:bookmarkStart w:id="603" w:name="_Toc142311047"/>
      <w:r/>
      <w:bookmarkStart w:id="604" w:name="_Toc151193643"/>
      <w:r/>
      <w:bookmarkStart w:id="605" w:name="_Toc305158887"/>
      <w:r/>
      <w:bookmarkStart w:id="606" w:name="_Toc226337241"/>
      <w:r/>
      <w:bookmarkStart w:id="607" w:name="_Toc150480783"/>
      <w:r/>
      <w:bookmarkStart w:id="608" w:name="_Toc265228383"/>
      <w:r/>
      <w:bookmarkStart w:id="609" w:name="_Toc150774645"/>
      <w:r/>
      <w:bookmarkStart w:id="610" w:name="_Toc226309789"/>
      <w:r/>
      <w:bookmarkStart w:id="611" w:name="_Toc151190172"/>
      <w:r/>
      <w:bookmarkStart w:id="612" w:name="_Toc305158813"/>
      <w:r/>
      <w:bookmarkStart w:id="613" w:name="_Toc226965818"/>
      <w:r/>
      <w:bookmarkStart w:id="614" w:name="_Toc150509296"/>
      <w:r>
        <w:rPr>
          <w:rFonts w:hint="eastAsia" w:ascii="宋体" w:hAnsi="宋体" w:eastAsia="宋体" w:cs="宋体"/>
          <w:sz w:val="28"/>
          <w:highlight w:val="none"/>
        </w:rPr>
        <w:t xml:space="preserve">六   </w:t>
      </w:r>
      <w:bookmarkEnd w:id="593"/>
      <w:r>
        <w:rPr>
          <w:rFonts w:hint="eastAsia" w:ascii="宋体" w:hAnsi="宋体" w:eastAsia="宋体" w:cs="宋体"/>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935"/>
      <w:r/>
      <w:bookmarkStart w:id="616" w:name="_Toc127161461"/>
      <w:r/>
      <w:bookmarkStart w:id="617" w:name="_Toc150480785"/>
      <w:r/>
      <w:bookmarkStart w:id="618" w:name="_Toc151193789"/>
      <w:r/>
      <w:bookmarkStart w:id="619" w:name="_Toc164229242"/>
      <w:r/>
      <w:bookmarkStart w:id="620" w:name="_Toc164608661"/>
      <w:r/>
      <w:bookmarkStart w:id="621" w:name="_Toc264969237"/>
      <w:r/>
      <w:bookmarkStart w:id="622" w:name="_Toc150509298"/>
      <w:r/>
      <w:bookmarkStart w:id="623" w:name="_Toc226337243"/>
      <w:r/>
      <w:bookmarkStart w:id="624" w:name="_Toc151193861"/>
      <w:r/>
      <w:bookmarkStart w:id="625" w:name="_Toc149720840"/>
      <w:r/>
      <w:bookmarkStart w:id="626" w:name="_Toc226965820"/>
      <w:r/>
      <w:bookmarkStart w:id="627" w:name="_Toc127151748"/>
      <w:r/>
      <w:bookmarkStart w:id="628" w:name="_Toc150774647"/>
      <w:r/>
      <w:bookmarkStart w:id="629" w:name="_Toc226965737"/>
      <w:r/>
      <w:bookmarkStart w:id="630" w:name="_Toc164608816"/>
      <w:r/>
      <w:bookmarkStart w:id="631" w:name="_Toc305158815"/>
      <w:r/>
      <w:bookmarkStart w:id="632" w:name="_Toc195842912"/>
      <w:r/>
      <w:bookmarkStart w:id="633" w:name="_Toc151190174"/>
      <w:r/>
      <w:bookmarkStart w:id="634" w:name="_Toc151193717"/>
      <w:r/>
      <w:bookmarkStart w:id="635" w:name="_Toc150774752"/>
      <w:r/>
      <w:bookmarkStart w:id="636" w:name="_Toc226309791"/>
      <w:r/>
      <w:bookmarkStart w:id="637" w:name="_Toc127151547"/>
      <w:r/>
      <w:bookmarkStart w:id="638" w:name="_Toc151193645"/>
      <w:r/>
      <w:bookmarkStart w:id="639" w:name="_Toc265228385"/>
      <w:r/>
      <w:bookmarkStart w:id="640" w:name="_Toc164229388"/>
      <w:r/>
      <w:bookmarkStart w:id="641" w:name="_Toc164351641"/>
      <w:r/>
      <w:bookmarkStart w:id="642" w:name="_Toc142311049"/>
      <w:r/>
      <w:bookmarkStart w:id="643" w:name="_Toc305158889"/>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cs="宋体"/>
          <w:b/>
          <w:sz w:val="24"/>
          <w:szCs w:val="24"/>
          <w:lang w:val="en-US" w:eastAsia="zh-CN" w:bidi="ar-SA"/>
        </w:rPr>
        <w:t xml:space="preserve">22</w:t>
      </w:r>
      <w:r>
        <w:rPr>
          <w:rFonts w:hint="eastAsia" w:ascii="宋体" w:hAnsi="宋体" w:eastAsia="宋体" w:cs="宋体"/>
          <w:b/>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22</w:t>
      </w: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highlight w:val="none"/>
        </w:rPr>
        <w:t xml:space="preserve">采购人将在评标报告确定的中标候选人名单中按顺序确定中标人，中标候选人并列的，由采购人依法确定。</w:t>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bookmarkStart w:id="644" w:name="_Toc305158817"/>
      <w:r/>
      <w:bookmarkStart w:id="645" w:name="_Toc305158891"/>
      <w:r/>
      <w:bookmarkStart w:id="646" w:name="_Toc151193719"/>
      <w:r/>
      <w:bookmarkStart w:id="647" w:name="_Toc150509300"/>
      <w:r/>
      <w:bookmarkStart w:id="648" w:name="_Toc127151549"/>
      <w:r/>
      <w:bookmarkStart w:id="649" w:name="_Toc151193937"/>
      <w:r/>
      <w:bookmarkStart w:id="650" w:name="_Toc164229390"/>
      <w:r/>
      <w:bookmarkStart w:id="651" w:name="_Toc150774754"/>
      <w:r/>
      <w:bookmarkStart w:id="652" w:name="_Toc226337245"/>
      <w:r/>
      <w:bookmarkStart w:id="653" w:name="_Toc164351643"/>
      <w:r/>
      <w:bookmarkStart w:id="654" w:name="_Toc150774649"/>
      <w:r/>
      <w:bookmarkStart w:id="655" w:name="_Toc226309793"/>
      <w:r/>
      <w:bookmarkStart w:id="656" w:name="_Toc150480787"/>
      <w:r/>
      <w:bookmarkStart w:id="657" w:name="_Toc164608663"/>
      <w:r/>
      <w:bookmarkStart w:id="658" w:name="_Toc149720842"/>
      <w:r/>
      <w:bookmarkStart w:id="659" w:name="_Toc151193647"/>
      <w:r/>
      <w:bookmarkStart w:id="660" w:name="_Toc164229244"/>
      <w:r/>
      <w:bookmarkStart w:id="661" w:name="_Toc142311051"/>
      <w:r/>
      <w:bookmarkStart w:id="662" w:name="_Toc264969239"/>
      <w:r/>
      <w:bookmarkStart w:id="663" w:name="_Toc127161463"/>
      <w:r/>
      <w:bookmarkStart w:id="664" w:name="_Toc151190176"/>
      <w:r/>
      <w:bookmarkStart w:id="665" w:name="_Toc265228387"/>
      <w:r/>
      <w:bookmarkStart w:id="666" w:name="_Toc195842914"/>
      <w:r/>
      <w:bookmarkStart w:id="667" w:name="_Toc151193863"/>
      <w:r/>
      <w:bookmarkStart w:id="668" w:name="_Toc151193791"/>
      <w:r/>
      <w:bookmarkStart w:id="669" w:name="_Toc164608818"/>
      <w:r/>
      <w:bookmarkStart w:id="670" w:name="_Toc127151750"/>
      <w:r/>
      <w:bookmarkStart w:id="671" w:name="_Toc226965739"/>
      <w:r/>
      <w:bookmarkStart w:id="672" w:name="_Toc226965822"/>
      <w:r/>
      <w:bookmarkStart w:id="673" w:name="_Ref467307090"/>
      <w:r/>
      <w:bookmarkStart w:id="674" w:name="_Toc520356176"/>
      <w:r/>
      <w:bookmarkStart w:id="675" w:name="_Ref467306425"/>
      <w:r>
        <w:rPr>
          <w:rFonts w:hint="eastAsia" w:ascii="宋体" w:hAnsi="宋体" w:cs="宋体"/>
          <w:b/>
          <w:sz w:val="24"/>
          <w:szCs w:val="24"/>
          <w:lang w:val="en-US" w:eastAsia="zh-CN" w:bidi="ar-SA"/>
        </w:rPr>
        <w:t xml:space="preserve">23</w:t>
      </w:r>
      <w:r>
        <w:rPr>
          <w:rFonts w:hint="eastAsia" w:ascii="宋体" w:hAnsi="宋体" w:eastAsia="宋体" w:cs="宋体"/>
          <w:b/>
          <w:sz w:val="24"/>
          <w:highlight w:val="none"/>
        </w:rPr>
        <w:t xml:space="preserve">中标公告与中标通知书</w:t>
      </w:r>
      <w:bookmarkEnd w:id="644"/>
      <w:r/>
      <w:bookmarkEnd w:id="645"/>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23</w:t>
      </w: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highlight w:val="none"/>
        </w:rPr>
        <w:t xml:space="preserve">采购人或采购代理机构自中标人确定之日起2个工作日内，在常州市政府采购网公告中标结果，同时向中标人发出中标通知书，中标公告期限为1个工作日。</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23</w:t>
      </w:r>
      <w:r>
        <w:rPr>
          <w:rFonts w:hint="eastAsia" w:ascii="宋体" w:hAnsi="宋体" w:eastAsia="宋体" w:cs="Times New Roman"/>
          <w:sz w:val="24"/>
          <w:szCs w:val="24"/>
          <w:lang w:val="en-US" w:eastAsia="zh-CN" w:bidi="ar-SA"/>
        </w:rPr>
        <w:t xml:space="preserve">.2</w:t>
      </w:r>
      <w:r>
        <w:rPr>
          <w:rFonts w:hint="eastAsia" w:ascii="宋体" w:hAnsi="宋体" w:eastAsia="宋体" w:cs="宋体"/>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cs="宋体"/>
          <w:b/>
          <w:sz w:val="24"/>
          <w:szCs w:val="24"/>
          <w:lang w:val="en-US" w:eastAsia="zh-CN" w:bidi="ar-SA"/>
        </w:rPr>
        <w:t xml:space="preserve">24</w:t>
      </w:r>
      <w:r>
        <w:rPr>
          <w:rFonts w:hint="eastAsia" w:ascii="宋体" w:hAnsi="宋体" w:eastAsia="宋体" w:cs="宋体"/>
          <w:b/>
          <w:sz w:val="24"/>
          <w:highlight w:val="none"/>
        </w:rPr>
        <w:t xml:space="preserve">废标</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24</w:t>
      </w: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highlight w:val="none"/>
        </w:rPr>
        <w:t xml:space="preserve">在招标采购中，出现下列情形之一的，应予废标：</w:t>
      </w:r>
      <w:r/>
    </w:p>
    <w:p>
      <w:pPr>
        <w:numPr>
          <w:ilvl w:val="2"/>
          <w:numId w:val="0"/>
        </w:numPr>
        <w:ind w:left="0" w:firstLine="480"/>
        <w:spacing w:line="360" w:lineRule="auto"/>
        <w:tabs>
          <w:tab w:val="left" w:pos="1276" w:leader="none"/>
        </w:tabs>
        <w:rPr>
          <w:rFonts w:hint="eastAsia" w:ascii="宋体" w:hAnsi="宋体" w:eastAsia="宋体" w:cs="宋体"/>
          <w:sz w:val="24"/>
          <w:highlight w:val="none"/>
        </w:rPr>
      </w:pPr>
      <w:r>
        <w:rPr>
          <w:rFonts w:hint="eastAsia" w:ascii="宋体" w:hAnsi="宋体" w:cs="宋体"/>
          <w:sz w:val="24"/>
          <w:szCs w:val="24"/>
          <w:lang w:val="en-US" w:eastAsia="zh-CN" w:bidi="ar-SA"/>
        </w:rPr>
        <w:t xml:space="preserve">24</w:t>
      </w:r>
      <w:r>
        <w:rPr>
          <w:rFonts w:hint="eastAsia" w:ascii="宋体" w:hAnsi="宋体" w:eastAsia="宋体" w:cs="宋体"/>
          <w:sz w:val="24"/>
          <w:szCs w:val="24"/>
          <w:lang w:val="en-US" w:eastAsia="zh-CN" w:bidi="ar-SA"/>
        </w:rPr>
        <w:t xml:space="preserve">.1.1</w:t>
      </w:r>
      <w:r>
        <w:rPr>
          <w:rFonts w:hint="eastAsia" w:ascii="宋体" w:hAnsi="宋体" w:eastAsia="宋体" w:cs="宋体"/>
          <w:sz w:val="24"/>
          <w:highlight w:val="none"/>
        </w:rPr>
        <w:t xml:space="preserve">符合专业条件的供应商或者对招标文件作实质响应的供应商不足三家的；</w:t>
      </w:r>
      <w:r/>
    </w:p>
    <w:p>
      <w:pPr>
        <w:numPr>
          <w:ilvl w:val="2"/>
          <w:numId w:val="0"/>
        </w:numPr>
        <w:ind w:left="0" w:firstLine="480"/>
        <w:spacing w:line="360" w:lineRule="auto"/>
        <w:tabs>
          <w:tab w:val="left" w:pos="1276" w:leader="none"/>
        </w:tabs>
        <w:rPr>
          <w:rFonts w:hint="eastAsia" w:ascii="宋体" w:hAnsi="宋体" w:eastAsia="宋体" w:cs="宋体"/>
          <w:sz w:val="24"/>
          <w:highlight w:val="none"/>
        </w:rPr>
      </w:pPr>
      <w:r>
        <w:rPr>
          <w:rFonts w:hint="eastAsia" w:ascii="宋体" w:hAnsi="宋体" w:cs="宋体"/>
          <w:sz w:val="24"/>
          <w:szCs w:val="24"/>
          <w:lang w:val="en-US" w:eastAsia="zh-CN" w:bidi="ar-SA"/>
        </w:rPr>
        <w:t xml:space="preserve">24</w:t>
      </w:r>
      <w:r>
        <w:rPr>
          <w:rFonts w:hint="eastAsia" w:ascii="宋体" w:hAnsi="宋体" w:eastAsia="宋体" w:cs="宋体"/>
          <w:sz w:val="24"/>
          <w:szCs w:val="24"/>
          <w:lang w:val="en-US" w:eastAsia="zh-CN" w:bidi="ar-SA"/>
        </w:rPr>
        <w:t xml:space="preserve">.1.2</w:t>
      </w:r>
      <w:r>
        <w:rPr>
          <w:rFonts w:hint="eastAsia" w:ascii="宋体" w:hAnsi="宋体" w:eastAsia="宋体" w:cs="宋体"/>
          <w:sz w:val="24"/>
          <w:highlight w:val="none"/>
        </w:rPr>
        <w:t xml:space="preserve">出现影响采购公正的违法、违规行为的；</w:t>
      </w:r>
      <w:r/>
    </w:p>
    <w:p>
      <w:pPr>
        <w:numPr>
          <w:ilvl w:val="2"/>
          <w:numId w:val="0"/>
        </w:numPr>
        <w:ind w:left="0" w:firstLine="480"/>
        <w:spacing w:line="360" w:lineRule="auto"/>
        <w:tabs>
          <w:tab w:val="left" w:pos="1276" w:leader="none"/>
        </w:tabs>
        <w:rPr>
          <w:rFonts w:hint="eastAsia" w:ascii="宋体" w:hAnsi="宋体" w:eastAsia="宋体" w:cs="宋体"/>
          <w:sz w:val="24"/>
          <w:highlight w:val="none"/>
        </w:rPr>
      </w:pPr>
      <w:r>
        <w:rPr>
          <w:rFonts w:hint="eastAsia" w:ascii="宋体" w:hAnsi="宋体" w:cs="宋体"/>
          <w:sz w:val="24"/>
          <w:szCs w:val="24"/>
          <w:lang w:val="en-US" w:eastAsia="zh-CN" w:bidi="ar-SA"/>
        </w:rPr>
        <w:t xml:space="preserve">24</w:t>
      </w:r>
      <w:r>
        <w:rPr>
          <w:rFonts w:hint="eastAsia" w:ascii="宋体" w:hAnsi="宋体" w:eastAsia="宋体" w:cs="宋体"/>
          <w:sz w:val="24"/>
          <w:szCs w:val="24"/>
          <w:lang w:val="en-US" w:eastAsia="zh-CN" w:bidi="ar-SA"/>
        </w:rPr>
        <w:t xml:space="preserve">.1.3</w:t>
      </w:r>
      <w:r>
        <w:rPr>
          <w:rFonts w:hint="eastAsia" w:ascii="宋体" w:hAnsi="宋体" w:eastAsia="宋体" w:cs="宋体"/>
          <w:sz w:val="24"/>
          <w:highlight w:val="none"/>
        </w:rPr>
        <w:t xml:space="preserve">投标人的报价均超过了采购预算，采购人不能支付的；</w:t>
      </w:r>
      <w:r/>
    </w:p>
    <w:p>
      <w:pPr>
        <w:numPr>
          <w:ilvl w:val="2"/>
          <w:numId w:val="0"/>
        </w:numPr>
        <w:ind w:left="0" w:firstLine="480"/>
        <w:spacing w:line="360" w:lineRule="auto"/>
        <w:tabs>
          <w:tab w:val="left" w:pos="1276" w:leader="none"/>
        </w:tabs>
        <w:rPr>
          <w:rFonts w:hint="eastAsia" w:ascii="宋体" w:hAnsi="宋体" w:eastAsia="宋体" w:cs="宋体"/>
          <w:sz w:val="24"/>
          <w:highlight w:val="none"/>
        </w:rPr>
      </w:pPr>
      <w:r>
        <w:rPr>
          <w:rFonts w:hint="eastAsia" w:ascii="宋体" w:hAnsi="宋体" w:cs="宋体"/>
          <w:sz w:val="24"/>
          <w:szCs w:val="24"/>
          <w:lang w:val="en-US" w:eastAsia="zh-CN" w:bidi="ar-SA"/>
        </w:rPr>
        <w:t xml:space="preserve">24</w:t>
      </w:r>
      <w:r>
        <w:rPr>
          <w:rFonts w:hint="eastAsia" w:ascii="宋体" w:hAnsi="宋体" w:eastAsia="宋体" w:cs="宋体"/>
          <w:sz w:val="24"/>
          <w:szCs w:val="24"/>
          <w:lang w:val="en-US" w:eastAsia="zh-CN" w:bidi="ar-SA"/>
        </w:rPr>
        <w:t xml:space="preserve">.1.4</w:t>
      </w:r>
      <w:r>
        <w:rPr>
          <w:rFonts w:hint="eastAsia" w:ascii="宋体" w:hAnsi="宋体" w:eastAsia="宋体" w:cs="宋体"/>
          <w:sz w:val="24"/>
          <w:highlight w:val="none"/>
        </w:rPr>
        <w:t xml:space="preserve">因重大变故，采购任务取消的。</w:t>
      </w:r>
      <w:r/>
    </w:p>
    <w:p>
      <w:pPr>
        <w:numPr>
          <w:ilvl w:val="2"/>
          <w:numId w:val="0"/>
        </w:numPr>
        <w:ind w:left="0" w:firstLine="488"/>
        <w:spacing w:line="360" w:lineRule="auto"/>
        <w:tabs>
          <w:tab w:val="left" w:pos="1276" w:leader="none"/>
        </w:tabs>
        <w:rPr>
          <w:rFonts w:hint="eastAsia" w:ascii="宋体" w:hAnsi="宋体" w:eastAsia="宋体" w:cs="宋体"/>
          <w:sz w:val="24"/>
          <w:highlight w:val="none"/>
        </w:rPr>
      </w:pPr>
      <w:r>
        <w:rPr>
          <w:rFonts w:hint="eastAsia" w:ascii="宋体" w:hAnsi="宋体" w:cs="宋体"/>
          <w:sz w:val="24"/>
          <w:szCs w:val="24"/>
          <w:lang w:val="en-US" w:eastAsia="zh-CN" w:bidi="ar-SA"/>
        </w:rPr>
        <w:t xml:space="preserve">24</w:t>
      </w:r>
      <w:r>
        <w:rPr>
          <w:rFonts w:hint="eastAsia" w:ascii="宋体" w:hAnsi="宋体" w:eastAsia="宋体" w:cs="宋体"/>
          <w:sz w:val="24"/>
          <w:szCs w:val="24"/>
          <w:lang w:val="en-US" w:eastAsia="zh-CN" w:bidi="ar-SA"/>
        </w:rPr>
        <w:t xml:space="preserve">.1.5</w:t>
      </w:r>
      <w:r>
        <w:rPr>
          <w:rFonts w:hint="eastAsia" w:ascii="宋体" w:hAnsi="宋体" w:eastAsia="宋体" w:cs="宋体"/>
          <w:spacing w:val="2"/>
          <w:sz w:val="24"/>
          <w:highlight w:val="none"/>
        </w:rPr>
        <w:t xml:space="preserve">平台系统</w:t>
      </w:r>
      <w:r>
        <w:rPr>
          <w:rFonts w:hint="eastAsia" w:ascii="宋体" w:hAnsi="宋体" w:eastAsia="宋体" w:cs="宋体"/>
          <w:sz w:val="24"/>
          <w:highlight w:val="none"/>
        </w:rPr>
        <w:t xml:space="preserve">出现序号18.8的所述情形，情况严重且影响采购活动公平、公正性的。</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24</w:t>
      </w:r>
      <w:r>
        <w:rPr>
          <w:rFonts w:hint="eastAsia" w:ascii="宋体" w:hAnsi="宋体" w:eastAsia="宋体" w:cs="Times New Roman"/>
          <w:sz w:val="24"/>
          <w:szCs w:val="24"/>
          <w:lang w:val="en-US" w:eastAsia="zh-CN" w:bidi="ar-SA"/>
        </w:rPr>
        <w:t xml:space="preserve">.2</w:t>
      </w:r>
      <w:r>
        <w:rPr>
          <w:rFonts w:hint="eastAsia" w:ascii="宋体" w:hAnsi="宋体" w:eastAsia="宋体" w:cs="宋体"/>
          <w:sz w:val="24"/>
          <w:highlight w:val="none"/>
        </w:rPr>
        <w:t xml:space="preserve">废标后，采购人将废标理由通知所有投标人。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bookmarkStart w:id="676" w:name="_Toc164608819"/>
      <w:r/>
      <w:bookmarkStart w:id="677" w:name="_Toc150774650"/>
      <w:r/>
      <w:bookmarkStart w:id="678" w:name="_Ref467306377"/>
      <w:r/>
      <w:bookmarkStart w:id="679" w:name="_Toc151193720"/>
      <w:r/>
      <w:bookmarkStart w:id="680" w:name="_Toc265228388"/>
      <w:r/>
      <w:bookmarkStart w:id="681" w:name="_Toc226309794"/>
      <w:r/>
      <w:bookmarkStart w:id="682" w:name="_Toc151193864"/>
      <w:r/>
      <w:bookmarkStart w:id="683" w:name="_Toc151193648"/>
      <w:r/>
      <w:bookmarkStart w:id="684" w:name="_Toc195842915"/>
      <w:r/>
      <w:bookmarkStart w:id="685" w:name="_Toc142311052"/>
      <w:r/>
      <w:bookmarkStart w:id="686" w:name="_Toc151190177"/>
      <w:r/>
      <w:bookmarkStart w:id="687" w:name="_Toc305158892"/>
      <w:r/>
      <w:bookmarkStart w:id="688" w:name="_Toc127151550"/>
      <w:r/>
      <w:bookmarkStart w:id="689" w:name="_Toc520356175"/>
      <w:r/>
      <w:bookmarkStart w:id="690" w:name="_Toc305158818"/>
      <w:r/>
      <w:bookmarkStart w:id="691" w:name="_Toc226965740"/>
      <w:r/>
      <w:bookmarkStart w:id="692" w:name="_Toc164229391"/>
      <w:r/>
      <w:bookmarkStart w:id="693" w:name="_Toc150774755"/>
      <w:r/>
      <w:bookmarkStart w:id="694" w:name="_Toc151193792"/>
      <w:r/>
      <w:bookmarkStart w:id="695" w:name="_Toc226337246"/>
      <w:r/>
      <w:bookmarkStart w:id="696" w:name="_Toc150480788"/>
      <w:r/>
      <w:bookmarkStart w:id="697" w:name="_Toc127161464"/>
      <w:r/>
      <w:bookmarkStart w:id="698" w:name="_Ref467307062"/>
      <w:r/>
      <w:bookmarkStart w:id="699" w:name="_Toc164351644"/>
      <w:r/>
      <w:bookmarkStart w:id="700" w:name="_Toc127151751"/>
      <w:r/>
      <w:bookmarkStart w:id="701" w:name="_Toc226965823"/>
      <w:r/>
      <w:bookmarkStart w:id="702" w:name="_Toc164229245"/>
      <w:r/>
      <w:bookmarkStart w:id="703" w:name="_Toc150509301"/>
      <w:r/>
      <w:bookmarkStart w:id="704" w:name="_Ref467306978"/>
      <w:r/>
      <w:bookmarkStart w:id="705" w:name="_Ref467307204"/>
      <w:r/>
      <w:bookmarkStart w:id="706" w:name="_Toc151193938"/>
      <w:r/>
      <w:bookmarkStart w:id="707" w:name="_Toc164608664"/>
      <w:r/>
      <w:bookmarkStart w:id="708" w:name="_Toc149720843"/>
      <w:r/>
      <w:bookmarkStart w:id="709" w:name="_Toc264969240"/>
      <w:r>
        <w:rPr>
          <w:rFonts w:hint="eastAsia" w:ascii="宋体" w:hAnsi="宋体" w:cs="宋体"/>
          <w:b/>
          <w:sz w:val="24"/>
          <w:szCs w:val="24"/>
          <w:lang w:val="en-US" w:eastAsia="zh-CN" w:bidi="ar-SA"/>
        </w:rPr>
        <w:t xml:space="preserve">25</w:t>
      </w:r>
      <w:r>
        <w:rPr>
          <w:rFonts w:hint="eastAsia" w:ascii="宋体" w:hAnsi="宋体" w:eastAsia="宋体" w:cs="宋体"/>
          <w:b/>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25</w:t>
      </w: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25</w:t>
      </w:r>
      <w:r>
        <w:rPr>
          <w:rFonts w:hint="eastAsia" w:ascii="宋体" w:hAnsi="宋体" w:eastAsia="宋体" w:cs="Times New Roman"/>
          <w:sz w:val="24"/>
          <w:szCs w:val="24"/>
          <w:lang w:val="en-US" w:eastAsia="zh-CN" w:bidi="ar-SA"/>
        </w:rPr>
        <w:t xml:space="preserve">.2</w:t>
      </w:r>
      <w:r>
        <w:rPr>
          <w:rFonts w:hint="eastAsia" w:ascii="宋体" w:hAnsi="宋体" w:eastAsia="宋体" w:cs="宋体"/>
          <w:sz w:val="24"/>
          <w:highlight w:val="none"/>
        </w:rPr>
        <w:t xml:space="preserve">中标人拒绝与采购人签订合同的，采购人可以按照评标报告推荐的中标候选人名单排序，确定下一候选人为中标人，也可以重新开展政府采购活动。</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25</w:t>
      </w:r>
      <w:r>
        <w:rPr>
          <w:rFonts w:hint="eastAsia" w:ascii="宋体" w:hAnsi="宋体" w:eastAsia="宋体" w:cs="Times New Roman"/>
          <w:sz w:val="24"/>
          <w:szCs w:val="24"/>
          <w:lang w:val="en-US" w:eastAsia="zh-CN" w:bidi="ar-SA"/>
        </w:rPr>
        <w:t xml:space="preserve">.3</w:t>
      </w:r>
      <w:r>
        <w:rPr>
          <w:rFonts w:hint="eastAsia" w:ascii="宋体" w:hAnsi="宋体" w:eastAsia="宋体" w:cs="宋体"/>
          <w:sz w:val="24"/>
          <w:highlight w:val="none"/>
        </w:rPr>
        <w:t xml:space="preserve">联合体中标的，联合体各方应当共同与采购人签订合同，就中标项目向采购人承担连带责任。</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25</w:t>
      </w:r>
      <w:r>
        <w:rPr>
          <w:rFonts w:hint="eastAsia" w:ascii="宋体" w:hAnsi="宋体" w:eastAsia="宋体" w:cs="Times New Roman"/>
          <w:sz w:val="24"/>
          <w:szCs w:val="24"/>
          <w:lang w:val="en-US" w:eastAsia="zh-CN" w:bidi="ar-SA"/>
        </w:rPr>
        <w:t xml:space="preserve">.4</w:t>
      </w:r>
      <w:r>
        <w:rPr>
          <w:rFonts w:hint="eastAsia" w:ascii="宋体" w:hAnsi="宋体" w:eastAsia="宋体" w:cs="宋体"/>
          <w:sz w:val="24"/>
          <w:highlight w:val="none"/>
        </w:rPr>
        <w:t xml:space="preserve">政府采购合同不能转包。</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cs="Times New Roman"/>
          <w:sz w:val="24"/>
          <w:szCs w:val="24"/>
          <w:lang w:val="en-US" w:eastAsia="zh-CN" w:bidi="ar-SA"/>
        </w:rPr>
        <w:t xml:space="preserve">25</w:t>
      </w:r>
      <w:r>
        <w:rPr>
          <w:rFonts w:hint="eastAsia" w:ascii="宋体" w:hAnsi="宋体" w:eastAsia="宋体" w:cs="Times New Roman"/>
          <w:sz w:val="24"/>
          <w:szCs w:val="24"/>
          <w:lang w:val="en-US" w:eastAsia="zh-CN" w:bidi="ar-SA"/>
        </w:rPr>
        <w:t xml:space="preserve">.5</w:t>
      </w:r>
      <w:r>
        <w:rPr>
          <w:rFonts w:hint="eastAsia" w:ascii="宋体" w:hAnsi="宋体" w:eastAsia="宋体" w:cs="宋体"/>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highlight w:val="none"/>
        </w:rPr>
        <w:t xml:space="preserve">，</w:t>
      </w:r>
      <w:r>
        <w:rPr>
          <w:rFonts w:hint="eastAsia" w:ascii="宋体" w:hAnsi="宋体" w:eastAsia="宋体" w:cs="宋体"/>
          <w:sz w:val="24"/>
          <w:highlight w:val="none"/>
        </w:rPr>
        <w:t xml:space="preserve">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。中标人就采购项目和分包项目向采购人负责，分包供应商就分包项目承担责任。</w:t>
      </w:r>
      <w:bookmarkEnd w:id="673"/>
      <w:r/>
      <w:bookmarkEnd w:id="674"/>
      <w:r/>
      <w:bookmarkEnd w:id="675"/>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eastAsia="宋体" w:cs="宋体"/>
          <w:b/>
          <w:sz w:val="24"/>
          <w:szCs w:val="24"/>
          <w:lang w:val="en-US" w:eastAsia="zh-CN" w:bidi="ar-SA"/>
        </w:rPr>
        <w:t xml:space="preserve">2</w:t>
      </w:r>
      <w:r>
        <w:rPr>
          <w:rFonts w:hint="eastAsia" w:ascii="宋体" w:hAnsi="宋体" w:cs="宋体"/>
          <w:b/>
          <w:sz w:val="24"/>
          <w:szCs w:val="24"/>
          <w:lang w:val="en-US" w:eastAsia="zh-CN" w:bidi="ar-SA"/>
        </w:rPr>
        <w:t xml:space="preserve">6</w:t>
      </w:r>
      <w:r>
        <w:rPr>
          <w:rFonts w:hint="eastAsia" w:ascii="宋体" w:hAnsi="宋体" w:eastAsia="宋体" w:cs="宋体"/>
          <w:b/>
          <w:sz w:val="24"/>
          <w:highlight w:val="none"/>
        </w:rPr>
        <w:t xml:space="preserve">询问与质疑</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Times New Roman"/>
          <w:sz w:val="24"/>
          <w:szCs w:val="24"/>
          <w:lang w:val="en-US" w:eastAsia="zh-CN" w:bidi="ar-SA"/>
        </w:rPr>
        <w:t xml:space="preserve">2</w:t>
      </w:r>
      <w:r>
        <w:rPr>
          <w:rFonts w:hint="eastAsia" w:ascii="宋体" w:hAnsi="宋体" w:cs="Times New Roman"/>
          <w:sz w:val="24"/>
          <w:szCs w:val="24"/>
          <w:lang w:val="en-US" w:eastAsia="zh-CN" w:bidi="ar-SA"/>
        </w:rPr>
        <w:t xml:space="preserve">6</w:t>
      </w: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highlight w:val="none"/>
        </w:rPr>
        <w:t xml:space="preserve">询问</w:t>
      </w:r>
      <w:r/>
    </w:p>
    <w:p>
      <w:pPr>
        <w:numPr>
          <w:ilvl w:val="2"/>
          <w:numId w:val="0"/>
        </w:numPr>
        <w:ind w:left="0" w:firstLine="480"/>
        <w:spacing w:line="360" w:lineRule="auto"/>
        <w:tabs>
          <w:tab w:val="left" w:pos="1276" w:leader="none"/>
        </w:tabs>
        <w:rPr>
          <w:rFonts w:hint="eastAsia" w:ascii="宋体" w:hAnsi="宋体" w:eastAsia="宋体" w:cs="宋体"/>
          <w:sz w:val="24"/>
          <w:highlight w:val="none"/>
        </w:rPr>
      </w:pPr>
      <w:r>
        <w:rPr>
          <w:rFonts w:hint="eastAsia" w:ascii="宋体" w:hAnsi="宋体" w:eastAsia="宋体" w:cs="宋体"/>
          <w:sz w:val="24"/>
          <w:szCs w:val="24"/>
          <w:lang w:val="en-US" w:eastAsia="zh-CN" w:bidi="ar-SA"/>
        </w:rPr>
        <w:t xml:space="preserve">2</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.1.1</w:t>
      </w:r>
      <w:r>
        <w:rPr>
          <w:rFonts w:hint="eastAsia" w:ascii="宋体" w:hAnsi="宋体" w:eastAsia="宋体" w:cs="宋体"/>
          <w:sz w:val="24"/>
          <w:highlight w:val="none"/>
        </w:rPr>
        <w:t xml:space="preserve">投标人对政府采购活动事项有疑问的，可依法提出询问，并按《投标人须知资料表》载明的形式送达采购人或采购代理机构。</w:t>
      </w:r>
      <w:r/>
    </w:p>
    <w:p>
      <w:pPr>
        <w:numPr>
          <w:ilvl w:val="2"/>
          <w:numId w:val="0"/>
        </w:numPr>
        <w:ind w:left="0" w:firstLine="480"/>
        <w:spacing w:line="360" w:lineRule="auto"/>
        <w:tabs>
          <w:tab w:val="left" w:pos="1276" w:leader="none"/>
        </w:tabs>
        <w:rPr>
          <w:rFonts w:hint="eastAsia" w:ascii="宋体" w:hAnsi="宋体" w:eastAsia="宋体" w:cs="宋体"/>
          <w:sz w:val="24"/>
          <w:highlight w:val="none"/>
        </w:rPr>
      </w:pPr>
      <w:r>
        <w:rPr>
          <w:rFonts w:hint="eastAsia" w:ascii="宋体" w:hAnsi="宋体" w:eastAsia="宋体" w:cs="宋体"/>
          <w:sz w:val="24"/>
          <w:szCs w:val="24"/>
          <w:lang w:val="en-US" w:eastAsia="zh-CN" w:bidi="ar-SA"/>
        </w:rPr>
        <w:t xml:space="preserve">2</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.1.2</w:t>
      </w:r>
      <w:r>
        <w:rPr>
          <w:rFonts w:hint="eastAsia" w:ascii="宋体" w:hAnsi="宋体" w:eastAsia="宋体" w:cs="宋体"/>
          <w:sz w:val="24"/>
          <w:highlight w:val="none"/>
        </w:rPr>
        <w:t xml:space="preserve">采购人或采购代理机构对供应商依法提出的询问，在3个工作日内作出答复，但答复的内容不得涉及商业秘密。</w:t>
      </w:r>
      <w:r/>
    </w:p>
    <w:p>
      <w:pPr>
        <w:numPr>
          <w:ilvl w:val="1"/>
          <w:numId w:val="0"/>
        </w:numPr>
        <w:ind w:left="0" w:firstLine="480"/>
        <w:spacing w:line="360" w:lineRule="auto"/>
        <w:tabs>
          <w:tab w:val="left" w:pos="1080" w:leader="none"/>
          <w:tab w:val="left" w:pos="1276" w:leader="none"/>
          <w:tab w:val="left" w:pos="2014" w:leader="none"/>
        </w:tabs>
        <w:rPr>
          <w:rFonts w:hint="eastAsia" w:ascii="宋体" w:hAnsi="宋体" w:eastAsia="宋体" w:cs="宋体"/>
          <w:sz w:val="24"/>
          <w:highlight w:val="none"/>
        </w:rPr>
      </w:pPr>
      <w:r>
        <w:rPr>
          <w:rFonts w:hint="eastAsia" w:ascii="宋体" w:hAnsi="宋体" w:eastAsia="宋体" w:cs="Times New Roman"/>
          <w:sz w:val="24"/>
          <w:szCs w:val="24"/>
          <w:lang w:val="en-US" w:eastAsia="zh-CN" w:bidi="ar-SA"/>
        </w:rPr>
        <w:t xml:space="preserve">2</w:t>
      </w:r>
      <w:r>
        <w:rPr>
          <w:rFonts w:hint="eastAsia" w:ascii="宋体" w:hAnsi="宋体" w:cs="Times New Roman"/>
          <w:sz w:val="24"/>
          <w:szCs w:val="24"/>
          <w:lang w:val="en-US" w:eastAsia="zh-CN" w:bidi="ar-SA"/>
        </w:rPr>
        <w:t xml:space="preserve">6</w:t>
      </w:r>
      <w:r>
        <w:rPr>
          <w:rFonts w:hint="eastAsia" w:ascii="宋体" w:hAnsi="宋体" w:eastAsia="宋体" w:cs="Times New Roman"/>
          <w:sz w:val="24"/>
          <w:szCs w:val="24"/>
          <w:lang w:val="en-US" w:eastAsia="zh-CN" w:bidi="ar-SA"/>
        </w:rPr>
        <w:t xml:space="preserve">.2</w:t>
      </w:r>
      <w:r>
        <w:rPr>
          <w:rFonts w:hint="eastAsia" w:ascii="宋体" w:hAnsi="宋体" w:eastAsia="宋体" w:cs="宋体"/>
          <w:sz w:val="24"/>
          <w:highlight w:val="none"/>
        </w:rPr>
        <w:t xml:space="preserve">质疑</w:t>
      </w:r>
      <w:r/>
    </w:p>
    <w:p>
      <w:pPr>
        <w:numPr>
          <w:ilvl w:val="2"/>
          <w:numId w:val="0"/>
        </w:numPr>
        <w:ind w:left="0" w:firstLine="480"/>
        <w:spacing w:line="360" w:lineRule="auto"/>
        <w:tabs>
          <w:tab w:val="left" w:pos="1276" w:leader="none"/>
        </w:tabs>
        <w:rPr>
          <w:rFonts w:hint="eastAsia" w:ascii="宋体" w:hAnsi="宋体" w:eastAsia="宋体" w:cs="宋体"/>
          <w:sz w:val="24"/>
          <w:highlight w:val="none"/>
        </w:rPr>
      </w:pPr>
      <w:r>
        <w:rPr>
          <w:rFonts w:hint="eastAsia" w:ascii="宋体" w:hAnsi="宋体" w:eastAsia="宋体" w:cs="宋体"/>
          <w:sz w:val="24"/>
          <w:szCs w:val="24"/>
          <w:lang w:val="en-US" w:eastAsia="zh-CN" w:bidi="ar-SA"/>
        </w:rPr>
        <w:t xml:space="preserve">2</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.2.1</w:t>
      </w:r>
      <w:r>
        <w:rPr>
          <w:rFonts w:hint="eastAsia" w:ascii="宋体" w:hAnsi="宋体" w:eastAsia="宋体" w:cs="宋体"/>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0"/>
        </w:numPr>
        <w:ind w:left="0" w:firstLine="482"/>
        <w:spacing w:line="360" w:lineRule="auto"/>
        <w:tabs>
          <w:tab w:val="left" w:pos="1276" w:leader="none"/>
        </w:tabs>
        <w:rPr>
          <w:rFonts w:hint="eastAsia" w:ascii="宋体" w:hAnsi="宋体" w:eastAsia="宋体" w:cs="宋体"/>
          <w:sz w:val="24"/>
          <w:highlight w:val="none"/>
        </w:rPr>
      </w:pPr>
      <w:r>
        <w:rPr>
          <w:rFonts w:hint="eastAsia" w:ascii="宋体" w:hAnsi="宋体" w:eastAsia="宋体" w:cs="宋体"/>
          <w:sz w:val="24"/>
          <w:szCs w:val="24"/>
          <w:lang w:val="en-US" w:eastAsia="zh-CN" w:bidi="ar-SA"/>
        </w:rPr>
        <w:t xml:space="preserve">2</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.2.2</w:t>
      </w:r>
      <w:r>
        <w:rPr>
          <w:rFonts w:hint="eastAsia" w:ascii="宋体" w:hAnsi="宋体" w:eastAsia="宋体" w:cs="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0"/>
        </w:numPr>
        <w:ind w:left="0" w:firstLine="480"/>
        <w:spacing w:line="360" w:lineRule="auto"/>
        <w:tabs>
          <w:tab w:val="left" w:pos="1276" w:leader="none"/>
        </w:tabs>
        <w:rPr>
          <w:rFonts w:hint="eastAsia" w:ascii="宋体" w:hAnsi="宋体" w:eastAsia="宋体" w:cs="宋体"/>
          <w:sz w:val="24"/>
          <w:highlight w:val="none"/>
        </w:rPr>
      </w:pPr>
      <w:r>
        <w:rPr>
          <w:rFonts w:hint="eastAsia" w:ascii="宋体" w:hAnsi="宋体" w:eastAsia="宋体" w:cs="宋体"/>
          <w:sz w:val="24"/>
          <w:szCs w:val="24"/>
          <w:lang w:val="en-US" w:eastAsia="zh-CN" w:bidi="ar-SA"/>
        </w:rPr>
        <w:t xml:space="preserve">2</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.2.3</w:t>
      </w:r>
      <w:r>
        <w:rPr>
          <w:rFonts w:hint="eastAsia" w:ascii="宋体" w:hAnsi="宋体" w:eastAsia="宋体" w:cs="宋体"/>
          <w:sz w:val="24"/>
          <w:highlight w:val="none"/>
        </w:rPr>
        <w:t xml:space="preserve">质疑函须使用财政部制定的范本文件。（下载网址：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"http://gks.mof.gov.cn/ztztz/zhengfucaigouguanli/201802/t20180201_2804589.htm" </w:instrText>
      </w:r>
      <w:r>
        <w:rPr>
          <w:rFonts w:hint="eastAsia" w:ascii="宋体" w:hAnsi="宋体" w:eastAsia="宋体" w:cs="宋体"/>
          <w:highlight w:val="none"/>
        </w:rPr>
        <w:fldChar w:fldCharType="separate"/>
      </w:r>
      <w:r>
        <w:rPr>
          <w:rStyle w:val="1112"/>
          <w:rFonts w:hint="eastAsia" w:ascii="宋体" w:hAnsi="宋体" w:eastAsia="宋体" w:cs="宋体"/>
          <w:color w:val="000000"/>
          <w:highlight w:val="none"/>
        </w:rPr>
        <w:t xml:space="preserve">http://gk</w:t>
      </w:r>
      <w:bookmarkStart w:id="710" w:name="_Hlt100654014"/>
      <w:r>
        <w:rPr>
          <w:rStyle w:val="1112"/>
          <w:rFonts w:hint="eastAsia" w:ascii="宋体" w:hAnsi="宋体" w:eastAsia="宋体" w:cs="宋体"/>
          <w:color w:val="000000"/>
          <w:highlight w:val="none"/>
        </w:rPr>
        <w:t xml:space="preserve">s</w:t>
      </w:r>
      <w:bookmarkEnd w:id="710"/>
      <w:r>
        <w:rPr>
          <w:rStyle w:val="1112"/>
          <w:rFonts w:hint="eastAsia" w:ascii="宋体" w:hAnsi="宋体" w:eastAsia="宋体" w:cs="宋体"/>
          <w:color w:val="000000"/>
          <w:highlight w:val="none"/>
        </w:rPr>
        <w:t xml:space="preserve">.m</w:t>
      </w:r>
      <w:bookmarkStart w:id="711" w:name="_Hlt100653993"/>
      <w:r/>
      <w:bookmarkStart w:id="712" w:name="_Hlt100653994"/>
      <w:r>
        <w:rPr>
          <w:rStyle w:val="1112"/>
          <w:rFonts w:hint="eastAsia" w:ascii="宋体" w:hAnsi="宋体" w:eastAsia="宋体" w:cs="宋体"/>
          <w:color w:val="000000"/>
          <w:highlight w:val="none"/>
        </w:rPr>
        <w:t xml:space="preserve">o</w:t>
      </w:r>
      <w:bookmarkEnd w:id="711"/>
      <w:r/>
      <w:bookmarkEnd w:id="712"/>
      <w:r>
        <w:rPr>
          <w:rStyle w:val="1112"/>
          <w:rFonts w:hint="eastAsia" w:ascii="宋体" w:hAnsi="宋体" w:eastAsia="宋体" w:cs="宋体"/>
          <w:color w:val="000000"/>
          <w:highlight w:val="none"/>
        </w:rPr>
        <w:t xml:space="preserve">f.gov.cn/ztztz/zhengfucaigouguanli/201802/t20180201_2804589.htm</w:t>
      </w:r>
      <w:r>
        <w:rPr>
          <w:rFonts w:hint="eastAsia" w:ascii="宋体" w:hAnsi="宋体" w:eastAsia="宋体" w:cs="宋体"/>
          <w:highlight w:val="none"/>
        </w:rPr>
        <w:fldChar w:fldCharType="end"/>
      </w:r>
      <w:r>
        <w:rPr>
          <w:rFonts w:hint="eastAsia" w:ascii="宋体" w:hAnsi="宋体" w:eastAsia="宋体" w:cs="宋体"/>
          <w:highlight w:val="none"/>
        </w:rPr>
        <w:t xml:space="preserve">）</w:t>
      </w:r>
      <w:r/>
    </w:p>
    <w:p>
      <w:pPr>
        <w:numPr>
          <w:ilvl w:val="2"/>
          <w:numId w:val="0"/>
        </w:numPr>
        <w:ind w:left="0" w:firstLine="480"/>
        <w:spacing w:line="360" w:lineRule="auto"/>
        <w:tabs>
          <w:tab w:val="left" w:pos="1276" w:leader="none"/>
        </w:tabs>
        <w:rPr>
          <w:rFonts w:hint="eastAsia" w:ascii="宋体" w:hAnsi="宋体" w:eastAsia="宋体" w:cs="宋体"/>
          <w:sz w:val="24"/>
          <w:highlight w:val="none"/>
        </w:rPr>
      </w:pPr>
      <w:r>
        <w:rPr>
          <w:rFonts w:hint="eastAsia" w:ascii="宋体" w:hAnsi="宋体" w:eastAsia="宋体" w:cs="宋体"/>
          <w:sz w:val="24"/>
          <w:szCs w:val="24"/>
          <w:lang w:val="en-US" w:eastAsia="zh-CN" w:bidi="ar-SA"/>
        </w:rPr>
        <w:t xml:space="preserve">2</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.2.4</w:t>
      </w:r>
      <w:r>
        <w:rPr>
          <w:rFonts w:hint="eastAsia" w:ascii="宋体" w:hAnsi="宋体" w:eastAsia="宋体" w:cs="宋体"/>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0"/>
        </w:numPr>
        <w:ind w:left="0" w:firstLine="480"/>
        <w:spacing w:line="360" w:lineRule="auto"/>
        <w:tabs>
          <w:tab w:val="left" w:pos="1276" w:leader="none"/>
        </w:tabs>
        <w:rPr>
          <w:rFonts w:hint="eastAsia" w:ascii="宋体" w:hAnsi="宋体" w:eastAsia="宋体" w:cs="宋体"/>
          <w:sz w:val="24"/>
          <w:highlight w:val="none"/>
        </w:rPr>
      </w:pPr>
      <w:r>
        <w:rPr>
          <w:rFonts w:hint="eastAsia" w:ascii="宋体" w:hAnsi="宋体" w:eastAsia="宋体" w:cs="宋体"/>
          <w:sz w:val="24"/>
          <w:szCs w:val="24"/>
          <w:lang w:val="en-US" w:eastAsia="zh-CN" w:bidi="ar-SA"/>
        </w:rPr>
        <w:t xml:space="preserve">2</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.2.5</w:t>
      </w:r>
      <w:r>
        <w:rPr>
          <w:rFonts w:hint="eastAsia" w:ascii="宋体" w:hAnsi="宋体" w:eastAsia="宋体" w:cs="宋体"/>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Times New Roman"/>
          <w:sz w:val="24"/>
          <w:szCs w:val="24"/>
          <w:lang w:val="en-US" w:eastAsia="zh-CN" w:bidi="ar-SA"/>
        </w:rPr>
        <w:t xml:space="preserve">2</w:t>
      </w:r>
      <w:r>
        <w:rPr>
          <w:rFonts w:hint="eastAsia" w:ascii="宋体" w:hAnsi="宋体" w:cs="Times New Roman"/>
          <w:sz w:val="24"/>
          <w:szCs w:val="24"/>
          <w:lang w:val="en-US" w:eastAsia="zh-CN" w:bidi="ar-SA"/>
        </w:rPr>
        <w:t xml:space="preserve">6</w:t>
      </w:r>
      <w:r>
        <w:rPr>
          <w:rFonts w:hint="eastAsia" w:ascii="宋体" w:hAnsi="宋体" w:eastAsia="宋体" w:cs="Times New Roman"/>
          <w:sz w:val="24"/>
          <w:szCs w:val="24"/>
          <w:lang w:val="en-US" w:eastAsia="zh-CN" w:bidi="ar-SA"/>
        </w:rPr>
        <w:t xml:space="preserve">.3</w:t>
      </w:r>
      <w:r>
        <w:rPr>
          <w:rFonts w:hint="eastAsia" w:ascii="宋体" w:hAnsi="宋体" w:eastAsia="宋体" w:cs="宋体"/>
          <w:sz w:val="24"/>
          <w:highlight w:val="none"/>
        </w:rPr>
        <w:t xml:space="preserve">接收询问和质疑的联系部门、联系电话和通讯地址见《投标人须知资料表》。</w:t>
      </w:r>
      <w:r/>
    </w:p>
    <w:p>
      <w:pPr>
        <w:numPr>
          <w:ilvl w:val="0"/>
          <w:numId w:val="0"/>
        </w:numPr>
        <w:ind w:left="0" w:firstLine="482"/>
        <w:spacing w:line="360" w:lineRule="auto"/>
        <w:tabs>
          <w:tab w:val="left" w:pos="360" w:leader="none"/>
        </w:tabs>
        <w:rPr>
          <w:rFonts w:hint="eastAsia" w:ascii="宋体" w:hAnsi="宋体" w:eastAsia="宋体" w:cs="宋体"/>
          <w:b/>
          <w:sz w:val="24"/>
          <w:highlight w:val="none"/>
        </w:rPr>
        <w:outlineLvl w:val="1"/>
      </w:pPr>
      <w:r>
        <w:rPr>
          <w:rFonts w:hint="eastAsia" w:ascii="宋体" w:hAnsi="宋体" w:eastAsia="宋体" w:cs="宋体"/>
          <w:b/>
          <w:sz w:val="24"/>
          <w:szCs w:val="24"/>
          <w:lang w:val="en-US" w:eastAsia="zh-CN" w:bidi="ar-SA"/>
        </w:rPr>
        <w:t xml:space="preserve">2</w:t>
      </w:r>
      <w:r>
        <w:rPr>
          <w:rFonts w:hint="eastAsia" w:ascii="宋体" w:hAnsi="宋体" w:cs="宋体"/>
          <w:b/>
          <w:sz w:val="24"/>
          <w:szCs w:val="24"/>
          <w:lang w:val="en-US" w:eastAsia="zh-CN" w:bidi="ar-SA"/>
        </w:rPr>
        <w:t xml:space="preserve">7</w:t>
      </w:r>
      <w:r>
        <w:rPr>
          <w:rFonts w:hint="eastAsia" w:ascii="宋体" w:hAnsi="宋体" w:eastAsia="宋体" w:cs="宋体"/>
          <w:b/>
          <w:sz w:val="24"/>
          <w:highlight w:val="none"/>
        </w:rPr>
        <w:t xml:space="preserve">代理费</w:t>
      </w:r>
      <w:r/>
    </w:p>
    <w:p>
      <w:pPr>
        <w:numPr>
          <w:ilvl w:val="1"/>
          <w:numId w:val="0"/>
        </w:numPr>
        <w:ind w:left="0" w:firstLine="48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Times New Roman"/>
          <w:sz w:val="24"/>
          <w:szCs w:val="24"/>
          <w:lang w:val="en-US" w:eastAsia="zh-CN" w:bidi="ar-SA"/>
        </w:rPr>
        <w:t xml:space="preserve">2</w:t>
      </w:r>
      <w:r>
        <w:rPr>
          <w:rFonts w:hint="eastAsia" w:ascii="宋体" w:hAnsi="宋体" w:cs="Times New Roman"/>
          <w:sz w:val="24"/>
          <w:szCs w:val="24"/>
          <w:lang w:val="en-US" w:eastAsia="zh-CN" w:bidi="ar-SA"/>
        </w:rPr>
        <w:t xml:space="preserve">7</w:t>
      </w:r>
      <w:r>
        <w:rPr>
          <w:rFonts w:hint="eastAsia" w:ascii="宋体" w:hAnsi="宋体" w:eastAsia="宋体" w:cs="Times New Roman"/>
          <w:sz w:val="24"/>
          <w:szCs w:val="24"/>
          <w:lang w:val="en-US" w:eastAsia="zh-CN" w:bidi="ar-SA"/>
        </w:rPr>
        <w:t xml:space="preserve">.1</w:t>
      </w:r>
      <w:r>
        <w:rPr>
          <w:rFonts w:hint="eastAsia" w:ascii="宋体" w:hAnsi="宋体" w:eastAsia="宋体" w:cs="宋体"/>
          <w:sz w:val="24"/>
          <w:highlight w:val="none"/>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b/>
          <w:sz w:val="36"/>
          <w:szCs w:val="36"/>
          <w:highlight w:val="none"/>
        </w:rPr>
        <w:outlineLvl w:val="0"/>
      </w:pPr>
      <w:r/>
      <w:bookmarkStart w:id="713" w:name="_Toc305158896"/>
      <w:r/>
      <w:bookmarkStart w:id="714" w:name="_Toc305158822"/>
      <w:r/>
      <w:bookmarkStart w:id="715" w:name="_Toc264969244"/>
      <w:r/>
      <w:bookmarkStart w:id="716" w:name="_Toc226965827"/>
      <w:r/>
      <w:bookmarkStart w:id="717" w:name="_Toc353873664"/>
      <w:r/>
      <w:bookmarkStart w:id="718" w:name="_Toc353873934"/>
      <w:r/>
      <w:bookmarkStart w:id="719" w:name="_Toc142311056"/>
      <w:r/>
      <w:bookmarkStart w:id="720" w:name="_Toc150774759"/>
      <w:r/>
      <w:bookmarkStart w:id="721" w:name="_Toc265228392"/>
      <w:r/>
      <w:bookmarkStart w:id="722" w:name="_Toc353825544"/>
      <w:r/>
      <w:bookmarkStart w:id="723" w:name="_Toc127151554"/>
      <w:r/>
      <w:bookmarkStart w:id="724" w:name="_Toc226337250"/>
      <w:r/>
      <w:bookmarkStart w:id="725" w:name="_Toc150480792"/>
      <w:r>
        <w:rPr>
          <w:rFonts w:hint="eastAsia" w:ascii="宋体" w:hAnsi="宋体" w:eastAsia="宋体" w:cs="宋体"/>
          <w:sz w:val="24"/>
          <w:highlight w:val="none"/>
        </w:rPr>
        <w:br w:type="page" w:clear="all"/>
      </w:r>
      <w:bookmarkStart w:id="726" w:name="_Toc99301421"/>
      <w:r>
        <w:rPr>
          <w:rFonts w:hint="eastAsia" w:ascii="宋体" w:hAnsi="宋体" w:eastAsia="宋体" w:cs="宋体"/>
          <w:b/>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eastAsia="宋体" w:cs="宋体"/>
          <w:b/>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rFonts w:hint="eastAsia" w:ascii="宋体" w:hAnsi="宋体" w:eastAsia="宋体" w:cs="宋体"/>
          <w:b/>
          <w:sz w:val="24"/>
          <w:highlight w:val="none"/>
        </w:rPr>
        <w:outlineLvl w:val="1"/>
      </w:pPr>
      <w:r/>
      <w:bookmarkStart w:id="728" w:name="_Toc99301422"/>
      <w:r>
        <w:rPr>
          <w:rFonts w:hint="eastAsia" w:ascii="宋体" w:hAnsi="宋体" w:eastAsia="宋体" w:cs="宋体"/>
          <w:b/>
          <w:sz w:val="24"/>
          <w:highlight w:val="none"/>
        </w:rPr>
        <w:t xml:space="preserve">一、资格审查程序</w:t>
      </w:r>
      <w:bookmarkEnd w:id="728"/>
      <w:r/>
      <w:r/>
    </w:p>
    <w:p>
      <w:pPr>
        <w:numPr>
          <w:ilvl w:val="0"/>
          <w:numId w:val="12"/>
        </w:numPr>
        <w:ind w:left="0" w:firstLine="480"/>
        <w:spacing w:line="360" w:lineRule="auto"/>
        <w:tabs>
          <w:tab w:val="left" w:pos="284" w:leader="none"/>
          <w:tab w:val="clear"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开标结束后，采购人将根据《资格审查要求》中的规定，对投标人进行资格审查，并形成资格审查结果。</w:t>
      </w:r>
      <w:r/>
    </w:p>
    <w:p>
      <w:pPr>
        <w:numPr>
          <w:ilvl w:val="0"/>
          <w:numId w:val="12"/>
        </w:numPr>
        <w:ind w:left="0" w:firstLine="480"/>
        <w:spacing w:line="360" w:lineRule="auto"/>
        <w:tabs>
          <w:tab w:val="left" w:pos="284" w:leader="none"/>
          <w:tab w:val="clear"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《资格审查要求》中对格式有要求的，除招标文件另有规定外，均为“实质性格式”文件。</w:t>
      </w:r>
      <w:r/>
    </w:p>
    <w:p>
      <w:pPr>
        <w:numPr>
          <w:ilvl w:val="0"/>
          <w:numId w:val="12"/>
        </w:numPr>
        <w:ind w:left="0" w:firstLine="480"/>
        <w:spacing w:line="360" w:lineRule="auto"/>
        <w:tabs>
          <w:tab w:val="left" w:pos="284" w:leader="none"/>
          <w:tab w:val="clear"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投标人《资格证明文件》有任何一项不符合《资格审查要求》的，资格审查不合格，其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12"/>
        </w:numPr>
        <w:ind w:left="0" w:firstLine="480"/>
        <w:spacing w:line="360" w:lineRule="auto"/>
        <w:tabs>
          <w:tab w:val="left" w:pos="284" w:leader="none"/>
          <w:tab w:val="clear" w:pos="900" w:leader="none"/>
        </w:tabs>
        <w:rPr>
          <w:rFonts w:hint="eastAsia" w:ascii="宋体" w:hAnsi="宋体" w:eastAsia="宋体" w:cs="宋体"/>
          <w:sz w:val="24"/>
          <w:highlight w:val="none"/>
        </w:rPr>
        <w:outlineLvl w:val="1"/>
      </w:pPr>
      <w:r>
        <w:rPr>
          <w:rFonts w:hint="eastAsia" w:ascii="宋体" w:hAnsi="宋体" w:eastAsia="宋体" w:cs="宋体"/>
          <w:sz w:val="24"/>
          <w:highlight w:val="none"/>
        </w:rPr>
        <w:t xml:space="preserve">资格审查合格的投标人不足3家的，不进行评标。</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tabs>
          <w:tab w:val="left" w:pos="360" w:leader="none"/>
          <w:tab w:val="left" w:pos="90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二、资格审查要求</w:t>
      </w:r>
      <w:r/>
    </w:p>
    <w:tbl>
      <w:tblPr>
        <w:tblStyle w:val="86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rFonts w:hint="eastAsia" w:ascii="宋体" w:hAnsi="宋体" w:eastAsia="宋体" w:cs="宋体"/>
                <w:b/>
                <w:sz w:val="24"/>
                <w:highlight w:val="none"/>
              </w:rPr>
            </w:pPr>
            <w:r/>
            <w:bookmarkStart w:id="729" w:name="_Hlt487972895"/>
            <w:r/>
            <w:bookmarkEnd w:id="729"/>
            <w:r>
              <w:rPr>
                <w:rFonts w:hint="eastAsia" w:ascii="宋体" w:hAnsi="宋体" w:eastAsia="宋体" w:cs="宋体"/>
                <w:b/>
                <w:sz w:val="24"/>
                <w:highlight w:val="none"/>
              </w:rPr>
              <w:t xml:space="preserve">序号</w:t>
            </w:r>
            <w:r/>
          </w:p>
        </w:tc>
        <w:tc>
          <w:tcPr>
            <w:tcW w:w="1067" w:type="pct"/>
            <w:vAlign w:val="center"/>
            <w:textDirection w:val="lrTb"/>
            <w:noWrap w:val="false"/>
          </w:tcPr>
          <w:p>
            <w:pPr>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审查因素</w:t>
            </w:r>
            <w:r/>
          </w:p>
        </w:tc>
        <w:tc>
          <w:tcPr>
            <w:tcW w:w="2596" w:type="pct"/>
            <w:vAlign w:val="center"/>
            <w:textDirection w:val="lrTb"/>
            <w:noWrap w:val="false"/>
          </w:tcPr>
          <w:p>
            <w:pPr>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审查内容</w:t>
            </w:r>
            <w:r/>
          </w:p>
        </w:tc>
        <w:tc>
          <w:tcPr>
            <w:tcW w:w="882" w:type="pct"/>
            <w:vAlign w:val="center"/>
            <w:textDirection w:val="lrTb"/>
            <w:noWrap w:val="false"/>
          </w:tcPr>
          <w:p>
            <w:pPr>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具体规定见第一章《投标邀请》</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22"/>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w:t>
            </w:r>
            <w:r/>
          </w:p>
        </w:tc>
        <w:tc>
          <w:tcPr>
            <w:tcW w:w="1982"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营业执照</w:t>
            </w:r>
            <w:r/>
          </w:p>
        </w:tc>
        <w:tc>
          <w:tcPr>
            <w:tcW w:w="4822"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有效的法人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负责人）</w:t>
            </w:r>
            <w:r>
              <w:rPr>
                <w:rFonts w:hint="eastAsia" w:ascii="宋体" w:hAnsi="宋体" w:eastAsia="宋体" w:cs="宋体"/>
                <w:sz w:val="24"/>
                <w:highlight w:val="none"/>
              </w:rPr>
              <w:t xml:space="preserve">或者其他组织的营业执照等证明文件</w:t>
            </w:r>
            <w:r/>
          </w:p>
        </w:tc>
        <w:tc>
          <w:tcPr>
            <w:tcW w:w="1638" w:type="dxa"/>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Cs w:val="21"/>
                <w:highlight w:val="none"/>
              </w:rPr>
              <w:t xml:space="preserve">提供证明文件的电子件或电子证照</w:t>
            </w:r>
            <w:r>
              <w:rPr>
                <w:rFonts w:hint="eastAsia" w:ascii="宋体" w:hAnsi="宋体" w:eastAsia="宋体" w:cs="宋体"/>
                <w:szCs w:val="21"/>
                <w:highlight w:val="none"/>
                <w:lang w:eastAsia="zh-CN"/>
              </w:rPr>
              <w:t xml:space="preserve">。</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2</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投标人资格声明函</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提供符合招标文件要求的《投标人资格声明函》。</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3</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投标人信用记录</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查询渠道：信用中国网站和中国政府采购网</w:t>
            </w:r>
            <w:r>
              <w:rPr>
                <w:rFonts w:hint="eastAsia" w:ascii="宋体" w:hAnsi="宋体" w:eastAsia="宋体" w:cs="宋体"/>
                <w:highlight w:val="none"/>
              </w:rPr>
              <w:t xml:space="preserve">www.creditchina.gov.cn</w:t>
            </w:r>
            <w:r>
              <w:rPr>
                <w:rFonts w:hint="eastAsia" w:ascii="宋体" w:hAnsi="宋体" w:eastAsia="宋体" w:cs="宋体"/>
                <w:sz w:val="24"/>
                <w:highlight w:val="none"/>
              </w:rPr>
              <w:t xml:space="preserve">、</w:t>
            </w:r>
            <w:r>
              <w:rPr>
                <w:rFonts w:hint="eastAsia" w:ascii="宋体" w:hAnsi="宋体" w:eastAsia="宋体" w:cs="宋体"/>
                <w:highlight w:val="none"/>
              </w:rPr>
              <w:t xml:space="preserve">www.ccgp.gov.cn</w:t>
            </w:r>
            <w:r>
              <w:rPr>
                <w:rFonts w:hint="eastAsia" w:ascii="宋体" w:hAnsi="宋体" w:eastAsia="宋体" w:cs="宋体"/>
                <w:sz w:val="24"/>
                <w:highlight w:val="none"/>
              </w:rPr>
              <w:t xml:space="preserve">）；</w:t>
            </w:r>
            <w:r/>
          </w:p>
          <w:p>
            <w:pPr>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落实政府采购政策需满足的资格要求</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具体要求见第一章《投标邀请》</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2-1</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中小企业声明函</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注2：残疾人福利性单位须按招标文件要求提供《残疾人福利性单位声明函》。</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2-2</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其它落实政府采购政策的资格要求</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如有，见第一章《投标邀请》</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本项目的特定资格要求</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如有，见第一章《投标邀请》</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3-</w:t>
            </w:r>
            <w:r>
              <w:rPr>
                <w:rFonts w:hint="eastAsia" w:ascii="宋体" w:hAnsi="宋体" w:cs="宋体"/>
                <w:sz w:val="24"/>
                <w:highlight w:val="none"/>
                <w:lang w:val="en-US" w:eastAsia="zh-CN"/>
              </w:rPr>
              <w:t xml:space="preserve">3</w:t>
            </w:r>
            <w:r/>
          </w:p>
        </w:tc>
        <w:tc>
          <w:tcPr>
            <w:tcW w:w="1067"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其他特定资格要求</w:t>
            </w:r>
            <w:r/>
          </w:p>
        </w:tc>
        <w:tc>
          <w:tcPr>
            <w:tcW w:w="2596"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如有，见第一章《投标邀请》</w:t>
            </w:r>
            <w:r/>
          </w:p>
        </w:tc>
        <w:tc>
          <w:tcPr>
            <w:tcW w:w="882" w:type="pct"/>
            <w:vAlign w:val="center"/>
            <w:textDirection w:val="lrTb"/>
            <w:noWrap w:val="false"/>
          </w:tcPr>
          <w:p>
            <w:pPr>
              <w:tabs>
                <w:tab w:val="left" w:pos="1080" w:leader="none"/>
              </w:tabs>
              <w:rPr>
                <w:rFonts w:hint="eastAsia" w:ascii="宋体" w:hAnsi="宋体" w:eastAsia="宋体" w:cs="宋体"/>
                <w:sz w:val="24"/>
                <w:highlight w:val="none"/>
              </w:rPr>
            </w:pPr>
            <w:r>
              <w:rPr>
                <w:rFonts w:hint="eastAsia" w:ascii="宋体" w:hAnsi="宋体" w:eastAsia="宋体" w:cs="宋体"/>
                <w:szCs w:val="21"/>
                <w:highlight w:val="none"/>
              </w:rPr>
              <w:t xml:space="preserve">提供证明文件的电子件或电子证照</w:t>
            </w:r>
            <w:r>
              <w:rPr>
                <w:rFonts w:hint="eastAsia" w:ascii="宋体" w:hAnsi="宋体" w:eastAsia="宋体" w:cs="宋体"/>
                <w:szCs w:val="21"/>
                <w:highlight w:val="none"/>
                <w:lang w:eastAsia="zh-CN"/>
              </w:rPr>
              <w:t xml:space="preserve">。</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left"/>
        <w:widowControl/>
        <w:rPr>
          <w:rFonts w:hint="eastAsia" w:ascii="宋体" w:hAnsi="宋体" w:eastAsia="宋体" w:cs="宋体"/>
          <w:sz w:val="24"/>
          <w:highlight w:val="none"/>
        </w:rPr>
      </w:pPr>
      <w:r/>
      <w:bookmarkStart w:id="730" w:name="_Toc353873940"/>
      <w:r/>
      <w:bookmarkStart w:id="731" w:name="_Toc226965858"/>
      <w:r/>
      <w:bookmarkStart w:id="732" w:name="_Toc127161490"/>
      <w:r/>
      <w:bookmarkStart w:id="733" w:name="_Toc127151779"/>
      <w:r/>
      <w:bookmarkStart w:id="734" w:name="_Toc353825550"/>
      <w:r>
        <w:rPr>
          <w:rFonts w:hint="eastAsia" w:ascii="宋体" w:hAnsi="宋体" w:eastAsia="宋体" w:cs="宋体"/>
          <w:sz w:val="24"/>
          <w:highlight w:val="none"/>
        </w:rPr>
        <w:br w:type="page" w:clear="all"/>
      </w:r>
      <w:r/>
    </w:p>
    <w:p>
      <w:pPr>
        <w:jc w:val="center"/>
        <w:spacing w:line="360" w:lineRule="auto"/>
        <w:rPr>
          <w:rFonts w:hint="eastAsia" w:ascii="宋体" w:hAnsi="宋体" w:eastAsia="宋体" w:cs="宋体"/>
          <w:b/>
          <w:sz w:val="36"/>
          <w:szCs w:val="36"/>
          <w:highlight w:val="none"/>
        </w:rPr>
        <w:outlineLvl w:val="0"/>
      </w:pPr>
      <w:r/>
      <w:bookmarkStart w:id="735" w:name="_Toc99301423"/>
      <w:r>
        <w:rPr>
          <w:rFonts w:hint="eastAsia" w:ascii="宋体" w:hAnsi="宋体" w:eastAsia="宋体" w:cs="宋体"/>
          <w:b/>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eastAsia="宋体" w:cs="宋体"/>
          <w:b/>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rFonts w:hint="eastAsia" w:ascii="宋体" w:hAnsi="宋体" w:eastAsia="宋体" w:cs="宋体"/>
          <w:b/>
          <w:highlight w:val="none"/>
        </w:rPr>
        <w:outlineLvl w:val="1"/>
      </w:pPr>
      <w:r>
        <w:rPr>
          <w:rFonts w:hint="eastAsia" w:ascii="宋体" w:hAnsi="宋体" w:eastAsia="宋体" w:cs="宋体"/>
          <w:b/>
          <w:sz w:val="24"/>
          <w:highlight w:val="none"/>
        </w:rPr>
        <w:t xml:space="preserve">一、评标程序</w:t>
      </w:r>
      <w:r/>
    </w:p>
    <w:p>
      <w:pPr>
        <w:numPr>
          <w:ilvl w:val="0"/>
          <w:numId w:val="13"/>
        </w:numPr>
        <w:ind w:left="0" w:firstLine="482"/>
        <w:spacing w:line="360" w:lineRule="auto"/>
        <w:tabs>
          <w:tab w:val="left" w:pos="360" w:leader="none"/>
          <w:tab w:val="left" w:pos="851" w:leader="none"/>
          <w:tab w:val="clear" w:pos="900" w:leader="none"/>
        </w:tabs>
        <w:rPr>
          <w:rFonts w:hint="eastAsia" w:ascii="宋体" w:hAnsi="宋体" w:eastAsia="宋体" w:cs="宋体"/>
          <w:b/>
          <w:sz w:val="24"/>
          <w:highlight w:val="none"/>
        </w:rPr>
        <w:outlineLvl w:val="1"/>
      </w:pPr>
      <w:r/>
      <w:bookmarkStart w:id="737" w:name="_Toc164351635"/>
      <w:r/>
      <w:bookmarkStart w:id="738" w:name="_Toc150774746"/>
      <w:r/>
      <w:bookmarkStart w:id="739" w:name="_Toc151193783"/>
      <w:r/>
      <w:bookmarkStart w:id="740" w:name="_Toc151193639"/>
      <w:r/>
      <w:bookmarkStart w:id="741" w:name="_Toc265228379"/>
      <w:r/>
      <w:bookmarkStart w:id="742" w:name="_Toc127161455"/>
      <w:r/>
      <w:bookmarkStart w:id="743" w:name="_Toc264969231"/>
      <w:r/>
      <w:bookmarkStart w:id="744" w:name="_Toc150480779"/>
      <w:r/>
      <w:bookmarkStart w:id="745" w:name="_Toc164229236"/>
      <w:r/>
      <w:bookmarkStart w:id="746" w:name="_Toc151193711"/>
      <w:r/>
      <w:bookmarkStart w:id="747" w:name="_Toc127151742"/>
      <w:r/>
      <w:bookmarkStart w:id="748" w:name="_Toc150774641"/>
      <w:r/>
      <w:bookmarkStart w:id="749" w:name="_Toc127151541"/>
      <w:r/>
      <w:bookmarkStart w:id="750" w:name="_Toc151193929"/>
      <w:r/>
      <w:bookmarkStart w:id="751" w:name="_Toc164608655"/>
      <w:r/>
      <w:bookmarkStart w:id="752" w:name="_Toc142311043"/>
      <w:r/>
      <w:bookmarkStart w:id="753" w:name="_Toc226309785"/>
      <w:r/>
      <w:bookmarkStart w:id="754" w:name="_Toc151193855"/>
      <w:r/>
      <w:bookmarkStart w:id="755" w:name="_Toc305158809"/>
      <w:r/>
      <w:bookmarkStart w:id="756" w:name="_Toc195842906"/>
      <w:r/>
      <w:bookmarkStart w:id="757" w:name="_Toc164608810"/>
      <w:r/>
      <w:bookmarkStart w:id="758" w:name="_Toc305158883"/>
      <w:r/>
      <w:bookmarkStart w:id="759" w:name="_Toc149720834"/>
      <w:r/>
      <w:bookmarkStart w:id="760" w:name="_Toc226337237"/>
      <w:r/>
      <w:bookmarkStart w:id="761" w:name="_Toc226965731"/>
      <w:r/>
      <w:bookmarkStart w:id="762" w:name="_Toc226965814"/>
      <w:r/>
      <w:bookmarkStart w:id="763" w:name="_Toc164229382"/>
      <w:r/>
      <w:bookmarkStart w:id="764" w:name="_Toc150509292"/>
      <w:r/>
      <w:bookmarkStart w:id="765" w:name="_Toc151190168"/>
      <w:r/>
      <w:bookmarkStart w:id="766" w:name="_Toc353825551"/>
      <w:r/>
      <w:bookmarkStart w:id="767" w:name="_Toc353873941"/>
      <w:r/>
      <w:bookmarkStart w:id="768" w:name="_Toc226965828"/>
      <w:r/>
      <w:bookmarkStart w:id="769" w:name="_Toc150774760"/>
      <w:r/>
      <w:bookmarkStart w:id="770" w:name="_Toc353873665"/>
      <w:r/>
      <w:bookmarkStart w:id="771" w:name="_Toc195842920"/>
      <w:r/>
      <w:bookmarkStart w:id="772" w:name="_Toc150480793"/>
      <w:r/>
      <w:bookmarkStart w:id="773" w:name="_Toc305158897"/>
      <w:r/>
      <w:bookmarkStart w:id="774" w:name="_Toc353825545"/>
      <w:r/>
      <w:bookmarkStart w:id="775" w:name="_Toc353873935"/>
      <w:r/>
      <w:bookmarkStart w:id="776" w:name="_Toc265228393"/>
      <w:r/>
      <w:bookmarkStart w:id="777" w:name="_Toc264969245"/>
      <w:r/>
      <w:bookmarkStart w:id="778" w:name="_Toc305158823"/>
      <w:r/>
      <w:bookmarkStart w:id="779" w:name="_Toc226337251"/>
      <w:r/>
      <w:bookmarkStart w:id="780" w:name="_Toc127151555"/>
      <w:r/>
      <w:bookmarkStart w:id="781" w:name="_Toc142311057"/>
      <w:r>
        <w:rPr>
          <w:rFonts w:hint="eastAsia" w:ascii="宋体" w:hAnsi="宋体" w:eastAsia="宋体" w:cs="宋体"/>
          <w:b/>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3"/>
        </w:numPr>
        <w:ind w:left="0" w:firstLine="480"/>
        <w:spacing w:line="360" w:lineRule="auto"/>
        <w:tabs>
          <w:tab w:val="left" w:pos="993" w:leader="none"/>
          <w:tab w:val="clear"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3"/>
        </w:numPr>
        <w:ind w:left="0" w:firstLine="480"/>
        <w:spacing w:line="360" w:lineRule="auto"/>
        <w:tabs>
          <w:tab w:val="left" w:pos="993" w:leader="none"/>
          <w:tab w:val="clear" w:pos="1589"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eastAsia="宋体" w:cs="宋体"/>
          <w:sz w:val="24"/>
          <w:highlight w:val="none"/>
        </w:rPr>
        <w:t xml:space="preserve">要求的，</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符合性审查要求</w:t>
      </w:r>
      <w:r/>
    </w:p>
    <w:tbl>
      <w:tblPr>
        <w:tblStyle w:val="86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W w:w="976" w:type="pct"/>
            <w:vAlign w:val="center"/>
            <w:textDirection w:val="lrTb"/>
            <w:noWrap w:val="false"/>
          </w:tcPr>
          <w:p>
            <w:pPr>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审查因素</w:t>
            </w:r>
            <w:r/>
          </w:p>
        </w:tc>
        <w:tc>
          <w:tcPr>
            <w:tcW w:w="3620" w:type="pct"/>
            <w:vAlign w:val="center"/>
            <w:textDirection w:val="lrTb"/>
            <w:noWrap w:val="false"/>
          </w:tcPr>
          <w:p>
            <w:pPr>
              <w:jc w:val="center"/>
              <w:widowControl/>
              <w:rPr>
                <w:rFonts w:hint="eastAsia" w:ascii="宋体" w:hAnsi="宋体" w:eastAsia="宋体" w:cs="宋体"/>
                <w:b/>
                <w:sz w:val="24"/>
                <w:highlight w:val="none"/>
              </w:rPr>
            </w:pPr>
            <w:r>
              <w:rPr>
                <w:rFonts w:hint="eastAsia" w:ascii="宋体" w:hAnsi="宋体" w:eastAsia="宋体" w:cs="宋体"/>
                <w:b/>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投标函、法定代表人资格证明书</w:t>
            </w:r>
            <w:r>
              <w:rPr>
                <w:rFonts w:hint="eastAsia" w:ascii="宋体" w:hAnsi="宋体" w:eastAsia="宋体" w:cs="宋体"/>
                <w:sz w:val="24"/>
                <w:highlight w:val="none"/>
                <w:lang w:eastAsia="zh-CN"/>
              </w:rPr>
              <w:t xml:space="preserve">、</w:t>
            </w:r>
            <w:r>
              <w:rPr>
                <w:rFonts w:hint="eastAsia" w:ascii="宋体" w:hAnsi="宋体" w:eastAsia="宋体" w:cs="宋体"/>
                <w:color w:val="000000"/>
                <w:sz w:val="24"/>
                <w:highlight w:val="none"/>
              </w:rPr>
              <w:t xml:space="preserve">授权委托书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highlight w:val="none"/>
              </w:rPr>
              <w:t xml:space="preserve">和政府采购供应商信用承诺书</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按招标文件要求提供投标函、法定代表人资格证明书</w:t>
            </w:r>
            <w:r>
              <w:rPr>
                <w:rFonts w:hint="eastAsia" w:ascii="宋体" w:hAnsi="宋体" w:eastAsia="宋体" w:cs="宋体"/>
                <w:sz w:val="24"/>
                <w:highlight w:val="none"/>
                <w:lang w:eastAsia="zh-CN"/>
              </w:rPr>
              <w:t xml:space="preserve">、</w:t>
            </w:r>
            <w:r>
              <w:rPr>
                <w:rFonts w:hint="eastAsia" w:ascii="宋体" w:hAnsi="宋体" w:eastAsia="宋体" w:cs="宋体"/>
                <w:color w:val="000000"/>
                <w:sz w:val="24"/>
                <w:highlight w:val="none"/>
              </w:rPr>
              <w:t xml:space="preserve">授权委托书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lang w:eastAsia="zh-CN"/>
              </w:rPr>
              <w:t xml:space="preserve">）</w:t>
            </w:r>
            <w:r>
              <w:rPr>
                <w:rFonts w:hint="eastAsia" w:ascii="宋体" w:hAnsi="宋体" w:eastAsia="宋体" w:cs="宋体"/>
                <w:sz w:val="24"/>
                <w:highlight w:val="none"/>
              </w:rPr>
              <w:t xml:space="preserve">和政府采购供应商信用承诺书；格式见《</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文件格式》</w:t>
            </w:r>
            <w:r/>
          </w:p>
        </w:tc>
      </w:tr>
      <w:tr>
        <w:trPr>
          <w:jc w:val="center"/>
          <w:trHeight w:val="686"/>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投标完整性</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未将一个采购包中的内容拆开投标</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投标报价</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投标报价未超过招标文件中规定的项目/采购包预算金额或者项目/采购包最高限价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报价唯一性</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投标文件未出现可选择性或可调整的报价（招标文件另有规定的除外）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5</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投标有效期</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投标文件中承诺的投标有效期满足招标文件中载明的投标有效期的；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6</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签署、加盖公章</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7</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实质性格式</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标记为“实质性格式”的文件均按招标文件要求提供；格式见《</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文件格式》</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8</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★号条款响应</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投标文件满足招标文件第五章《采购需求》中★号条款要求的；格式见《投标文件格式》</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9</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分包承担主体资质（如有）</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分包承担主体具备《投标人须知资料表》载明的资质条件且提供了资质证书电子件（如有）；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10</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分包意向协议</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（如有）</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按招标文件规定签订并提供分包意向协议原件的电子件的；（如有）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11</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报价的修正（如有）</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不涉及报价修正，或投标文件报价出现前后不一致时，投标人对修正后的报价予以确认；（如有）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12</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报价合理性</w:t>
            </w:r>
            <w:r/>
          </w:p>
        </w:tc>
        <w:tc>
          <w:tcPr>
            <w:tcW w:w="3620" w:type="pct"/>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w:t>
            </w:r>
            <w:r>
              <w:rPr>
                <w:rFonts w:hint="eastAsia" w:ascii="宋体" w:hAnsi="宋体" w:cs="宋体"/>
                <w:color w:val="000000"/>
                <w:sz w:val="24"/>
                <w:highlight w:val="none"/>
                <w:lang w:val="en-US" w:eastAsia="zh-CN"/>
              </w:rPr>
              <w:t xml:space="preserve">财政部</w:t>
            </w:r>
            <w:r>
              <w:rPr>
                <w:rFonts w:hint="eastAsia" w:ascii="宋体" w:hAnsi="宋体" w:eastAsia="宋体" w:cs="宋体"/>
                <w:color w:val="000000"/>
                <w:sz w:val="24"/>
                <w:highlight w:val="none"/>
              </w:rPr>
              <w:t xml:space="preserve">关于推动解决政府采购异常低价问题的通知》财</w:t>
            </w:r>
            <w:r>
              <w:rPr>
                <w:rFonts w:hint="eastAsia" w:ascii="宋体" w:hAnsi="宋体" w:cs="宋体"/>
                <w:color w:val="000000"/>
                <w:sz w:val="24"/>
                <w:highlight w:val="none"/>
                <w:lang w:val="en-US" w:eastAsia="zh-CN"/>
              </w:rPr>
              <w:t xml:space="preserve">库</w:t>
            </w:r>
            <w:r>
              <w:rPr>
                <w:rFonts w:hint="eastAsia" w:ascii="宋体" w:hAnsi="宋体" w:eastAsia="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】2号文件之规定：</w:t>
            </w:r>
            <w:r/>
          </w:p>
          <w:p>
            <w:pPr>
              <w:pStyle w:val="882"/>
              <w:ind w:right="0"/>
              <w:keepLines w:val="0"/>
              <w:keepNext w:val="0"/>
              <w:spacing w:before="0" w:beforeAutospacing="0" w:after="0" w:afterAutospacing="0"/>
              <w:widowControl/>
              <w:rPr>
                <w:rFonts w:ascii="微软雅黑" w:hAnsi="微软雅黑" w:eastAsia="微软雅黑" w:cs="微软雅黑"/>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rPr>
              <w:t xml:space="preserve">采购人应当在采购文件中明确，政府采购评审中出现下列情形之一的，评审委员会应当启动异常低价投标（响应）审查程序：</w:t>
            </w:r>
            <w:r/>
          </w:p>
          <w:p>
            <w:pPr>
              <w:pStyle w:val="882"/>
              <w:ind w:right="0"/>
              <w:keepLines w:val="0"/>
              <w:keepNext w:val="0"/>
              <w:spacing w:before="0" w:beforeAutospacing="0" w:after="0" w:afterAutospacing="0"/>
              <w:widowControl/>
              <w:rPr>
                <w:rFonts w:hint="eastAsia" w:ascii="微软雅黑" w:hAnsi="微软雅黑" w:eastAsia="微软雅黑" w:cs="微软雅黑"/>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rPr>
              <w:t xml:space="preserve">1.投标（响应）报价低于全部通过符合性审查供应商投标（响应）报价平均值50%的，即投标（响应）报价&lt;全部通过符合性审查供应商投标（响应）报价平均值×50%；</w:t>
            </w:r>
            <w:r/>
          </w:p>
          <w:p>
            <w:pPr>
              <w:pStyle w:val="882"/>
              <w:ind w:right="0"/>
              <w:keepLines w:val="0"/>
              <w:keepNext w:val="0"/>
              <w:spacing w:before="0" w:beforeAutospacing="0" w:after="0" w:afterAutospacing="0"/>
              <w:widowControl/>
              <w:rPr>
                <w:rFonts w:hint="eastAsia" w:ascii="微软雅黑" w:hAnsi="微软雅黑" w:eastAsia="微软雅黑" w:cs="微软雅黑"/>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rPr>
              <w:t xml:space="preserve">2.投标（响应）报价低于通过符合性审查的次低报价供应商投标（响应）报价50%的，即投标（响应）报价&lt;通过符合性审查的次低报价供应商投标（响应）报价×50%；</w:t>
            </w:r>
            <w:r/>
          </w:p>
          <w:p>
            <w:pPr>
              <w:pStyle w:val="882"/>
              <w:ind w:right="0"/>
              <w:keepLines w:val="0"/>
              <w:keepNext w:val="0"/>
              <w:spacing w:before="0" w:beforeAutospacing="0" w:after="0" w:afterAutospacing="0"/>
              <w:widowControl/>
              <w:rPr>
                <w:rFonts w:hint="eastAsia" w:ascii="微软雅黑" w:hAnsi="微软雅黑" w:eastAsia="微软雅黑" w:cs="微软雅黑"/>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rPr>
              <w:t xml:space="preserve">3.投标（响应）报价低于采购项目最高限价45%的，即投标（响应）报价&lt;采购项目最高限价×45%；</w:t>
            </w:r>
            <w:r/>
          </w:p>
          <w:p>
            <w:pPr>
              <w:pStyle w:val="882"/>
              <w:ind w:right="0"/>
              <w:keepLines w:val="0"/>
              <w:keepNext w:val="0"/>
              <w:spacing w:before="0" w:beforeAutospacing="0" w:after="0" w:afterAutospacing="0"/>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rPr>
              <w:t xml:space="preserve">4.评审委员会基于专业判断，认为供应商报价过低，有可能影响产品质量或者不能诚信履约的其他情形。</w:t>
            </w:r>
            <w:r/>
          </w:p>
          <w:p>
            <w:pPr>
              <w:pStyle w:val="882"/>
              <w:ind w:right="0"/>
              <w:keepLines w:val="0"/>
              <w:keepNext w:val="0"/>
              <w:spacing w:before="0" w:beforeAutospacing="0" w:after="0" w:afterAutospacing="0"/>
              <w:widowControl/>
              <w:rPr>
                <w:rFonts w:ascii="微软雅黑" w:hAnsi="微软雅黑" w:eastAsia="微软雅黑" w:cs="微软雅黑"/>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2"/>
              <w:ind w:right="0"/>
              <w:keepLines w:val="0"/>
              <w:keepNext w:val="0"/>
              <w:spacing w:before="0" w:beforeAutospacing="0" w:after="0" w:afterAutospacing="0"/>
              <w:widowControl/>
              <w:rPr>
                <w:rFonts w:hint="eastAsia" w:ascii="宋体" w:hAnsi="宋体" w:eastAsia="宋体" w:cs="宋体"/>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13</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进口产品</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（如有）</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招标文件不接受进口产品投标的内容时，投标人所投产品非进口产品的；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14</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2）投标产品如涉及计算机信息系统安全专用产品的，须提供公安部颁发的计算机信息系统安全专用产品销售许可证；</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15</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公平竞争</w:t>
            </w:r>
            <w:r/>
          </w:p>
        </w:tc>
        <w:tc>
          <w:tcPr>
            <w:tcW w:w="3620" w:type="pct"/>
            <w:vAlign w:val="center"/>
            <w:textDirection w:val="lrTb"/>
            <w:noWrap w:val="false"/>
          </w:tcPr>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s="宋体"/>
                <w:sz w:val="24"/>
                <w:highlight w:val="none"/>
                <w:lang w:eastAsia="zh-CN"/>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16</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串通投标</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不存在《政府采购货物和服务招标投标管理办法》视为投标人串通投标的情形：</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（一）不同投标人的投标文件由同一单位或者个人编制（包含使用同一MAC地址的计算机制作电子响应文件的情形）；</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（二）不同投标人委托同一单位或者个人办理投标事宜（包含使用同一MAC地址的计算机提交或者解密电子响应文件的情形）；</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（三）不同投标人的投标文件载明的项目管理成员或者联系人员为同一人；</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（四）不同投标人的投标文件异常一致或者投标报价呈规律 性差异；</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（五）不同投标人的投标文件相互混装；</w:t>
            </w:r>
            <w:r/>
          </w:p>
          <w:p>
            <w:pPr>
              <w:jc w:val="left"/>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（六）不同投标人的投标保证金从同一单位或者个人的账户转出</w:t>
            </w:r>
            <w:r>
              <w:rPr>
                <w:rFonts w:hint="eastAsia" w:ascii="宋体" w:hAnsi="宋体" w:eastAsia="宋体" w:cs="宋体"/>
                <w:sz w:val="24"/>
                <w:highlight w:val="none"/>
                <w:lang w:eastAsia="zh-CN"/>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17</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附加条件</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eastAsia="宋体" w:cs="宋体"/>
                <w:sz w:val="24"/>
                <w:highlight w:val="none"/>
              </w:rPr>
            </w:pPr>
            <w:r>
              <w:rPr>
                <w:rFonts w:hint="eastAsia" w:ascii="宋体" w:hAnsi="宋体" w:eastAsia="宋体" w:cs="宋体"/>
                <w:sz w:val="24"/>
                <w:highlight w:val="none"/>
              </w:rPr>
              <w:t xml:space="preserve">18</w:t>
            </w:r>
            <w:r/>
          </w:p>
        </w:tc>
        <w:tc>
          <w:tcPr>
            <w:tcW w:w="976"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其他无效情形</w:t>
            </w:r>
            <w:r/>
          </w:p>
        </w:tc>
        <w:tc>
          <w:tcPr>
            <w:tcW w:w="3620" w:type="pct"/>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t xml:space="preserve">投标人、投标文件不存在不符合法律、法规和招标文件规定的其他无效情形。</w:t>
            </w:r>
            <w:r/>
          </w:p>
        </w:tc>
      </w:tr>
    </w:tbl>
    <w:p>
      <w:pPr>
        <w:numPr>
          <w:ilvl w:val="0"/>
          <w:numId w:val="14"/>
        </w:numPr>
        <w:spacing w:line="360" w:lineRule="auto"/>
        <w:tabs>
          <w:tab w:val="left" w:pos="1080" w:leader="none"/>
          <w:tab w:val="left" w:pos="1589" w:leader="none"/>
        </w:tabs>
        <w:rPr>
          <w:rFonts w:hint="eastAsia" w:ascii="宋体" w:hAnsi="宋体" w:eastAsia="宋体" w:cs="宋体"/>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eastAsia="宋体" w:cs="宋体"/>
          <w:sz w:val="24"/>
          <w:highlight w:val="none"/>
        </w:rPr>
      </w:r>
      <w:r/>
    </w:p>
    <w:p>
      <w:pPr>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投标文件有关事项的澄清或者说明</w:t>
      </w:r>
      <w:r/>
    </w:p>
    <w:p>
      <w:pPr>
        <w:numPr>
          <w:ilvl w:val="1"/>
          <w:numId w:val="13"/>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3"/>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sz w:val="24"/>
          <w:highlight w:val="none"/>
        </w:rPr>
        <w:t xml:space="preserve">无效投标处理</w:t>
      </w:r>
      <w:r>
        <w:rPr>
          <w:rFonts w:hint="eastAsia" w:ascii="宋体" w:hAnsi="宋体" w:eastAsia="宋体" w:cs="宋体"/>
          <w:sz w:val="24"/>
          <w:highlight w:val="none"/>
        </w:rPr>
        <w:t xml:space="preserve">。</w:t>
      </w:r>
      <w:r/>
    </w:p>
    <w:p>
      <w:pPr>
        <w:numPr>
          <w:ilvl w:val="1"/>
          <w:numId w:val="13"/>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评审过程中出现下列情形之一的，评标委员会应当启动异常低价响应审查程序：</w:t>
      </w:r>
      <w:r/>
    </w:p>
    <w:p>
      <w:pPr>
        <w:numPr>
          <w:ilvl w:val="0"/>
          <w:numId w:val="0"/>
        </w:numPr>
        <w:ind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2.3.1投标报价低于全部通过符合性审查供应商投标报价平均值50%的，即投标报价＜全部通过符合性审查供应商投标报价平均值×50%；</w:t>
      </w:r>
      <w:r/>
    </w:p>
    <w:p>
      <w:pPr>
        <w:numPr>
          <w:ilvl w:val="0"/>
          <w:numId w:val="0"/>
        </w:numPr>
        <w:ind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2.3.2投标报价低于通过符合性审查的次低报价供应商投标报价50%的，即投标报价＜通过符合性审查的次低报价供应商投标报价×50%；</w:t>
      </w:r>
      <w:r/>
    </w:p>
    <w:p>
      <w:pPr>
        <w:numPr>
          <w:ilvl w:val="0"/>
          <w:numId w:val="0"/>
        </w:numPr>
        <w:ind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2.3.3投标报价低于采购项目最高限价45%的，即投标报价＜采购项目最高限价×45%；</w:t>
      </w:r>
      <w:r/>
    </w:p>
    <w:p>
      <w:pPr>
        <w:numPr>
          <w:ilvl w:val="0"/>
          <w:numId w:val="0"/>
        </w:numPr>
        <w:ind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2.3.4评标委员会基于专业判断，认为供应商报价过低，有可能影响产品质量或者不能诚信履约的其他情形。</w:t>
      </w:r>
      <w:r/>
    </w:p>
    <w:p>
      <w:pPr>
        <w:numPr>
          <w:ilvl w:val="0"/>
          <w:numId w:val="0"/>
        </w:numPr>
        <w:ind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2.4</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0"/>
          <w:numId w:val="0"/>
        </w:numPr>
        <w:ind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2.5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numPr>
          <w:ilvl w:val="0"/>
          <w:numId w:val="0"/>
        </w:numPr>
        <w:ind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2.6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numPr>
          <w:ilvl w:val="0"/>
          <w:numId w:val="0"/>
        </w:numPr>
        <w:ind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2.7</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p>
    <w:p>
      <w:pPr>
        <w:numPr>
          <w:ilvl w:val="0"/>
          <w:numId w:val="0"/>
        </w:numPr>
        <w:ind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2.8</w:t>
      </w:r>
      <w:r>
        <w:rPr>
          <w:rFonts w:hint="eastAsia" w:ascii="宋体" w:hAnsi="宋体" w:eastAsia="宋体" w:cs="宋体"/>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0"/>
        </w:numPr>
        <w:ind w:left="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2.9 </w:t>
      </w:r>
      <w:r>
        <w:rPr>
          <w:rFonts w:hint="eastAsia" w:ascii="宋体" w:hAnsi="宋体" w:eastAsia="宋体" w:cs="宋体"/>
          <w:sz w:val="24"/>
          <w:highlight w:val="none"/>
        </w:rPr>
        <w:t xml:space="preserve">投标文件报价出现前后不一致的，按照下列规定修正：</w:t>
      </w:r>
      <w:r/>
    </w:p>
    <w:p>
      <w:pPr>
        <w:numPr>
          <w:ilvl w:val="0"/>
          <w:numId w:val="0"/>
        </w:numPr>
        <w:ind w:left="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2.9.1</w:t>
      </w:r>
      <w:r>
        <w:rPr>
          <w:rFonts w:hint="eastAsia" w:ascii="宋体" w:hAnsi="宋体" w:eastAsia="宋体" w:cs="宋体"/>
          <w:sz w:val="24"/>
          <w:highlight w:val="none"/>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□有，具体规定为：</w:t>
      </w:r>
      <w:r>
        <w:rPr>
          <w:rFonts w:hint="eastAsia" w:ascii="宋体" w:hAnsi="宋体" w:eastAsia="宋体" w:cs="宋体"/>
          <w:sz w:val="24"/>
          <w:highlight w:val="none"/>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eastAsia="宋体" w:cs="宋体"/>
          <w:sz w:val="24"/>
          <w:highlight w:val="none"/>
        </w:rPr>
        <w:t xml:space="preserve">■无，按下述2.</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.2-2.</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.7项规定修正。</w:t>
      </w:r>
      <w:r/>
    </w:p>
    <w:p>
      <w:pPr>
        <w:numPr>
          <w:ilvl w:val="0"/>
          <w:numId w:val="0"/>
        </w:numPr>
        <w:ind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2.9.2</w:t>
      </w:r>
      <w:r>
        <w:rPr>
          <w:rFonts w:hint="eastAsia" w:ascii="宋体" w:hAnsi="宋体" w:eastAsia="宋体" w:cs="宋体"/>
          <w:sz w:val="24"/>
          <w:highlight w:val="none"/>
        </w:rPr>
        <w:t xml:space="preserve">单独递交的开标一览表（报价表）与投标文件中开标一览表（报价表）内容不一致的，以单独递交的开标一览表（报价表）为准；</w:t>
      </w:r>
      <w:r/>
    </w:p>
    <w:p>
      <w:pPr>
        <w:numPr>
          <w:ilvl w:val="0"/>
          <w:numId w:val="0"/>
        </w:numPr>
        <w:ind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2.9.3</w:t>
      </w:r>
      <w:r>
        <w:rPr>
          <w:rFonts w:hint="eastAsia" w:ascii="宋体" w:hAnsi="宋体" w:eastAsia="宋体" w:cs="宋体"/>
          <w:sz w:val="24"/>
          <w:highlight w:val="none"/>
        </w:rPr>
        <w:t xml:space="preserve">投标文件中开标一览表（报价表）内容与投标文件中相应内容不一致的，以开标一览表（报价表）为准；</w:t>
      </w:r>
      <w:r/>
    </w:p>
    <w:p>
      <w:pPr>
        <w:numPr>
          <w:ilvl w:val="0"/>
          <w:numId w:val="0"/>
        </w:numPr>
        <w:ind w:left="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2.9.4</w:t>
      </w:r>
      <w:r>
        <w:rPr>
          <w:rFonts w:hint="eastAsia" w:ascii="宋体" w:hAnsi="宋体" w:eastAsia="宋体" w:cs="宋体"/>
          <w:sz w:val="24"/>
          <w:highlight w:val="none"/>
        </w:rPr>
        <w:t xml:space="preserve">大写金额和小写金额不一致的，以大写金额为准；</w:t>
      </w:r>
      <w:r/>
    </w:p>
    <w:p>
      <w:pPr>
        <w:numPr>
          <w:ilvl w:val="0"/>
          <w:numId w:val="0"/>
        </w:numPr>
        <w:ind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2.9.5</w:t>
      </w:r>
      <w:r>
        <w:rPr>
          <w:rFonts w:hint="eastAsia" w:ascii="宋体" w:hAnsi="宋体" w:eastAsia="宋体" w:cs="宋体"/>
          <w:sz w:val="24"/>
          <w:highlight w:val="none"/>
        </w:rPr>
        <w:t xml:space="preserve">单价金额小数点或者百分比有明显错位的，以开标一览表的总价为准，并修改单价；</w:t>
      </w:r>
      <w:r/>
    </w:p>
    <w:p>
      <w:pPr>
        <w:numPr>
          <w:ilvl w:val="0"/>
          <w:numId w:val="0"/>
        </w:numPr>
        <w:ind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2.9.6</w:t>
      </w:r>
      <w:r>
        <w:rPr>
          <w:rFonts w:hint="eastAsia" w:ascii="宋体" w:hAnsi="宋体" w:eastAsia="宋体" w:cs="宋体"/>
          <w:sz w:val="24"/>
          <w:highlight w:val="none"/>
        </w:rPr>
        <w:t xml:space="preserve">总价金额与按单价汇总金额不一致的，以单价金额计算结果为准。</w:t>
      </w:r>
      <w:r/>
    </w:p>
    <w:p>
      <w:pPr>
        <w:numPr>
          <w:ilvl w:val="0"/>
          <w:numId w:val="0"/>
        </w:numPr>
        <w:ind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2.9.7</w:t>
      </w:r>
      <w:r>
        <w:rPr>
          <w:rFonts w:hint="eastAsia" w:ascii="宋体" w:hAnsi="宋体" w:eastAsia="宋体" w:cs="宋体"/>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numPr>
          <w:ilvl w:val="0"/>
          <w:numId w:val="0"/>
        </w:numPr>
        <w:ind w:firstLine="480"/>
        <w:spacing w:line="360" w:lineRule="auto"/>
        <w:tabs>
          <w:tab w:val="left" w:pos="0" w:leader="none"/>
          <w:tab w:val="left" w:pos="567" w:leader="none"/>
          <w:tab w:val="left" w:pos="1134"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2.10 </w:t>
      </w:r>
      <w:r>
        <w:rPr>
          <w:rFonts w:hint="eastAsia" w:ascii="宋体" w:hAnsi="宋体" w:eastAsia="宋体" w:cs="宋体"/>
          <w:sz w:val="24"/>
          <w:highlight w:val="none"/>
        </w:rPr>
        <w:t xml:space="preserve">落实政府采购政策的价格调整：只有符合第二章《投标人须知》5.2、5.9条规定情形的，可以享受政府采购价格扶持政策，用扣除后的价格参加评审；否则，评标时价格不予扣除。</w:t>
      </w:r>
      <w:r/>
    </w:p>
    <w:p>
      <w:pPr>
        <w:numPr>
          <w:ilvl w:val="0"/>
          <w:numId w:val="0"/>
        </w:numPr>
        <w:ind w:firstLine="482"/>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2.10.1小微企业价格扣除</w:t>
      </w:r>
      <w:r/>
    </w:p>
    <w:p>
      <w:pPr>
        <w:numPr>
          <w:ilvl w:val="0"/>
          <w:numId w:val="0"/>
        </w:num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2.10.1.1</w:t>
      </w:r>
      <w:r>
        <w:rPr>
          <w:rFonts w:hint="eastAsia" w:ascii="宋体" w:hAnsi="宋体" w:eastAsia="宋体" w:cs="宋体"/>
          <w:sz w:val="24"/>
          <w:highlight w:val="none"/>
        </w:rPr>
        <w:t xml:space="preserve">对于未预留份额专门面向中小企业采购的采购项目，以及预留份额项目中的非预留部分采购包，对</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报价给予</w:t>
      </w:r>
      <w:r>
        <w:rPr>
          <w:rFonts w:hint="eastAsia" w:ascii="宋体" w:hAnsi="宋体" w:eastAsia="宋体" w:cs="宋体"/>
          <w:sz w:val="24"/>
          <w:highlight w:val="none"/>
          <w:u w:val="single"/>
        </w:rPr>
        <w:t xml:space="preserve">20</w:t>
      </w:r>
      <w:r>
        <w:rPr>
          <w:rFonts w:hint="eastAsia" w:ascii="宋体" w:hAnsi="宋体" w:eastAsia="宋体" w:cs="宋体"/>
          <w:sz w:val="24"/>
          <w:highlight w:val="none"/>
        </w:rPr>
        <w:t xml:space="preserve">%的扣除，用扣除后的价格参加评审。</w:t>
      </w:r>
      <w:r/>
    </w:p>
    <w:p>
      <w:pPr>
        <w:numPr>
          <w:ilvl w:val="0"/>
          <w:numId w:val="0"/>
        </w:num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2.10.1.2</w:t>
      </w:r>
      <w:r>
        <w:rPr>
          <w:rFonts w:hint="eastAsia" w:ascii="宋体" w:hAnsi="宋体" w:eastAsia="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组成联合体或者允许大中型企业向一家或者多家</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分包的采购项目，对于联合协议或者分包意向协议约定</w:t>
      </w:r>
      <w:r>
        <w:rPr>
          <w:rFonts w:hint="eastAsia" w:ascii="宋体" w:hAnsi="宋体" w:eastAsia="宋体" w:cs="宋体"/>
          <w:b/>
          <w:sz w:val="24"/>
          <w:highlight w:val="none"/>
        </w:rPr>
        <w:t xml:space="preserve">小微企业</w:t>
      </w:r>
      <w:r>
        <w:rPr>
          <w:rFonts w:hint="eastAsia" w:ascii="宋体" w:hAnsi="宋体" w:eastAsia="宋体" w:cs="宋体"/>
          <w:sz w:val="24"/>
          <w:highlight w:val="none"/>
        </w:rPr>
        <w:t xml:space="preserve">的合同份额占到合同总金额 30%以上的联合体或者大中型企业的报价给予</w:t>
      </w:r>
      <w:r>
        <w:rPr>
          <w:rFonts w:hint="eastAsia" w:ascii="宋体" w:hAnsi="宋体" w:eastAsia="宋体" w:cs="宋体"/>
          <w:sz w:val="24"/>
          <w:highlight w:val="none"/>
          <w:u w:val="single"/>
        </w:rPr>
        <w:t xml:space="preserve">3</w:t>
      </w:r>
      <w:r>
        <w:rPr>
          <w:rFonts w:hint="eastAsia" w:ascii="宋体" w:hAnsi="宋体" w:eastAsia="宋体" w:cs="宋体"/>
          <w:sz w:val="24"/>
          <w:highlight w:val="none"/>
        </w:rPr>
        <w:t xml:space="preserve">%的扣除，用扣除后的价格参加评审。</w:t>
      </w:r>
      <w:r/>
    </w:p>
    <w:p>
      <w:pPr>
        <w:numPr>
          <w:ilvl w:val="0"/>
          <w:numId w:val="0"/>
        </w:num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2.10.1.3</w:t>
      </w:r>
      <w:r>
        <w:rPr>
          <w:rFonts w:hint="eastAsia" w:ascii="宋体" w:hAnsi="宋体" w:eastAsia="宋体" w:cs="宋体"/>
          <w:sz w:val="24"/>
          <w:highlight w:val="none"/>
        </w:rPr>
        <w:t xml:space="preserve">组成联合体或者接受分包的小微企业与联合体内其他企业、分包企业之间存在直接控股、管理关系的，不享受价格扣除优惠政策。</w:t>
      </w:r>
      <w:r/>
    </w:p>
    <w:p>
      <w:pPr>
        <w:numPr>
          <w:ilvl w:val="0"/>
          <w:numId w:val="0"/>
        </w:num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2.10.1.4</w:t>
      </w:r>
      <w:r>
        <w:rPr>
          <w:rFonts w:hint="eastAsia" w:ascii="宋体" w:hAnsi="宋体" w:eastAsia="宋体" w:cs="宋体"/>
          <w:sz w:val="24"/>
          <w:highlight w:val="none"/>
        </w:rPr>
        <w:t xml:space="preserve">价格扣除比例对小型企业和微型企业同等对待，不作区分。</w:t>
      </w:r>
      <w:r/>
    </w:p>
    <w:p>
      <w:pPr>
        <w:numPr>
          <w:ilvl w:val="0"/>
          <w:numId w:val="0"/>
        </w:num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2.10.1.5</w:t>
      </w:r>
      <w:r>
        <w:rPr>
          <w:rFonts w:hint="eastAsia" w:ascii="宋体" w:hAnsi="宋体" w:eastAsia="宋体" w:cs="宋体"/>
          <w:sz w:val="24"/>
          <w:highlight w:val="none"/>
        </w:rPr>
        <w:t xml:space="preserve">中小企业参加政府采购活动，应当按照招标文件给定的格式出具《中小企业声明函》，否则不得享受相关中小企业扶持政策。</w:t>
      </w:r>
      <w:r/>
    </w:p>
    <w:p>
      <w:pPr>
        <w:numPr>
          <w:ilvl w:val="0"/>
          <w:numId w:val="0"/>
        </w:num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2.10.1.6</w:t>
      </w:r>
      <w:r>
        <w:rPr>
          <w:rFonts w:hint="eastAsia" w:ascii="宋体" w:hAnsi="宋体" w:eastAsia="宋体" w:cs="宋体"/>
          <w:sz w:val="24"/>
          <w:highlight w:val="none"/>
        </w:rPr>
        <w:t xml:space="preserve">监狱企业提供了由省级以上监狱管理局（常州市含教育矫治局）、戒毒管理局（含新疆生产建设兵团）出具的属于监狱企业的证明文件的，视同小微企业。</w:t>
      </w:r>
      <w:r/>
    </w:p>
    <w:p>
      <w:pPr>
        <w:numPr>
          <w:ilvl w:val="0"/>
          <w:numId w:val="0"/>
        </w:num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2.10.1.7</w:t>
      </w:r>
      <w:r>
        <w:rPr>
          <w:rFonts w:hint="eastAsia" w:ascii="宋体" w:hAnsi="宋体" w:eastAsia="宋体" w:cs="宋体"/>
          <w:sz w:val="24"/>
          <w:highlight w:val="none"/>
        </w:rPr>
        <w:t xml:space="preserve">残疾人福利性单位按招标文件要求提供了《残疾人福利性单位声明函》（见附件）的，视同小微企业。</w:t>
      </w:r>
      <w:r/>
    </w:p>
    <w:p>
      <w:pPr>
        <w:numPr>
          <w:ilvl w:val="0"/>
          <w:numId w:val="0"/>
        </w:numPr>
        <w:ind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eastAsia="宋体" w:cs="宋体"/>
          <w:sz w:val="24"/>
          <w:highlight w:val="none"/>
        </w:rPr>
      </w:pPr>
      <w:r>
        <w:rPr>
          <w:rFonts w:hint="eastAsia" w:ascii="宋体" w:hAnsi="宋体" w:cs="宋体"/>
          <w:sz w:val="24"/>
          <w:highlight w:val="none"/>
          <w:lang w:val="en-US" w:eastAsia="zh-CN"/>
        </w:rPr>
        <w:t xml:space="preserve">2.10.1.8</w:t>
      </w:r>
      <w:r>
        <w:rPr>
          <w:rFonts w:hint="eastAsia" w:ascii="宋体" w:hAnsi="宋体" w:eastAsia="宋体" w:cs="宋体"/>
          <w:sz w:val="24"/>
          <w:highlight w:val="none"/>
        </w:rPr>
        <w:t xml:space="preserve">若投标人同时属于小型或微型企业、监狱企业、残疾人福利性单位中的两种及以上，将不重复享受小微企业价格扣减的优惠政策。</w:t>
      </w:r>
      <w:r/>
    </w:p>
    <w:p>
      <w:pPr>
        <w:numPr>
          <w:ilvl w:val="0"/>
          <w:numId w:val="0"/>
        </w:numPr>
        <w:ind w:firstLine="482"/>
        <w:spacing w:line="360" w:lineRule="auto"/>
        <w:tabs>
          <w:tab w:val="left" w:pos="0" w:leader="none"/>
          <w:tab w:val="left" w:pos="567" w:leader="none"/>
          <w:tab w:val="left" w:pos="1276"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b/>
          <w:bCs/>
          <w:sz w:val="24"/>
          <w:highlight w:val="none"/>
        </w:rPr>
        <w:t xml:space="preserve">2.10.2采购本国产品的支持政策</w:t>
      </w:r>
      <w:r/>
    </w:p>
    <w:p>
      <w:pPr>
        <w:numPr>
          <w:ilvl w:val="0"/>
          <w:numId w:val="0"/>
        </w:numPr>
        <w:ind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2.10.2.1本项目政府采购活动中既有本国产品又有非本国产品参与竞争的，依法对本国产品给予价格评审优惠，对本国产品的报价给予20%的价格扣除，用扣除后的价格参与评审。</w:t>
      </w:r>
      <w:r/>
    </w:p>
    <w:p>
      <w:pPr>
        <w:numPr>
          <w:ilvl w:val="0"/>
          <w:numId w:val="0"/>
        </w:numPr>
        <w:ind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2.10.2.2当采购项目或者采购包中含有多种产品，投标人为该采购项目或者采购包提供的符合本国产品标准的产品成本之和占该投标人提供的全部产品成本之和的比例达到80%以上时（投标人需在“第七章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0"/>
          <w:numId w:val="0"/>
        </w:numPr>
        <w:ind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2.10.2.3投标人需按照招标文件的要求提供《关于符合本国产品标准的声明函》（以下简称《声明函》），如不提供将不享受本国产品价格评审优惠。</w:t>
      </w:r>
      <w:r/>
    </w:p>
    <w:p>
      <w:pPr>
        <w:numPr>
          <w:ilvl w:val="0"/>
          <w:numId w:val="0"/>
        </w:numPr>
        <w:ind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2.10.2.4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2.10.2.5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投标文件的比较和评价</w:t>
      </w:r>
      <w:bookmarkEnd w:id="766"/>
      <w:r/>
      <w:bookmarkEnd w:id="767"/>
      <w:r/>
      <w:r/>
    </w:p>
    <w:p>
      <w:pPr>
        <w:numPr>
          <w:ilvl w:val="1"/>
          <w:numId w:val="13"/>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3"/>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评标方法和评标标准</w:t>
      </w:r>
      <w:r/>
    </w:p>
    <w:p>
      <w:pPr>
        <w:numPr>
          <w:ilvl w:val="2"/>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eastAsia="宋体" w:cs="宋体"/>
          <w:sz w:val="24"/>
          <w:highlight w:val="none"/>
        </w:rPr>
      </w:pPr>
      <w:r>
        <w:rPr>
          <w:rFonts w:hint="eastAsia" w:ascii="宋体" w:hAnsi="宋体" w:eastAsia="宋体" w:cs="宋体"/>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eastAsia="宋体" w:cs="宋体"/>
          <w:sz w:val="24"/>
          <w:highlight w:val="none"/>
        </w:rPr>
      </w:pPr>
      <w:r>
        <w:rPr>
          <w:rFonts w:hint="eastAsia" w:ascii="宋体" w:hAnsi="宋体" w:eastAsia="宋体" w:cs="宋体"/>
          <w:sz w:val="24"/>
          <w:highlight w:val="none"/>
        </w:rPr>
        <w:t xml:space="preserve">□最低评标价法，指投标文件满足招标文件全部实质性要求，且投标报价最低的投标人为中标候选人的评标方法。</w:t>
      </w:r>
      <w:r/>
    </w:p>
    <w:p>
      <w:pPr>
        <w:numPr>
          <w:ilvl w:val="2"/>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□其他方式，具体要求：</w:t>
      </w:r>
      <w:r>
        <w:rPr>
          <w:rFonts w:hint="eastAsia" w:ascii="宋体" w:hAnsi="宋体" w:eastAsia="宋体" w:cs="宋体"/>
          <w:sz w:val="24"/>
          <w:highlight w:val="none"/>
          <w:u w:val="single"/>
        </w:rPr>
        <w:t xml:space="preserve">/</w:t>
      </w:r>
      <w:r/>
    </w:p>
    <w:p>
      <w:pPr>
        <w:numPr>
          <w:ilvl w:val="2"/>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w:t>
      </w:r>
      <w:r/>
    </w:p>
    <w:p>
      <w:pPr>
        <w:numPr>
          <w:ilvl w:val="2"/>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eastAsia="宋体" w:cs="宋体"/>
          <w:sz w:val="24"/>
          <w:highlight w:val="none"/>
        </w:rPr>
      </w:pPr>
      <w:r>
        <w:rPr>
          <w:rFonts w:hint="eastAsia" w:ascii="宋体" w:hAnsi="宋体" w:eastAsia="宋体" w:cs="宋体"/>
          <w:sz w:val="24"/>
          <w:highlight w:val="none"/>
        </w:rPr>
        <w:t xml:space="preserve">关于无线局域网认证产品政府采购清单中的产品，优先采购的具体规定（如涉及）</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w:t>
      </w:r>
      <w:r/>
    </w:p>
    <w:p>
      <w:pPr>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确定</w:t>
      </w:r>
      <w:bookmarkStart w:id="783" w:name="_Toc265228384"/>
      <w:r/>
      <w:bookmarkStart w:id="784" w:name="_Toc149720839"/>
      <w:r/>
      <w:bookmarkStart w:id="785" w:name="_Toc226309790"/>
      <w:r/>
      <w:bookmarkStart w:id="786" w:name="_Toc151193644"/>
      <w:r/>
      <w:bookmarkStart w:id="787" w:name="_Toc151193788"/>
      <w:r/>
      <w:bookmarkStart w:id="788" w:name="_Toc127161460"/>
      <w:r/>
      <w:bookmarkStart w:id="789" w:name="_Toc151193860"/>
      <w:r/>
      <w:bookmarkStart w:id="790" w:name="_Toc151193934"/>
      <w:r/>
      <w:bookmarkStart w:id="791" w:name="_Toc142311048"/>
      <w:r/>
      <w:bookmarkStart w:id="792" w:name="_Toc226965819"/>
      <w:r/>
      <w:bookmarkStart w:id="793" w:name="_Toc164229387"/>
      <w:r/>
      <w:bookmarkStart w:id="794" w:name="_Toc195842911"/>
      <w:r/>
      <w:bookmarkStart w:id="795" w:name="_Toc226337242"/>
      <w:r/>
      <w:bookmarkStart w:id="796" w:name="_Toc264969236"/>
      <w:r/>
      <w:bookmarkStart w:id="797" w:name="_Toc150509297"/>
      <w:r/>
      <w:bookmarkStart w:id="798" w:name="_Toc164229241"/>
      <w:r/>
      <w:bookmarkStart w:id="799" w:name="_Toc150480784"/>
      <w:r/>
      <w:bookmarkStart w:id="800" w:name="_Ref467307010"/>
      <w:r/>
      <w:bookmarkStart w:id="801" w:name="_Toc164351640"/>
      <w:r/>
      <w:bookmarkStart w:id="802" w:name="_Toc127151747"/>
      <w:r/>
      <w:bookmarkStart w:id="803" w:name="_Toc305158888"/>
      <w:r/>
      <w:bookmarkStart w:id="804" w:name="_Toc150774646"/>
      <w:r/>
      <w:bookmarkStart w:id="805" w:name="_Toc127151546"/>
      <w:r/>
      <w:bookmarkStart w:id="806" w:name="_Toc150774751"/>
      <w:r/>
      <w:bookmarkStart w:id="807" w:name="_Toc305158814"/>
      <w:r/>
      <w:bookmarkStart w:id="808" w:name="_Toc151193716"/>
      <w:r/>
      <w:bookmarkStart w:id="809" w:name="_Toc164608815"/>
      <w:r/>
      <w:bookmarkStart w:id="810" w:name="_Toc151190173"/>
      <w:r/>
      <w:bookmarkStart w:id="811" w:name="_Toc164608660"/>
      <w:r/>
      <w:bookmarkStart w:id="812" w:name="_Toc226965736"/>
      <w:r/>
      <w:bookmarkStart w:id="813" w:name="_Toc520356170"/>
      <w:r>
        <w:rPr>
          <w:rFonts w:hint="eastAsia" w:ascii="宋体" w:hAnsi="宋体" w:eastAsia="宋体" w:cs="宋体"/>
          <w:b/>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3"/>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76"/>
        <w:ind w:firstLine="480"/>
        <w:spacing w:line="360" w:lineRule="auto"/>
        <w:tabs>
          <w:tab w:val="left" w:pos="0" w:leader="none"/>
          <w:tab w:val="left" w:pos="567" w:leader="none"/>
          <w:tab w:val="left" w:pos="2127" w:leader="none"/>
        </w:tabs>
        <w:rPr>
          <w:rFonts w:hint="eastAsia" w:ascii="宋体" w:hAnsi="宋体" w:eastAsia="宋体" w:cs="宋体"/>
          <w:sz w:val="24"/>
          <w:szCs w:val="24"/>
          <w:highlight w:val="none"/>
        </w:rPr>
      </w:pPr>
      <w:r>
        <w:rPr>
          <w:rFonts w:hint="eastAsia" w:ascii="宋体" w:hAnsi="宋体" w:eastAsia="宋体" w:cs="宋体"/>
          <w:sz w:val="24"/>
          <w:highlight w:val="none"/>
        </w:rPr>
        <w:t xml:space="preserve">■</w:t>
      </w:r>
      <w:r>
        <w:rPr>
          <w:rFonts w:hint="eastAsia" w:ascii="宋体" w:hAnsi="宋体" w:eastAsia="宋体" w:cs="宋体"/>
          <w:sz w:val="24"/>
          <w:szCs w:val="24"/>
          <w:highlight w:val="none"/>
        </w:rPr>
        <w:t xml:space="preserve">随机抽取</w:t>
      </w:r>
      <w:r/>
    </w:p>
    <w:p>
      <w:pPr>
        <w:pStyle w:val="1076"/>
        <w:ind w:firstLine="480"/>
        <w:spacing w:line="360" w:lineRule="auto"/>
        <w:tabs>
          <w:tab w:val="left" w:pos="0" w:leader="none"/>
          <w:tab w:val="left" w:pos="567" w:leader="none"/>
          <w:tab w:val="left" w:pos="212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□其他方式，具体要求：</w:t>
      </w:r>
      <w:r>
        <w:rPr>
          <w:rFonts w:hint="eastAsia" w:ascii="宋体" w:hAnsi="宋体" w:eastAsia="宋体" w:cs="宋体"/>
          <w:sz w:val="24"/>
          <w:highlight w:val="none"/>
          <w:u w:val="single"/>
        </w:rPr>
        <w:t xml:space="preserve">/</w:t>
      </w:r>
      <w:r/>
    </w:p>
    <w:p>
      <w:pPr>
        <w:numPr>
          <w:ilvl w:val="1"/>
          <w:numId w:val="13"/>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w:t>
      </w:r>
      <w:r>
        <w:rPr>
          <w:rFonts w:hint="eastAsia" w:ascii="宋体" w:hAnsi="宋体" w:eastAsia="宋体" w:cs="宋体"/>
          <w:sz w:val="24"/>
          <w:highlight w:val="none"/>
          <w:lang w:val="en-US" w:eastAsia="zh-CN"/>
        </w:rPr>
        <w:t xml:space="preserve">第一</w:t>
      </w:r>
      <w:r>
        <w:rPr>
          <w:rFonts w:hint="eastAsia" w:ascii="宋体" w:hAnsi="宋体" w:eastAsia="宋体" w:cs="宋体"/>
          <w:sz w:val="24"/>
          <w:highlight w:val="none"/>
        </w:rPr>
        <w:t xml:space="preserve">的投标人为中标候选人。评分分值计算保留小数点后两位，第三位四舍五入。</w:t>
      </w:r>
      <w:r/>
    </w:p>
    <w:p>
      <w:pPr>
        <w:numPr>
          <w:ilvl w:val="1"/>
          <w:numId w:val="13"/>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3"/>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评标委员会要对评分汇总情况进行复核，特别是对排名第一的、报价最低的、投标或响应文件被认定为无效的情形进行重点复核。</w:t>
      </w:r>
      <w:r/>
    </w:p>
    <w:p>
      <w:pPr>
        <w:numPr>
          <w:ilvl w:val="1"/>
          <w:numId w:val="13"/>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eastAsia="宋体" w:cs="宋体"/>
          <w:b/>
          <w:sz w:val="24"/>
          <w:highlight w:val="none"/>
        </w:rPr>
        <w:outlineLvl w:val="1"/>
      </w:pPr>
      <w:r>
        <w:rPr>
          <w:rFonts w:hint="eastAsia" w:ascii="宋体" w:hAnsi="宋体" w:eastAsia="宋体" w:cs="宋体"/>
          <w:b/>
          <w:sz w:val="24"/>
          <w:highlight w:val="none"/>
        </w:rPr>
        <w:t xml:space="preserve">报告违法行为</w:t>
      </w:r>
      <w:r/>
    </w:p>
    <w:p>
      <w:pPr>
        <w:numPr>
          <w:ilvl w:val="1"/>
          <w:numId w:val="13"/>
        </w:numPr>
        <w:ind w:left="0" w:firstLine="480"/>
        <w:spacing w:line="360" w:lineRule="auto"/>
        <w:tabs>
          <w:tab w:val="left" w:pos="0" w:leader="none"/>
          <w:tab w:val="left" w:pos="567" w:leader="none"/>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评标委员会在评标过程中发现投标人有行贿、提供虚假材料或者串通等违法行为时，有向采购人、采购代理机构或者有关部门报告的职责。</w:t>
      </w:r>
      <w:r/>
    </w:p>
    <w:p>
      <w:pPr>
        <w:ind w:firstLine="482"/>
        <w:jc w:val="left"/>
        <w:widowControl/>
        <w:tabs>
          <w:tab w:val="left" w:pos="0" w:leader="none"/>
          <w:tab w:val="left" w:pos="567" w:leader="none"/>
        </w:tabs>
        <w:rPr>
          <w:rFonts w:hint="eastAsia" w:ascii="宋体" w:hAnsi="宋体" w:eastAsia="宋体" w:cs="宋体"/>
          <w:b/>
          <w:sz w:val="24"/>
          <w:highlight w:val="none"/>
        </w:rPr>
      </w:pPr>
      <w:r>
        <w:rPr>
          <w:rFonts w:hint="eastAsia" w:ascii="宋体" w:hAnsi="宋体" w:eastAsia="宋体" w:cs="宋体"/>
          <w:b/>
          <w:sz w:val="24"/>
          <w:highlight w:val="none"/>
        </w:rPr>
        <w:br w:type="page" w:clear="all"/>
      </w:r>
      <w:r/>
    </w:p>
    <w:p>
      <w:pPr>
        <w:jc w:val="center"/>
        <w:spacing w:line="360" w:lineRule="auto"/>
        <w:tabs>
          <w:tab w:val="left" w:pos="360" w:leader="none"/>
          <w:tab w:val="left" w:pos="900" w:leader="none"/>
        </w:tabs>
        <w:rPr>
          <w:rFonts w:hint="eastAsia" w:ascii="宋体" w:hAnsi="宋体" w:eastAsia="宋体" w:cs="宋体"/>
          <w:b/>
          <w:highlight w:val="none"/>
          <w:lang w:eastAsia="zh-CN"/>
        </w:rPr>
        <w:outlineLvl w:val="1"/>
      </w:pPr>
      <w:r/>
      <w:bookmarkStart w:id="814" w:name="_Toc99301425"/>
      <w:r>
        <w:rPr>
          <w:rFonts w:hint="eastAsia" w:ascii="宋体" w:hAnsi="宋体" w:eastAsia="宋体" w:cs="宋体"/>
          <w:b/>
          <w:sz w:val="24"/>
          <w:highlight w:val="none"/>
        </w:rPr>
        <w:t xml:space="preserve">二、评标标准</w:t>
      </w:r>
      <w:r/>
    </w:p>
    <w:tbl>
      <w:tblPr>
        <w:tblStyle w:val="86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409"/>
        <w:gridCol w:w="877"/>
        <w:gridCol w:w="3837"/>
        <w:gridCol w:w="2355"/>
      </w:tblGrid>
      <w:tr>
        <w:trPr/>
        <w:tc>
          <w:tcPr>
            <w:tcW w:w="433" w:type="pct"/>
            <w:vAlign w:val="center"/>
            <w:textDirection w:val="lrTb"/>
            <w:noWrap w:val="false"/>
          </w:tcPr>
          <w:p>
            <w:pPr>
              <w:ind w:firstLine="28"/>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759" w:type="pct"/>
            <w:vAlign w:val="center"/>
            <w:textDirection w:val="lrTb"/>
            <w:noWrap w:val="false"/>
          </w:tcPr>
          <w:p>
            <w:pPr>
              <w:ind w:firstLine="28"/>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评分因素</w:t>
            </w:r>
            <w:r/>
          </w:p>
        </w:tc>
        <w:tc>
          <w:tcPr>
            <w:tcW w:w="472" w:type="pct"/>
            <w:vAlign w:val="center"/>
            <w:textDirection w:val="lrTb"/>
            <w:noWrap w:val="false"/>
          </w:tcPr>
          <w:p>
            <w:pPr>
              <w:ind w:firstLine="28"/>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W w:w="2066" w:type="pct"/>
            <w:vAlign w:val="center"/>
            <w:textDirection w:val="lrTb"/>
            <w:noWrap w:val="false"/>
          </w:tcPr>
          <w:p>
            <w:pPr>
              <w:ind w:firstLine="28"/>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评分标准</w:t>
            </w:r>
            <w:r/>
          </w:p>
        </w:tc>
        <w:tc>
          <w:tcPr>
            <w:tcW w:w="1267" w:type="pct"/>
            <w:vAlign w:val="center"/>
            <w:textDirection w:val="lrTb"/>
            <w:noWrap w:val="false"/>
          </w:tcPr>
          <w:p>
            <w:pPr>
              <w:pStyle w:val="1281"/>
              <w:spacing w:before="0" w:after="0" w:line="24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trHeight w:val="631"/>
        </w:trPr>
        <w:tc>
          <w:tcPr>
            <w:tcW w:w="433" w:type="pct"/>
            <w:vAlign w:val="center"/>
            <w:textDirection w:val="lrTb"/>
            <w:noWrap w:val="false"/>
          </w:tcPr>
          <w:p>
            <w:pPr>
              <w:ind w:firstLine="28"/>
              <w:jc w:val="center"/>
              <w:rPr>
                <w:rFonts w:hint="eastAsia" w:ascii="宋体" w:hAnsi="宋体" w:eastAsia="宋体" w:cs="宋体"/>
                <w:b/>
                <w:color w:val="auto"/>
                <w:sz w:val="24"/>
                <w:highlight w:val="none"/>
              </w:rPr>
            </w:pPr>
            <w:r>
              <w:rPr>
                <w:rFonts w:hint="eastAsia" w:ascii="宋体" w:hAnsi="宋体" w:eastAsia="宋体" w:cs="宋体"/>
                <w:b w:val="0"/>
                <w:bCs/>
                <w:color w:val="auto"/>
                <w:sz w:val="24"/>
                <w:highlight w:val="none"/>
              </w:rPr>
              <w:t xml:space="preserve">1</w:t>
            </w:r>
            <w:r/>
          </w:p>
        </w:tc>
        <w:tc>
          <w:tcPr>
            <w:tcW w:w="759"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价格分</w:t>
            </w:r>
            <w:r/>
          </w:p>
        </w:tc>
        <w:tc>
          <w:tcPr>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30</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满足招标文件要求且投标价格最低的投标报价为评标基准价，其价格分为满分。其他投标人的价格分统一按照下列公式计算：</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投标报价得分＝（评标基准价/投标报价）×分值。</w:t>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此处投标报价指经过报价修正，及因落实政府采购政策进行价格调整后的报价，详见第三章《评标方法和评标标准》2.4及2.5。</w:t>
            </w:r>
            <w:r/>
          </w:p>
        </w:tc>
      </w:tr>
      <w:tr>
        <w:trPr>
          <w:trHeight w:val="661"/>
        </w:trPr>
        <w:tc>
          <w:tcPr>
            <w:tcW w:w="433"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759"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主观分</w:t>
            </w:r>
            <w:r/>
          </w:p>
        </w:tc>
        <w:tc>
          <w:tcPr>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28</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7"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759"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服务团队方案</w:t>
            </w:r>
            <w:r/>
          </w:p>
        </w:tc>
        <w:tc>
          <w:tcPr>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结合本招标文件采购需求组建日常服务团队。</w:t>
            </w:r>
            <w:r/>
          </w:p>
          <w:p>
            <w:pPr>
              <w:ind w:firstLine="0"/>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相关分析指标包括：承保环节负责人及理赔环节负责人；成员项目经验，服务团队职责明晰；提供投诉监督方式；利用经营网点配合团队提供服务等内容</w:t>
            </w:r>
            <w:r>
              <w:rPr>
                <w:rFonts w:hint="eastAsia" w:ascii="宋体" w:hAnsi="宋体" w:eastAsia="宋体" w:cs="宋体"/>
                <w:color w:val="auto"/>
                <w:sz w:val="24"/>
                <w:szCs w:val="24"/>
                <w:highlight w:val="none"/>
                <w:lang w:eastAsia="zh-CN"/>
              </w:rPr>
              <w:t xml:space="preserve">。</w:t>
            </w:r>
            <w:r/>
          </w:p>
          <w:p>
            <w:pPr>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方案符合采购需求、团队建设合理、可操作性强的，得6分；</w:t>
            </w:r>
            <w:r/>
          </w:p>
          <w:p>
            <w:pPr>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方案较符合采购需求、团队建设较合理、有一定可操作性的得4分；</w:t>
            </w:r>
            <w:r/>
          </w:p>
          <w:p>
            <w:pPr>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方案与采购需求有差异、团队建设不尽合理、可操作性一般的，得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未提供方案的不得分。</w:t>
            </w:r>
            <w:r/>
          </w:p>
        </w:tc>
        <w:tc>
          <w:tcPr>
            <w:tcW w:w="1267" w:type="pct"/>
            <w:vAlign w:val="center"/>
            <w:textDirection w:val="lrTb"/>
            <w:noWrap w:val="false"/>
          </w:tcPr>
          <w:p>
            <w:pPr>
              <w:ind w:firstLine="2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lang w:val="en-US" w:eastAsia="zh-CN"/>
              </w:rPr>
              <w:t xml:space="preserve">提供</w:t>
            </w:r>
            <w:r>
              <w:rPr>
                <w:rFonts w:hint="eastAsia" w:ascii="宋体" w:hAnsi="宋体" w:eastAsia="宋体" w:cs="宋体"/>
                <w:color w:val="auto"/>
                <w:highlight w:val="none"/>
                <w:lang w:val="en-US" w:eastAsia="zh-CN"/>
              </w:rPr>
              <w:t xml:space="preserve">相关</w:t>
            </w:r>
            <w:r>
              <w:rPr>
                <w:rFonts w:hint="eastAsia" w:ascii="宋体" w:hAnsi="宋体" w:eastAsia="宋体" w:cs="宋体"/>
                <w:color w:val="auto"/>
                <w:highlight w:val="none"/>
                <w:lang w:val="en-US" w:eastAsia="zh-CN"/>
              </w:rPr>
              <w:t xml:space="preserve">方案</w:t>
            </w:r>
            <w:r>
              <w:rPr>
                <w:rFonts w:hint="eastAsia" w:ascii="宋体" w:hAnsi="宋体" w:eastAsia="宋体" w:cs="宋体"/>
                <w:color w:val="auto"/>
                <w:highlight w:val="none"/>
                <w:lang w:val="en-US" w:eastAsia="zh-CN"/>
              </w:rPr>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w:t>
            </w:r>
            <w:r/>
          </w:p>
        </w:tc>
        <w:tc>
          <w:tcPr>
            <w:tcW w:w="759"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承保服务方案</w:t>
            </w:r>
            <w:r/>
          </w:p>
        </w:tc>
        <w:tc>
          <w:tcPr>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结合本招标文件采购需求，制定合理内部承保方案</w:t>
            </w:r>
            <w:r>
              <w:rPr>
                <w:rFonts w:hint="eastAsia" w:ascii="宋体" w:hAnsi="宋体" w:eastAsia="宋体" w:cs="宋体"/>
                <w:color w:val="auto"/>
                <w:sz w:val="24"/>
                <w:highlight w:val="none"/>
                <w:lang w:eastAsia="zh-CN"/>
              </w:rPr>
              <w:t xml:space="preserve">。</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相关分析指标包括：依法合规核保；准确及时出单；投保服务便捷、高效等内容。</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方案符合采购需求、设计合理、可操作性强的，得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方案较符合采购需求、设计较合理、有一定可操作性的，得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方案与采购需求有差异、设计不尽合理、可操作性一般的，得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未提供方案的不得分。</w:t>
            </w:r>
            <w:r/>
          </w:p>
        </w:tc>
        <w:tc>
          <w:tcPr>
            <w:tcW w:w="1267" w:type="pct"/>
            <w:vAlign w:val="center"/>
            <w:textDirection w:val="lrTb"/>
            <w:noWrap w:val="false"/>
          </w:tcPr>
          <w:p>
            <w:pPr>
              <w:ind w:firstLine="2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lang w:val="en-US" w:eastAsia="zh-CN"/>
              </w:rPr>
              <w:t xml:space="preserve">提供</w:t>
            </w:r>
            <w:r>
              <w:rPr>
                <w:rFonts w:hint="eastAsia" w:ascii="宋体" w:hAnsi="宋体" w:eastAsia="宋体" w:cs="宋体"/>
                <w:color w:val="auto"/>
                <w:highlight w:val="none"/>
                <w:lang w:val="en-US" w:eastAsia="zh-CN"/>
              </w:rPr>
              <w:t xml:space="preserve">相关</w:t>
            </w:r>
            <w:r>
              <w:rPr>
                <w:rFonts w:hint="eastAsia" w:ascii="宋体" w:hAnsi="宋体" w:eastAsia="宋体" w:cs="宋体"/>
                <w:color w:val="auto"/>
                <w:highlight w:val="none"/>
                <w:lang w:val="en-US" w:eastAsia="zh-CN"/>
              </w:rPr>
              <w:t xml:space="preserve">方案</w:t>
            </w:r>
            <w:r>
              <w:rPr>
                <w:rFonts w:hint="eastAsia" w:ascii="宋体" w:hAnsi="宋体" w:eastAsia="宋体" w:cs="宋体"/>
                <w:color w:val="auto"/>
                <w:highlight w:val="none"/>
                <w:lang w:val="en-US" w:eastAsia="zh-CN"/>
              </w:rPr>
            </w:r>
            <w:r/>
          </w:p>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w:t>
            </w:r>
            <w:r/>
          </w:p>
        </w:tc>
        <w:tc>
          <w:tcPr>
            <w:tcW w:w="759"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理赔服务方案</w:t>
            </w:r>
            <w:r/>
          </w:p>
        </w:tc>
        <w:tc>
          <w:tcPr>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结合本招标文件采购需求，提供高效理赔服务。</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相关分析指标包括：理赔服务流程；限时支付承诺；持续完善的措施等内容。</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方案符合采购需求、设计合理、可操作性强的，得8分；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方案较符合采购需求、设计较合理、有一定可操作性的，得5分；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方案与采购需求有差异、设计不尽合理、可操作性一般的，得2分；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未提供方案的不得分。</w:t>
            </w:r>
            <w:r/>
          </w:p>
        </w:tc>
        <w:tc>
          <w:tcPr>
            <w:tcW w:w="1267" w:type="pct"/>
            <w:vAlign w:val="center"/>
            <w:textDirection w:val="lrTb"/>
            <w:noWrap w:val="false"/>
          </w:tcPr>
          <w:p>
            <w:pPr>
              <w:ind w:firstLine="2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lang w:val="en-US" w:eastAsia="zh-CN"/>
              </w:rPr>
              <w:t xml:space="preserve">提供</w:t>
            </w:r>
            <w:r>
              <w:rPr>
                <w:rFonts w:hint="eastAsia" w:ascii="宋体" w:hAnsi="宋体" w:eastAsia="宋体" w:cs="宋体"/>
                <w:color w:val="auto"/>
                <w:highlight w:val="none"/>
                <w:lang w:val="en-US" w:eastAsia="zh-CN"/>
              </w:rPr>
              <w:t xml:space="preserve">相关</w:t>
            </w:r>
            <w:r>
              <w:rPr>
                <w:rFonts w:hint="eastAsia" w:ascii="宋体" w:hAnsi="宋体" w:eastAsia="宋体" w:cs="宋体"/>
                <w:color w:val="auto"/>
                <w:highlight w:val="none"/>
                <w:lang w:val="en-US" w:eastAsia="zh-CN"/>
              </w:rPr>
              <w:t xml:space="preserve">方案</w:t>
            </w:r>
            <w:r>
              <w:rPr>
                <w:rFonts w:hint="eastAsia" w:ascii="宋体" w:hAnsi="宋体" w:eastAsia="宋体" w:cs="宋体"/>
                <w:color w:val="auto"/>
                <w:highlight w:val="none"/>
                <w:lang w:val="en-US" w:eastAsia="zh-CN"/>
              </w:rPr>
            </w:r>
            <w:r/>
          </w:p>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w:t>
            </w:r>
            <w:r/>
          </w:p>
        </w:tc>
        <w:tc>
          <w:tcPr>
            <w:tcW w:w="759"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重大、疑难案件服务方案</w:t>
            </w:r>
            <w:r/>
          </w:p>
        </w:tc>
        <w:tc>
          <w:tcPr>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投标人根据自身对项目的理解设计重大、疑难案件服务方案（重大、疑难案件指赔偿金额30万以上或在媒体、人群等公众舆论面等播撒或责任界定困难的案件）。</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服务方案针对性、完善性、科学性、可行性强的，得6分；                                        </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方案完善性、科学性、可行性一般的，得4分；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方案不完整、针对性、科学性、可行性欠缺的，得2分；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未提供方案的不得分。</w:t>
            </w:r>
            <w:r/>
          </w:p>
        </w:tc>
        <w:tc>
          <w:tcPr>
            <w:tcW w:w="1267" w:type="pct"/>
            <w:vAlign w:val="center"/>
            <w:textDirection w:val="lrTb"/>
            <w:noWrap w:val="false"/>
          </w:tcPr>
          <w:p>
            <w:pPr>
              <w:ind w:firstLine="2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lang w:val="en-US" w:eastAsia="zh-CN"/>
              </w:rPr>
              <w:t xml:space="preserve">提供</w:t>
            </w:r>
            <w:r>
              <w:rPr>
                <w:rFonts w:hint="eastAsia" w:ascii="宋体" w:hAnsi="宋体" w:eastAsia="宋体" w:cs="宋体"/>
                <w:color w:val="auto"/>
                <w:highlight w:val="none"/>
                <w:lang w:val="en-US" w:eastAsia="zh-CN"/>
              </w:rPr>
              <w:t xml:space="preserve">相关</w:t>
            </w:r>
            <w:r>
              <w:rPr>
                <w:rFonts w:hint="eastAsia" w:ascii="宋体" w:hAnsi="宋体" w:eastAsia="宋体" w:cs="宋体"/>
                <w:color w:val="auto"/>
                <w:highlight w:val="none"/>
                <w:lang w:val="en-US" w:eastAsia="zh-CN"/>
              </w:rPr>
              <w:t xml:space="preserve">方案</w:t>
            </w:r>
            <w:r>
              <w:rPr>
                <w:rFonts w:hint="eastAsia" w:ascii="宋体" w:hAnsi="宋体" w:eastAsia="宋体" w:cs="宋体"/>
                <w:color w:val="auto"/>
                <w:highlight w:val="none"/>
                <w:lang w:val="en-US" w:eastAsia="zh-CN"/>
              </w:rPr>
            </w:r>
            <w:r/>
          </w:p>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21"/>
        </w:trPr>
        <w:tc>
          <w:tcPr>
            <w:tcW w:w="433"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759"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客观分</w:t>
            </w:r>
            <w:r/>
          </w:p>
        </w:tc>
        <w:tc>
          <w:tcPr>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42</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433"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1</w:t>
            </w:r>
            <w:r/>
          </w:p>
        </w:tc>
        <w:tc>
          <w:tcPr>
            <w:tcW w:w="759"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综合偿付能力</w:t>
            </w:r>
            <w:r/>
          </w:p>
        </w:tc>
        <w:tc>
          <w:tcPr>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w:t>
            </w:r>
            <w:r/>
          </w:p>
        </w:tc>
        <w:tc>
          <w:tcPr>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投标人所属总公司综合偿付能力：</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年第</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季度各供应商总公司综合偿付能力充足率进行评分：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综合偿付能力充足率≥250%，得</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250%＞综合偿付能力充足率≥200%，得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200%＞综合偿付能力充足率≥150%，得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150%＞综合偿付能力充足率的不得分。</w:t>
            </w:r>
            <w:r/>
          </w:p>
        </w:tc>
        <w:tc>
          <w:tcPr>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提供中国保险行业协会官网信息披露栏中202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年第</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季度偿付能力报告摘要扫描件或复印件。</w:t>
            </w:r>
            <w:r/>
          </w:p>
        </w:tc>
      </w:tr>
      <w:tr>
        <w:trPr/>
        <w:tc>
          <w:tcPr>
            <w:tcBorders>
              <w:left w:val="single" w:color="auto" w:sz="4" w:space="0"/>
              <w:bottom w:val="single" w:color="auto" w:sz="4" w:space="0"/>
            </w:tcBorders>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2</w:t>
            </w:r>
            <w:r/>
          </w:p>
        </w:tc>
        <w:tc>
          <w:tcPr>
            <w:tcBorders>
              <w:bottom w:val="single" w:color="auto" w:sz="4" w:space="0"/>
            </w:tcBorders>
            <w:tcW w:w="759"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投标人或其当地的分支机构202</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月1日以来类似险种的承保经验</w:t>
            </w:r>
            <w:r/>
          </w:p>
        </w:tc>
        <w:tc>
          <w:tcPr>
            <w:tcBorders>
              <w:bottom w:val="single" w:color="auto" w:sz="4" w:space="0"/>
            </w:tcBorders>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18</w:t>
            </w:r>
            <w:r/>
          </w:p>
        </w:tc>
        <w:tc>
          <w:tcPr>
            <w:tcBorders>
              <w:bottom w:val="single" w:color="auto" w:sz="4" w:space="0"/>
            </w:tcBorders>
            <w:tcW w:w="2066" w:type="pct"/>
            <w:vAlign w:val="center"/>
            <w:textDirection w:val="lrTb"/>
            <w:noWrap w:val="false"/>
          </w:tcPr>
          <w:p>
            <w:pPr>
              <w:ind w:left="0" w:firstLine="0"/>
              <w:jc w:val="left"/>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有财产综合险</w:t>
            </w:r>
            <w:r>
              <w:rPr>
                <w:rFonts w:hint="eastAsia" w:ascii="宋体" w:hAnsi="宋体" w:cs="宋体"/>
                <w:color w:val="auto"/>
                <w:sz w:val="24"/>
                <w:highlight w:val="none"/>
                <w:lang w:val="en-US" w:eastAsia="zh-CN"/>
              </w:rPr>
              <w:t xml:space="preserve">业绩</w:t>
            </w:r>
            <w:r>
              <w:rPr>
                <w:rFonts w:hint="eastAsia" w:ascii="宋体" w:hAnsi="宋体" w:eastAsia="宋体" w:cs="宋体"/>
                <w:color w:val="auto"/>
                <w:sz w:val="24"/>
                <w:highlight w:val="none"/>
              </w:rPr>
              <w:t xml:space="preserve">的，每有一</w:t>
            </w:r>
            <w:r>
              <w:rPr>
                <w:rFonts w:hint="eastAsia" w:ascii="宋体" w:hAnsi="宋体" w:cs="宋体"/>
                <w:color w:val="auto"/>
                <w:sz w:val="24"/>
                <w:highlight w:val="none"/>
                <w:lang w:val="en-US" w:eastAsia="zh-CN"/>
              </w:rPr>
              <w:t xml:space="preserve">个</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有机器损坏险</w:t>
            </w:r>
            <w:r>
              <w:rPr>
                <w:rFonts w:hint="eastAsia" w:ascii="宋体" w:hAnsi="宋体" w:cs="宋体"/>
                <w:color w:val="auto"/>
                <w:sz w:val="24"/>
                <w:highlight w:val="none"/>
                <w:lang w:val="en-US" w:eastAsia="zh-CN"/>
              </w:rPr>
              <w:t xml:space="preserve">业绩</w:t>
            </w:r>
            <w:r>
              <w:rPr>
                <w:rFonts w:hint="eastAsia" w:ascii="宋体" w:hAnsi="宋体" w:eastAsia="宋体" w:cs="宋体"/>
                <w:color w:val="auto"/>
                <w:sz w:val="24"/>
                <w:highlight w:val="none"/>
              </w:rPr>
              <w:t xml:space="preserve">的，每有一</w:t>
            </w:r>
            <w:r>
              <w:rPr>
                <w:rFonts w:hint="eastAsia" w:ascii="宋体" w:hAnsi="宋体" w:cs="宋体"/>
                <w:color w:val="auto"/>
                <w:sz w:val="24"/>
                <w:highlight w:val="none"/>
                <w:lang w:val="en-US" w:eastAsia="zh-CN"/>
              </w:rPr>
              <w:t xml:space="preserve">个</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有医疗责任保险</w:t>
            </w:r>
            <w:r>
              <w:rPr>
                <w:rFonts w:hint="eastAsia" w:ascii="宋体" w:hAnsi="宋体" w:cs="宋体"/>
                <w:color w:val="auto"/>
                <w:sz w:val="24"/>
                <w:highlight w:val="none"/>
                <w:lang w:val="en-US" w:eastAsia="zh-CN"/>
              </w:rPr>
              <w:t xml:space="preserve">业绩</w:t>
            </w:r>
            <w:r>
              <w:rPr>
                <w:rFonts w:hint="eastAsia" w:ascii="宋体" w:hAnsi="宋体" w:eastAsia="宋体" w:cs="宋体"/>
                <w:color w:val="auto"/>
                <w:sz w:val="24"/>
                <w:highlight w:val="none"/>
              </w:rPr>
              <w:t xml:space="preserve">的，每有一</w:t>
            </w:r>
            <w:r>
              <w:rPr>
                <w:rFonts w:hint="eastAsia" w:ascii="宋体" w:hAnsi="宋体" w:cs="宋体"/>
                <w:color w:val="auto"/>
                <w:sz w:val="24"/>
                <w:highlight w:val="none"/>
                <w:lang w:val="en-US" w:eastAsia="zh-CN"/>
              </w:rPr>
              <w:t xml:space="preserve">个</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本项最高得</w:t>
            </w: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rPr>
              <w:t xml:space="preserve">分。</w:t>
            </w:r>
            <w:r/>
          </w:p>
        </w:tc>
        <w:tc>
          <w:tcPr>
            <w:tcBorders>
              <w:bottom w:val="single" w:color="auto" w:sz="4" w:space="0"/>
              <w:right w:val="single" w:color="auto" w:sz="4" w:space="0"/>
            </w:tcBorders>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提供202</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月1日以来的保险合同或保单的扫描件。</w:t>
            </w:r>
            <w:r/>
          </w:p>
        </w:tc>
      </w:tr>
      <w:tr>
        <w:trPr>
          <w:trHeight w:val="1790"/>
        </w:trPr>
        <w:tc>
          <w:tcPr>
            <w:tcBorders>
              <w:top w:val="single" w:color="auto" w:sz="4" w:space="0"/>
              <w:left w:val="single" w:color="auto" w:sz="4" w:space="0"/>
              <w:bottom w:val="single" w:color="auto" w:sz="4" w:space="0"/>
            </w:tcBorders>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3</w:t>
            </w:r>
            <w:r/>
          </w:p>
        </w:tc>
        <w:tc>
          <w:tcPr>
            <w:tcBorders>
              <w:top w:val="single" w:color="auto" w:sz="4" w:space="0"/>
              <w:bottom w:val="single" w:color="auto" w:sz="4" w:space="0"/>
            </w:tcBorders>
            <w:tcW w:w="759" w:type="pct"/>
            <w:vAlign w:val="center"/>
            <w:vMerge w:val="restart"/>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服务保障能力</w:t>
            </w:r>
            <w:r/>
          </w:p>
        </w:tc>
        <w:tc>
          <w:tcPr>
            <w:tcBorders>
              <w:top w:val="single" w:color="auto" w:sz="4" w:space="0"/>
              <w:bottom w:val="single" w:color="auto" w:sz="4" w:space="0"/>
            </w:tcBorders>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c>
          <w:tcPr>
            <w:tcBorders>
              <w:top w:val="single" w:color="auto" w:sz="4" w:space="0"/>
              <w:bottom w:val="single" w:color="auto" w:sz="4" w:space="0"/>
            </w:tcBorders>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电话服务保障：</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承诺中标30日内为本项目开设专属7*24服务电话的得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bottom w:val="single" w:color="auto" w:sz="4" w:space="0"/>
              <w:right w:val="single" w:color="auto" w:sz="4" w:space="0"/>
            </w:tcBorders>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w:t>
            </w:r>
            <w:r>
              <w:rPr>
                <w:rFonts w:hint="eastAsia" w:ascii="宋体" w:hAnsi="宋体" w:cs="宋体"/>
                <w:color w:val="auto"/>
                <w:sz w:val="24"/>
                <w:highlight w:val="none"/>
                <w:lang w:val="en-US" w:eastAsia="zh-CN"/>
              </w:rPr>
              <w:t xml:space="preserve">承诺函</w:t>
            </w:r>
            <w:r/>
          </w:p>
        </w:tc>
      </w:tr>
      <w:tr>
        <w:trPr/>
        <w:tc>
          <w:tcPr>
            <w:tcBorders>
              <w:top w:val="single" w:color="auto" w:sz="4" w:space="0"/>
              <w:left w:val="single" w:color="auto" w:sz="4" w:space="0"/>
            </w:tcBorders>
            <w:tcW w:w="433"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3.4</w:t>
            </w:r>
            <w:r/>
          </w:p>
        </w:tc>
        <w:tc>
          <w:tcPr>
            <w:tcBorders>
              <w:top w:val="single" w:color="auto" w:sz="4" w:space="0"/>
            </w:tcBorders>
            <w:tcW w:w="759" w:type="pct"/>
            <w:vAlign w:val="center"/>
            <w:vMerge w:val="continue"/>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Borders>
              <w:top w:val="single" w:color="auto" w:sz="4" w:space="0"/>
            </w:tcBorders>
            <w:tcW w:w="472" w:type="pct"/>
            <w:vAlign w:val="center"/>
            <w:textDirection w:val="lrTb"/>
            <w:noWrap w:val="false"/>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c>
          <w:tcPr>
            <w:tcBorders>
              <w:top w:val="single" w:color="auto" w:sz="4" w:space="0"/>
            </w:tcBorders>
            <w:tcW w:w="2066" w:type="pct"/>
            <w:vAlign w:val="center"/>
            <w:textDirection w:val="lrTb"/>
            <w:noWrap w:val="false"/>
          </w:tcPr>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服务网点保障：</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1.投标人在项目所在地设有服务网点得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2.承诺中标30日内在项目所在地设置服务网点的得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格式自拟）</w:t>
            </w:r>
            <w:r>
              <w:rPr>
                <w:rFonts w:hint="eastAsia" w:ascii="宋体" w:hAnsi="宋体" w:eastAsia="宋体" w:cs="宋体"/>
                <w:color w:val="auto"/>
                <w:sz w:val="24"/>
                <w:highlight w:val="none"/>
              </w:rPr>
              <w:t xml:space="preserve">。</w:t>
            </w:r>
            <w:r/>
          </w:p>
          <w:p>
            <w:pPr>
              <w:ind w:firstLine="0"/>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本项目最高</w:t>
            </w:r>
            <w:r>
              <w:rPr>
                <w:rFonts w:hint="eastAsia" w:ascii="宋体" w:hAnsi="宋体" w:cs="宋体"/>
                <w:color w:val="auto"/>
                <w:sz w:val="24"/>
                <w:highlight w:val="none"/>
                <w:lang w:val="en-US" w:eastAsia="zh-CN"/>
              </w:rPr>
              <w:t xml:space="preserve">得6</w:t>
            </w:r>
            <w:r>
              <w:rPr>
                <w:rFonts w:hint="eastAsia" w:ascii="宋体" w:hAnsi="宋体" w:eastAsia="宋体" w:cs="宋体"/>
                <w:color w:val="auto"/>
                <w:sz w:val="24"/>
                <w:highlight w:val="none"/>
              </w:rPr>
              <w:t xml:space="preserve">分。</w:t>
            </w:r>
            <w:r/>
          </w:p>
        </w:tc>
        <w:tc>
          <w:tcPr>
            <w:tcBorders>
              <w:top w:val="single" w:color="auto" w:sz="4" w:space="0"/>
              <w:right w:val="single" w:color="auto" w:sz="4" w:space="0"/>
            </w:tcBorders>
            <w:tcW w:w="1267" w:type="pct"/>
            <w:vAlign w:val="center"/>
            <w:textDirection w:val="lrTb"/>
            <w:noWrap w:val="false"/>
          </w:tcPr>
          <w:p>
            <w:pPr>
              <w:ind w:left="-3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所设网点有效的营业执照和保险业务许可证原件扫描件或承诺函加盖公章，未提供的或资料不全的或无效的不得分。</w:t>
            </w:r>
            <w:r/>
          </w:p>
        </w:tc>
      </w:tr>
      <w:tr>
        <w:trPr>
          <w:trHeight w:val="701"/>
        </w:trPr>
        <w:tc>
          <w:tcPr>
            <w:gridSpan w:val="2"/>
            <w:tcW w:w="1192"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tcW w:w="472" w:type="pct"/>
            <w:vAlign w:val="center"/>
            <w:textDirection w:val="lrTb"/>
            <w:noWrap w:val="false"/>
          </w:tcPr>
          <w:p>
            <w:pPr>
              <w:ind w:firstLine="28"/>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w:t>
            </w:r>
            <w:r/>
          </w:p>
        </w:tc>
        <w:tc>
          <w:tcPr>
            <w:gridSpan w:val="2"/>
            <w:tcW w:w="333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both"/>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clear="all"/>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第五章   采购需求</w:t>
      </w:r>
      <w:r/>
    </w:p>
    <w:p>
      <w:pPr>
        <w:pStyle w:val="1131"/>
        <w:numPr>
          <w:ilvl w:val="0"/>
          <w:numId w:val="0"/>
        </w:numPr>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rPr>
        <w:t xml:space="preserve">项目背景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为构建和谐医患关系，创建“平安医院”，进一步建立完善医疗风险分担机制和医疗纠纷一体化处理模式，</w:t>
      </w:r>
      <w:r>
        <w:rPr>
          <w:rFonts w:hint="eastAsia" w:ascii="宋体" w:hAnsi="宋体" w:cs="宋体"/>
          <w:color w:val="000000"/>
          <w:sz w:val="24"/>
          <w:szCs w:val="24"/>
          <w:highlight w:val="none"/>
          <w:lang w:val="en-US" w:eastAsia="zh-CN"/>
        </w:rPr>
        <w:t xml:space="preserve">拟采购</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202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年度</w:t>
      </w:r>
      <w:r>
        <w:rPr>
          <w:rFonts w:hint="eastAsia" w:ascii="宋体" w:hAnsi="宋体" w:cs="宋体"/>
          <w:color w:val="000000"/>
          <w:sz w:val="24"/>
          <w:szCs w:val="24"/>
          <w:highlight w:val="none"/>
          <w:lang w:eastAsia="zh-CN"/>
        </w:rPr>
        <w:t xml:space="preserve">常州市第二人民医院</w:t>
      </w:r>
      <w:r>
        <w:rPr>
          <w:rFonts w:hint="eastAsia" w:ascii="宋体" w:hAnsi="宋体" w:eastAsia="宋体" w:cs="宋体"/>
          <w:sz w:val="24"/>
          <w:szCs w:val="24"/>
          <w:highlight w:val="none"/>
        </w:rPr>
        <w:t xml:space="preserve">医疗责任险、财产险项目</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本项目由采购人委托的第三方保险经纪公司制定详细实施方案并经采购人确认后负责具体实施。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医院正在建立完善医疗风险分担机制，提高患者、医疗机构及医务人员防御医疗风险的能力，保护医患双方合法权益。医院鼓励患者参加医疗意外保险（由患者自愿参保），鼓励医师参加执业责任保险（由医生投保），同时医院将积极整合院内保险资源，鼓励承保医责险的保险公司积极参与以上项目。 </w:t>
      </w:r>
      <w:r/>
    </w:p>
    <w:p>
      <w:pPr>
        <w:pStyle w:val="1131"/>
        <w:numPr>
          <w:ilvl w:val="0"/>
          <w:numId w:val="0"/>
        </w:numPr>
        <w:contextualSpacing/>
        <w:ind w:left="-2" w:firstLine="482"/>
        <w:spacing w:line="360" w:lineRule="auto"/>
        <w:tabs>
          <w:tab w:val="left" w:pos="567" w:leader="none"/>
        </w:tabs>
        <w:rPr>
          <w:rFonts w:hint="eastAsia" w:ascii="宋体" w:hAnsi="宋体"/>
          <w:b/>
          <w:color w:val="000000"/>
          <w:sz w:val="24"/>
          <w:szCs w:val="24"/>
          <w:highlight w:val="red"/>
          <w:lang w:val="en-US" w:eastAsia="zh-CN"/>
        </w:rPr>
      </w:pPr>
      <w:r>
        <w:rPr>
          <w:rFonts w:ascii="宋体" w:hAnsi="宋体"/>
          <w:b/>
          <w:color w:val="000000"/>
          <w:sz w:val="24"/>
          <w:szCs w:val="24"/>
          <w:highlight w:val="none"/>
          <w:lang w:val="en-US" w:eastAsia="zh-CN" w:bidi="ar-SA"/>
        </w:rPr>
        <w:t xml:space="preserve">二、</w:t>
      </w:r>
      <w:r>
        <w:rPr>
          <w:rFonts w:hint="eastAsia" w:ascii="宋体" w:hAnsi="宋体"/>
          <w:b/>
          <w:color w:val="000000"/>
          <w:sz w:val="24"/>
          <w:szCs w:val="24"/>
          <w:highlight w:val="none"/>
          <w:lang w:val="en-US" w:eastAsia="zh-CN"/>
        </w:rPr>
        <w:t xml:space="preserve">项目内容及要求</w:t>
      </w:r>
      <w:r/>
    </w:p>
    <w:p>
      <w:pPr>
        <w:pStyle w:val="1131"/>
        <w:numPr>
          <w:ilvl w:val="0"/>
          <w:numId w:val="0"/>
        </w:numPr>
        <w:contextualSpacing/>
        <w:ind w:left="-2" w:firstLine="482"/>
        <w:spacing w:line="360" w:lineRule="auto"/>
        <w:tabs>
          <w:tab w:val="left" w:pos="567" w:leader="none"/>
        </w:tabs>
        <w:rPr>
          <w:rFonts w:hint="default"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（一）服务内容</w:t>
      </w:r>
      <w:r/>
    </w:p>
    <w:p>
      <w:pPr>
        <w:ind w:right="210" w:firstLine="488"/>
        <w:spacing w:line="360"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1.中标保险人在本项目承保理赔工作中，严格遵守国家法律法规、行业监管规定，廉洁自律、依法合规经营。</w:t>
      </w:r>
      <w:r/>
    </w:p>
    <w:p>
      <w:pPr>
        <w:ind w:left="-4" w:firstLine="428"/>
        <w:spacing w:line="360" w:lineRule="auto"/>
        <w:rPr>
          <w:rFonts w:hint="eastAsia" w:ascii="宋体" w:hAnsi="宋体" w:eastAsia="宋体" w:cs="宋体"/>
          <w:b/>
          <w:bCs/>
          <w:color w:val="000000"/>
          <w:spacing w:val="2"/>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pacing w:val="2"/>
          <w:sz w:val="24"/>
          <w:szCs w:val="24"/>
          <w:highlight w:val="none"/>
          <w:lang w:val="en-US" w:eastAsia="zh-CN"/>
        </w:rPr>
        <w:t xml:space="preserve">2.</w:t>
      </w:r>
      <w:r>
        <w:rPr>
          <w:rFonts w:hint="eastAsia" w:ascii="宋体" w:hAnsi="宋体" w:eastAsia="宋体" w:cs="宋体"/>
          <w:b/>
          <w:bCs/>
          <w:color w:val="000000"/>
          <w:spacing w:val="2"/>
          <w:sz w:val="24"/>
          <w:szCs w:val="24"/>
          <w:highlight w:val="none"/>
        </w:rPr>
        <w:t xml:space="preserve">投标文件中医疗责任保险（附加医疗机构场所责任险、附加医务人员遭受伤害责任保险）、财产险（包括财产综合险、机器设备损坏险）的保险条款及费率，在中标后30日内向国家金融监督管理总局（原中国银行保险监督管理委员会）报备。</w:t>
      </w:r>
      <w:r>
        <w:rPr>
          <w:rFonts w:hint="eastAsia" w:ascii="宋体" w:hAnsi="宋体" w:eastAsia="宋体" w:cs="宋体"/>
          <w:b/>
          <w:bCs/>
          <w:color w:val="000000"/>
          <w:spacing w:val="2"/>
          <w:sz w:val="24"/>
          <w:szCs w:val="24"/>
          <w:highlight w:val="none"/>
          <w:u w:val="single"/>
          <w:lang w:eastAsia="zh-CN"/>
        </w:rPr>
        <w:t xml:space="preserve">（</w:t>
      </w:r>
      <w:r>
        <w:rPr>
          <w:rFonts w:hint="eastAsia" w:ascii="宋体" w:hAnsi="宋体" w:eastAsia="宋体" w:cs="宋体"/>
          <w:b/>
          <w:bCs/>
          <w:color w:val="000000"/>
          <w:spacing w:val="2"/>
          <w:sz w:val="24"/>
          <w:szCs w:val="24"/>
          <w:highlight w:val="none"/>
          <w:u w:val="single"/>
          <w:lang w:val="en-US" w:eastAsia="zh-CN"/>
        </w:rPr>
        <w:t xml:space="preserve">提供承诺函</w:t>
      </w:r>
      <w:r>
        <w:rPr>
          <w:rFonts w:hint="eastAsia" w:ascii="宋体" w:hAnsi="宋体" w:eastAsia="宋体" w:cs="宋体"/>
          <w:b/>
          <w:bCs/>
          <w:color w:val="000000"/>
          <w:spacing w:val="2"/>
          <w:sz w:val="24"/>
          <w:szCs w:val="24"/>
          <w:highlight w:val="none"/>
          <w:u w:val="single"/>
          <w:lang w:eastAsia="zh-CN"/>
        </w:rPr>
        <w:t xml:space="preserve">）</w:t>
      </w:r>
      <w:r/>
    </w:p>
    <w:p>
      <w:pPr>
        <w:ind w:left="-4" w:firstLine="428"/>
        <w:spacing w:line="360" w:lineRule="auto"/>
        <w:rPr>
          <w:rFonts w:hint="eastAsia" w:ascii="宋体" w:hAnsi="宋体" w:eastAsia="宋体" w:cs="宋体"/>
          <w:b/>
          <w:bCs/>
          <w:color w:val="000000"/>
          <w:spacing w:val="2"/>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pacing w:val="2"/>
          <w:sz w:val="24"/>
          <w:szCs w:val="24"/>
          <w:highlight w:val="none"/>
          <w:lang w:val="en-US" w:eastAsia="zh-CN"/>
        </w:rPr>
        <w:t xml:space="preserve">3.本保险项目所涉保险责任自202</w:t>
      </w:r>
      <w:r>
        <w:rPr>
          <w:rFonts w:hint="eastAsia" w:ascii="宋体" w:hAnsi="宋体" w:cs="宋体"/>
          <w:b/>
          <w:bCs/>
          <w:color w:val="000000"/>
          <w:spacing w:val="2"/>
          <w:sz w:val="24"/>
          <w:szCs w:val="24"/>
          <w:highlight w:val="none"/>
          <w:lang w:val="en-US" w:eastAsia="zh-CN"/>
        </w:rPr>
        <w:t xml:space="preserve">6</w:t>
      </w:r>
      <w:r>
        <w:rPr>
          <w:rFonts w:hint="eastAsia" w:ascii="宋体" w:hAnsi="宋体" w:eastAsia="宋体" w:cs="宋体"/>
          <w:b/>
          <w:bCs/>
          <w:color w:val="000000"/>
          <w:spacing w:val="2"/>
          <w:sz w:val="24"/>
          <w:szCs w:val="24"/>
          <w:highlight w:val="none"/>
          <w:lang w:val="en-US" w:eastAsia="zh-CN"/>
        </w:rPr>
        <w:t xml:space="preserve">年04月23日零时起，自上述期限起发生合同约定的符合采购需求的保险事故均由承保保险公司承担理赔责任。</w:t>
      </w:r>
      <w:r>
        <w:rPr>
          <w:rFonts w:hint="eastAsia" w:ascii="宋体" w:hAnsi="宋体" w:eastAsia="宋体" w:cs="宋体"/>
          <w:b/>
          <w:bCs/>
          <w:color w:val="000000"/>
          <w:spacing w:val="2"/>
          <w:sz w:val="24"/>
          <w:szCs w:val="24"/>
          <w:highlight w:val="none"/>
          <w:u w:val="single"/>
          <w:lang w:eastAsia="zh-CN"/>
        </w:rPr>
        <w:t xml:space="preserve">（</w:t>
      </w:r>
      <w:r>
        <w:rPr>
          <w:rFonts w:hint="eastAsia" w:ascii="宋体" w:hAnsi="宋体" w:eastAsia="宋体" w:cs="宋体"/>
          <w:b/>
          <w:bCs/>
          <w:color w:val="000000"/>
          <w:spacing w:val="2"/>
          <w:sz w:val="24"/>
          <w:szCs w:val="24"/>
          <w:highlight w:val="none"/>
          <w:u w:val="single"/>
          <w:lang w:val="en-US" w:eastAsia="zh-CN"/>
        </w:rPr>
        <w:t xml:space="preserve">提供承诺函</w:t>
      </w:r>
      <w:r>
        <w:rPr>
          <w:rFonts w:hint="eastAsia" w:ascii="宋体" w:hAnsi="宋体" w:cs="宋体"/>
          <w:b/>
          <w:bCs/>
          <w:color w:val="000000"/>
          <w:spacing w:val="2"/>
          <w:sz w:val="24"/>
          <w:szCs w:val="24"/>
          <w:highlight w:val="none"/>
          <w:u w:val="single"/>
          <w:lang w:val="en-US" w:eastAsia="zh-CN"/>
        </w:rPr>
        <w:t xml:space="preserve"> </w:t>
      </w:r>
      <w:r>
        <w:rPr>
          <w:rFonts w:hint="eastAsia" w:ascii="宋体" w:hAnsi="宋体" w:eastAsia="宋体" w:cs="宋体"/>
          <w:b/>
          <w:bCs/>
          <w:color w:val="000000"/>
          <w:spacing w:val="2"/>
          <w:sz w:val="24"/>
          <w:szCs w:val="24"/>
          <w:highlight w:val="none"/>
          <w:u w:val="single"/>
          <w:lang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pacing w:val="2"/>
          <w:sz w:val="24"/>
          <w:szCs w:val="24"/>
          <w:highlight w:val="none"/>
          <w:lang w:val="en-US" w:eastAsia="zh-CN"/>
        </w:rPr>
        <w:t xml:space="preserve">保单应按年度签订。对中途投保不足一年的，应按实际投保天数计算（日保费=年保险费÷365天）。</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4</w:t>
      </w:r>
      <w:r>
        <w:rPr>
          <w:rFonts w:hint="eastAsia" w:ascii="宋体" w:hAnsi="宋体" w:eastAsia="宋体" w:cs="宋体"/>
          <w:spacing w:val="2"/>
          <w:sz w:val="24"/>
          <w:szCs w:val="24"/>
          <w:highlight w:val="none"/>
        </w:rPr>
        <w:t xml:space="preserve">.投保服务</w:t>
      </w:r>
      <w:r/>
    </w:p>
    <w:p>
      <w:pPr>
        <w:ind w:left="-4" w:firstLine="428"/>
        <w:spacing w:line="440" w:lineRule="exact"/>
        <w:rPr>
          <w:rFonts w:hint="default"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rPr>
        <w:t xml:space="preserve">采购人委托的第三方保险经纪公司上门收集投保人相关投保资料，</w:t>
      </w:r>
      <w:r>
        <w:rPr>
          <w:rFonts w:hint="eastAsia" w:ascii="宋体" w:hAnsi="宋体" w:eastAsia="宋体" w:cs="宋体"/>
          <w:color w:val="000000"/>
          <w:spacing w:val="2"/>
          <w:sz w:val="24"/>
          <w:szCs w:val="24"/>
          <w:highlight w:val="none"/>
        </w:rPr>
        <w:t xml:space="preserve">保险人</w:t>
      </w:r>
      <w:r>
        <w:rPr>
          <w:rFonts w:hint="eastAsia" w:ascii="宋体" w:hAnsi="宋体" w:eastAsia="宋体" w:cs="宋体"/>
          <w:spacing w:val="2"/>
          <w:sz w:val="24"/>
          <w:szCs w:val="24"/>
          <w:highlight w:val="none"/>
        </w:rPr>
        <w:t xml:space="preserve">在收到完整投保资料后5个工作日内完成核保、出具</w:t>
      </w:r>
      <w:r>
        <w:rPr>
          <w:rFonts w:hint="eastAsia" w:ascii="宋体" w:hAnsi="宋体" w:cs="宋体"/>
          <w:spacing w:val="2"/>
          <w:sz w:val="24"/>
          <w:szCs w:val="24"/>
          <w:highlight w:val="none"/>
          <w:lang w:val="en-US" w:eastAsia="zh-CN"/>
        </w:rPr>
        <w:t xml:space="preserve">投保单</w:t>
      </w:r>
      <w:r>
        <w:rPr>
          <w:rFonts w:hint="eastAsia" w:ascii="宋体" w:hAnsi="宋体" w:eastAsia="宋体" w:cs="宋体"/>
          <w:spacing w:val="2"/>
          <w:sz w:val="24"/>
          <w:szCs w:val="24"/>
          <w:highlight w:val="none"/>
        </w:rPr>
        <w:t xml:space="preserve">、发票（或缴费通知书）。采购人委托的第三方保险经纪公司上门将</w:t>
      </w:r>
      <w:r>
        <w:rPr>
          <w:rFonts w:hint="eastAsia" w:ascii="宋体" w:hAnsi="宋体" w:cs="宋体"/>
          <w:spacing w:val="2"/>
          <w:sz w:val="24"/>
          <w:szCs w:val="24"/>
          <w:highlight w:val="none"/>
          <w:lang w:val="en-US" w:eastAsia="zh-CN"/>
        </w:rPr>
        <w:t xml:space="preserve">投保材料</w:t>
      </w:r>
      <w:r>
        <w:rPr>
          <w:rFonts w:hint="eastAsia" w:ascii="宋体" w:hAnsi="宋体" w:eastAsia="宋体" w:cs="宋体"/>
          <w:spacing w:val="2"/>
          <w:sz w:val="24"/>
          <w:szCs w:val="24"/>
          <w:highlight w:val="none"/>
        </w:rPr>
        <w:t xml:space="preserve">及时交给投保人。</w:t>
      </w:r>
      <w:r>
        <w:rPr>
          <w:rFonts w:hint="eastAsia" w:ascii="宋体" w:hAnsi="宋体" w:cs="宋体"/>
          <w:spacing w:val="2"/>
          <w:sz w:val="24"/>
          <w:szCs w:val="24"/>
          <w:highlight w:val="none"/>
          <w:lang w:val="en-US" w:eastAsia="zh-CN"/>
        </w:rPr>
        <w:t xml:space="preserve">投保人应</w:t>
      </w:r>
      <w:r>
        <w:rPr>
          <w:rFonts w:hint="eastAsia" w:ascii="宋体" w:hAnsi="宋体" w:eastAsia="宋体" w:cs="宋体"/>
          <w:spacing w:val="2"/>
          <w:sz w:val="24"/>
          <w:szCs w:val="24"/>
          <w:highlight w:val="none"/>
        </w:rPr>
        <w:t xml:space="preserve">及时</w:t>
      </w:r>
      <w:r>
        <w:rPr>
          <w:rFonts w:hint="eastAsia" w:ascii="宋体" w:hAnsi="宋体" w:cs="宋体"/>
          <w:spacing w:val="2"/>
          <w:sz w:val="24"/>
          <w:szCs w:val="24"/>
          <w:highlight w:val="none"/>
          <w:lang w:val="en-US" w:eastAsia="zh-CN"/>
        </w:rPr>
        <w:t xml:space="preserve">办理投保手续并按时缴纳</w:t>
      </w:r>
      <w:r>
        <w:rPr>
          <w:rFonts w:hint="eastAsia" w:ascii="宋体" w:hAnsi="宋体" w:eastAsia="宋体" w:cs="宋体"/>
          <w:spacing w:val="2"/>
          <w:sz w:val="24"/>
          <w:szCs w:val="24"/>
          <w:highlight w:val="none"/>
        </w:rPr>
        <w:t xml:space="preserve">保险费</w:t>
      </w:r>
      <w:r>
        <w:rPr>
          <w:rFonts w:hint="eastAsia" w:ascii="宋体" w:hAnsi="宋体" w:cs="宋体"/>
          <w:spacing w:val="2"/>
          <w:sz w:val="24"/>
          <w:szCs w:val="24"/>
          <w:highlight w:val="none"/>
          <w:lang w:eastAsia="zh-CN"/>
        </w:rPr>
        <w:t xml:space="preserve">，</w:t>
      </w:r>
      <w:r>
        <w:rPr>
          <w:rFonts w:hint="eastAsia" w:ascii="宋体" w:hAnsi="宋体" w:cs="宋体"/>
          <w:spacing w:val="2"/>
          <w:sz w:val="24"/>
          <w:szCs w:val="24"/>
          <w:highlight w:val="none"/>
          <w:lang w:val="en-US" w:eastAsia="zh-CN"/>
        </w:rPr>
        <w:t xml:space="preserve">投保人未按时缴纳保费的详见采购合同相关约定</w:t>
      </w:r>
      <w:r>
        <w:rPr>
          <w:rFonts w:hint="eastAsia" w:ascii="宋体" w:hAnsi="宋体" w:cs="宋体"/>
          <w:spacing w:val="2"/>
          <w:sz w:val="24"/>
          <w:szCs w:val="24"/>
          <w:highlight w:val="none"/>
          <w:lang w:eastAsia="zh-CN"/>
        </w:rPr>
        <w:t xml:space="preserve">。</w:t>
      </w:r>
      <w:r>
        <w:rPr>
          <w:rFonts w:hint="eastAsia" w:ascii="宋体" w:hAnsi="宋体" w:cs="宋体"/>
          <w:spacing w:val="2"/>
          <w:sz w:val="24"/>
          <w:szCs w:val="24"/>
          <w:highlight w:val="none"/>
          <w:lang w:val="en-US" w:eastAsia="zh-CN"/>
        </w:rPr>
        <w:t xml:space="preserve">保险人在收到投保材料及保费后3个工作日出具保单、发票。</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5</w:t>
      </w:r>
      <w:r>
        <w:rPr>
          <w:rFonts w:hint="eastAsia" w:ascii="宋体" w:hAnsi="宋体" w:eastAsia="宋体" w:cs="宋体"/>
          <w:spacing w:val="2"/>
          <w:sz w:val="24"/>
          <w:szCs w:val="24"/>
          <w:highlight w:val="none"/>
        </w:rPr>
        <w:t xml:space="preserve">.理赔服务</w:t>
      </w:r>
      <w:r/>
    </w:p>
    <w:p>
      <w:pPr>
        <w:ind w:firstLine="488"/>
        <w:spacing w:line="360" w:lineRule="auto"/>
        <w:rPr>
          <w:rFonts w:hint="eastAsia" w:ascii="宋体" w:hAnsi="宋体" w:eastAsia="宋体" w:cs="宋体"/>
          <w:color w:val="000000"/>
          <w:spacing w:val="2"/>
          <w:sz w:val="24"/>
          <w:szCs w:val="24"/>
          <w:highlight w:val="none"/>
        </w:rPr>
      </w:pPr>
      <w:r>
        <w:rPr>
          <w:rFonts w:hint="eastAsia" w:ascii="宋体" w:hAnsi="宋体" w:cs="宋体"/>
          <w:spacing w:val="2"/>
          <w:sz w:val="24"/>
          <w:szCs w:val="24"/>
          <w:highlight w:val="none"/>
          <w:lang w:val="en-US" w:eastAsia="zh-CN"/>
        </w:rPr>
        <w:t xml:space="preserve">5</w:t>
      </w:r>
      <w:r>
        <w:rPr>
          <w:rFonts w:hint="eastAsia" w:ascii="宋体" w:hAnsi="宋体" w:eastAsia="宋体" w:cs="宋体"/>
          <w:spacing w:val="2"/>
          <w:sz w:val="24"/>
          <w:szCs w:val="24"/>
          <w:highlight w:val="none"/>
        </w:rPr>
        <w:t xml:space="preserve">.1  发生保险事故后，</w:t>
      </w:r>
      <w:r>
        <w:rPr>
          <w:rFonts w:hint="eastAsia" w:ascii="宋体" w:hAnsi="宋体" w:eastAsia="宋体" w:cs="宋体"/>
          <w:color w:val="000000"/>
          <w:spacing w:val="2"/>
          <w:sz w:val="24"/>
          <w:szCs w:val="24"/>
          <w:highlight w:val="none"/>
        </w:rPr>
        <w:fldChar w:fldCharType="begin"/>
      </w:r>
      <w:r>
        <w:rPr>
          <w:rFonts w:hint="eastAsia" w:ascii="宋体" w:hAnsi="宋体" w:eastAsia="宋体" w:cs="宋体"/>
          <w:color w:val="000000"/>
          <w:spacing w:val="2"/>
          <w:sz w:val="24"/>
          <w:szCs w:val="24"/>
          <w:highlight w:val="none"/>
        </w:rPr>
        <w:instrText xml:space="preserve"> = 1 \* GB3 \* MERGEFORMAT </w:instrText>
      </w:r>
      <w:r>
        <w:rPr>
          <w:rFonts w:hint="eastAsia" w:ascii="宋体" w:hAnsi="宋体" w:eastAsia="宋体" w:cs="宋体"/>
          <w:color w:val="000000"/>
          <w:spacing w:val="2"/>
          <w:sz w:val="24"/>
          <w:szCs w:val="24"/>
          <w:highlight w:val="none"/>
        </w:rPr>
        <w:fldChar w:fldCharType="separate"/>
      </w:r>
      <w:r>
        <w:rPr>
          <w:rFonts w:hint="eastAsia" w:ascii="宋体" w:hAnsi="宋体" w:eastAsia="宋体" w:cs="宋体"/>
          <w:color w:val="000000"/>
          <w:spacing w:val="2"/>
          <w:sz w:val="24"/>
          <w:szCs w:val="24"/>
          <w:highlight w:val="none"/>
        </w:rPr>
        <w:t xml:space="preserve">①</w:t>
      </w:r>
      <w:r>
        <w:rPr>
          <w:rFonts w:hint="eastAsia" w:ascii="宋体" w:hAnsi="宋体" w:eastAsia="宋体" w:cs="宋体"/>
          <w:color w:val="000000"/>
          <w:spacing w:val="2"/>
          <w:sz w:val="24"/>
          <w:szCs w:val="24"/>
          <w:highlight w:val="none"/>
        </w:rPr>
        <w:fldChar w:fldCharType="end"/>
      </w:r>
      <w:r>
        <w:rPr>
          <w:rFonts w:hint="eastAsia" w:ascii="宋体" w:hAnsi="宋体" w:eastAsia="宋体" w:cs="宋体"/>
          <w:color w:val="000000"/>
          <w:spacing w:val="2"/>
          <w:sz w:val="24"/>
          <w:szCs w:val="24"/>
          <w:highlight w:val="none"/>
        </w:rPr>
        <w:t xml:space="preserve">被保险人及时向采购人委托的第三方保险经纪公司报案；</w:t>
      </w:r>
      <w:r>
        <w:rPr>
          <w:rFonts w:hint="eastAsia" w:ascii="宋体" w:hAnsi="宋体" w:eastAsia="宋体" w:cs="宋体"/>
          <w:color w:val="000000"/>
          <w:spacing w:val="2"/>
          <w:sz w:val="24"/>
          <w:szCs w:val="24"/>
          <w:highlight w:val="none"/>
        </w:rPr>
        <w:fldChar w:fldCharType="begin"/>
      </w:r>
      <w:r>
        <w:rPr>
          <w:rFonts w:hint="eastAsia" w:ascii="宋体" w:hAnsi="宋体" w:eastAsia="宋体" w:cs="宋体"/>
          <w:color w:val="000000"/>
          <w:spacing w:val="2"/>
          <w:sz w:val="24"/>
          <w:szCs w:val="24"/>
          <w:highlight w:val="none"/>
        </w:rPr>
        <w:instrText xml:space="preserve"> = 2 \* GB3 \* MERGEFORMAT </w:instrText>
      </w:r>
      <w:r>
        <w:rPr>
          <w:rFonts w:hint="eastAsia" w:ascii="宋体" w:hAnsi="宋体" w:eastAsia="宋体" w:cs="宋体"/>
          <w:color w:val="000000"/>
          <w:spacing w:val="2"/>
          <w:sz w:val="24"/>
          <w:szCs w:val="24"/>
          <w:highlight w:val="none"/>
        </w:rPr>
        <w:fldChar w:fldCharType="separate"/>
      </w:r>
      <w:r>
        <w:rPr>
          <w:rFonts w:hint="eastAsia" w:ascii="宋体" w:hAnsi="宋体" w:eastAsia="宋体" w:cs="宋体"/>
          <w:color w:val="000000"/>
          <w:spacing w:val="2"/>
          <w:sz w:val="24"/>
          <w:szCs w:val="24"/>
          <w:highlight w:val="none"/>
        </w:rPr>
        <w:t xml:space="preserve">②</w:t>
      </w:r>
      <w:r>
        <w:rPr>
          <w:rFonts w:hint="eastAsia" w:ascii="宋体" w:hAnsi="宋体" w:eastAsia="宋体" w:cs="宋体"/>
          <w:color w:val="000000"/>
          <w:spacing w:val="2"/>
          <w:sz w:val="24"/>
          <w:szCs w:val="24"/>
          <w:highlight w:val="none"/>
        </w:rPr>
        <w:fldChar w:fldCharType="end"/>
      </w:r>
      <w:r>
        <w:rPr>
          <w:rFonts w:hint="eastAsia" w:ascii="宋体" w:hAnsi="宋体" w:eastAsia="宋体" w:cs="宋体"/>
          <w:color w:val="000000"/>
          <w:spacing w:val="2"/>
          <w:sz w:val="24"/>
          <w:szCs w:val="24"/>
          <w:highlight w:val="none"/>
        </w:rPr>
        <w:t xml:space="preserve">采购人委托的第三方保险经纪公司及时将相关被保险人的理赔申请材料送达保险人；</w:t>
      </w:r>
      <w:r>
        <w:rPr>
          <w:rFonts w:hint="eastAsia" w:ascii="宋体" w:hAnsi="宋体" w:eastAsia="宋体" w:cs="宋体"/>
          <w:color w:val="000000"/>
          <w:spacing w:val="2"/>
          <w:sz w:val="24"/>
          <w:szCs w:val="24"/>
          <w:highlight w:val="none"/>
        </w:rPr>
        <w:fldChar w:fldCharType="begin"/>
      </w:r>
      <w:r>
        <w:rPr>
          <w:rFonts w:hint="eastAsia" w:ascii="宋体" w:hAnsi="宋体" w:eastAsia="宋体" w:cs="宋体"/>
          <w:color w:val="000000"/>
          <w:spacing w:val="2"/>
          <w:sz w:val="24"/>
          <w:szCs w:val="24"/>
          <w:highlight w:val="none"/>
        </w:rPr>
        <w:instrText xml:space="preserve"> = 3 \* GB3 \* MERGEFORMAT </w:instrText>
      </w:r>
      <w:r>
        <w:rPr>
          <w:rFonts w:hint="eastAsia" w:ascii="宋体" w:hAnsi="宋体" w:eastAsia="宋体" w:cs="宋体"/>
          <w:color w:val="000000"/>
          <w:spacing w:val="2"/>
          <w:sz w:val="24"/>
          <w:szCs w:val="24"/>
          <w:highlight w:val="none"/>
        </w:rPr>
        <w:fldChar w:fldCharType="separate"/>
      </w:r>
      <w:r>
        <w:rPr>
          <w:rFonts w:hint="eastAsia" w:ascii="宋体" w:hAnsi="宋体" w:eastAsia="宋体" w:cs="宋体"/>
          <w:color w:val="000000"/>
          <w:spacing w:val="2"/>
          <w:sz w:val="24"/>
          <w:szCs w:val="24"/>
          <w:highlight w:val="none"/>
        </w:rPr>
        <w:t xml:space="preserve">③</w:t>
      </w:r>
      <w:r>
        <w:rPr>
          <w:rFonts w:hint="eastAsia" w:ascii="宋体" w:hAnsi="宋体" w:eastAsia="宋体" w:cs="宋体"/>
          <w:color w:val="000000"/>
          <w:spacing w:val="2"/>
          <w:sz w:val="24"/>
          <w:szCs w:val="24"/>
          <w:highlight w:val="none"/>
        </w:rPr>
        <w:fldChar w:fldCharType="end"/>
      </w:r>
      <w:r>
        <w:rPr>
          <w:rFonts w:hint="eastAsia" w:ascii="宋体" w:hAnsi="宋体" w:eastAsia="宋体" w:cs="宋体"/>
          <w:color w:val="000000"/>
          <w:spacing w:val="2"/>
          <w:sz w:val="24"/>
          <w:szCs w:val="24"/>
          <w:highlight w:val="none"/>
        </w:rPr>
        <w:t xml:space="preserve">保险人在收到案件理赔申请后，根据条款及相关特别约定，</w:t>
      </w:r>
      <w:r>
        <w:rPr>
          <w:rFonts w:hint="eastAsia" w:ascii="宋体" w:hAnsi="宋体" w:eastAsia="宋体" w:cs="宋体"/>
          <w:spacing w:val="2"/>
          <w:sz w:val="24"/>
          <w:szCs w:val="24"/>
          <w:highlight w:val="none"/>
        </w:rPr>
        <w:t xml:space="preserve">按其工作流程审核相关材料并在特别约定的时限内提出处理意见，材料齐全后</w:t>
      </w:r>
      <w:r>
        <w:rPr>
          <w:rFonts w:hint="eastAsia" w:ascii="宋体" w:hAnsi="宋体" w:eastAsia="宋体" w:cs="宋体"/>
          <w:color w:val="000000"/>
          <w:spacing w:val="2"/>
          <w:sz w:val="24"/>
          <w:szCs w:val="24"/>
          <w:highlight w:val="none"/>
        </w:rPr>
        <w:t xml:space="preserve">及时结案并足额理赔；④保险人在完成每个理赔案例后5个工作日内，将赔付款项的付款凭证（如：银行出具的汇款凭证）提交给被保险人，由被保险人存档以备查。</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5</w:t>
      </w:r>
      <w:r>
        <w:rPr>
          <w:rFonts w:hint="eastAsia" w:ascii="宋体" w:hAnsi="宋体" w:eastAsia="宋体" w:cs="宋体"/>
          <w:spacing w:val="2"/>
          <w:sz w:val="24"/>
          <w:szCs w:val="24"/>
          <w:highlight w:val="none"/>
        </w:rPr>
        <w:t xml:space="preserve">.2  除非有合理和足够的证据证明，保险人不得以任何理由推卸、拖延甚至拒绝被保险人索赔的要求，否则其行为构成违约，并须承担违约责任。保险人未按特别约定相关条款的要求完成赔付的，在减去约定结案天数后按赔偿金额的0.657‰/日×实际滞纳天数计算滞纳金赔付给被保险人，并承担由此造成的其他损失。</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5</w:t>
      </w:r>
      <w:r>
        <w:rPr>
          <w:rFonts w:hint="eastAsia" w:ascii="宋体" w:hAnsi="宋体" w:eastAsia="宋体" w:cs="宋体"/>
          <w:spacing w:val="2"/>
          <w:sz w:val="24"/>
          <w:szCs w:val="24"/>
          <w:highlight w:val="none"/>
        </w:rPr>
        <w:t xml:space="preserve">.3  若因工程施工、抢险需要或者因诊疗、抢救病人的机器设备急需立即维修，导致被保险人因特殊情况无法报案或无法及时报案，有材料证明事故属于本保险项目保障范围的，保险人应当正常理赔。</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5</w:t>
      </w:r>
      <w:r>
        <w:rPr>
          <w:rFonts w:hint="eastAsia" w:ascii="宋体" w:hAnsi="宋体" w:eastAsia="宋体" w:cs="宋体"/>
          <w:spacing w:val="2"/>
          <w:sz w:val="24"/>
          <w:szCs w:val="24"/>
          <w:highlight w:val="none"/>
        </w:rPr>
        <w:t xml:space="preserve">.4  被保险人应尽可能为保险人、公估人调查和取证工作保留事故现场；对无法留待保险人、公估人查勘的事故现场，被保险人应尽可能留下照片、录像、文字记录供保险人审核之用。</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6</w:t>
      </w:r>
      <w:r>
        <w:rPr>
          <w:rFonts w:hint="eastAsia" w:ascii="宋体" w:hAnsi="宋体" w:eastAsia="宋体" w:cs="宋体"/>
          <w:spacing w:val="2"/>
          <w:sz w:val="24"/>
          <w:szCs w:val="24"/>
          <w:highlight w:val="none"/>
        </w:rPr>
        <w:t xml:space="preserve">.监督管理</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6</w:t>
      </w:r>
      <w:r>
        <w:rPr>
          <w:rFonts w:hint="eastAsia" w:ascii="宋体" w:hAnsi="宋体" w:eastAsia="宋体" w:cs="宋体"/>
          <w:spacing w:val="2"/>
          <w:sz w:val="24"/>
          <w:szCs w:val="24"/>
          <w:highlight w:val="none"/>
        </w:rPr>
        <w:t xml:space="preserve">.1  为了整个承保机制顺利运行，中标保险人必须定期与采购人委托的第三方保险经纪公司汇总项目运行情况（包括但不仅限于报案、查勘、理赔等）。中标保险人于每月5日将上月结案明细以邮件形式发送给采购人委托的第三方保险经纪公司。按照规定提交各类报表、案件汇总、支付赔款凭证等，协助采购人委托的第三方保险经纪公司做好各项工作。</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6</w:t>
      </w:r>
      <w:r>
        <w:rPr>
          <w:rFonts w:hint="eastAsia" w:ascii="宋体" w:hAnsi="宋体" w:eastAsia="宋体" w:cs="宋体"/>
          <w:spacing w:val="2"/>
          <w:sz w:val="24"/>
          <w:szCs w:val="24"/>
          <w:highlight w:val="none"/>
        </w:rPr>
        <w:t xml:space="preserve">.2  保险人在合同有效期内，应接受采购人和采购人委托的第三方保险经纪公司的监督管理。中标保险人非因不可抗力未履行招标文件、投标文件和合同规定的义务，一经查实，采购人将根据《常州市政府采购供应商信用管理暂行办法》（常财规〔2017〕6号）相关规定报请财政部门按照规定予以中标人行政处罚或失信记录。造成采购人或投保人损失的将启动诉讼程序，要求中标保险人承担相关损失赔偿责任。</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7</w:t>
      </w:r>
      <w:r>
        <w:rPr>
          <w:rFonts w:hint="eastAsia" w:ascii="宋体" w:hAnsi="宋体" w:eastAsia="宋体" w:cs="宋体"/>
          <w:spacing w:val="2"/>
          <w:sz w:val="24"/>
          <w:szCs w:val="24"/>
          <w:highlight w:val="none"/>
        </w:rPr>
        <w:t xml:space="preserve">.保险经纪服务</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保险经纪服务费不超过</w:t>
      </w:r>
      <w:r>
        <w:rPr>
          <w:rFonts w:hint="eastAsia" w:ascii="宋体" w:hAnsi="宋体" w:cs="宋体"/>
          <w:spacing w:val="2"/>
          <w:sz w:val="24"/>
          <w:szCs w:val="24"/>
          <w:highlight w:val="none"/>
          <w:lang w:val="en-US" w:eastAsia="zh-CN"/>
        </w:rPr>
        <w:t xml:space="preserve">中标含税</w:t>
      </w:r>
      <w:r>
        <w:rPr>
          <w:rFonts w:hint="eastAsia" w:ascii="宋体" w:hAnsi="宋体" w:eastAsia="宋体" w:cs="宋体"/>
          <w:spacing w:val="2"/>
          <w:sz w:val="24"/>
          <w:szCs w:val="24"/>
          <w:highlight w:val="none"/>
        </w:rPr>
        <w:t xml:space="preserve">总保费的</w:t>
      </w:r>
      <w:r>
        <w:rPr>
          <w:rFonts w:hint="eastAsia" w:ascii="宋体" w:hAnsi="宋体" w:cs="宋体"/>
          <w:spacing w:val="2"/>
          <w:sz w:val="24"/>
          <w:szCs w:val="24"/>
          <w:highlight w:val="none"/>
          <w:lang w:val="en-US" w:eastAsia="zh-CN"/>
        </w:rPr>
        <w:t xml:space="preserve">6.6</w:t>
      </w:r>
      <w:r>
        <w:rPr>
          <w:rFonts w:hint="eastAsia" w:ascii="宋体" w:hAnsi="宋体" w:eastAsia="宋体" w:cs="宋体"/>
          <w:spacing w:val="2"/>
          <w:sz w:val="24"/>
          <w:szCs w:val="24"/>
          <w:highlight w:val="none"/>
        </w:rPr>
        <w:t xml:space="preserve">%，具体</w:t>
      </w:r>
      <w:r>
        <w:rPr>
          <w:rFonts w:hint="eastAsia" w:ascii="宋体" w:hAnsi="宋体" w:cs="宋体"/>
          <w:spacing w:val="2"/>
          <w:sz w:val="24"/>
          <w:szCs w:val="24"/>
          <w:highlight w:val="none"/>
          <w:lang w:val="en-US" w:eastAsia="zh-CN"/>
        </w:rPr>
        <w:t xml:space="preserve">由</w:t>
      </w:r>
      <w:r>
        <w:rPr>
          <w:rFonts w:hint="eastAsia" w:ascii="宋体" w:hAnsi="宋体" w:eastAsia="宋体" w:cs="宋体"/>
          <w:spacing w:val="2"/>
          <w:sz w:val="24"/>
          <w:szCs w:val="24"/>
          <w:highlight w:val="none"/>
        </w:rPr>
        <w:t xml:space="preserve">中标人与保险经纪公司协商确定。采购人委托的第三方保险经纪公司全额出具发票。</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中标保险公司</w:t>
      </w:r>
      <w:r>
        <w:rPr>
          <w:rFonts w:hint="eastAsia" w:ascii="宋体" w:hAnsi="宋体" w:eastAsia="宋体" w:cs="宋体"/>
          <w:spacing w:val="2"/>
          <w:sz w:val="24"/>
          <w:szCs w:val="24"/>
          <w:highlight w:val="none"/>
          <w:lang w:val="en-US" w:eastAsia="zh-CN"/>
        </w:rPr>
        <w:t xml:space="preserve">在收到经纪公司开具的发票后，10个工作日内支付相关费用，保险</w:t>
      </w:r>
      <w:r>
        <w:rPr>
          <w:rFonts w:hint="eastAsia" w:ascii="宋体" w:hAnsi="宋体" w:cs="宋体"/>
          <w:spacing w:val="2"/>
          <w:sz w:val="24"/>
          <w:szCs w:val="24"/>
          <w:highlight w:val="none"/>
          <w:lang w:val="en-US" w:eastAsia="zh-CN"/>
        </w:rPr>
        <w:t xml:space="preserve">公司</w:t>
      </w:r>
      <w:r>
        <w:rPr>
          <w:rFonts w:hint="eastAsia" w:ascii="宋体" w:hAnsi="宋体" w:eastAsia="宋体" w:cs="宋体"/>
          <w:spacing w:val="2"/>
          <w:sz w:val="24"/>
          <w:szCs w:val="24"/>
          <w:highlight w:val="none"/>
          <w:lang w:val="en-US" w:eastAsia="zh-CN"/>
        </w:rPr>
        <w:t xml:space="preserve">超时未支付的，按照发票</w:t>
      </w:r>
      <w:r>
        <w:rPr>
          <w:rFonts w:hint="eastAsia" w:ascii="宋体" w:hAnsi="宋体" w:eastAsia="宋体" w:cs="宋体"/>
          <w:spacing w:val="2"/>
          <w:sz w:val="24"/>
          <w:szCs w:val="24"/>
          <w:highlight w:val="none"/>
        </w:rPr>
        <w:t xml:space="preserve">金额的0.657‰/日×实际滞纳天数计算滞纳金赔付给</w:t>
      </w:r>
      <w:r>
        <w:rPr>
          <w:rFonts w:hint="eastAsia" w:ascii="宋体" w:hAnsi="宋体" w:eastAsia="宋体" w:cs="宋体"/>
          <w:spacing w:val="2"/>
          <w:sz w:val="24"/>
          <w:szCs w:val="24"/>
          <w:highlight w:val="none"/>
          <w:lang w:val="en-US" w:eastAsia="zh-CN"/>
        </w:rPr>
        <w:t xml:space="preserve">保险经纪公司。若因保险公司逾期付款引发诉讼，</w:t>
      </w:r>
      <w:r>
        <w:rPr>
          <w:rFonts w:hint="eastAsia" w:ascii="宋体" w:hAnsi="宋体" w:cs="宋体"/>
          <w:spacing w:val="2"/>
          <w:sz w:val="24"/>
          <w:szCs w:val="24"/>
          <w:highlight w:val="none"/>
          <w:lang w:val="en-US" w:eastAsia="zh-CN"/>
        </w:rPr>
        <w:t xml:space="preserve">则因此产生的</w:t>
      </w:r>
      <w:r>
        <w:rPr>
          <w:rFonts w:hint="eastAsia" w:ascii="宋体" w:hAnsi="宋体" w:eastAsia="宋体" w:cs="宋体"/>
          <w:spacing w:val="2"/>
          <w:sz w:val="24"/>
          <w:szCs w:val="24"/>
          <w:highlight w:val="none"/>
          <w:lang w:val="en-US" w:eastAsia="zh-CN"/>
        </w:rPr>
        <w:t xml:space="preserve">案件</w:t>
      </w:r>
      <w:r>
        <w:rPr>
          <w:rFonts w:hint="eastAsia" w:ascii="宋体" w:hAnsi="宋体" w:cs="宋体"/>
          <w:spacing w:val="2"/>
          <w:sz w:val="24"/>
          <w:szCs w:val="24"/>
          <w:highlight w:val="none"/>
          <w:lang w:val="en-US" w:eastAsia="zh-CN"/>
        </w:rPr>
        <w:t xml:space="preserve">诉讼</w:t>
      </w:r>
      <w:r>
        <w:rPr>
          <w:rFonts w:hint="eastAsia" w:ascii="宋体" w:hAnsi="宋体" w:eastAsia="宋体" w:cs="宋体"/>
          <w:spacing w:val="2"/>
          <w:sz w:val="24"/>
          <w:szCs w:val="24"/>
          <w:highlight w:val="none"/>
          <w:lang w:val="en-US" w:eastAsia="zh-CN"/>
        </w:rPr>
        <w:t xml:space="preserve">费、保全费、律师费等 “法律费用” 由保险公司承担。</w:t>
      </w:r>
      <w:r/>
    </w:p>
    <w:p>
      <w:pPr>
        <w:ind w:firstLine="56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（二）关于合同</w:t>
      </w:r>
      <w:r/>
    </w:p>
    <w:p>
      <w:pPr>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1.采购合同。中标人应在中标通知书发出之日起30天内与采购人签署采购合同。招标文件、中标人的投标文件及招标过程中有关澄清、承诺文件均应构成合同的组成部分。</w:t>
      </w:r>
      <w:r/>
    </w:p>
    <w:p>
      <w:pPr>
        <w:ind w:left="-4"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2.保险合同。投保人与保险人签订保险合同。保险单、批单、会议纪要和双方往来函电等构成保险合同，构成保险合同的所有文件被认为是一个整体。如条文含义不明确时，按保险法有关规定办理。当出现矛盾时，以本招标文件、投标文件及采购合同为准。</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3.采购人、投保人委托</w:t>
      </w:r>
      <w:r>
        <w:rPr>
          <w:rFonts w:hint="eastAsia" w:ascii="宋体" w:hAnsi="宋体" w:eastAsia="宋体" w:cs="宋体"/>
          <w:color w:val="000000"/>
          <w:spacing w:val="2"/>
          <w:sz w:val="24"/>
          <w:szCs w:val="24"/>
          <w:highlight w:val="none"/>
        </w:rPr>
        <w:t xml:space="preserve">采购人委托的第三方保险经纪公司</w:t>
      </w:r>
      <w:r>
        <w:rPr>
          <w:rFonts w:hint="eastAsia" w:ascii="宋体" w:hAnsi="宋体" w:eastAsia="宋体" w:cs="宋体"/>
          <w:spacing w:val="2"/>
          <w:sz w:val="24"/>
          <w:szCs w:val="24"/>
          <w:highlight w:val="none"/>
        </w:rPr>
        <w:t xml:space="preserve">对中标保险公司的合同履行情况进行监督。对中标保险公司非因不可抗力未履行招标文件、投标文件和合同规定的义务，一经查实，采购人委托的第三方保险经纪公司将根据具体情况提请采购人做出相应处理，或启动诉讼追究中标保险公司承担相关损失赔偿责任（包括但不仅限于律师费）。</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（三）保密约定</w:t>
      </w:r>
      <w:r/>
    </w:p>
    <w:p>
      <w:pPr>
        <w:ind w:right="210"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任何一方对其获知的本合同涉及的所有有形、无形的信息及资料（包括但不仅限于中标保险公司及投保人的往来书面文字文件、电子邮件及信息、电子资料、保险合同、保险费率、保险方案、理赔数据材料等）中另一方的商业秘密负有保密义务。</w:t>
      </w:r>
      <w:r/>
    </w:p>
    <w:p>
      <w:pPr>
        <w:ind w:right="210" w:firstLine="420"/>
        <w:spacing w:line="44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2.除非法律、法规另有规定或得到本合同之另一方的书面许可，任何一方不得向第三方泄露前款规定的商业秘密。保密期限自任何一方获知该商业秘密之日起至本条规定的秘密成为公众信息之日止。</w:t>
      </w:r>
      <w:r/>
    </w:p>
    <w:p>
      <w:pPr>
        <w:ind w:firstLine="56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（四）争议解决方式</w:t>
      </w:r>
      <w:r/>
    </w:p>
    <w:p>
      <w:pPr>
        <w:ind w:left="-4" w:firstLine="428"/>
        <w:spacing w:line="440" w:lineRule="exac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有关本协议的争议应通过友好协商解决。如果协商不成，依法向采购人住所地人民法院提起诉讼。</w:t>
      </w:r>
      <w:r/>
    </w:p>
    <w:p>
      <w:pPr>
        <w:ind w:firstLine="560"/>
        <w:spacing w:line="440" w:lineRule="exact"/>
        <w:rPr>
          <w:rFonts w:hint="eastAsia" w:ascii="宋体" w:hAnsi="宋体" w:eastAsia="宋体" w:cs="宋体"/>
          <w:b/>
          <w:bCs/>
          <w:sz w:val="28"/>
          <w:szCs w:val="28"/>
          <w:highlight w:val="none"/>
        </w:rPr>
      </w:pPr>
      <w:r>
        <w:rPr>
          <w:rFonts w:hint="eastAsia" w:ascii="宋体" w:hAnsi="宋体" w:eastAsia="宋体" w:cs="宋体"/>
          <w:bCs/>
          <w:sz w:val="28"/>
          <w:szCs w:val="28"/>
          <w:highlight w:val="none"/>
        </w:rPr>
        <w:t xml:space="preserve">（五）</w:t>
      </w:r>
      <w:r>
        <w:rPr>
          <w:rFonts w:hint="eastAsia" w:ascii="宋体" w:hAnsi="宋体" w:eastAsia="宋体" w:cs="宋体"/>
          <w:sz w:val="28"/>
          <w:szCs w:val="28"/>
          <w:highlight w:val="none"/>
        </w:rPr>
        <w:t xml:space="preserve">★</w:t>
      </w:r>
      <w:r>
        <w:rPr>
          <w:rFonts w:hint="eastAsia" w:ascii="宋体" w:hAnsi="宋体" w:eastAsia="宋体" w:cs="宋体"/>
          <w:b/>
          <w:bCs/>
          <w:sz w:val="28"/>
          <w:szCs w:val="28"/>
          <w:highlight w:val="none"/>
        </w:rPr>
        <w:t xml:space="preserve">主要承保条件</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rPr>
        <w:t xml:space="preserve">投标人承诺完全响应主要承保条件</w:t>
      </w:r>
      <w:r>
        <w:rPr>
          <w:rFonts w:hint="eastAsia" w:ascii="宋体" w:hAnsi="宋体" w:cs="宋体"/>
          <w:b/>
          <w:bCs/>
          <w:sz w:val="28"/>
          <w:szCs w:val="28"/>
          <w:highlight w:val="none"/>
          <w:lang w:val="en-US" w:eastAsia="zh-CN"/>
        </w:rPr>
        <w:t xml:space="preserve"> 提供承诺函 </w:t>
      </w:r>
      <w:r>
        <w:rPr>
          <w:rFonts w:hint="eastAsia" w:ascii="宋体" w:hAnsi="宋体" w:eastAsia="宋体" w:cs="宋体"/>
          <w:b/>
          <w:bCs/>
          <w:sz w:val="28"/>
          <w:szCs w:val="28"/>
          <w:highlight w:val="none"/>
          <w:lang w:eastAsia="zh-CN"/>
        </w:rPr>
        <w:t xml:space="preserve">）</w:t>
      </w:r>
      <w:r/>
    </w:p>
    <w:p>
      <w:pPr>
        <w:ind w:firstLine="56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（Ⅰ）医疗机构医疗责任险（附加医疗机构场所责任险、医务人员遭受伤害责任保险）项目</w:t>
      </w:r>
      <w:r/>
    </w:p>
    <w:p>
      <w:pPr>
        <w:pStyle w:val="1290"/>
        <w:ind w:firstLine="643"/>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1．医疗责任保险</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投保人：</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被保险人：</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right="211" w:firstLine="420"/>
        <w:spacing w:line="44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1.3  保险期限：202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年04月23日零时—</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年04月22日二十四时</w:t>
      </w:r>
      <w:r>
        <w:rPr>
          <w:rFonts w:hint="eastAsia" w:ascii="宋体" w:hAnsi="宋体" w:cs="宋体"/>
          <w:sz w:val="24"/>
          <w:szCs w:val="24"/>
          <w:highlight w:val="none"/>
          <w:lang w:val="en-US" w:eastAsia="zh-CN"/>
        </w:rPr>
        <w:t xml:space="preserve">止。</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追溯期</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本保险为期内索赔，追溯期为5年。</w:t>
      </w:r>
      <w:r/>
    </w:p>
    <w:p>
      <w:pPr>
        <w:ind w:right="211" w:firstLine="42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追溯期自20</w:t>
      </w: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年4月23日零时起至202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年4月22日二十四时止</w:t>
      </w:r>
      <w:r>
        <w:rPr>
          <w:rFonts w:hint="eastAsia" w:ascii="宋体" w:hAnsi="宋体" w:eastAsia="宋体" w:cs="宋体"/>
          <w:sz w:val="24"/>
          <w:szCs w:val="24"/>
          <w:highlight w:val="none"/>
          <w:lang w:eastAsia="zh-CN"/>
        </w:rPr>
        <w:t xml:space="preserve">。</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经人民法院追认的医患纠纷赔偿在本保险期限内保险人同样负责赔偿。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  在患者连续住院就诊并首次向被保险人提出索赔日在本保险起始日之后的医患纠纷，保险人负责纠纷的赔偿。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  当年度（包括追溯期内发生的纠纷）的赔款纳入实际赔偿年度累计赔偿限额计算。</w:t>
      </w:r>
      <w:r/>
    </w:p>
    <w:p>
      <w:pPr>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1.5  年度保费：</w:t>
      </w:r>
      <w:r>
        <w:rPr>
          <w:rFonts w:hint="eastAsia" w:ascii="宋体" w:hAnsi="宋体" w:eastAsia="宋体" w:cs="宋体"/>
          <w:color w:val="000000"/>
          <w:sz w:val="24"/>
          <w:szCs w:val="24"/>
          <w:highlight w:val="none"/>
        </w:rPr>
        <w:t xml:space="preserve">（根据中标人报价）。</w:t>
      </w:r>
      <w:r/>
    </w:p>
    <w:p>
      <w:pPr>
        <w:ind w:right="211" w:firstLine="42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 </w:t>
      </w:r>
      <w:r>
        <w:rPr>
          <w:rFonts w:hint="eastAsia" w:ascii="宋体" w:hAnsi="宋体" w:eastAsia="宋体" w:cs="宋体"/>
          <w:color w:val="000000"/>
          <w:sz w:val="24"/>
          <w:szCs w:val="24"/>
          <w:highlight w:val="none"/>
        </w:rPr>
        <w:t xml:space="preserve"> 保险责任</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1.6.1 </w:t>
      </w:r>
      <w:r>
        <w:rPr>
          <w:rFonts w:hint="eastAsia" w:ascii="宋体" w:hAnsi="宋体" w:eastAsia="宋体" w:cs="宋体"/>
          <w:b/>
          <w:sz w:val="24"/>
          <w:szCs w:val="24"/>
          <w:highlight w:val="none"/>
        </w:rPr>
        <w:t xml:space="preserve"> </w:t>
      </w:r>
      <w:r>
        <w:rPr>
          <w:rFonts w:hint="eastAsia" w:ascii="宋体" w:hAnsi="宋体" w:eastAsia="宋体" w:cs="宋体"/>
          <w:bCs/>
          <w:sz w:val="24"/>
          <w:szCs w:val="24"/>
          <w:highlight w:val="none"/>
        </w:rPr>
        <w:t xml:space="preserve">在保险单列明的保险期间或追溯期及承保区域范围内，在保险单中载明的被保险人的医务人员（以下简称投保医务人员）在诊疗活动中</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包括互联网诊疗</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因执业过失和被保险人因法人过失造成患者人身损害或者财产损失，在本保险期间内，由患者或其近亲属首次向被保险人提出索赔申请，依法应由被保险人承担民事赔偿责任时，保险人按照本保险合同的约定负责赔偿。</w:t>
      </w:r>
      <w:r/>
    </w:p>
    <w:p>
      <w:pPr>
        <w:ind w:firstLine="420"/>
        <w:spacing w:line="440" w:lineRule="exact"/>
        <w:rPr>
          <w:rFonts w:hint="eastAsia" w:ascii="宋体" w:hAnsi="宋体" w:eastAsia="宋体" w:cs="宋体"/>
          <w:bCs/>
          <w:color w:val="ff0000"/>
          <w:sz w:val="24"/>
          <w:szCs w:val="24"/>
          <w:highlight w:val="none"/>
        </w:rPr>
      </w:pPr>
      <w:r>
        <w:rPr>
          <w:rFonts w:hint="eastAsia" w:ascii="宋体" w:hAnsi="宋体" w:eastAsia="宋体" w:cs="宋体"/>
          <w:bCs/>
          <w:sz w:val="24"/>
          <w:szCs w:val="24"/>
          <w:highlight w:val="none"/>
        </w:rPr>
        <w:t xml:space="preserve">1.6.2  保险责任范围内的事故发生后，必要的法律费用，包括但不仅限于事故鉴定费、查勘费、取证费、差旅费、仲裁或诉讼费、案件受理费、律师费等，保险人按照本保险合同的约定负责赔偿。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  扩展责任</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1.7.1 在保险单列明的保险期间或追溯期及承保区域范围内，被保险人的投保医务人员在诊疗护理活动中，因下列情形造成患者人身损害，在本保险期间内，由患者或其近亲属首次向被保险人提出索赔申请，依法应由被保险人承担民事赔偿责任时，保险人按照本保险合同的约定负责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（1）在诊疗护理过程中，由于病情或患者体质特殊而发生的难以预料或在预料之中但难以防范的不良后果；</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（2）按照正常的技术规范操作，仍然发生难以避免的并发症或者治疗意外；</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（3）应用现有医学科学技术，仍然发生无法预料或难以防范的不良后果；</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（4）在危急情况下为抢救危重患者生命而采取的紧急措施所造成的不良后果；</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（5）因药品、消毒药剂、医疗器械的缺陷，或者输入不合格的血液，或药品不良反应造成患者损害。</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1.7.2外聘（外请）医疗专家医疗责任扩展条款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1.7.2.1本条款约定，在本保险合同列明的保险期间或追溯期内及承保区域范围内，被保险人外聘（外请）医疗专家在诊疗活动中因职业过失造成患者人身损害，在本保险期间内，由患者或其近亲属首次向被保险人提出索赔申请，依法应由被保险人承担民事赔偿责任时，保险人按照本保险合同的约定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1.7.2.2外聘（外请）医疗专家保费条款</w:t>
      </w:r>
      <w:r/>
    </w:p>
    <w:p>
      <w:pPr>
        <w:ind w:firstLine="420"/>
        <w:spacing w:line="440" w:lineRule="exact"/>
        <w:rPr>
          <w:rFonts w:hint="eastAsia" w:ascii="宋体" w:hAnsi="宋体" w:eastAsia="宋体" w:cs="宋体"/>
          <w:b/>
          <w:bCs/>
          <w:sz w:val="24"/>
          <w:szCs w:val="24"/>
          <w:highlight w:val="none"/>
          <w:u w:val="single"/>
        </w:rPr>
      </w:pPr>
      <w:r>
        <w:rPr>
          <w:rFonts w:hint="eastAsia" w:ascii="宋体" w:hAnsi="宋体" w:eastAsia="宋体" w:cs="宋体"/>
          <w:bCs/>
          <w:sz w:val="24"/>
          <w:szCs w:val="24"/>
          <w:highlight w:val="none"/>
        </w:rPr>
        <w:t xml:space="preserve">本条款约定，为响应卫生多点执业、提高基层医疗机构的医疗诊疗水平，外聘（外请）医疗专家的保费不再按照具体的人员数量的多少收取，投保人、被保险人也无需向保险人提供外聘（外请）医疗专家的具体名单进行投保；此类保费由投标人在投标报价时予以酌情考虑，包含在总的医疗责任险保费报价中。</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1.8  责任免除</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1.8.1  下列原因造成的损失、费用和责任，保险人不负责赔偿：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（1）被保险人或其投保医务人员的故意行为、犯罪行为和非执业行为；</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（2）战争、敌对行为、军事行动、武装冲突、恐怖活动、罢工、骚乱、暴动、盗窃、抢劫；</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（3）核反应、核子辐射和放射性污染。但使用放射器材治疗发生的赔偿责任，不在此限；</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（4）地震、海啸、雷击、暴雨、洪水等自然灾害。</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1.8.2  下列情形造成的损失、费用和责任，保险人不负责赔偿：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（1）未经国家有关部门认定合格的医务人员进行的诊疗工作；</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（2）临床试验性检查、治疗以及其它不以治疗为目的的诊疗活动造成患者的人身损害，包括但不仅限于整形美容、健康体检；</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（3）被保险人或其投保医务人员从事未经国家有关部门许可的诊疗工作；</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（4）被保险人或其投保医务人员被吊销执业许可或被取消执业资格以及受停业、停职处分后仍继续进行诊疗工作；</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（5）被保险人投保医务人员在饮酒、吸毒或药剂麻醉状态下进行诊疗工作；</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（6）被保险人或其投保医务人员使用未经国家有关部门批准使用的药品、消毒药剂和医疗器械，但经国家有关部门批准进行临床实验所使用的药品、消毒药剂、医疗器械不在此限；</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（7）被保险人或其投保医务人员在正当的诊断、治疗范围外使用麻醉药品、医疗用毒性药品、精神药品和放射性药品；</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（8）患者或者其近亲属不配合医疗机构进行符合诊疗规范的诊疗，被保险人及其医务人员没有过错的。</w:t>
      </w:r>
      <w:r/>
    </w:p>
    <w:p>
      <w:pPr>
        <w:ind w:right="211" w:firstLine="422"/>
        <w:spacing w:line="44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1.8.3  下列损失、费用和责任，保险人不负责赔偿</w:t>
      </w:r>
      <w:r>
        <w:rPr>
          <w:rFonts w:hint="eastAsia" w:ascii="宋体" w:hAnsi="宋体" w:eastAsia="宋体" w:cs="宋体"/>
          <w:sz w:val="24"/>
          <w:szCs w:val="24"/>
          <w:highlight w:val="none"/>
        </w:rPr>
        <w:t xml:space="preserve">：</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（1）被保险人医务人员或其代表的人身伤亡；</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（2）直接或间接由于计算机2000年问题引起的损失；</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（3）罚款、罚金或惩罚性赔偿；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（4）投保医务人员自终止在被保险人的营业处所内工作之后所发生的任何损失、费用和责任。</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1.9  赔偿限额</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1.9.1</w:t>
      </w:r>
      <w:r/>
    </w:p>
    <w:tbl>
      <w:tblPr>
        <w:tblStyle w:val="861"/>
        <w:tblW w:w="527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4"/>
        <w:gridCol w:w="3766"/>
        <w:gridCol w:w="3551"/>
      </w:tblGrid>
      <w:tr>
        <w:trPr>
          <w:jc w:val="center"/>
          <w:trHeight w:val="507"/>
        </w:trPr>
        <w:tc>
          <w:tcPr>
            <w:tcW w:w="1263" w:type="pct"/>
            <w:vAlign w:val="center"/>
            <w:textDirection w:val="lrTb"/>
            <w:noWrap w:val="false"/>
          </w:tcPr>
          <w:p>
            <w:pPr>
              <w:ind w:firstLine="411"/>
              <w:jc w:val="center"/>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医疗机构</w:t>
            </w:r>
            <w:r/>
          </w:p>
        </w:tc>
        <w:tc>
          <w:tcPr>
            <w:tcW w:w="1923" w:type="pct"/>
            <w:vAlign w:val="center"/>
            <w:textDirection w:val="lrTb"/>
            <w:noWrap w:val="false"/>
          </w:tcPr>
          <w:p>
            <w:pPr>
              <w:jc w:val="center"/>
              <w:spacing w:line="440" w:lineRule="exact"/>
              <w:rPr>
                <w:rFonts w:hint="eastAsia" w:ascii="宋体" w:hAnsi="宋体" w:eastAsia="宋体" w:cs="宋体"/>
                <w:bCs/>
                <w:color w:val="000000"/>
                <w:sz w:val="24"/>
                <w:szCs w:val="24"/>
                <w:highlight w:val="none"/>
              </w:rPr>
            </w:pPr>
            <w:r/>
            <w:bookmarkStart w:id="815" w:name="OLE_LINK4"/>
            <w:r>
              <w:rPr>
                <w:rFonts w:hint="eastAsia" w:ascii="宋体" w:hAnsi="宋体" w:eastAsia="宋体" w:cs="宋体"/>
                <w:bCs/>
                <w:color w:val="000000"/>
                <w:sz w:val="24"/>
                <w:szCs w:val="24"/>
                <w:highlight w:val="none"/>
              </w:rPr>
              <w:t xml:space="preserve">年度累计赔偿</w:t>
            </w:r>
            <w:bookmarkEnd w:id="815"/>
            <w:r>
              <w:rPr>
                <w:rFonts w:hint="eastAsia" w:ascii="宋体" w:hAnsi="宋体" w:eastAsia="宋体" w:cs="宋体"/>
                <w:bCs/>
                <w:color w:val="000000"/>
                <w:sz w:val="24"/>
                <w:szCs w:val="24"/>
                <w:highlight w:val="none"/>
              </w:rPr>
              <w:t xml:space="preserve">限额（万元/年）</w:t>
            </w:r>
            <w:r/>
          </w:p>
        </w:tc>
        <w:tc>
          <w:tcPr>
            <w:tcW w:w="1813" w:type="pct"/>
            <w:vAlign w:val="center"/>
            <w:textDirection w:val="lrTb"/>
            <w:noWrap w:val="false"/>
          </w:tcPr>
          <w:p>
            <w:pPr>
              <w:jc w:val="center"/>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每人每次赔偿限额（万元/年）</w:t>
            </w:r>
            <w:r/>
          </w:p>
        </w:tc>
      </w:tr>
      <w:tr>
        <w:trPr>
          <w:jc w:val="center"/>
        </w:trPr>
        <w:tc>
          <w:tcPr>
            <w:tcW w:w="1263" w:type="pct"/>
            <w:vAlign w:val="top"/>
            <w:textDirection w:val="lrTb"/>
            <w:noWrap w:val="false"/>
          </w:tcPr>
          <w:p>
            <w:pPr>
              <w:jc w:val="center"/>
              <w:spacing w:line="440" w:lineRule="exact"/>
              <w:rPr>
                <w:rFonts w:hint="eastAsia" w:ascii="宋体" w:hAnsi="宋体" w:eastAsia="宋体" w:cs="宋体"/>
                <w:bCs/>
                <w:sz w:val="24"/>
                <w:szCs w:val="24"/>
                <w:highlight w:val="none"/>
                <w:lang w:eastAsia="zh-CN"/>
              </w:rPr>
            </w:pPr>
            <w:r/>
            <w:bookmarkStart w:id="816" w:name="_Hlk180586196"/>
            <w:r>
              <w:rPr>
                <w:rFonts w:hint="eastAsia" w:ascii="宋体" w:hAnsi="宋体" w:cs="宋体"/>
                <w:bCs/>
                <w:sz w:val="24"/>
                <w:szCs w:val="24"/>
                <w:highlight w:val="none"/>
                <w:lang w:eastAsia="zh-CN"/>
              </w:rPr>
              <w:t xml:space="preserve">常州市第二人民医院</w:t>
            </w:r>
            <w:r/>
          </w:p>
        </w:tc>
        <w:tc>
          <w:tcPr>
            <w:tcW w:w="1923" w:type="pct"/>
            <w:vAlign w:val="center"/>
            <w:textDirection w:val="lrTb"/>
            <w:noWrap w:val="false"/>
          </w:tcPr>
          <w:p>
            <w:pPr>
              <w:jc w:val="center"/>
              <w:widowControl/>
              <w:rPr>
                <w:rFonts w:hint="default" w:ascii="宋体" w:hAnsi="宋体" w:eastAsia="宋体" w:cs="宋体"/>
                <w:b/>
                <w:color w:val="000000"/>
                <w:sz w:val="24"/>
                <w:szCs w:val="24"/>
                <w:highlight w:val="none"/>
                <w:u w:val="single"/>
                <w:lang w:val="en-US" w:eastAsia="zh-CN"/>
              </w:rPr>
            </w:pPr>
            <w:r>
              <w:rPr>
                <w:rFonts w:hint="eastAsia" w:ascii="宋体" w:hAnsi="宋体" w:cs="宋体"/>
                <w:color w:val="000000"/>
                <w:sz w:val="24"/>
                <w:szCs w:val="24"/>
                <w:highlight w:val="none"/>
                <w:lang w:val="en-US" w:eastAsia="zh-CN"/>
              </w:rPr>
              <w:t xml:space="preserve">451.50</w:t>
            </w:r>
            <w:r/>
          </w:p>
        </w:tc>
        <w:tc>
          <w:tcPr>
            <w:tcW w:w="1813" w:type="pct"/>
            <w:vAlign w:val="top"/>
            <w:textDirection w:val="lrTb"/>
            <w:noWrap w:val="false"/>
          </w:tcPr>
          <w:p>
            <w:pPr>
              <w:ind w:firstLine="411"/>
              <w:jc w:val="center"/>
              <w:spacing w:line="440" w:lineRule="exact"/>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40</w:t>
            </w:r>
            <w:bookmarkEnd w:id="816"/>
            <w:r/>
            <w:r/>
          </w:p>
        </w:tc>
      </w:tr>
    </w:tbl>
    <w:p>
      <w:pPr>
        <w:ind w:right="211"/>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1.9.2  精神损害每人责任限额：为医疗责任保险每人次责任限额的30%，包含在医疗责任保险每人次责任限额内。</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1.9.3  法律费用累计赔偿限额：为医疗责任保险单载明年度累计赔偿限额的10%。</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其中：每人次赔偿限额为实际发生赔偿金额的10%。</w:t>
      </w:r>
      <w:r/>
    </w:p>
    <w:p>
      <w:pPr>
        <w:ind w:firstLine="411"/>
        <w:spacing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1.9.4  对属于保</w:t>
      </w:r>
      <w:r>
        <w:rPr>
          <w:rFonts w:hint="eastAsia" w:ascii="宋体" w:hAnsi="宋体" w:eastAsia="宋体" w:cs="宋体"/>
          <w:sz w:val="24"/>
          <w:szCs w:val="24"/>
          <w:highlight w:val="none"/>
        </w:rPr>
        <w:t xml:space="preserve">险责任范围内的医患民事纠纷，保险人依据常州市医患纠纷人民调解委员会（</w:t>
      </w:r>
      <w:r>
        <w:rPr>
          <w:rFonts w:hint="eastAsia" w:ascii="宋体" w:hAnsi="宋体" w:eastAsia="宋体" w:cs="宋体"/>
          <w:bCs/>
          <w:sz w:val="24"/>
          <w:szCs w:val="24"/>
          <w:highlight w:val="none"/>
        </w:rPr>
        <w:t xml:space="preserve">调处中心</w:t>
      </w:r>
      <w:r>
        <w:rPr>
          <w:rFonts w:hint="eastAsia" w:ascii="宋体" w:hAnsi="宋体" w:eastAsia="宋体" w:cs="宋体"/>
          <w:sz w:val="24"/>
          <w:szCs w:val="24"/>
          <w:highlight w:val="none"/>
        </w:rPr>
        <w:t xml:space="preserve">）的“人民调解协议书”、人民法院的生效法律文书（包括调解书、裁、判文书），在约定赔偿限额内向被保险人（或患方）足额赔偿。</w:t>
      </w:r>
      <w:r/>
    </w:p>
    <w:p>
      <w:pPr>
        <w:ind w:right="211" w:firstLine="420"/>
        <w:spacing w:line="440" w:lineRule="exact"/>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 xml:space="preserve">1.10  免赔额或免赔率：本医疗责任保险无免赔额或免赔率。</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1.11  理赔约定</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  纠纷处置</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根据《医疗纠纷预防和处理条例》、《江苏省医疗纠纷预防与处理条例》规定，发生医疗纠纷，医患双方可向常州市医患纠纷人民调解委员会（调处中心）申请调解或向人民法院提起诉讼。</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因属于保险责任范围内的医患民事纠纷发生诉讼、仲裁时，被保险人根据《医疗纠纷预防和处理条例》、《江苏省医疗纠纷预防与处理条例》规定处理有关诉讼、仲裁事宜。诉讼结束后及时将案件结果及法院判裁文书交付保险人。</w:t>
      </w:r>
      <w:r/>
    </w:p>
    <w:p>
      <w:pPr>
        <w:ind w:firstLine="411"/>
        <w:spacing w:line="440" w:lineRule="exact"/>
        <w:rPr>
          <w:rFonts w:hint="eastAsia" w:ascii="宋体" w:hAnsi="宋体" w:eastAsia="宋体" w:cs="宋体"/>
          <w:bCs/>
          <w:color w:val="ffff00"/>
          <w:sz w:val="24"/>
          <w:szCs w:val="24"/>
          <w:highlight w:val="none"/>
        </w:rPr>
      </w:pPr>
      <w:r>
        <w:rPr>
          <w:rFonts w:hint="eastAsia" w:ascii="宋体" w:hAnsi="宋体" w:eastAsia="宋体" w:cs="宋体"/>
          <w:bCs/>
          <w:sz w:val="24"/>
          <w:szCs w:val="24"/>
          <w:highlight w:val="none"/>
        </w:rPr>
        <w:t xml:space="preserve">出险时间：常州市医患纠纷人民调解委员会（调处中心）或人民法院明确医患双方责任、理赔金额的时间，即常州市医患纠纷人民调解委员会（调处中心）出具的“人民调解协议书”或人民法院出具的生效法律文书（包括调解书、裁、判文书）的落款时间。</w:t>
      </w:r>
      <w:r/>
    </w:p>
    <w:p>
      <w:pPr>
        <w:ind w:right="211"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1.11.2  理赔依据</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常州市医患纠纷人民调解委员会（调处中心）的“人民调解协议书”或人民法院的生效法律文书（包括调解书、裁、判文书）。保险人充分尊重并认可常州市医患纠纷人民调解委员会（调处中心）、人民法院的调解或裁、判结论。</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1.11.3  赔偿方式 </w:t>
      </w:r>
      <w:r/>
    </w:p>
    <w:p>
      <w:pPr>
        <w:ind w:firstLine="411"/>
        <w:spacing w:line="440" w:lineRule="exact"/>
        <w:rPr>
          <w:rFonts w:hint="eastAsia" w:ascii="宋体" w:hAnsi="宋体" w:eastAsia="宋体" w:cs="宋体"/>
          <w:b/>
          <w:bCs/>
          <w:sz w:val="24"/>
          <w:szCs w:val="24"/>
          <w:highlight w:val="none"/>
          <w:u w:val="single"/>
        </w:rPr>
      </w:pPr>
      <w:r>
        <w:rPr>
          <w:rFonts w:hint="eastAsia" w:ascii="宋体" w:hAnsi="宋体" w:eastAsia="宋体" w:cs="宋体"/>
          <w:bCs/>
          <w:sz w:val="24"/>
          <w:szCs w:val="24"/>
          <w:highlight w:val="none"/>
        </w:rPr>
        <w:t xml:space="preserve">保险人遵照《保险法》第65条之规定“保险人对责任保险的被保险人给第三者造成的损害，可以依照法律的规定或者合同的约定，直接向该第三者赔偿保险金”，直接赔付给患者或其代理人，</w:t>
      </w:r>
      <w:r>
        <w:rPr>
          <w:rFonts w:hint="eastAsia" w:ascii="宋体" w:hAnsi="宋体" w:eastAsia="宋体" w:cs="宋体"/>
          <w:bCs/>
          <w:sz w:val="24"/>
          <w:szCs w:val="24"/>
          <w:highlight w:val="none"/>
          <w:lang w:val="en-US" w:eastAsia="zh-CN"/>
        </w:rPr>
        <w:t xml:space="preserve">或应医疗机构的要求</w:t>
      </w:r>
      <w:r>
        <w:rPr>
          <w:rFonts w:hint="eastAsia" w:ascii="宋体" w:hAnsi="宋体" w:eastAsia="宋体" w:cs="宋体"/>
          <w:bCs/>
          <w:sz w:val="24"/>
          <w:szCs w:val="24"/>
          <w:highlight w:val="none"/>
        </w:rPr>
        <w:t xml:space="preserve">向被保险人赔偿。</w:t>
      </w:r>
      <w:r/>
    </w:p>
    <w:p>
      <w:pPr>
        <w:ind w:firstLine="413"/>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1.11.4  理赔材料</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被保险人须提供的理赔材料：</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索赔申请</w:t>
      </w:r>
      <w:r>
        <w:rPr>
          <w:rFonts w:hint="eastAsia" w:ascii="宋体" w:hAnsi="宋体" w:eastAsia="宋体" w:cs="宋体"/>
          <w:bCs/>
          <w:sz w:val="24"/>
          <w:szCs w:val="24"/>
          <w:highlight w:val="none"/>
        </w:rPr>
        <w:t xml:space="preserve">书；</w:t>
      </w:r>
      <w:r/>
    </w:p>
    <w:p>
      <w:pPr>
        <w:ind w:right="211"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医患纠纷</w:t>
      </w:r>
      <w:r>
        <w:rPr>
          <w:rFonts w:hint="eastAsia" w:ascii="宋体" w:hAnsi="宋体" w:eastAsia="宋体" w:cs="宋体"/>
          <w:bCs/>
          <w:sz w:val="24"/>
          <w:szCs w:val="24"/>
          <w:highlight w:val="none"/>
        </w:rPr>
        <w:t xml:space="preserve">人民调解书或人民法院生效法律文书；</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（3）医患纠纷</w:t>
      </w:r>
      <w:r>
        <w:rPr>
          <w:rFonts w:hint="eastAsia" w:ascii="宋体" w:hAnsi="宋体" w:eastAsia="宋体" w:cs="宋体"/>
          <w:bCs/>
          <w:sz w:val="24"/>
          <w:szCs w:val="24"/>
          <w:highlight w:val="none"/>
          <w:lang w:val="en-US" w:eastAsia="zh-CN"/>
        </w:rPr>
        <w:t xml:space="preserve">情况</w:t>
      </w:r>
      <w:r>
        <w:rPr>
          <w:rFonts w:hint="eastAsia" w:ascii="宋体" w:hAnsi="宋体" w:eastAsia="宋体" w:cs="宋体"/>
          <w:bCs/>
          <w:sz w:val="24"/>
          <w:szCs w:val="24"/>
          <w:highlight w:val="none"/>
        </w:rPr>
        <w:t xml:space="preserve">确认表；</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（4）医方授权委托书；</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（5）患方授权委托书及受托人身份证明；</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（6）患方身份证明（包括未成年人在内的限制民事行为能力人或无民事行为能力人须提供其监护人身份证明），患者死亡的须提供医学死亡证明或户口注销证明（复印件）；</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（7）患者本人或委托代理人银行卡复印件；</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（8）委托转账支付授权书；</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（9）当事医护人员执业证书、资格证书；</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（10）病历材料，包括：门诊病历、出院记录、手术记录、涉及医药费赔偿的需提供医疗费票据；</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（11）医院医疗事件调查登记表；</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（12）保险人直接向被保险人支付的，被保险人需提供已将理赔款支付给患者或其代理人的凭证：收条、照片、银行转账凭证。</w:t>
      </w:r>
      <w:r/>
    </w:p>
    <w:p>
      <w:pPr>
        <w:ind w:firstLine="413"/>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1.11.5  赔偿期限</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（1）每人赔偿金额在贰万元以内（包括贰万元）的，保险人在收到完整理赔材料的3个工作日内完成赔付。</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（2）每人赔偿金额超过贰万元的，保险人在收到完整理赔材料的7个工作日内完成赔付。</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（3）如超过期限未向采购人委托的第三方保险经纪公司发出结案通知的，在减去约定结案天数后按赔偿金额的0.657‰/日×实际滞纳天数计算滞纳金赔付给被保险人；如保险人在约定结案期限内发出“拒赔通知”</w:t>
      </w:r>
      <w:r>
        <w:rPr>
          <w:rFonts w:hint="eastAsia" w:ascii="宋体" w:hAnsi="宋体" w:eastAsia="宋体" w:cs="宋体"/>
          <w:bCs/>
          <w:sz w:val="24"/>
          <w:szCs w:val="24"/>
          <w:highlight w:val="none"/>
          <w:lang w:val="en-US" w:eastAsia="zh-CN"/>
        </w:rPr>
        <w:t xml:space="preserve">或收到理赔申请经催告后仍未足额支付赔款</w:t>
      </w:r>
      <w:r>
        <w:rPr>
          <w:rFonts w:hint="eastAsia" w:ascii="宋体" w:hAnsi="宋体" w:eastAsia="宋体" w:cs="宋体"/>
          <w:bCs/>
          <w:sz w:val="24"/>
          <w:szCs w:val="24"/>
          <w:highlight w:val="none"/>
        </w:rPr>
        <w:t xml:space="preserve">经诉讼后人民法院判决保险人仍需承担赔偿责任的，除承担相应标的的赔偿及上述滞纳金外，保险人另需承担被保险人其他相关的损失（</w:t>
      </w:r>
      <w:r>
        <w:rPr>
          <w:rFonts w:hint="eastAsia" w:ascii="宋体" w:hAnsi="宋体" w:eastAsia="宋体" w:cs="宋体"/>
          <w:sz w:val="24"/>
          <w:szCs w:val="24"/>
          <w:highlight w:val="none"/>
        </w:rPr>
        <w:t xml:space="preserve">包括但</w:t>
      </w:r>
      <w:r>
        <w:rPr>
          <w:rFonts w:hint="eastAsia" w:ascii="宋体" w:hAnsi="宋体" w:eastAsia="宋体" w:cs="宋体"/>
          <w:color w:val="000000"/>
          <w:sz w:val="24"/>
          <w:szCs w:val="24"/>
          <w:highlight w:val="none"/>
        </w:rPr>
        <w:t xml:space="preserve">不仅限于鉴定费、调查取证费、律师费</w:t>
      </w:r>
      <w:r>
        <w:rPr>
          <w:rFonts w:hint="eastAsia" w:ascii="宋体" w:hAnsi="宋体" w:cs="宋体"/>
          <w:color w:val="000000"/>
          <w:sz w:val="24"/>
          <w:szCs w:val="24"/>
          <w:highlight w:val="none"/>
          <w:lang w:eastAsia="zh-CN"/>
        </w:rPr>
        <w:t xml:space="preserve">、专家论证费用</w:t>
      </w:r>
      <w:r>
        <w:rPr>
          <w:rFonts w:hint="eastAsia" w:ascii="宋体" w:hAnsi="宋体" w:eastAsia="宋体" w:cs="宋体"/>
          <w:color w:val="000000"/>
          <w:sz w:val="24"/>
          <w:szCs w:val="24"/>
          <w:highlight w:val="none"/>
        </w:rPr>
        <w:t xml:space="preserve">等</w:t>
      </w:r>
      <w:r>
        <w:rPr>
          <w:rFonts w:hint="eastAsia" w:ascii="宋体" w:hAnsi="宋体" w:eastAsia="宋体" w:cs="宋体"/>
          <w:bCs/>
          <w:sz w:val="24"/>
          <w:szCs w:val="24"/>
          <w:highlight w:val="none"/>
        </w:rPr>
        <w:t xml:space="preserve">）。</w:t>
      </w:r>
      <w:r/>
    </w:p>
    <w:p>
      <w:pPr>
        <w:ind w:firstLine="413"/>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1.11.6  后续费用</w:t>
      </w:r>
      <w:r>
        <w:rPr>
          <w:rFonts w:hint="eastAsia" w:ascii="宋体" w:hAnsi="宋体" w:eastAsia="宋体" w:cs="宋体"/>
          <w:bCs/>
          <w:sz w:val="24"/>
          <w:szCs w:val="24"/>
          <w:highlight w:val="none"/>
        </w:rPr>
        <w:t xml:space="preserve">：经医患双方协商确实不能确定后续费用金额的（包括但不仅限于后续治疗费、护理费、残疾赔偿金等），保险人根据常州市医患纠纷人民调解委员会（调处中心）出具“人民调解书”或人民法院出具的生效法律文书（包括调解书、裁、判文书）进行赔付后，本赔案不作结（销）案处理，待医患双方另行确定后续费用金额后，依据常州市医患纠纷人民调解委员会（调处中心）出具“人民调解书”或人民法院出具的生效法律文书（包括调解书、裁、判文书）再作赔付。赔偿金额不得超过保险合同约定的每人赔偿限额。</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1.11.</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  赔偿项目、范围和标准以《中华人民共和国民法典》、《最高人民法院关于审理人身损害赔偿案件若干问题的解释》等相关法律规定为准。</w:t>
      </w:r>
      <w:r/>
    </w:p>
    <w:p>
      <w:pPr>
        <w:ind w:firstLine="413"/>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1.11.</w:t>
      </w:r>
      <w:r>
        <w:rPr>
          <w:rFonts w:hint="eastAsia" w:ascii="宋体" w:hAnsi="宋体" w:eastAsia="宋体" w:cs="宋体"/>
          <w:b/>
          <w:sz w:val="24"/>
          <w:szCs w:val="24"/>
          <w:highlight w:val="none"/>
          <w:lang w:val="en-US" w:eastAsia="zh-CN"/>
        </w:rPr>
        <w:t xml:space="preserve">8</w:t>
      </w:r>
      <w:r>
        <w:rPr>
          <w:rFonts w:hint="eastAsia" w:ascii="宋体" w:hAnsi="宋体" w:eastAsia="宋体" w:cs="宋体"/>
          <w:b/>
          <w:sz w:val="24"/>
          <w:szCs w:val="24"/>
          <w:highlight w:val="none"/>
        </w:rPr>
        <w:t xml:space="preserve">  鉴定：</w:t>
      </w:r>
      <w:r>
        <w:rPr>
          <w:rFonts w:hint="eastAsia" w:ascii="宋体" w:hAnsi="宋体" w:eastAsia="宋体" w:cs="宋体"/>
          <w:bCs/>
          <w:sz w:val="24"/>
          <w:szCs w:val="24"/>
          <w:highlight w:val="none"/>
        </w:rPr>
        <w:t xml:space="preserve">若患者受到损害情况能够对照《人体损伤致残程度分级》（2016）、《人身损害误工期、护理期、营养期评定规范》（GA/T 1193-2014）得出明确的伤残等级、三期评定结论且经常州市医患纠纷人民调解委员会（调处中心）或人民法院确认后可以不必再通过权威部门进行伤残鉴定、三期评定等；若经过权威部门鉴定的，则以权威部门鉴定的为准。</w:t>
      </w:r>
      <w:r/>
    </w:p>
    <w:p>
      <w:pPr>
        <w:ind w:right="211" w:firstLine="422"/>
        <w:spacing w:line="44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rPr>
        <w:t xml:space="preserve">1.12  医疗机构床位、手术台数、人员的增减</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 = 1 \* GB3 \* MERGEFORMAT </w:instrText>
      </w:r>
      <w:r>
        <w:rPr>
          <w:rFonts w:hint="eastAsia" w:ascii="宋体" w:hAnsi="宋体" w:eastAsia="宋体" w:cs="宋体"/>
          <w:bCs/>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床位基准保险费：450元/床位/年。</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bCs/>
          <w:sz w:val="24"/>
          <w:szCs w:val="24"/>
          <w:highlight w:val="none"/>
        </w:rPr>
        <w:t xml:space="preserve">住院病人手术人次基准保险费：50元/人次。</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bCs/>
          <w:sz w:val="24"/>
          <w:szCs w:val="24"/>
          <w:highlight w:val="none"/>
        </w:rPr>
        <w:t xml:space="preserve">医务人员基准保险费：</w:t>
      </w:r>
      <w:r/>
    </w:p>
    <w:p>
      <w:pPr>
        <w:ind w:firstLine="411"/>
        <w:spacing w:line="440" w:lineRule="exact"/>
        <w:rPr>
          <w:rFonts w:hint="eastAsia" w:ascii="宋体" w:hAnsi="宋体" w:eastAsia="宋体" w:cs="宋体"/>
          <w:bCs/>
          <w:sz w:val="24"/>
          <w:szCs w:val="24"/>
          <w:highlight w:val="none"/>
        </w:rPr>
      </w:pPr>
      <w:r>
        <w:rPr>
          <w:rFonts w:hint="eastAsia" w:ascii="宋体" w:hAnsi="宋体" w:cs="宋体"/>
          <w:bCs/>
          <w:sz w:val="24"/>
          <w:szCs w:val="24"/>
          <w:highlight w:val="none"/>
          <w:lang w:eastAsia="zh-CN"/>
        </w:rPr>
        <w:t xml:space="preserve">二院</w:t>
      </w:r>
      <w:r>
        <w:rPr>
          <w:rFonts w:hint="eastAsia" w:ascii="宋体" w:hAnsi="宋体" w:eastAsia="宋体" w:cs="宋体"/>
          <w:bCs/>
          <w:sz w:val="24"/>
          <w:szCs w:val="24"/>
          <w:highlight w:val="none"/>
        </w:rPr>
        <w:t xml:space="preserve">手术科室医师1</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00元/人/年、非手术科室医师</w:t>
      </w: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00元/人/年、护士及医技、药剂科室人员</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00元/人/年。</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为了简化操作，保险期间内医疗机构床位、手术台数发生变动不调整保费。保险期间内，医护人员发生变动，按岗位类别对应人员保费标准及实际天数计收或退还保费。</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1.13  保险人、被保险人、采购人委托的第三方保险经纪公司职责</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1.13.1  保险人：严格执行保险合同约定；投保或理赔材料齐全以后，快速做好出单或赔偿工作；严格执行理赔时限；每月底与采购人委托的第三方保险经纪公司核对理赔数据，并及时出具相关统计表。</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1.13.2  被保险人：及时提供投保资料并交付保险费，切实组织好本单位的投保工作；及时、真实地提供理赔材料；严格执行保险合同约定；认真执行相关法律法规，规范医疗行为。 </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1.13.3  采购人委托的第三方保险经纪公司：认真履行委托人委托事项，及时搜集数据、制定方案；及时办理被保险人相关保险事务；在取得完整理赔材料后，审定保险责任归属并向保险人报案；督促保险人快速理赔；根据委托和约定，定期将保险开展情况及各项相关真实数据以报表形式报送委托人。</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1.14 </w:t>
      </w:r>
      <w:r>
        <w:rPr>
          <w:rFonts w:hint="eastAsia" w:ascii="宋体" w:hAnsi="宋体" w:eastAsia="宋体" w:cs="宋体"/>
          <w:b/>
          <w:sz w:val="24"/>
          <w:szCs w:val="24"/>
          <w:highlight w:val="none"/>
        </w:rPr>
        <w:t xml:space="preserve"> </w:t>
      </w:r>
      <w:r>
        <w:rPr>
          <w:rFonts w:hint="eastAsia" w:ascii="宋体" w:hAnsi="宋体" w:eastAsia="宋体" w:cs="宋体"/>
          <w:bCs/>
          <w:sz w:val="24"/>
          <w:szCs w:val="24"/>
          <w:highlight w:val="none"/>
        </w:rPr>
        <w:t xml:space="preserve">为了更好的发挥公立医疗机构联合体防御风险的作用，根据苏医改办发〔2017〕15号《关于进一步推进医疗联合体建设和发展的实施意见》文件中有关鼓励通过专科共建、临床带教、业务指导、科研和项目协作、开设联合病房等方式，促进医联体内医疗机构医师的有序流动的精神，根据常州市卫生健康委员会要求，自2017年7月1日起常州市公立医疗机构医联体内部所有注册投保的医、护、技人员名单予以共享。</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w:t>
      </w: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  保险机构保险条款中与本方案保险责任、扩展责任、责任免除、出险处理、理赔材料等不一致的以本方案规定为准。</w:t>
      </w:r>
      <w:r/>
    </w:p>
    <w:p>
      <w:pPr>
        <w:ind w:left="420"/>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2．附加场所责任险</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2.1  投保人</w:t>
      </w:r>
      <w:r>
        <w:rPr>
          <w:rFonts w:hint="eastAsia" w:ascii="宋体" w:hAnsi="宋体" w:eastAsia="宋体" w:cs="宋体"/>
          <w:bCs/>
          <w:sz w:val="24"/>
          <w:szCs w:val="24"/>
          <w:highlight w:val="none"/>
        </w:rPr>
        <w:t xml:space="preserve">：</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2.2  被保险人</w:t>
      </w:r>
      <w:r>
        <w:rPr>
          <w:rFonts w:hint="eastAsia" w:ascii="宋体" w:hAnsi="宋体" w:eastAsia="宋体" w:cs="宋体"/>
          <w:bCs/>
          <w:sz w:val="24"/>
          <w:szCs w:val="24"/>
          <w:highlight w:val="none"/>
        </w:rPr>
        <w:t xml:space="preserve">：</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right="211" w:firstLine="422"/>
        <w:spacing w:line="440" w:lineRule="exact"/>
        <w:rPr>
          <w:rFonts w:hint="eastAsia" w:ascii="宋体" w:hAnsi="宋体" w:eastAsia="宋体" w:cs="宋体"/>
          <w:sz w:val="24"/>
          <w:szCs w:val="24"/>
          <w:highlight w:val="yellow"/>
        </w:rPr>
      </w:pPr>
      <w:r>
        <w:rPr>
          <w:rFonts w:hint="eastAsia" w:ascii="宋体" w:hAnsi="宋体" w:eastAsia="宋体" w:cs="宋体"/>
          <w:b/>
          <w:bCs/>
          <w:sz w:val="24"/>
          <w:szCs w:val="24"/>
          <w:highlight w:val="none"/>
        </w:rPr>
        <w:t xml:space="preserve">2.3  保险期间</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年04 月23日零时</w:t>
      </w:r>
      <w:r>
        <w:rPr>
          <w:rFonts w:hint="eastAsia" w:ascii="宋体" w:hAnsi="宋体" w:eastAsia="宋体" w:cs="宋体"/>
          <w:sz w:val="24"/>
          <w:szCs w:val="24"/>
          <w:highlight w:val="none"/>
          <w:lang w:val="en-US" w:eastAsia="zh-CN"/>
        </w:rPr>
        <w:t xml:space="preserve">起</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年04月22日二十四时</w:t>
      </w:r>
      <w:r>
        <w:rPr>
          <w:rFonts w:hint="eastAsia" w:ascii="宋体" w:hAnsi="宋体" w:eastAsia="宋体" w:cs="宋体"/>
          <w:sz w:val="24"/>
          <w:szCs w:val="24"/>
          <w:highlight w:val="none"/>
          <w:lang w:val="en-US" w:eastAsia="zh-CN"/>
        </w:rPr>
        <w:t xml:space="preserve">止</w:t>
      </w:r>
      <w:r>
        <w:rPr>
          <w:rFonts w:hint="eastAsia" w:ascii="宋体" w:hAnsi="宋体" w:eastAsia="宋体" w:cs="宋体"/>
          <w:sz w:val="24"/>
          <w:szCs w:val="24"/>
          <w:highlight w:val="none"/>
        </w:rPr>
        <w:t xml:space="preserve">。</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2.4  保险责任</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保险责任：在保险单明细表列明的保险期间及承保区域范围内，由于包括但不限于下列原因导致第三者（含患者）的人身伤害或财产损失，依法应由被保险人承担民事赔偿责任时，保险人根据本附加保险合同的约定负责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（1）被保险医疗机构的公共设施存在缺陷；</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（2）被保险医疗机构内的公共设施管理不善或操作、维护不当；</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（3）被保险医疗机构范围内的火灾或爆炸；</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（4）被保险医疗机构提供的食品引发食物中毒或其他食源性疾患。</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2.5  赔偿限额</w:t>
      </w:r>
      <w:r/>
    </w:p>
    <w:p>
      <w:pPr>
        <w:ind w:firstLine="420"/>
        <w:spacing w:line="440" w:lineRule="exact"/>
        <w:rPr>
          <w:rFonts w:hint="eastAsia" w:ascii="宋体" w:hAnsi="宋体" w:eastAsia="宋体" w:cs="宋体"/>
          <w:sz w:val="24"/>
          <w:szCs w:val="24"/>
          <w:highlight w:val="none"/>
        </w:rPr>
      </w:pPr>
      <w:r/>
      <w:bookmarkStart w:id="817" w:name="OLE_LINK13"/>
      <w:r>
        <w:rPr>
          <w:rFonts w:hint="eastAsia" w:ascii="宋体" w:hAnsi="宋体" w:eastAsia="宋体" w:cs="宋体"/>
          <w:sz w:val="24"/>
          <w:szCs w:val="24"/>
          <w:highlight w:val="none"/>
        </w:rPr>
        <w:t xml:space="preserve">每人每次事故赔偿限额：</w:t>
      </w:r>
      <w:r>
        <w:rPr>
          <w:rFonts w:hint="eastAsia" w:ascii="宋体" w:hAnsi="宋体" w:cs="宋体"/>
          <w:sz w:val="24"/>
          <w:szCs w:val="24"/>
          <w:highlight w:val="none"/>
          <w:lang w:val="en-US" w:eastAsia="zh-CN"/>
        </w:rPr>
        <w:t xml:space="preserve">40</w:t>
      </w:r>
      <w:r>
        <w:rPr>
          <w:rFonts w:hint="eastAsia" w:ascii="宋体" w:hAnsi="宋体" w:eastAsia="宋体" w:cs="宋体"/>
          <w:sz w:val="24"/>
          <w:szCs w:val="24"/>
          <w:highlight w:val="none"/>
        </w:rPr>
        <w:t xml:space="preserve">万元。</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医疗机构年度累计赔偿限额：</w:t>
      </w:r>
      <w:r>
        <w:rPr>
          <w:rFonts w:hint="eastAsia" w:ascii="宋体" w:hAnsi="宋体" w:cs="宋体"/>
          <w:sz w:val="24"/>
          <w:szCs w:val="24"/>
          <w:highlight w:val="none"/>
          <w:lang w:val="en-US" w:eastAsia="zh-CN"/>
        </w:rPr>
        <w:t xml:space="preserve">200</w:t>
      </w:r>
      <w:r>
        <w:rPr>
          <w:rFonts w:hint="eastAsia" w:ascii="宋体" w:hAnsi="宋体" w:eastAsia="宋体" w:cs="宋体"/>
          <w:sz w:val="24"/>
          <w:szCs w:val="24"/>
          <w:highlight w:val="none"/>
        </w:rPr>
        <w:t xml:space="preserve">万元。</w:t>
      </w:r>
      <w:bookmarkEnd w:id="817"/>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  本附加保险无免赔额或免赔率。</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  理赔依据：为常州市医患纠纷人民调解委员会（调处中心）出具的“纠纷调解协议书”或人民法院的生效法律文书（包括调解书、裁、判文书）。</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2.8  赔偿期限</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2.8.1  每人赔偿金额在贰万元以内（包括贰万元）的，保险人在收到完整理赔材料的3个工作日内完成赔付。</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2.8.2  每人赔偿金额超过贰万元的，保险人在收到完整理赔材料的7个工作日内完成赔付。</w:t>
      </w:r>
      <w:r/>
    </w:p>
    <w:p>
      <w:pPr>
        <w:ind w:firstLine="42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sz w:val="24"/>
          <w:szCs w:val="24"/>
          <w:highlight w:val="none"/>
        </w:rPr>
        <w:t xml:space="preserve">2.8.3 如超过期限未向采购人委托的第三方保险经纪公司发出结案通知的，在减去约定结案天数后按赔偿金额的0.657‰/日×实际滞纳天数计算滞纳金赔付给被保险人；如保险人在约定结案期限内发出“拒赔通知”或收到理赔申请经催告后仍未足额支付赔款经诉讼后人民法院判决保险人仍需承担赔偿责任的，除承担相应标的赔偿外，保险人另需承担被保险人其他相关的损失</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包括但</w:t>
      </w:r>
      <w:r>
        <w:rPr>
          <w:rFonts w:hint="eastAsia" w:ascii="宋体" w:hAnsi="宋体" w:eastAsia="宋体" w:cs="宋体"/>
          <w:color w:val="000000"/>
          <w:sz w:val="24"/>
          <w:szCs w:val="24"/>
          <w:highlight w:val="none"/>
        </w:rPr>
        <w:t xml:space="preserve">不仅限于鉴定费、调查取证费</w:t>
      </w:r>
      <w:r>
        <w:rPr>
          <w:rFonts w:hint="eastAsia" w:ascii="宋体" w:hAnsi="宋体" w:eastAsia="宋体" w:cs="宋体"/>
          <w:color w:val="000000" w:themeColor="text1"/>
          <w:sz w:val="24"/>
          <w:szCs w:val="24"/>
          <w:highlight w:val="none"/>
          <w14:textFill>
            <w14:solidFill>
              <w14:schemeClr w14:val="tx1"/>
            </w14:solidFill>
          </w14:textFill>
        </w:rPr>
        <w:t xml:space="preserve">、律师费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、专家论证费用</w:t>
      </w:r>
      <w:r>
        <w:rPr>
          <w:rFonts w:hint="eastAsia" w:ascii="宋体" w:hAnsi="宋体" w:eastAsia="宋体" w:cs="宋体"/>
          <w:color w:val="000000" w:themeColor="text1"/>
          <w:sz w:val="24"/>
          <w:szCs w:val="24"/>
          <w:highlight w:val="none"/>
          <w14:textFill>
            <w14:solidFill>
              <w14:schemeClr w14:val="tx1"/>
            </w14:solidFill>
          </w14:textFill>
        </w:rPr>
        <w:t xml:space="preserve">等</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22"/>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2.9  赔偿方式 </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保险人遵照《保险法》第65条之规定原则上直接赔付给伤者，或根据</w:t>
      </w:r>
      <w:r>
        <w:rPr>
          <w:rFonts w:hint="eastAsia" w:ascii="宋体" w:hAnsi="宋体" w:eastAsia="宋体" w:cs="宋体"/>
          <w:sz w:val="24"/>
          <w:szCs w:val="24"/>
          <w:highlight w:val="none"/>
          <w:lang w:val="en-US" w:eastAsia="zh-CN"/>
        </w:rPr>
        <w:t xml:space="preserve">医疗机构</w:t>
      </w:r>
      <w:r>
        <w:rPr>
          <w:rFonts w:hint="eastAsia" w:ascii="宋体" w:hAnsi="宋体" w:eastAsia="宋体" w:cs="宋体"/>
          <w:sz w:val="24"/>
          <w:szCs w:val="24"/>
          <w:highlight w:val="none"/>
        </w:rPr>
        <w:t xml:space="preserve">的要求向被保险人赔偿。</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2.10  理赔材料</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被保险人须提供的理赔材料：</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索赔申请</w:t>
      </w:r>
      <w:r>
        <w:rPr>
          <w:rFonts w:hint="eastAsia" w:ascii="宋体" w:hAnsi="宋体" w:eastAsia="宋体" w:cs="宋体"/>
          <w:bCs/>
          <w:sz w:val="24"/>
          <w:szCs w:val="24"/>
          <w:highlight w:val="none"/>
        </w:rPr>
        <w:t xml:space="preserve">书；</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（2）人民调解书或相关人民法院法律文书；</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（3）事故确认表；</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（4）医方授权委托书；</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（5）伤者授权委托书及受托人身份证明；</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（6）伤者身份证明（包括未成年人在内的限制民事行为能力人或无民事行为能力人须提供其监护人身份证明），伤者死亡的须提供医学死亡证明或户口注销证明（复印件）；</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（7）伤者本人或委托代理人银行卡复印件；</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（8）委托转账支付授权书；</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（9）病历材料，包括：门诊病历、出院记录、手术记录、涉及医药费赔偿的需提供医疗费票据；</w:t>
      </w:r>
      <w:r/>
    </w:p>
    <w:p>
      <w:pPr>
        <w:ind w:firstLine="41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（10）保险人直接向被保险人支付的，被保险人需提供已将理赔款支付给伤者或其代理人的凭证：收条、照片、银行转账凭证。</w:t>
      </w:r>
      <w:r/>
    </w:p>
    <w:p>
      <w:pPr>
        <w:ind w:firstLine="413"/>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2.11  本附加险方案未约定事项，以主险方案为准；保险机构保险条款中与本方案保险责任、扩展责任、责任免除、出险处理、理赔材料等不一致的以本方案规定为准。</w:t>
      </w:r>
      <w:r/>
    </w:p>
    <w:p>
      <w:pPr>
        <w:ind w:firstLine="643"/>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3．附加医务人员遭受伤害责任保险</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3.1  投保人</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3.2  被保险人</w:t>
      </w:r>
      <w:r>
        <w:rPr>
          <w:rFonts w:hint="eastAsia" w:ascii="宋体" w:hAnsi="宋体" w:eastAsia="宋体" w:cs="宋体"/>
          <w:bCs/>
          <w:sz w:val="24"/>
          <w:szCs w:val="24"/>
          <w:highlight w:val="none"/>
        </w:rPr>
        <w:t xml:space="preserve">：</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right="211" w:firstLine="422"/>
        <w:spacing w:line="440" w:lineRule="exact"/>
        <w:rPr>
          <w:rFonts w:hint="eastAsia" w:ascii="宋体" w:hAnsi="宋体" w:eastAsia="宋体" w:cs="宋体"/>
          <w:sz w:val="24"/>
          <w:szCs w:val="24"/>
          <w:highlight w:val="yellow"/>
        </w:rPr>
      </w:pPr>
      <w:r>
        <w:rPr>
          <w:rFonts w:hint="eastAsia" w:ascii="宋体" w:hAnsi="宋体" w:eastAsia="宋体" w:cs="宋体"/>
          <w:b/>
          <w:bCs/>
          <w:sz w:val="24"/>
          <w:szCs w:val="24"/>
          <w:highlight w:val="none"/>
        </w:rPr>
        <w:t xml:space="preserve">3.3  保险期间</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年04 月23日零时</w:t>
      </w:r>
      <w:r>
        <w:rPr>
          <w:rFonts w:hint="eastAsia" w:ascii="宋体" w:hAnsi="宋体" w:eastAsia="宋体" w:cs="宋体"/>
          <w:sz w:val="24"/>
          <w:szCs w:val="24"/>
          <w:highlight w:val="none"/>
          <w:lang w:val="en-US" w:eastAsia="zh-CN"/>
        </w:rPr>
        <w:t xml:space="preserve">起</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年04月22日二十四时</w:t>
      </w:r>
      <w:r>
        <w:rPr>
          <w:rFonts w:hint="eastAsia" w:ascii="宋体" w:hAnsi="宋体" w:eastAsia="宋体" w:cs="宋体"/>
          <w:sz w:val="24"/>
          <w:szCs w:val="24"/>
          <w:highlight w:val="none"/>
          <w:lang w:val="en-US" w:eastAsia="zh-CN"/>
        </w:rPr>
        <w:t xml:space="preserve">止</w:t>
      </w:r>
      <w:r>
        <w:rPr>
          <w:rFonts w:hint="eastAsia" w:ascii="宋体" w:hAnsi="宋体" w:eastAsia="宋体" w:cs="宋体"/>
          <w:sz w:val="24"/>
          <w:szCs w:val="24"/>
          <w:highlight w:val="none"/>
        </w:rPr>
        <w:t xml:space="preserve">。</w:t>
      </w:r>
      <w:r/>
    </w:p>
    <w:p>
      <w:pPr>
        <w:ind w:firstLine="422"/>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3.4  保险责任：</w:t>
      </w:r>
      <w:r>
        <w:rPr>
          <w:rFonts w:hint="eastAsia" w:ascii="宋体" w:hAnsi="宋体" w:eastAsia="宋体" w:cs="宋体"/>
          <w:bCs/>
          <w:sz w:val="24"/>
          <w:szCs w:val="24"/>
          <w:highlight w:val="none"/>
        </w:rPr>
        <w:t xml:space="preserve">在本保险合同列明的保险期间及承保区域范围内，被保险人的投保医务人员在从事与其资格相符的诊疗活动及医患纠纷处置过程中，因产生医疗纠纷而遭受患方的故意伤害，造成其人身伤害，依法应由被保险人承担民事赔偿责任时，保险人根据本附加保险合同的约定负责赔偿。</w:t>
      </w:r>
      <w:r/>
    </w:p>
    <w:p>
      <w:pPr>
        <w:ind w:firstLine="481"/>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3.5  责任免除</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由于下列各项引起的损失或责任，保险人不负责赔偿：</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（1）由于被保险人的投保医务人员自残、自杀、违法行为所致的人身伤害；</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（2）被保险人的投保医务人员因非职业原因而受酒精或药剂的影响所导致的伤残或死亡；</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（3）被保险人直接或指使他人对其投保医务人员故意实施的人身伤害；</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（4）被保险人对其承包商所雇佣雇员的责任；</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（5）被保险人对其投保医务人员的精神损害赔偿责任；</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（6）除保险单另有约定外，被保险人的投保医务人员在中华人民共和国境外及港、澳、台地区所发生的人身伤害。</w:t>
      </w:r>
      <w:r/>
    </w:p>
    <w:p>
      <w:pPr>
        <w:ind w:firstLine="481"/>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对于任何财产损失及任何间接损失，保险人不负责赔偿。</w:t>
      </w:r>
      <w:r/>
    </w:p>
    <w:p>
      <w:pPr>
        <w:ind w:firstLine="42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3.6  赔偿项目及限额</w:t>
      </w:r>
      <w:r/>
    </w:p>
    <w:p>
      <w:p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  </w:t>
      </w:r>
      <w:bookmarkStart w:id="818" w:name="OLE_LINK15"/>
      <w:r/>
      <w:bookmarkStart w:id="819" w:name="OLE_LINK16"/>
      <w:r>
        <w:rPr>
          <w:rFonts w:hint="eastAsia" w:ascii="宋体" w:hAnsi="宋体" w:eastAsia="宋体" w:cs="宋体"/>
          <w:color w:val="000000"/>
          <w:sz w:val="24"/>
          <w:szCs w:val="24"/>
          <w:highlight w:val="none"/>
        </w:rPr>
        <w:t xml:space="preserve">医疗机构年度累计赔偿限额：500万元</w:t>
      </w:r>
      <w:bookmarkEnd w:id="818"/>
      <w:r/>
      <w:bookmarkEnd w:id="819"/>
      <w:r>
        <w:rPr>
          <w:rFonts w:hint="eastAsia" w:ascii="宋体" w:hAnsi="宋体" w:eastAsia="宋体" w:cs="宋体"/>
          <w:color w:val="000000"/>
          <w:sz w:val="24"/>
          <w:szCs w:val="24"/>
          <w:highlight w:val="none"/>
        </w:rPr>
        <w:t xml:space="preserve">。</w:t>
      </w:r>
      <w:r/>
    </w:p>
    <w:p>
      <w:pPr>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3.6.2  </w:t>
      </w:r>
      <w:bookmarkStart w:id="820" w:name="OLE_LINK18"/>
      <w:r>
        <w:rPr>
          <w:rFonts w:hint="eastAsia" w:ascii="宋体" w:hAnsi="宋体" w:eastAsia="宋体" w:cs="宋体"/>
          <w:color w:val="000000"/>
          <w:sz w:val="24"/>
          <w:szCs w:val="24"/>
          <w:highlight w:val="none"/>
        </w:rPr>
        <w:t xml:space="preserve">人员身故赔偿限额：</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万元/人。</w:t>
      </w:r>
      <w:bookmarkEnd w:id="820"/>
      <w:r/>
      <w:r/>
    </w:p>
    <w:p>
      <w:pPr>
        <w:ind w:firstLine="420"/>
        <w:jc w:val="left"/>
        <w:spacing w:line="440" w:lineRule="exact"/>
        <w:tabs>
          <w:tab w:val="left" w:pos="22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3.6.3  </w:t>
      </w:r>
      <w:bookmarkStart w:id="821" w:name="OLE_LINK20"/>
      <w:r>
        <w:rPr>
          <w:rFonts w:hint="eastAsia" w:ascii="宋体" w:hAnsi="宋体" w:eastAsia="宋体" w:cs="宋体"/>
          <w:color w:val="000000"/>
          <w:sz w:val="24"/>
          <w:szCs w:val="24"/>
          <w:highlight w:val="none"/>
        </w:rPr>
        <w:t xml:space="preserve">人员残疾赔偿限额</w:t>
      </w:r>
      <w:bookmarkEnd w:id="821"/>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万元/人/年。</w:t>
      </w:r>
      <w:r/>
    </w:p>
    <w:p>
      <w:pPr>
        <w:ind w:firstLine="496"/>
        <w:jc w:val="left"/>
        <w:spacing w:line="440" w:lineRule="exact"/>
        <w:tabs>
          <w:tab w:val="left" w:pos="22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根据《劳动能力鉴定 职工工伤与职业病致残等级》（GB/T16180-2014）所对应的伤残等级与下列“伤残等级赔偿限额比例表”相对应的比例乘以每人伤残赔偿限额所得金额进行赔偿。</w:t>
      </w:r>
      <w:r/>
    </w:p>
    <w:tbl>
      <w:tblPr>
        <w:tblStyle w:val="861"/>
        <w:tblW w:w="5000" w:type="pct"/>
        <w:jc w:val="center"/>
        <w:tblLayout w:type="autofit"/>
        <w:tblCellMar>
          <w:left w:w="0" w:type="dxa"/>
          <w:top w:w="0" w:type="dxa"/>
          <w:right w:w="0" w:type="dxa"/>
          <w:bottom w:w="0" w:type="dxa"/>
        </w:tblCellMar>
        <w:tblLook w:val="04A0" w:firstRow="1" w:lastRow="0" w:firstColumn="1" w:lastColumn="0" w:noHBand="0" w:noVBand="1"/>
      </w:tblPr>
      <w:tblGrid>
        <w:gridCol w:w="4256"/>
        <w:gridCol w:w="4846"/>
      </w:tblGrid>
      <w:tr>
        <w:trPr>
          <w:jc w:val="center"/>
          <w:trHeight w:val="3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0" w:type="pct"/>
            <w:vAlign w:val="center"/>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伤残等级赔偿限额比例表</w:t>
            </w:r>
            <w:r/>
          </w:p>
        </w:tc>
      </w:tr>
      <w:tr>
        <w:trPr>
          <w:jc w:val="center"/>
          <w:trHeight w:val="2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伤残等级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比例</w:t>
            </w:r>
            <w:r/>
          </w:p>
        </w:tc>
      </w:tr>
      <w:tr>
        <w:trPr>
          <w:jc w:val="cente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一级</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100%</w:t>
            </w:r>
            <w:r/>
          </w:p>
        </w:tc>
      </w:tr>
      <w:tr>
        <w:trPr>
          <w:jc w:val="cente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二级</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90%</w:t>
            </w:r>
            <w:r/>
          </w:p>
        </w:tc>
      </w:tr>
      <w:tr>
        <w:trPr>
          <w:jc w:val="cente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三级</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80%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四级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70%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五级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60%</w:t>
            </w:r>
            <w:r/>
          </w:p>
        </w:tc>
      </w:tr>
      <w:tr>
        <w:trPr>
          <w:jc w:val="center"/>
          <w:trHeight w:val="1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六级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50%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七级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40%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八级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30%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九级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20%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38" w:type="pct"/>
            <w:vAlign w:val="bottom"/>
            <w:textDirection w:val="lrTb"/>
            <w:noWrap w:val="false"/>
          </w:tcPr>
          <w:p>
            <w:pPr>
              <w:ind w:firstLine="496"/>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十级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62" w:type="pct"/>
            <w:vAlign w:val="bottom"/>
            <w:textDirection w:val="lrTb"/>
            <w:noWrap w:val="false"/>
          </w:tcPr>
          <w:p>
            <w:pPr>
              <w:ind w:firstLine="493"/>
              <w:jc w:val="center"/>
              <w:spacing w:line="440" w:lineRule="exact"/>
              <w:tabs>
                <w:tab w:val="left" w:pos="2256" w:leader="none"/>
              </w:tabs>
              <w:rPr>
                <w:rFonts w:hint="eastAsia" w:ascii="宋体" w:hAnsi="宋体" w:eastAsia="宋体" w:cs="宋体"/>
                <w:bCs/>
                <w:highlight w:val="none"/>
              </w:rPr>
            </w:pPr>
            <w:r>
              <w:rPr>
                <w:rFonts w:hint="eastAsia" w:ascii="宋体" w:hAnsi="宋体" w:eastAsia="宋体" w:cs="宋体"/>
                <w:bCs/>
                <w:highlight w:val="none"/>
              </w:rPr>
              <w:t xml:space="preserve">10%</w:t>
            </w:r>
            <w:r/>
          </w:p>
        </w:tc>
      </w:tr>
    </w:tbl>
    <w:p>
      <w:pPr>
        <w:ind w:right="211"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3.6.4</w:t>
      </w:r>
      <w:r>
        <w:rPr>
          <w:rFonts w:hint="eastAsia" w:ascii="宋体" w:hAnsi="宋体" w:eastAsia="宋体" w:cs="宋体"/>
          <w:b/>
          <w:bCs/>
          <w:color w:val="000000"/>
          <w:sz w:val="24"/>
          <w:szCs w:val="24"/>
          <w:highlight w:val="none"/>
        </w:rPr>
        <w:t xml:space="preserve">本附加险赔偿份额不计算在各医疗机构医疗责任保险主险年度累计赔偿限额中，应另行计算。</w:t>
      </w:r>
      <w:r/>
    </w:p>
    <w:p>
      <w:pPr>
        <w:ind w:firstLine="420"/>
        <w:jc w:val="left"/>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3.7  </w:t>
      </w:r>
      <w:r>
        <w:rPr>
          <w:rFonts w:hint="eastAsia" w:ascii="宋体" w:hAnsi="宋体" w:eastAsia="宋体" w:cs="宋体"/>
          <w:b/>
          <w:sz w:val="24"/>
          <w:szCs w:val="24"/>
          <w:highlight w:val="none"/>
        </w:rPr>
        <w:t xml:space="preserve">本附加保险无免赔额或免赔率。</w:t>
      </w:r>
      <w:r/>
    </w:p>
    <w:p>
      <w:pPr>
        <w:ind w:firstLine="496"/>
        <w:jc w:val="left"/>
        <w:spacing w:line="440" w:lineRule="exact"/>
        <w:tabs>
          <w:tab w:val="left" w:pos="2256"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3.8  理赔材料</w:t>
      </w:r>
      <w:r/>
    </w:p>
    <w:p>
      <w:pPr>
        <w:ind w:left="496"/>
        <w:jc w:val="left"/>
        <w:spacing w:line="440" w:lineRule="exact"/>
        <w:tabs>
          <w:tab w:val="left" w:pos="22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索赔申请</w:t>
      </w:r>
      <w:r>
        <w:rPr>
          <w:rFonts w:hint="eastAsia" w:ascii="宋体" w:hAnsi="宋体" w:eastAsia="宋体" w:cs="宋体"/>
          <w:bCs/>
          <w:sz w:val="24"/>
          <w:szCs w:val="24"/>
          <w:highlight w:val="none"/>
        </w:rPr>
        <w:t xml:space="preserve">书；</w:t>
      </w:r>
      <w:r/>
    </w:p>
    <w:p>
      <w:pPr>
        <w:ind w:left="496"/>
        <w:jc w:val="left"/>
        <w:spacing w:line="440" w:lineRule="exact"/>
        <w:tabs>
          <w:tab w:val="left" w:pos="22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（2）公安部门出具的报案证明；</w:t>
      </w:r>
      <w:r/>
    </w:p>
    <w:p>
      <w:pPr>
        <w:ind w:left="496"/>
        <w:jc w:val="left"/>
        <w:spacing w:line="440" w:lineRule="exact"/>
        <w:tabs>
          <w:tab w:val="left" w:pos="22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（3）造成残疾的，应提供鉴定机构出具的鉴定书；</w:t>
      </w:r>
      <w:r/>
    </w:p>
    <w:p>
      <w:pPr>
        <w:ind w:left="496"/>
        <w:jc w:val="left"/>
        <w:spacing w:line="440" w:lineRule="exact"/>
        <w:tabs>
          <w:tab w:val="left" w:pos="2256" w:leader="none"/>
          <w:tab w:val="left" w:pos="65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（4）造成死亡的，应提供死亡证明、户籍注销证明。</w:t>
      </w:r>
      <w:r/>
    </w:p>
    <w:p>
      <w:pPr>
        <w:ind w:firstLine="413"/>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3.9  本附加险方案未约定事项，以主险方案为准；保险机构保险条款中与本方案保险责任、扩展责任、责任免除、出险处理、理赔材料等不一致的以本方案规定为准。</w:t>
      </w:r>
      <w:r/>
    </w:p>
    <w:p>
      <w:pPr>
        <w:ind w:firstLine="560"/>
        <w:jc w:val="left"/>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（Ⅱ）医疗机构财产险项目</w:t>
      </w:r>
      <w:r/>
    </w:p>
    <w:p>
      <w:pPr>
        <w:ind w:firstLine="640"/>
        <w:jc w:val="left"/>
        <w:spacing w:line="44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1.财产综合险</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投保人：</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被保险人：</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保险标的：保险合同载明地址中的财产（扣除机动车辆）。</w:t>
      </w:r>
      <w:r/>
    </w:p>
    <w:p>
      <w:p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w:t>
      </w:r>
      <w:r>
        <w:rPr>
          <w:rFonts w:hint="eastAsia" w:ascii="宋体" w:hAnsi="宋体" w:eastAsia="宋体" w:cs="宋体"/>
          <w:b w:val="0"/>
          <w:bCs w:val="0"/>
          <w:sz w:val="24"/>
          <w:szCs w:val="24"/>
          <w:highlight w:val="none"/>
        </w:rPr>
        <w:t xml:space="preserve">保险期间：</w:t>
      </w:r>
      <w:r>
        <w:rPr>
          <w:rFonts w:hint="eastAsia" w:ascii="宋体" w:hAnsi="宋体" w:eastAsia="宋体" w:cs="宋体"/>
          <w:sz w:val="24"/>
          <w:szCs w:val="24"/>
          <w:highlight w:val="none"/>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年04 月23日零时—</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年04月22日二十四时</w:t>
      </w:r>
      <w:r>
        <w:rPr>
          <w:rFonts w:hint="eastAsia" w:ascii="宋体" w:hAnsi="宋体" w:cs="宋体"/>
          <w:sz w:val="24"/>
          <w:szCs w:val="24"/>
          <w:highlight w:val="none"/>
          <w:lang w:val="en-US" w:eastAsia="zh-CN"/>
        </w:rPr>
        <w:t xml:space="preserve">止</w:t>
      </w:r>
      <w:r>
        <w:rPr>
          <w:rFonts w:hint="eastAsia" w:ascii="宋体" w:hAnsi="宋体" w:eastAsia="宋体" w:cs="宋体"/>
          <w:sz w:val="24"/>
          <w:szCs w:val="24"/>
          <w:highlight w:val="none"/>
        </w:rPr>
        <w:t xml:space="preserve">。</w:t>
      </w:r>
      <w:r/>
    </w:p>
    <w:p>
      <w:pPr>
        <w:ind w:right="211" w:firstLine="420"/>
        <w:jc w:val="left"/>
        <w:spacing w:line="440" w:lineRule="exact"/>
        <w:rPr>
          <w:rFonts w:hint="eastAsia" w:ascii="宋体" w:hAnsi="宋体" w:eastAsia="宋体" w:cs="宋体"/>
          <w:b w:val="0"/>
          <w:bCs w:val="0"/>
          <w:sz w:val="24"/>
          <w:szCs w:val="24"/>
          <w:highlight w:val="none"/>
          <w:lang w:eastAsia="zh-CN"/>
        </w:rPr>
      </w:pPr>
      <w:r>
        <w:rPr>
          <w:rFonts w:hint="eastAsia" w:ascii="宋体" w:hAnsi="宋体" w:eastAsia="宋体" w:cs="宋体"/>
          <w:color w:val="000000"/>
          <w:sz w:val="24"/>
          <w:szCs w:val="24"/>
          <w:highlight w:val="none"/>
        </w:rPr>
        <w:t xml:space="preserve">1.5  保险金额：</w:t>
      </w:r>
      <w:r>
        <w:rPr>
          <w:rFonts w:hint="eastAsia" w:ascii="宋体" w:hAnsi="宋体" w:cs="宋体"/>
          <w:color w:val="000000"/>
          <w:sz w:val="24"/>
          <w:szCs w:val="24"/>
          <w:highlight w:val="none"/>
          <w:lang w:val="en-US" w:eastAsia="zh-CN"/>
        </w:rPr>
        <w:t xml:space="preserve">投标分项报价表</w:t>
      </w:r>
      <w:r>
        <w:rPr>
          <w:rFonts w:hint="eastAsia" w:ascii="宋体" w:hAnsi="宋体" w:eastAsia="宋体" w:cs="宋体"/>
          <w:b w:val="0"/>
          <w:bCs w:val="0"/>
          <w:sz w:val="24"/>
          <w:szCs w:val="24"/>
          <w:highlight w:val="none"/>
          <w:lang w:eastAsia="zh-CN"/>
        </w:rPr>
        <w:t xml:space="preserve">。</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1.6  保险责任</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1.6.1  在保险期间内，由于下列原因造成保险标的的损失，保险人按照本保险合同的约定负责赔偿：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（1）火灾、爆炸；</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 雷击、暴雨、洪水、暴风、龙卷风、冰雹、台风、飓风、暴雪、冰凌、突发性滑坡、崩塌、泥石流、地面突然下陷下沉；</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（3）飞行物体及其他空中运行物体坠落。</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前款原因造成的保险事故发生时，为抢救保险标的或防止灾害蔓延，采取必要的、合理的措施而造成保险标的的损失，保险人按照本保险合同的约定也负责赔偿。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1.6.2  被保险人拥有财产所有权的自用的供电、供水、供气设备因保险事故遭受损坏，引起停电、停水、停气以致造成保险标的直接损失，保险人按照本保险合同的约定也负责赔偿。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1.6.3  保险事故发生后，被保险人为防止或减少保险标的的损失所支付的必要的、合理的费用，保险人按照本保险合同的约定也负责赔偿。</w:t>
      </w:r>
      <w:r/>
    </w:p>
    <w:p>
      <w:pPr>
        <w:ind w:firstLine="422"/>
        <w:spacing w:line="440" w:lineRule="exact"/>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1.7  扩展条款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1.7.1  自动喷淋系统水损条款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本保险扩展承保本保险单明细表中列明的被保险财产因喷淋系统的突然破裂、失灵造成该财产的水损（或水污损失）。</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1.7.2  附加水暖管爆裂保险条款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保险条款对本保险单承保的水暖管因火灾、爆炸、雷击、飞行物体及其他空中运行物体坠落、高压、碰撞、严寒、高温造成水暖管爆裂，致使被保险人的水暖管本身损失以及其他保险财产遭受水淹、浸湿、腐蚀的损失，保险人以本保险单中列明的保险金额为限按实际损失赔偿。</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1.7.3  恶意破坏扩展条款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本保险扩展承保本保险单明细表中列明的保险财产因他人的恶意破坏所致的损失。</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1.7.4  自动恢复保险金额条款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在保险公司对保险单明细表中列明的被保险财产的损失予以赔偿后，原保险金额自动恢复。</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1.7.5  增加资产条款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鉴于被保险人在投保资产原值基础上附加了5%增值部分，本保险扩展承保本保险生效后被保险人在中华人民共和国境内所增加的全部资产，但不包括财产的自动升值。</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1.7.6  紧急抢险条款</w:t>
      </w:r>
      <w:r/>
    </w:p>
    <w:p>
      <w:pPr>
        <w:ind w:firstLine="42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保险事故发生后，被保险人可按照规范要求以及生产与安全需要，立即组织抢险、抢修工作，但被保险人应认真做好相关记录，并在条件许可时对第一现场情况进行拍照或录像。保险人不得以未见到第一现场为由拒赔或少赔。</w:t>
      </w:r>
      <w:r/>
    </w:p>
    <w:p>
      <w:pPr>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1.7.7</w:t>
      </w:r>
      <w:r>
        <w:rPr>
          <w:rFonts w:hint="eastAsia" w:ascii="宋体" w:hAnsi="宋体" w:eastAsia="宋体" w:cs="宋体"/>
          <w:color w:val="000000"/>
          <w:sz w:val="24"/>
          <w:szCs w:val="24"/>
          <w:highlight w:val="none"/>
        </w:rPr>
        <w:t xml:space="preserve">广告牌、告示牌及装饰物扩展条款</w:t>
      </w:r>
      <w:r/>
    </w:p>
    <w:p>
      <w:pPr>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在被保险人列明地点及地点之外的，被保险人所有的广告标志及装饰物因主险保险责任范围内的事故造成的财产损失，保险人按照本保险合同的约定负责赔偿。</w:t>
      </w:r>
      <w:r/>
    </w:p>
    <w:p>
      <w:pPr>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1.7.8 露天及简易建筑内存放财产扩展条款</w:t>
      </w:r>
      <w:r/>
    </w:p>
    <w:p>
      <w:pPr>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由于暴风、暴雨、龙卷风、台风、飓风、雷电、冰雹、暴雪、冰凌、洪水造成的存放于露天或简易建筑内的保险标的的损失，保险人按照本保险合同的约定负责赔偿。</w:t>
      </w:r>
      <w:r/>
    </w:p>
    <w:p>
      <w:pPr>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1.7.9锅炉、压力容器扩展条款</w:t>
      </w:r>
      <w:r/>
    </w:p>
    <w:p>
      <w:pPr>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在本保险合同中载明的保险标的地址内，被保险人所有的或管控的锅炉、压力容器在正常使用过程中，由于下列原因造成自身的损失，保险人按照本保险合同的约定负责赔偿：</w:t>
      </w:r>
      <w:r/>
    </w:p>
    <w:p>
      <w:pPr>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（一）操作不当；</w:t>
      </w:r>
      <w:r/>
    </w:p>
    <w:p>
      <w:pPr>
        <w:ind w:firstLine="4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（二）爆炸。</w:t>
      </w:r>
      <w:r/>
    </w:p>
    <w:p>
      <w:pPr>
        <w:ind w:right="211" w:firstLine="480"/>
        <w:spacing w:line="440" w:lineRule="exact"/>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1.8  </w:t>
      </w:r>
      <w:r>
        <w:rPr>
          <w:rFonts w:hint="eastAsia" w:ascii="宋体" w:hAnsi="宋体" w:eastAsia="宋体" w:cs="宋体"/>
          <w:b/>
          <w:bCs/>
          <w:sz w:val="24"/>
          <w:szCs w:val="24"/>
          <w:highlight w:val="none"/>
        </w:rPr>
        <w:t xml:space="preserve">责任免除</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1.8.1  下列原因造成的损失、费用，保险人不负责赔偿：</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（1）投保人、被保险人及其代表的故意或重大过失行为；</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（2）行政行为或司法行为； </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（3）战争、类似战争行为、敌对行动、军事行动、武装冲突、罢工、骚乱、暴动、政变、谋反、恐怖活动； </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（4）地震、海啸及其次生灾害；</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（5）核辐射、核裂变、核聚变、核污染及其他放射性污染；</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（6）大气污染、土地污染、水污染及其他非放射性污染，但因保险事故造成的非放射性污染不在此限；</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（7）保险标的的内在或潜在缺陷、自然磨损、自然损耗，大气（气候或气温）变化、正常水位变化或其他渐变原因，物质本身变化、霉烂、受潮、鼠咬、虫蛀、鸟啄、氧化、锈蚀、渗漏、自燃、烘焙；</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（8）盗窃、抢劫。</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1.8.2  下列损失、费用，保险人也不负责赔偿：</w:t>
      </w:r>
      <w:r/>
    </w:p>
    <w:p>
      <w:pPr>
        <w:ind w:left="480" w:right="211"/>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（1）保险标的遭受保险事故引起的各种间接损失；</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（2）本保险合同中载明的免赔额。</w:t>
      </w:r>
      <w:r/>
    </w:p>
    <w:p>
      <w:pPr>
        <w:ind w:right="211"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1.9  免赔额或免赔率</w:t>
      </w:r>
      <w:r/>
    </w:p>
    <w:p>
      <w:pPr>
        <w:ind w:right="211"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w:t>
      </w:r>
      <w:bookmarkStart w:id="822" w:name="OLE_LINK23"/>
      <w:r>
        <w:rPr>
          <w:rFonts w:hint="eastAsia" w:ascii="宋体" w:hAnsi="宋体" w:eastAsia="宋体" w:cs="宋体"/>
          <w:sz w:val="24"/>
          <w:szCs w:val="24"/>
          <w:highlight w:val="none"/>
        </w:rPr>
        <w:t xml:space="preserve">绝对免赔额：</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0000元/次。</w:t>
      </w:r>
      <w:bookmarkEnd w:id="822"/>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免赔率：无。</w:t>
      </w:r>
      <w:r/>
    </w:p>
    <w:p>
      <w:pPr>
        <w:ind w:right="211"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1.10  出险处理</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1.10.1  保险人承诺一旦接到被保险人或采购人委托的第三方保险经纪公司出险报案后24小时内到达事故现场进行查勘定损；在定损依据双方都明确条件下出具定损清单并交由被保险人签字认可；保险人根据保险合同约定收全理赔材料后出具案件收讫留置单并予7个工作日内结案，并在赔偿限额内足额支付赔款。</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1.10.2  除非有合理和足够的证据证明，保险人不得以任何理由推卸、拖延甚至拒绝被保险人、采购人委托的第三方保险经纪公司的索赔要求，否则其行为构成违约，</w:t>
      </w:r>
      <w:r>
        <w:rPr>
          <w:rFonts w:hint="eastAsia" w:ascii="宋体" w:hAnsi="宋体" w:eastAsia="宋体" w:cs="宋体"/>
          <w:color w:val="000000" w:themeColor="text1"/>
          <w:sz w:val="24"/>
          <w:szCs w:val="24"/>
          <w:highlight w:val="none"/>
          <w14:textFill>
            <w14:solidFill>
              <w14:schemeClr w14:val="tx1"/>
            </w14:solidFill>
          </w14:textFill>
        </w:rPr>
        <w:t xml:space="preserve">并</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14:textFill>
            <w14:solidFill>
              <w14:schemeClr w14:val="tx1"/>
            </w14:solidFill>
          </w14:textFill>
        </w:rPr>
        <w:t xml:space="preserve">承担违约责任。保险人未按上述1.10.1要求完成赔付的，按赔偿金额的0.657‰/日×实际滞纳天数计算滞纳金赔付给被保险人，并承担由此造成的其他损失</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包括但不仅限于鉴定费、调查取证费、律师费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专家论证费用</w:t>
      </w:r>
      <w:r>
        <w:rPr>
          <w:rFonts w:hint="eastAsia" w:ascii="宋体" w:hAnsi="宋体" w:eastAsia="宋体" w:cs="宋体"/>
          <w:color w:val="000000" w:themeColor="text1"/>
          <w:sz w:val="24"/>
          <w:szCs w:val="24"/>
          <w:highlight w:val="none"/>
          <w14:textFill>
            <w14:solidFill>
              <w14:schemeClr w14:val="tx1"/>
            </w14:solidFill>
          </w14:textFill>
        </w:rPr>
        <w:t xml:space="preserve">等</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z w:val="24"/>
          <w:szCs w:val="24"/>
          <w:highlight w:val="none"/>
        </w:rPr>
        <w:t xml:space="preserve">。</w:t>
      </w:r>
      <w:r/>
    </w:p>
    <w:p>
      <w:pPr>
        <w:ind w:right="211"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1.10.3  被保险人应尽可能为保险人、公估人调查和取证工作保留事故现场；对无法留待保险人、公估人查勘的事故现场，被保险人应尽可能留下照片、录像、文字记录供保险人审核之用。</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1.11  理赔材料</w:t>
      </w:r>
      <w:r/>
    </w:p>
    <w:p>
      <w:pPr>
        <w:numPr>
          <w:ilvl w:val="0"/>
          <w:numId w:val="2"/>
        </w:num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索赔申请；</w:t>
      </w:r>
      <w:r/>
    </w:p>
    <w:p>
      <w:pPr>
        <w:numPr>
          <w:ilvl w:val="0"/>
          <w:numId w:val="2"/>
        </w:num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事故报告说明；</w:t>
      </w:r>
      <w:r/>
    </w:p>
    <w:p>
      <w:pPr>
        <w:numPr>
          <w:ilvl w:val="0"/>
          <w:numId w:val="2"/>
        </w:num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维修合同、发票原件；</w:t>
      </w:r>
      <w:r/>
    </w:p>
    <w:p>
      <w:pPr>
        <w:numPr>
          <w:ilvl w:val="0"/>
          <w:numId w:val="2"/>
        </w:num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损失清单及金额。</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1.12  保险机构保险条款中与本方案保险责任、扩展责任、责任免除、出险处理、理赔材料等不一致的以本方案规定为准。</w:t>
      </w:r>
      <w:r/>
    </w:p>
    <w:p>
      <w:pPr>
        <w:ind w:firstLine="640"/>
        <w:jc w:val="left"/>
        <w:spacing w:line="44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2．机器损坏险</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投保人：</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被保险人：</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2.3  保险标的：各医疗机构专用设备、通用设备等（扣除机</w:t>
      </w:r>
      <w:r>
        <w:rPr>
          <w:rFonts w:hint="eastAsia" w:ascii="宋体" w:hAnsi="宋体" w:eastAsia="宋体" w:cs="宋体"/>
          <w:color w:val="000000"/>
          <w:sz w:val="24"/>
          <w:szCs w:val="24"/>
          <w:highlight w:val="none"/>
        </w:rPr>
        <w:t xml:space="preserve">动车辆）。</w:t>
      </w:r>
      <w:r/>
    </w:p>
    <w:p>
      <w:pPr>
        <w:ind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w:t>
      </w:r>
      <w:r>
        <w:rPr>
          <w:rFonts w:hint="eastAsia" w:ascii="宋体" w:hAnsi="宋体" w:eastAsia="宋体" w:cs="宋体"/>
          <w:b w:val="0"/>
          <w:bCs w:val="0"/>
          <w:sz w:val="24"/>
          <w:szCs w:val="24"/>
          <w:highlight w:val="none"/>
        </w:rPr>
        <w:t xml:space="preserve">保险期间：</w:t>
      </w:r>
      <w:r>
        <w:rPr>
          <w:rFonts w:hint="eastAsia" w:ascii="宋体" w:hAnsi="宋体" w:eastAsia="宋体" w:cs="宋体"/>
          <w:sz w:val="24"/>
          <w:szCs w:val="24"/>
          <w:highlight w:val="none"/>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年04 月23日零时—</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年04月22日二十四时</w:t>
      </w:r>
      <w:r>
        <w:rPr>
          <w:rFonts w:hint="eastAsia" w:ascii="宋体" w:hAnsi="宋体" w:cs="宋体"/>
          <w:sz w:val="24"/>
          <w:szCs w:val="24"/>
          <w:highlight w:val="none"/>
          <w:lang w:val="en-US" w:eastAsia="zh-CN"/>
        </w:rPr>
        <w:t xml:space="preserve">止</w:t>
      </w:r>
      <w:r>
        <w:rPr>
          <w:rFonts w:hint="eastAsia" w:ascii="宋体" w:hAnsi="宋体" w:eastAsia="宋体" w:cs="宋体"/>
          <w:sz w:val="24"/>
          <w:szCs w:val="24"/>
          <w:highlight w:val="none"/>
        </w:rPr>
        <w:t xml:space="preserve">。</w:t>
      </w:r>
      <w:r/>
    </w:p>
    <w:p>
      <w:pPr>
        <w:ind w:right="211" w:firstLine="42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保险金额：</w:t>
      </w:r>
      <w:r>
        <w:rPr>
          <w:rFonts w:hint="eastAsia" w:ascii="宋体" w:hAnsi="宋体" w:cs="宋体"/>
          <w:color w:val="000000"/>
          <w:sz w:val="24"/>
          <w:szCs w:val="24"/>
          <w:highlight w:val="none"/>
          <w:lang w:val="en-US" w:eastAsia="zh-CN"/>
        </w:rPr>
        <w:t xml:space="preserve">详见投标分项报价表</w:t>
      </w:r>
      <w:r>
        <w:rPr>
          <w:rFonts w:hint="eastAsia" w:ascii="宋体" w:hAnsi="宋体" w:eastAsia="宋体" w:cs="宋体"/>
          <w:color w:val="000000"/>
          <w:sz w:val="24"/>
          <w:szCs w:val="24"/>
          <w:highlight w:val="none"/>
          <w:lang w:val="en-US" w:eastAsia="zh-CN"/>
        </w:rPr>
        <w:t xml:space="preserve">。</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2.6  保险责任</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  在保险期间内，因下列原因引起或构成突然的、不可预料的意外事故造成的物质损坏或灭失(以下简称“损失”)，保险人按照本保险合同的约定负责赔偿：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（1）设计、制造或安装错误、铸造和原材料缺陷；</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（2）工人、技术人员操作错误、缺乏经验、技术不善、疏忽、过失、恶意行为；</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（3）离心力引起的断裂；</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（4）超负荷、超电压、碰线、电弧、漏电、短路、大气放电、感应电及其他电气原因；</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（5）除本条款中“2.8责任免除”规定以外的其他原因。</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  保险事故发生后，被保险人为防止或减少保险标的的损失所支付的必要的、合理的费用，保险人按照本保险合同的约定也负责赔偿。</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2.7  扩展条款</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  增加资产条款</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鉴于被保险人在投保资产原值基础上附加了5%增值部分，本保险扩展承保本保险生效后被保险人在中华人民共和国境内新增加的全部资产，但不包括财产的自动升值。</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  紧急抢险条款</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险事故发生后，被保险人可按照规范要求以及生产与安全需要，立即组织抢险、抢修工作，但被保险人应认真做好相关记录，并在条件许可时对第一现场情况进行拍照或录像。保险人不得以未见到第一现场为由拒赔或少赔。</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2.8  责任免除</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2.8.1  下列原因造成的损失、费用，保险人不负责赔偿：</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（1）被保险人及其代表的故意行为或重大过失；</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（2）被保险人及其代表已经知道或应该知道的保险机器及其附属设备在本保险开始前已经存在的缺点或缺陷；</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（3）战争、类似战争行为、敌对行为、军事行为、武装冲突、恐怖活动、谋反、政变、罢工、暴动、骚乱；</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（4）政府命令或任何公共当局没收、征用、销毁或毁坏；</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（5）核裂变、核聚变、核武器、核材料、核辐射及放射性污染；</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（6）机器设备运行必然引起的后果，如自然磨损、氧化、腐蚀、锈蚀、孔蚀、锅垢等物理性变化或化学反应；</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（7）由于公共设施部门的限制性供应及故意行为或非意外事故引起的停电、停气、停水；</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（8）火灾、爆炸；</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（9）地震、海啸及其次生灾害；</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（10）雷击、飓风、台风、龙卷风、暴风、暴雨、洪水、冰雹、地崩、山崩、雪崩、火山爆发、地面下陷下沉及其他自然灾害；</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（11）飞机坠毁、飞机部件或飞机物体坠落；</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（12）机动车碰撞；</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（13）水箱、水管爆裂；</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（14）虫蛀、鼠咬、鸟啄。</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2.8.2  下列损失、费用，保险人也不负责赔偿：</w:t>
      </w:r>
      <w:r/>
    </w:p>
    <w:p>
      <w:p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（1）保险事故发生后引起的各种间接损失或费用；</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（2）根据法律或契约应由供货方、制造人、安装人或修理人负责的损失或费用；</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（3）保险机器设备在修复或重置过程中发生的任何变更、性能增加或改进所产生的额外费用；</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（4）本保险合同中载明的免赔额。</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2.9  免赔额或免赔率 </w:t>
      </w:r>
      <w:r/>
    </w:p>
    <w:p>
      <w:pPr>
        <w:ind w:right="211" w:firstLine="4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w:t>
      </w:r>
      <w:bookmarkStart w:id="823" w:name="OLE_LINK29"/>
      <w:r>
        <w:rPr>
          <w:rFonts w:hint="eastAsia" w:ascii="宋体" w:hAnsi="宋体" w:eastAsia="宋体" w:cs="宋体"/>
          <w:sz w:val="24"/>
          <w:szCs w:val="24"/>
          <w:highlight w:val="none"/>
        </w:rPr>
        <w:t xml:space="preserve">绝对免赔额：</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0000元/次。</w:t>
      </w:r>
      <w:bookmarkEnd w:id="823"/>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免赔率：无。</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2.10  出险处理</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2.10.1  保险人承诺一旦接到被保险人或采购人委托的第三方保险经纪公司出险报案后24小时内到达事故现场进行查勘定损；在定损依据双方都明确条件下出具定损清单并交由被保险人签字认可；保险人根据保险合同约定收全理赔材料后出具案件收讫留置单并予7个工作日内结案并在赔偿限额内足额支付赔款。</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2.10.2  除非有合理和足够的证据证明，保险人不得以任何理由推卸、拖延甚至拒绝被保险人、采购人委托的第三方保险经纪公司的索赔要求，否则其行为构成违约，</w:t>
      </w:r>
      <w:r>
        <w:rPr>
          <w:rFonts w:hint="eastAsia" w:ascii="宋体" w:hAnsi="宋体" w:eastAsia="宋体" w:cs="宋体"/>
          <w:color w:val="000000" w:themeColor="text1"/>
          <w:sz w:val="24"/>
          <w:szCs w:val="24"/>
          <w:highlight w:val="none"/>
          <w14:textFill>
            <w14:solidFill>
              <w14:schemeClr w14:val="tx1"/>
            </w14:solidFill>
          </w14:textFill>
        </w:rPr>
        <w:t xml:space="preserve">并</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14:textFill>
            <w14:solidFill>
              <w14:schemeClr w14:val="tx1"/>
            </w14:solidFill>
          </w14:textFill>
        </w:rPr>
        <w:t xml:space="preserve">承担违约责任。保险人未按上述2.10.1要求完成赔付的，按赔偿金额的0.657‰/日×实际滞纳天数计算滞纳金赔付给被保险人，并承担由此造成的其他损失</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包括但不仅限于鉴定费、调查取证费、律师费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专家论证费用</w:t>
      </w:r>
      <w:r>
        <w:rPr>
          <w:rFonts w:hint="eastAsia" w:ascii="宋体" w:hAnsi="宋体" w:eastAsia="宋体" w:cs="宋体"/>
          <w:color w:val="000000" w:themeColor="text1"/>
          <w:sz w:val="24"/>
          <w:szCs w:val="24"/>
          <w:highlight w:val="none"/>
          <w14:textFill>
            <w14:solidFill>
              <w14:schemeClr w14:val="tx1"/>
            </w14:solidFill>
          </w14:textFill>
        </w:rPr>
        <w:t xml:space="preserve">等</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2.10.3  被保险人应尽可能为保险人、公估人调查和取证工作保留事故现场；对无法留待保险人、公估人查勘的事故现场，被保险人应尽可能留下照片、录像、文字记录供保险人审核之用。</w:t>
      </w:r>
      <w:r/>
    </w:p>
    <w:p>
      <w:pPr>
        <w:ind w:right="211"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2.11  理赔材料</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（1）索赔申请；</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（2）事故报告说明；</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（3）维修合同、发票原件；</w:t>
      </w:r>
      <w:r/>
    </w:p>
    <w:p>
      <w:pPr>
        <w:ind w:right="211" w:firstLine="42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（4）损失清单及金额；</w:t>
      </w:r>
      <w:r/>
    </w:p>
    <w:p>
      <w:pPr>
        <w:numPr>
          <w:ilvl w:val="0"/>
          <w:numId w:val="0"/>
        </w:numPr>
        <w:ind w:right="211" w:firstLine="480"/>
        <w:spacing w:line="440" w:lineRule="exact"/>
        <w:rPr>
          <w:rFonts w:hint="eastAsia" w:ascii="宋体" w:hAnsi="宋体" w:eastAsia="宋体" w:cs="宋体"/>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受损标的设备登记记录。</w:t>
      </w:r>
      <w:r/>
    </w:p>
    <w:p>
      <w:pPr>
        <w:ind w:firstLine="422"/>
        <w:spacing w:line="44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2.12  保险机构保险条款中与本方案保险责任、扩展责任、责任免除、出险处理、理赔材料等不一致的以本方案规定为准。</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本附件提供的相关信息数据只用于保险公司参与本次投标，保险公司不得将本次项目所提供的信息数据向新闻媒体或任一其他方予以公开披露，也不能将本次项目所提供的信息数据用于其他任何目的，保险公司需严格遵守保密义务。</w:t>
      </w:r>
      <w:r/>
    </w:p>
    <w:p>
      <w:pPr>
        <w:ind w:firstLine="422"/>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861"/>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53"/>
        <w:gridCol w:w="855"/>
        <w:gridCol w:w="995"/>
        <w:gridCol w:w="1273"/>
        <w:gridCol w:w="936"/>
        <w:gridCol w:w="991"/>
        <w:gridCol w:w="1121"/>
        <w:gridCol w:w="1097"/>
        <w:gridCol w:w="1467"/>
      </w:tblGrid>
      <w:tr>
        <w:trPr>
          <w:jc w:val="center"/>
          <w:trHeight w:val="1000"/>
        </w:trPr>
        <w:tc>
          <w:tcPr>
            <w:tcBorders>
              <w:top w:val="single" w:color="000000" w:sz="8" w:space="0"/>
              <w:left w:val="single" w:color="000000" w:sz="8" w:space="0"/>
              <w:bottom w:val="single" w:color="000000" w:sz="8" w:space="0"/>
              <w:right w:val="single" w:color="000000" w:sz="8" w:space="0"/>
            </w:tcBorders>
            <w:tcW w:w="29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46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医院机构名称</w:t>
            </w:r>
            <w:r/>
          </w:p>
        </w:tc>
        <w:tc>
          <w:tcPr>
            <w:tcBorders>
              <w:top w:val="single" w:color="000000" w:sz="8" w:space="0"/>
              <w:left w:val="single" w:color="000000" w:sz="8" w:space="0"/>
              <w:bottom w:val="single" w:color="000000" w:sz="8" w:space="0"/>
              <w:right w:val="single" w:color="000000" w:sz="8" w:space="0"/>
            </w:tcBorders>
            <w:tcW w:w="53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医院级别</w:t>
            </w:r>
            <w:r/>
          </w:p>
        </w:tc>
        <w:tc>
          <w:tcPr>
            <w:tcBorders>
              <w:top w:val="single" w:color="000000" w:sz="8" w:space="0"/>
              <w:left w:val="single" w:color="000000" w:sz="8" w:space="0"/>
              <w:bottom w:val="single" w:color="000000" w:sz="8" w:space="0"/>
              <w:right w:val="single" w:color="000000" w:sz="8" w:space="0"/>
            </w:tcBorders>
            <w:tcW w:w="68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临床手术科室医师人数（人）</w:t>
            </w:r>
            <w:r/>
          </w:p>
        </w:tc>
        <w:tc>
          <w:tcPr>
            <w:tcBorders>
              <w:top w:val="single" w:color="000000" w:sz="8" w:space="0"/>
              <w:left w:val="single" w:color="000000" w:sz="8" w:space="0"/>
              <w:bottom w:val="single" w:color="000000" w:sz="8" w:space="0"/>
              <w:right w:val="single" w:color="000000" w:sz="8" w:space="0"/>
            </w:tcBorders>
            <w:tcW w:w="503"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临床非手术科室医师人数（人）</w:t>
            </w:r>
            <w:r/>
          </w:p>
        </w:tc>
        <w:tc>
          <w:tcPr>
            <w:tcBorders>
              <w:top w:val="single" w:color="000000" w:sz="8" w:space="0"/>
              <w:left w:val="single" w:color="000000" w:sz="8" w:space="0"/>
              <w:bottom w:val="single" w:color="000000" w:sz="8" w:space="0"/>
              <w:right w:val="single" w:color="000000" w:sz="8" w:space="0"/>
            </w:tcBorders>
            <w:tcW w:w="533"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护士及医技、药剂科室人数（人）</w:t>
            </w:r>
            <w:r/>
          </w:p>
        </w:tc>
        <w:tc>
          <w:tcPr>
            <w:tcBorders>
              <w:top w:val="single" w:color="000000" w:sz="8" w:space="0"/>
              <w:left w:val="single" w:color="000000" w:sz="8" w:space="0"/>
              <w:bottom w:val="single" w:color="000000" w:sz="8" w:space="0"/>
              <w:right w:val="single" w:color="000000" w:sz="8" w:space="0"/>
            </w:tcBorders>
            <w:tcW w:w="603"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医务人员合计人数（人）</w:t>
            </w:r>
            <w:r/>
          </w:p>
        </w:tc>
        <w:tc>
          <w:tcPr>
            <w:tcBorders>
              <w:top w:val="single" w:color="000000" w:sz="8" w:space="0"/>
              <w:left w:val="single" w:color="000000" w:sz="8" w:space="0"/>
              <w:bottom w:val="single" w:color="000000" w:sz="8" w:space="0"/>
              <w:right w:val="single" w:color="000000" w:sz="8" w:space="0"/>
            </w:tcBorders>
            <w:tcW w:w="59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床位数（床）</w:t>
            </w:r>
            <w:r/>
          </w:p>
        </w:tc>
        <w:tc>
          <w:tcPr>
            <w:tcBorders>
              <w:top w:val="single" w:color="000000" w:sz="8" w:space="0"/>
              <w:left w:val="single" w:color="000000" w:sz="8" w:space="0"/>
              <w:bottom w:val="single" w:color="000000" w:sz="8" w:space="0"/>
              <w:right w:val="single" w:color="000000" w:sz="8" w:space="0"/>
            </w:tcBorders>
            <w:tcW w:w="78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预估手术台数（台）</w:t>
            </w:r>
            <w:r/>
          </w:p>
        </w:tc>
      </w:tr>
      <w:tr>
        <w:trPr>
          <w:jc w:val="center"/>
          <w:trHeight w:val="760"/>
        </w:trPr>
        <w:tc>
          <w:tcPr>
            <w:tcBorders>
              <w:top w:val="none" w:color="000000" w:sz="4" w:space="0"/>
              <w:left w:val="single" w:color="000000" w:sz="8" w:space="0"/>
              <w:bottom w:val="single" w:color="000000" w:sz="8" w:space="0"/>
              <w:right w:val="single" w:color="000000" w:sz="8" w:space="0"/>
            </w:tcBorders>
            <w:tcW w:w="298"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c>
          <w:tcPr>
            <w:tcBorders>
              <w:top w:val="none" w:color="000000" w:sz="4" w:space="0"/>
              <w:left w:val="single" w:color="000000" w:sz="8" w:space="0"/>
              <w:bottom w:val="single" w:color="000000" w:sz="8" w:space="0"/>
              <w:right w:val="single" w:color="000000" w:sz="8" w:space="0"/>
            </w:tcBorders>
            <w:tcW w:w="460"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二院</w:t>
            </w:r>
            <w:r/>
          </w:p>
        </w:tc>
        <w:tc>
          <w:tcPr>
            <w:tcBorders>
              <w:top w:val="none" w:color="000000" w:sz="4" w:space="0"/>
              <w:left w:val="single" w:color="000000" w:sz="8" w:space="0"/>
              <w:bottom w:val="single" w:color="000000" w:sz="8" w:space="0"/>
              <w:right w:val="single" w:color="000000" w:sz="8" w:space="0"/>
            </w:tcBorders>
            <w:tcW w:w="53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三级</w:t>
            </w:r>
            <w:r>
              <w:rPr>
                <w:rFonts w:hint="eastAsia" w:ascii="宋体" w:hAnsi="宋体" w:eastAsia="宋体" w:cs="宋体"/>
                <w:color w:val="000000"/>
                <w:sz w:val="24"/>
                <w:szCs w:val="24"/>
                <w:highlight w:val="none"/>
                <w:lang w:val="en-US" w:eastAsia="zh-CN"/>
              </w:rPr>
              <w:t xml:space="preserve">甲等</w:t>
            </w:r>
            <w:r/>
          </w:p>
        </w:tc>
        <w:tc>
          <w:tcPr>
            <w:tcBorders>
              <w:top w:val="none" w:color="000000" w:sz="4" w:space="0"/>
              <w:left w:val="single" w:color="000000" w:sz="8" w:space="0"/>
              <w:bottom w:val="single" w:color="000000" w:sz="8" w:space="0"/>
              <w:right w:val="single" w:color="000000" w:sz="8" w:space="0"/>
            </w:tcBorders>
            <w:tcW w:w="685"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447</w:t>
            </w:r>
            <w:r/>
          </w:p>
        </w:tc>
        <w:tc>
          <w:tcPr>
            <w:tcBorders>
              <w:top w:val="none" w:color="000000" w:sz="4" w:space="0"/>
              <w:left w:val="single" w:color="000000" w:sz="8" w:space="0"/>
              <w:bottom w:val="single" w:color="000000" w:sz="8" w:space="0"/>
              <w:right w:val="single" w:color="000000" w:sz="8" w:space="0"/>
            </w:tcBorders>
            <w:tcW w:w="503"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669</w:t>
            </w:r>
            <w:r/>
          </w:p>
        </w:tc>
        <w:tc>
          <w:tcPr>
            <w:tcBorders>
              <w:top w:val="none" w:color="000000" w:sz="4" w:space="0"/>
              <w:left w:val="single" w:color="000000" w:sz="8" w:space="0"/>
              <w:bottom w:val="single" w:color="000000" w:sz="8" w:space="0"/>
              <w:right w:val="single" w:color="000000" w:sz="8" w:space="0"/>
            </w:tcBorders>
            <w:tcW w:w="533"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1931</w:t>
            </w:r>
            <w:r/>
          </w:p>
        </w:tc>
        <w:tc>
          <w:tcPr>
            <w:tcBorders>
              <w:top w:val="none" w:color="000000" w:sz="4" w:space="0"/>
              <w:left w:val="single" w:color="000000" w:sz="8" w:space="0"/>
              <w:bottom w:val="single" w:color="000000" w:sz="8" w:space="0"/>
              <w:right w:val="single" w:color="000000" w:sz="8" w:space="0"/>
            </w:tcBorders>
            <w:tcW w:w="603"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3047</w:t>
            </w:r>
            <w:r/>
          </w:p>
        </w:tc>
        <w:tc>
          <w:tcPr>
            <w:tcBorders>
              <w:top w:val="none" w:color="000000" w:sz="4" w:space="0"/>
              <w:left w:val="single" w:color="000000" w:sz="8" w:space="0"/>
              <w:bottom w:val="single" w:color="000000" w:sz="8" w:space="0"/>
              <w:right w:val="single" w:color="000000" w:sz="8" w:space="0"/>
            </w:tcBorders>
            <w:tcW w:w="590"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2534</w:t>
            </w:r>
            <w:r/>
          </w:p>
        </w:tc>
        <w:tc>
          <w:tcPr>
            <w:tcBorders>
              <w:top w:val="none" w:color="000000" w:sz="4" w:space="0"/>
              <w:left w:val="single" w:color="000000" w:sz="8" w:space="0"/>
              <w:bottom w:val="single" w:color="000000" w:sz="8" w:space="0"/>
              <w:right w:val="single" w:color="000000" w:sz="8" w:space="0"/>
            </w:tcBorders>
            <w:tcW w:w="789"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41963</w:t>
            </w:r>
            <w:r/>
          </w:p>
        </w:tc>
      </w:tr>
    </w:tbl>
    <w:p>
      <w:pPr>
        <w:pStyle w:val="1268"/>
        <w:spacing w:line="360" w:lineRule="auto"/>
        <w:rPr>
          <w:rFonts w:hint="eastAsia" w:ascii="宋体" w:hAnsi="宋体" w:eastAsia="宋体" w:cs="宋体"/>
          <w:sz w:val="24"/>
          <w:szCs w:val="24"/>
          <w:highlight w:val="none"/>
          <w:lang w:eastAsia="zh-CN"/>
        </w:rPr>
        <w:outlineLvl w:val="1"/>
      </w:pPr>
      <w:r>
        <w:rPr>
          <w:rFonts w:hint="eastAsia" w:ascii="宋体" w:hAnsi="宋体" w:eastAsia="宋体" w:cs="宋体"/>
          <w:sz w:val="24"/>
          <w:szCs w:val="24"/>
          <w:highlight w:val="none"/>
          <w:lang w:eastAsia="zh-CN"/>
        </w:rPr>
      </w:r>
      <w:r/>
    </w:p>
    <w:tbl>
      <w:tblPr>
        <w:tblStyle w:val="861"/>
        <w:tblpPr w:horzAnchor="page" w:tblpX="1794" w:vertAnchor="text" w:tblpY="450"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56"/>
        <w:gridCol w:w="1343"/>
        <w:gridCol w:w="1219"/>
        <w:gridCol w:w="1835"/>
        <w:gridCol w:w="1835"/>
        <w:gridCol w:w="2400"/>
      </w:tblGrid>
      <w:tr>
        <w:trPr>
          <w:trHeight w:val="693"/>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常州市市区公立医疗机构拟投保财产综合险数据</w:t>
            </w:r>
            <w:r/>
          </w:p>
        </w:tc>
      </w:tr>
      <w:tr>
        <w:trPr>
          <w:trHeight w:val="72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医疗机构名称</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地址（多地址需列明）</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固定资产（单位：万元）</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存货（单位：万元）</w:t>
            </w:r>
            <w:r/>
          </w:p>
        </w:tc>
        <w:tc>
          <w:tcPr>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固定资产加成5%+存货总额（单位：万元）</w:t>
            </w:r>
            <w:r/>
          </w:p>
        </w:tc>
      </w:tr>
      <w:tr>
        <w:trPr>
          <w:trHeight w:val="480"/>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二院</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两处</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372735.85</w:t>
            </w:r>
            <w:r/>
          </w:p>
        </w:tc>
        <w:tc>
          <w:tcPr>
            <w:tcBorders>
              <w:top w:val="single" w:color="000000" w:sz="4" w:space="0"/>
              <w:left w:val="single" w:color="000000" w:sz="4" w:space="0"/>
              <w:bottom w:val="single" w:color="000000" w:sz="4" w:space="0"/>
              <w:right w:val="single" w:color="000000" w:sz="4" w:space="0"/>
            </w:tcBorders>
            <w:tcW w:w="988" w:type="pct"/>
            <w:vAlign w:val="center"/>
            <w:textDirection w:val="lrTb"/>
            <w:noWrap/>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4493.47</w:t>
            </w:r>
            <w:r/>
          </w:p>
        </w:tc>
        <w:tc>
          <w:tcPr>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395866.11</w:t>
            </w:r>
            <w:r/>
          </w:p>
        </w:tc>
      </w:tr>
    </w:tbl>
    <w:p>
      <w:pPr>
        <w:pStyle w:val="1268"/>
        <w:ind w:left="0"/>
        <w:spacing w:line="360" w:lineRule="auto"/>
        <w:rPr>
          <w:rFonts w:hint="eastAsia" w:ascii="宋体" w:hAnsi="宋体" w:eastAsia="宋体" w:cs="宋体"/>
          <w:highlight w:val="none"/>
          <w:lang w:eastAsia="zh-CN"/>
        </w:rPr>
        <w:outlineLvl w:val="1"/>
      </w:pPr>
      <w:r>
        <w:rPr>
          <w:rFonts w:hint="eastAsia" w:ascii="宋体" w:hAnsi="宋体" w:eastAsia="宋体" w:cs="宋体"/>
          <w:highlight w:val="none"/>
          <w:lang w:eastAsia="zh-CN"/>
        </w:rPr>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注：1.扣除机动车辆；</w:t>
      </w:r>
      <w:r/>
    </w:p>
    <w:p>
      <w:pPr>
        <w:ind w:firstLine="421"/>
        <w:spacing w:line="360" w:lineRule="auto"/>
        <w:rPr>
          <w:rFonts w:hint="eastAsia" w:ascii="宋体" w:hAnsi="宋体" w:eastAsia="宋体" w:cs="宋体"/>
          <w:b/>
          <w:highlight w:val="none"/>
        </w:rPr>
      </w:pPr>
      <w:r>
        <w:rPr>
          <w:rFonts w:hint="eastAsia" w:ascii="宋体" w:hAnsi="宋体" w:eastAsia="宋体" w:cs="宋体"/>
          <w:b/>
          <w:highlight w:val="none"/>
        </w:rPr>
        <w:t xml:space="preserve">2.固定资产以202</w:t>
      </w:r>
      <w:r>
        <w:rPr>
          <w:rFonts w:hint="eastAsia" w:ascii="宋体" w:hAnsi="宋体" w:cs="宋体"/>
          <w:b/>
          <w:highlight w:val="none"/>
          <w:lang w:val="en-US" w:eastAsia="zh-CN"/>
        </w:rPr>
        <w:t xml:space="preserve">5</w:t>
      </w:r>
      <w:r>
        <w:rPr>
          <w:rFonts w:hint="eastAsia" w:ascii="宋体" w:hAnsi="宋体" w:eastAsia="宋体" w:cs="宋体"/>
          <w:b/>
          <w:highlight w:val="none"/>
        </w:rPr>
        <w:t xml:space="preserve">年12月期末原值为准；</w:t>
      </w:r>
      <w:r/>
    </w:p>
    <w:p>
      <w:pPr>
        <w:ind w:firstLine="421"/>
        <w:spacing w:line="360" w:lineRule="auto"/>
        <w:rPr>
          <w:rFonts w:hint="eastAsia" w:ascii="宋体" w:hAnsi="宋体" w:eastAsia="宋体" w:cs="宋体"/>
          <w:b/>
          <w:highlight w:val="none"/>
        </w:rPr>
      </w:pPr>
      <w:r>
        <w:rPr>
          <w:rFonts w:hint="eastAsia" w:ascii="宋体" w:hAnsi="宋体" w:eastAsia="宋体" w:cs="宋体"/>
          <w:b/>
          <w:highlight w:val="none"/>
        </w:rPr>
        <w:t xml:space="preserve">3.存货以202</w:t>
      </w:r>
      <w:r>
        <w:rPr>
          <w:rFonts w:hint="eastAsia" w:ascii="宋体" w:hAnsi="宋体" w:cs="宋体"/>
          <w:b/>
          <w:highlight w:val="none"/>
          <w:lang w:val="en-US" w:eastAsia="zh-CN"/>
        </w:rPr>
        <w:t xml:space="preserve">5</w:t>
      </w:r>
      <w:r>
        <w:rPr>
          <w:rFonts w:hint="eastAsia" w:ascii="宋体" w:hAnsi="宋体" w:eastAsia="宋体" w:cs="宋体"/>
          <w:b/>
          <w:highlight w:val="none"/>
        </w:rPr>
        <w:t xml:space="preserve">年12月期末余额为准；</w:t>
      </w:r>
      <w:r/>
    </w:p>
    <w:p>
      <w:pPr>
        <w:ind w:firstLine="421"/>
        <w:spacing w:line="360" w:lineRule="auto"/>
        <w:rPr>
          <w:rFonts w:hint="eastAsia" w:ascii="宋体" w:hAnsi="宋体" w:eastAsia="宋体" w:cs="宋体"/>
          <w:b/>
          <w:highlight w:val="none"/>
        </w:rPr>
      </w:pPr>
      <w:r>
        <w:rPr>
          <w:rFonts w:hint="eastAsia" w:ascii="宋体" w:hAnsi="宋体" w:eastAsia="宋体" w:cs="宋体"/>
          <w:b/>
          <w:highlight w:val="none"/>
        </w:rPr>
        <w:t xml:space="preserve">4.保费按照上表列明保险金额计算。</w:t>
      </w:r>
      <w:r/>
    </w:p>
    <w:tbl>
      <w:tblPr>
        <w:tblStyle w:val="861"/>
        <w:tblpPr w:horzAnchor="page" w:tblpX="1794" w:vertAnchor="text" w:tblpY="448" w:leftFromText="180" w:topFromText="0" w:rightFromText="180" w:bottomFromText="0"/>
        <w:tblW w:w="5127" w:type="pct"/>
        <w:tblInd w:w="0" w:type="dxa"/>
        <w:tblLayout w:type="autofit"/>
        <w:tblCellMar>
          <w:left w:w="108" w:type="dxa"/>
          <w:top w:w="0" w:type="dxa"/>
          <w:right w:w="108" w:type="dxa"/>
          <w:bottom w:w="0" w:type="dxa"/>
        </w:tblCellMar>
        <w:tblLook w:val="04A0" w:firstRow="1" w:lastRow="0" w:firstColumn="1" w:lastColumn="0" w:noHBand="0" w:noVBand="1"/>
      </w:tblPr>
      <w:tblGrid>
        <w:gridCol w:w="762"/>
        <w:gridCol w:w="1893"/>
        <w:gridCol w:w="3423"/>
        <w:gridCol w:w="3446"/>
      </w:tblGrid>
      <w:tr>
        <w:trPr>
          <w:trHeight w:val="54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常州市市区公立医疗机构拟投保机器设备损坏险数据</w:t>
            </w:r>
            <w:r/>
          </w:p>
        </w:tc>
      </w:tr>
      <w:tr>
        <w:trPr>
          <w:trHeight w:val="820"/>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9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医疗机构名称</w:t>
            </w:r>
            <w:r/>
          </w:p>
        </w:tc>
        <w:tc>
          <w:tcPr>
            <w:tcBorders>
              <w:top w:val="single" w:color="000000" w:sz="4" w:space="0"/>
              <w:left w:val="single" w:color="000000" w:sz="4" w:space="0"/>
              <w:bottom w:val="single" w:color="000000" w:sz="4" w:space="0"/>
              <w:right w:val="single" w:color="000000" w:sz="4" w:space="0"/>
            </w:tcBorders>
            <w:tcW w:w="1797" w:type="pct"/>
            <w:vAlign w:val="center"/>
            <w:textDirection w:val="lrTb"/>
            <w:noWrap/>
          </w:tcPr>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投保机器设备（单位：万元）</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加成5%后总额（单位：万元）</w:t>
            </w:r>
            <w:r/>
          </w:p>
        </w:tc>
      </w:tr>
      <w:tr>
        <w:trPr>
          <w:trHeight w:val="500"/>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94"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二院</w:t>
            </w:r>
            <w:r/>
          </w:p>
        </w:tc>
        <w:tc>
          <w:tcPr>
            <w:tcBorders>
              <w:top w:val="single" w:color="000000" w:sz="4" w:space="0"/>
              <w:left w:val="single" w:color="000000" w:sz="4" w:space="0"/>
              <w:bottom w:val="single" w:color="000000" w:sz="4" w:space="0"/>
              <w:right w:val="single" w:color="000000" w:sz="4" w:space="0"/>
            </w:tcBorders>
            <w:tcW w:w="1797" w:type="pct"/>
            <w:vAlign w:val="center"/>
            <w:textDirection w:val="lrTb"/>
            <w:noWrap/>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135231.46</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141993.03</w:t>
            </w:r>
            <w:r/>
          </w:p>
        </w:tc>
      </w:tr>
    </w:tbl>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注：1.扣除机动车辆；</w:t>
      </w:r>
      <w:r/>
    </w:p>
    <w:p>
      <w:pPr>
        <w:ind w:firstLine="422"/>
        <w:spacing w:line="360" w:lineRule="auto"/>
        <w:rPr>
          <w:rFonts w:hint="eastAsia" w:ascii="宋体" w:hAnsi="宋体" w:eastAsia="宋体" w:cs="宋体"/>
          <w:b/>
          <w:highlight w:val="none"/>
        </w:rPr>
      </w:pPr>
      <w:r>
        <w:rPr>
          <w:rFonts w:hint="eastAsia" w:ascii="宋体" w:hAnsi="宋体" w:eastAsia="宋体" w:cs="宋体"/>
          <w:b/>
          <w:highlight w:val="none"/>
        </w:rPr>
        <w:t xml:space="preserve">2.以202</w:t>
      </w:r>
      <w:r>
        <w:rPr>
          <w:rFonts w:hint="eastAsia" w:ascii="宋体" w:hAnsi="宋体" w:cs="宋体"/>
          <w:b/>
          <w:highlight w:val="none"/>
          <w:lang w:val="en-US" w:eastAsia="zh-CN"/>
        </w:rPr>
        <w:t xml:space="preserve">5</w:t>
      </w:r>
      <w:r>
        <w:rPr>
          <w:rFonts w:hint="eastAsia" w:ascii="宋体" w:hAnsi="宋体" w:eastAsia="宋体" w:cs="宋体"/>
          <w:b/>
          <w:highlight w:val="none"/>
        </w:rPr>
        <w:t xml:space="preserve">年12月期末原值为准；</w:t>
      </w:r>
      <w:r/>
    </w:p>
    <w:p>
      <w:pPr>
        <w:ind w:firstLine="421"/>
        <w:spacing w:line="360" w:lineRule="auto"/>
        <w:rPr>
          <w:rFonts w:hint="eastAsia" w:ascii="宋体" w:hAnsi="宋体" w:eastAsia="宋体" w:cs="宋体"/>
          <w:b/>
          <w:highlight w:val="none"/>
        </w:rPr>
      </w:pPr>
      <w:r>
        <w:rPr>
          <w:rFonts w:hint="eastAsia" w:ascii="宋体" w:hAnsi="宋体" w:eastAsia="宋体" w:cs="宋体"/>
          <w:b/>
          <w:highlight w:val="none"/>
        </w:rPr>
        <w:t xml:space="preserve">3.保费按照上表列明保险金额计算。</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jc w:val="both"/>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jc w:val="both"/>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jc w:val="both"/>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clear="all"/>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第六章   拟签订的合同文本</w:t>
      </w:r>
      <w:bookmarkEnd w:id="814"/>
      <w:r/>
      <w:r/>
    </w:p>
    <w:p>
      <w:pPr>
        <w:ind w:firstLine="480"/>
        <w:spacing w:line="360" w:lineRule="auto"/>
        <w:rPr>
          <w:rFonts w:hint="eastAsia" w:ascii="宋体" w:hAnsi="宋体" w:eastAsia="宋体" w:cs="宋体"/>
          <w:bCs/>
          <w:sz w:val="24"/>
          <w:szCs w:val="21"/>
          <w:highlight w:val="none"/>
        </w:rPr>
      </w:pPr>
      <w:r/>
      <w:bookmarkStart w:id="824" w:name="_Toc513029243"/>
      <w:r/>
      <w:bookmarkStart w:id="825" w:name="_Toc16938559"/>
      <w:r/>
      <w:bookmarkStart w:id="826" w:name="_Toc20823315"/>
      <w:r>
        <w:rPr>
          <w:rFonts w:hint="eastAsia" w:ascii="宋体" w:hAnsi="宋体" w:eastAsia="宋体" w:cs="宋体"/>
          <w:bCs/>
          <w:sz w:val="24"/>
          <w:szCs w:val="21"/>
          <w:highlight w:val="none"/>
        </w:rPr>
        <w:t xml:space="preserve">以下为中标后签定本项目合同的通用条款，中标人不得提出实质性的修改。</w:t>
      </w:r>
      <w:r/>
    </w:p>
    <w:p>
      <w:pPr>
        <w:jc w:val="center"/>
        <w:spacing w:line="360" w:lineRule="auto"/>
        <w:rPr>
          <w:rFonts w:hint="eastAsia" w:ascii="宋体" w:hAnsi="宋体" w:eastAsia="宋体" w:cs="宋体"/>
          <w:b/>
          <w:bCs/>
          <w:sz w:val="30"/>
          <w:szCs w:val="20"/>
          <w:highlight w:val="none"/>
        </w:rPr>
      </w:pPr>
      <w:r>
        <w:rPr>
          <w:rFonts w:hint="eastAsia" w:ascii="宋体" w:hAnsi="宋体" w:eastAsia="宋体" w:cs="宋体"/>
          <w:b/>
          <w:sz w:val="30"/>
          <w:szCs w:val="21"/>
          <w:highlight w:val="none"/>
        </w:rPr>
        <w:t xml:space="preserve">常州市政府采购合同（服务）（合同编号）</w:t>
      </w:r>
      <w:r/>
    </w:p>
    <w:p>
      <w:pPr>
        <w:spacing w:before="156" w:after="156"/>
        <w:rPr>
          <w:rFonts w:hint="eastAsia" w:ascii="宋体" w:hAnsi="宋体" w:eastAsia="宋体" w:cs="宋体"/>
          <w:b/>
          <w:bCs/>
          <w:sz w:val="24"/>
          <w:szCs w:val="24"/>
          <w:highlight w:val="none"/>
        </w:rPr>
        <w:outlineLvl w:val="0"/>
      </w:pPr>
      <w:r>
        <w:rPr>
          <w:rFonts w:hint="eastAsia" w:ascii="宋体" w:hAnsi="宋体" w:eastAsia="宋体" w:cs="宋体"/>
          <w:sz w:val="24"/>
          <w:szCs w:val="24"/>
          <w:highlight w:val="none"/>
        </w:rPr>
        <w:t xml:space="preserve">项目名称：202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年度</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医疗责任险、财产险项目</w:t>
      </w:r>
      <w:r/>
    </w:p>
    <w:p>
      <w:pPr>
        <w:jc w:val="both"/>
        <w:spacing w:before="120" w:after="12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en-US" w:bidi="ar-SA"/>
        </w:rPr>
        <w:t xml:space="preserve">项目编号：</w:t>
      </w:r>
      <w:r>
        <w:rPr>
          <w:rFonts w:hint="eastAsia" w:ascii="宋体" w:hAnsi="宋体" w:cs="宋体"/>
          <w:sz w:val="24"/>
          <w:szCs w:val="24"/>
          <w:highlight w:val="none"/>
          <w:lang w:val="en-US" w:eastAsia="zh-CN" w:bidi="ar-SA"/>
        </w:rPr>
        <w:t xml:space="preserve"> </w:t>
      </w:r>
      <w:r/>
    </w:p>
    <w:p>
      <w:pPr>
        <w:spacing w:before="120" w:after="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w:t>
      </w:r>
      <w:r>
        <w:rPr>
          <w:rFonts w:hint="eastAsia" w:ascii="宋体" w:hAnsi="宋体" w:cs="宋体"/>
          <w:sz w:val="24"/>
          <w:szCs w:val="24"/>
          <w:highlight w:val="none"/>
          <w:lang w:val="en-US" w:eastAsia="zh-CN"/>
        </w:rPr>
        <w:t xml:space="preserve">常州市第二人民医院</w:t>
      </w:r>
      <w:r/>
    </w:p>
    <w:p>
      <w:pPr>
        <w:jc w:val="both"/>
        <w:spacing w:before="120" w:after="120"/>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乙方：_________</w:t>
      </w:r>
      <w:r/>
    </w:p>
    <w:p>
      <w:pPr>
        <w:jc w:val="both"/>
        <w:spacing w:before="120" w:after="120" w:line="360" w:lineRule="auto"/>
        <w:widowControl w:val="off"/>
        <w:rPr>
          <w:rFonts w:hint="eastAsia" w:ascii="宋体" w:hAnsi="宋体" w:eastAsia="宋体" w:cs="宋体"/>
          <w:b/>
          <w:sz w:val="24"/>
          <w:szCs w:val="24"/>
          <w:highlight w:val="none"/>
          <w:lang w:val="en-US" w:eastAsia="en-US" w:bidi="ar-SA"/>
        </w:rPr>
      </w:pPr>
      <w:r>
        <w:rPr>
          <w:rFonts w:hint="eastAsia" w:ascii="宋体" w:hAnsi="宋体" w:eastAsia="宋体" w:cs="宋体"/>
          <w:b/>
          <w:sz w:val="24"/>
          <w:szCs w:val="24"/>
          <w:highlight w:val="none"/>
          <w:lang w:val="en-US" w:eastAsia="en-US" w:bidi="ar-SA"/>
        </w:rPr>
        <w:t xml:space="preserve">   </w:t>
      </w:r>
      <w:r>
        <w:rPr>
          <w:rFonts w:hint="eastAsia" w:ascii="宋体" w:hAnsi="宋体" w:eastAsia="宋体" w:cs="宋体"/>
          <w:sz w:val="24"/>
          <w:szCs w:val="24"/>
          <w:highlight w:val="none"/>
          <w:lang w:val="en-US" w:eastAsia="en-US" w:bidi="ar-SA"/>
        </w:rPr>
        <w:t xml:space="preserve">甲、乙双方根据</w:t>
      </w:r>
      <w:r>
        <w:rPr>
          <w:rFonts w:hint="eastAsia" w:ascii="宋体" w:hAnsi="宋体" w:eastAsia="宋体" w:cs="宋体"/>
          <w:sz w:val="24"/>
          <w:szCs w:val="24"/>
          <w:highlight w:val="none"/>
          <w:u w:val="single"/>
          <w:lang w:val="en-US" w:eastAsia="en-US" w:bidi="ar-SA"/>
        </w:rPr>
        <w:t xml:space="preserve">202</w:t>
      </w:r>
      <w:r>
        <w:rPr>
          <w:rFonts w:hint="eastAsia" w:ascii="宋体" w:hAnsi="宋体" w:cs="宋体"/>
          <w:sz w:val="24"/>
          <w:szCs w:val="24"/>
          <w:highlight w:val="none"/>
          <w:u w:val="single"/>
          <w:lang w:val="en-US" w:eastAsia="zh-CN" w:bidi="ar-SA"/>
        </w:rPr>
        <w:t xml:space="preserve">6</w:t>
      </w:r>
      <w:r>
        <w:rPr>
          <w:rFonts w:hint="eastAsia" w:ascii="宋体" w:hAnsi="宋体" w:eastAsia="宋体" w:cs="宋体"/>
          <w:sz w:val="24"/>
          <w:szCs w:val="24"/>
          <w:highlight w:val="none"/>
          <w:u w:val="single"/>
          <w:lang w:val="en-US" w:eastAsia="en-US" w:bidi="ar-SA"/>
        </w:rPr>
        <w:t xml:space="preserve">-</w:t>
      </w:r>
      <w:r>
        <w:rPr>
          <w:rFonts w:hint="eastAsia" w:ascii="宋体" w:hAnsi="宋体" w:cs="宋体"/>
          <w:sz w:val="24"/>
          <w:szCs w:val="24"/>
          <w:highlight w:val="none"/>
          <w:u w:val="single"/>
          <w:lang w:val="en-US" w:eastAsia="zh-CN" w:bidi="ar-SA"/>
        </w:rPr>
        <w:t xml:space="preserve">2027</w:t>
      </w:r>
      <w:r>
        <w:rPr>
          <w:rFonts w:hint="eastAsia" w:ascii="宋体" w:hAnsi="宋体" w:eastAsia="宋体" w:cs="宋体"/>
          <w:sz w:val="24"/>
          <w:szCs w:val="24"/>
          <w:highlight w:val="none"/>
          <w:u w:val="single"/>
          <w:lang w:val="en-US" w:eastAsia="en-US" w:bidi="ar-SA"/>
        </w:rPr>
        <w:t xml:space="preserve">年度</w:t>
      </w:r>
      <w:r>
        <w:rPr>
          <w:rFonts w:hint="eastAsia" w:ascii="宋体" w:hAnsi="宋体" w:cs="宋体"/>
          <w:sz w:val="24"/>
          <w:szCs w:val="24"/>
          <w:highlight w:val="none"/>
          <w:u w:val="single"/>
          <w:lang w:val="en-US" w:eastAsia="zh-CN" w:bidi="ar-SA"/>
        </w:rPr>
        <w:t xml:space="preserve">常州市第二人民医院</w:t>
      </w:r>
      <w:r>
        <w:rPr>
          <w:rFonts w:hint="eastAsia" w:ascii="宋体" w:hAnsi="宋体" w:eastAsia="宋体" w:cs="宋体"/>
          <w:sz w:val="24"/>
          <w:szCs w:val="24"/>
          <w:highlight w:val="none"/>
          <w:u w:val="single"/>
          <w:lang w:val="en-US" w:eastAsia="en-US" w:bidi="ar-SA"/>
        </w:rPr>
        <w:t xml:space="preserve">医疗责任险、财产险</w:t>
      </w:r>
      <w:r>
        <w:rPr>
          <w:rFonts w:hint="eastAsia" w:ascii="宋体" w:hAnsi="宋体" w:eastAsia="宋体" w:cs="宋体"/>
          <w:sz w:val="24"/>
          <w:szCs w:val="24"/>
          <w:highlight w:val="none"/>
          <w:lang w:val="en-US" w:eastAsia="en-US" w:bidi="ar-SA"/>
        </w:rPr>
        <w:t xml:space="preserve">项目公开招标的结果，签署本合同。</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1．定义</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本合同中的下列术语应解释为：</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系指：甲方与乙方签署的，合同格式中载明的甲方与乙方所达成的协议，包括所有的附件、附录和构成合同的所有文件。中标人入围所出具的所有承诺及/或保证均构成本合同不可分割的一部分，对双方具有约束力。</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（2）“服务”系指：根据合同规定乙方应承担的义务及相关的后续服务，比如合规承保、限时理赔支付赔款等其他类似的乙方应承担的义务。</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（3）“甲方”系指：</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（4）“乙方”系指：</w:t>
      </w:r>
      <w:r>
        <w:rPr>
          <w:rFonts w:hint="eastAsia" w:ascii="宋体" w:hAnsi="宋体" w:eastAsia="宋体" w:cs="宋体"/>
          <w:color w:val="000000"/>
          <w:sz w:val="24"/>
          <w:szCs w:val="24"/>
          <w:highlight w:val="none"/>
        </w:rPr>
        <w:t xml:space="preserve">中标保险机构。</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（5）“投保人”系指：</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（6）“被保险人”系指</w:t>
      </w:r>
      <w:r>
        <w:rPr>
          <w:rFonts w:hint="eastAsia" w:ascii="宋体" w:hAnsi="宋体" w:eastAsia="宋体" w:cs="宋体"/>
          <w:spacing w:val="2"/>
          <w:sz w:val="24"/>
          <w:szCs w:val="24"/>
          <w:highlight w:val="none"/>
          <w:lang w:val="zh-CN"/>
        </w:rPr>
        <w:t xml:space="preserve">：</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（7）“附件”是指与本合同的订立、履行有关的，经甲乙及投保人认可的，对本合同约定的内容进行细化、补充、修改、变更的文件、图纸、音像制品等资料。</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（8）“工作日”是指除公休日和国家法定节假日以外的日历日。</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2．合同文件</w:t>
      </w:r>
      <w:r/>
    </w:p>
    <w:p>
      <w:pPr>
        <w:ind w:right="210"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下列关于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的招投标文件或与本次采购活动相适应的文件及有关附件是本合同不可分割的组成部分，与本合同具有同等法律效力，这些文件包括但不仅限于：</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（1）本合同书；</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（2）中标通知书；</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（3）招标文件及其附件（含招标过程中对有关问题的补充资料、补充公告和澄清文件等）；</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-273685</wp:posOffset>
                </wp:positionH>
                <wp:positionV relativeFrom="paragraph">
                  <wp:posOffset>537210</wp:posOffset>
                </wp:positionV>
                <wp:extent cx="234315" cy="381000"/>
                <wp:effectExtent l="0" t="0" r="13335" b="0"/>
                <wp:wrapNone/>
                <wp:docPr id="2" name="矩形 1"/>
                <wp:cNvGraphicFramePr/>
                <a:graphic xmlns:a="http://schemas.openxmlformats.org/drawingml/2006/main">
                  <a:graphicData uri="http://schemas.microsoft.com/office/word/2010/wordprocessingShape">
                    <wps:wsp>
                      <wps:cNvPr id="0" name=""/>
                      <wps:cNvSpPr/>
                      <wps:spPr bwMode="auto">
                        <a:xfrm>
                          <a:off x="0" y="0"/>
                          <a:ext cx="234315" cy="381000"/>
                        </a:xfrm>
                        <a:prstGeom prst="rect">
                          <a:avLst/>
                        </a:prstGeom>
                        <a:solidFill>
                          <a:srgbClr val="FFFFFF"/>
                        </a:solidFill>
                        <a:ln>
                          <a:noFill/>
                        </a:ln>
                      </wps:spPr>
                      <wps:txbx>
                        <w:txbxContent>
                          <w:p>
                            <w:pPr>
                              <w:rPr>
                                <w:rFonts w:eastAsia="宋体"/>
                                <w:szCs w:val="24"/>
                              </w:rPr>
                            </w:pPr>
                            <w:r>
                              <w:rPr>
                                <w:rFonts w:eastAsia="宋体"/>
                                <w:szCs w:val="24"/>
                              </w:rPr>
                            </w:r>
                            <w:r/>
                          </w:p>
                          <w:p>
                            <w:pPr>
                              <w:rPr>
                                <w:rFonts w:eastAsia="宋体"/>
                                <w:szCs w:val="21"/>
                              </w:rPr>
                            </w:pPr>
                            <w:r>
                              <w:rPr>
                                <w:rFonts w:eastAsia="宋体"/>
                                <w:szCs w:val="21"/>
                              </w:rPr>
                            </w:r>
                            <w:r/>
                          </w:p>
                        </w:txbxContent>
                      </wps:txbx>
                      <wps:bodyPr wrap="square" upright="1"/>
                    </wps:wsp>
                  </a:graphicData>
                </a:graphic>
              </wp:anchor>
            </w:drawing>
          </mc:Choice>
          <mc:Fallback>
            <w:pict>
              <v:shape id="shape 1" o:spid="_x0000_s1" o:spt="1" type="#_x0000_t1" style="position:absolute;z-index:251660288;o:allowoverlap:true;o:allowincell:true;mso-position-horizontal-relative:text;margin-left:-21.6pt;mso-position-horizontal:absolute;mso-position-vertical-relative:text;margin-top:42.3pt;mso-position-vertical:absolute;width:18.4pt;height:30.0pt;mso-wrap-distance-left:9.0pt;mso-wrap-distance-top:0.0pt;mso-wrap-distance-right:9.0pt;mso-wrap-distance-bottom:0.0pt;visibility:visible;" fillcolor="#FFFFFF" stroked="f">
                <v:textbox inset="0,0,0,0">
                  <w:txbxContent>
                    <w:p>
                      <w:pPr>
                        <w:rPr>
                          <w:rFonts w:eastAsia="宋体"/>
                          <w:szCs w:val="24"/>
                        </w:rPr>
                      </w:pPr>
                      <w:r>
                        <w:rPr>
                          <w:rFonts w:eastAsia="宋体"/>
                          <w:szCs w:val="24"/>
                        </w:rPr>
                      </w:r>
                      <w:r/>
                    </w:p>
                    <w:p>
                      <w:pPr>
                        <w:rPr>
                          <w:rFonts w:eastAsia="宋体"/>
                          <w:szCs w:val="21"/>
                        </w:rPr>
                      </w:pPr>
                      <w:r>
                        <w:rPr>
                          <w:rFonts w:eastAsia="宋体"/>
                          <w:szCs w:val="21"/>
                        </w:rPr>
                      </w:r>
                      <w:r/>
                    </w:p>
                  </w:txbxContent>
                </v:textbox>
              </v:shape>
            </w:pict>
          </mc:Fallback>
        </mc:AlternateContent>
      </w:r>
      <w:r>
        <w:rPr>
          <w:rFonts w:hint="eastAsia" w:ascii="宋体" w:hAnsi="宋体" w:eastAsia="宋体" w:cs="宋体"/>
          <w:sz w:val="24"/>
          <w:szCs w:val="24"/>
          <w:highlight w:val="none"/>
        </w:rPr>
        <w:t xml:space="preserve">（4）投标文件及其附件（含投标人在评标期间递交和确认并经采购代理机构同意的对有关问题的补充资料和澄清文件等）；</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（5）甲方、乙方商定的其他必要文件。</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3．服务范围、保险险种</w:t>
      </w:r>
      <w:r/>
    </w:p>
    <w:p>
      <w:pPr>
        <w:ind w:right="210" w:firstLine="481"/>
        <w:spacing w:line="440" w:lineRule="exact"/>
        <w:rPr>
          <w:rFonts w:hint="eastAsia" w:ascii="宋体" w:hAnsi="宋体" w:eastAsia="宋体" w:cs="宋体"/>
          <w:color w:val="000000"/>
          <w:spacing w:val="2"/>
          <w:sz w:val="24"/>
          <w:szCs w:val="24"/>
          <w:highlight w:val="none"/>
          <w:lang w:val="zh-CN"/>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-238760</wp:posOffset>
                </wp:positionH>
                <wp:positionV relativeFrom="paragraph">
                  <wp:posOffset>206375</wp:posOffset>
                </wp:positionV>
                <wp:extent cx="173355" cy="701675"/>
                <wp:effectExtent l="0" t="0" r="17145" b="3175"/>
                <wp:wrapNone/>
                <wp:docPr id="3" name="矩形 2"/>
                <wp:cNvGraphicFramePr/>
                <a:graphic xmlns:a="http://schemas.openxmlformats.org/drawingml/2006/main">
                  <a:graphicData uri="http://schemas.microsoft.com/office/word/2010/wordprocessingShape">
                    <wps:wsp>
                      <wps:cNvPr id="0" name=""/>
                      <wps:cNvSpPr/>
                      <wps:spPr bwMode="auto">
                        <a:xfrm>
                          <a:off x="0" y="0"/>
                          <a:ext cx="173355" cy="701675"/>
                        </a:xfrm>
                        <a:prstGeom prst="rect">
                          <a:avLst/>
                        </a:prstGeom>
                        <a:solidFill>
                          <a:srgbClr val="FFFFFF"/>
                        </a:solidFill>
                        <a:ln>
                          <a:noFill/>
                        </a:ln>
                      </wps:spPr>
                      <wps:txbx>
                        <w:txbxContent>
                          <w:p>
                            <w:pPr>
                              <w:rPr>
                                <w:rFonts w:eastAsia="宋体"/>
                                <w:szCs w:val="24"/>
                              </w:rPr>
                            </w:pPr>
                            <w:r>
                              <w:rPr>
                                <w:rFonts w:eastAsia="宋体"/>
                                <w:szCs w:val="24"/>
                              </w:rPr>
                            </w:r>
                            <w:r/>
                          </w:p>
                          <w:p>
                            <w:pPr>
                              <w:rPr>
                                <w:rFonts w:eastAsia="宋体"/>
                                <w:szCs w:val="21"/>
                              </w:rPr>
                            </w:pPr>
                            <w:r>
                              <w:rPr>
                                <w:rFonts w:eastAsia="宋体"/>
                                <w:szCs w:val="21"/>
                              </w:rPr>
                            </w:r>
                            <w:r/>
                          </w:p>
                        </w:txbxContent>
                      </wps:txbx>
                      <wps:bodyPr wrap="square" upright="1"/>
                    </wps:wsp>
                  </a:graphicData>
                </a:graphic>
              </wp:anchor>
            </w:drawing>
          </mc:Choice>
          <mc:Fallback>
            <w:pict>
              <v:shape id="shape 2" o:spid="_x0000_s2" o:spt="1" type="#_x0000_t1" style="position:absolute;z-index:251661312;o:allowoverlap:true;o:allowincell:true;mso-position-horizontal-relative:text;margin-left:-18.8pt;mso-position-horizontal:absolute;mso-position-vertical-relative:text;margin-top:16.2pt;mso-position-vertical:absolute;width:13.6pt;height:55.2pt;mso-wrap-distance-left:9.0pt;mso-wrap-distance-top:0.0pt;mso-wrap-distance-right:9.0pt;mso-wrap-distance-bottom:0.0pt;visibility:visible;" fillcolor="#FFFFFF" stroked="f">
                <v:textbox inset="0,0,0,0">
                  <w:txbxContent>
                    <w:p>
                      <w:pPr>
                        <w:rPr>
                          <w:rFonts w:eastAsia="宋体"/>
                          <w:szCs w:val="24"/>
                        </w:rPr>
                      </w:pPr>
                      <w:r>
                        <w:rPr>
                          <w:rFonts w:eastAsia="宋体"/>
                          <w:szCs w:val="24"/>
                        </w:rPr>
                      </w:r>
                      <w:r/>
                    </w:p>
                    <w:p>
                      <w:pPr>
                        <w:rPr>
                          <w:rFonts w:eastAsia="宋体"/>
                          <w:szCs w:val="21"/>
                        </w:rPr>
                      </w:pPr>
                      <w:r>
                        <w:rPr>
                          <w:rFonts w:eastAsia="宋体"/>
                          <w:szCs w:val="21"/>
                        </w:rPr>
                      </w:r>
                      <w:r/>
                    </w:p>
                  </w:txbxContent>
                </v:textbox>
              </v:shape>
            </w:pict>
          </mc:Fallback>
        </mc:AlternateContent>
      </w:r>
      <w:r>
        <w:rPr>
          <w:rFonts w:hint="eastAsia" w:ascii="宋体" w:hAnsi="宋体" w:eastAsia="宋体" w:cs="宋体"/>
          <w:color w:val="000000"/>
          <w:sz w:val="24"/>
          <w:szCs w:val="24"/>
          <w:highlight w:val="none"/>
        </w:rPr>
        <w:t xml:space="preserve">3.1</w:t>
      </w:r>
      <w:r>
        <w:rPr>
          <w:rFonts w:hint="eastAsia" w:ascii="宋体" w:hAnsi="宋体" w:eastAsia="宋体" w:cs="宋体"/>
          <w:bCs/>
          <w:color w:val="000000"/>
          <w:sz w:val="24"/>
          <w:szCs w:val="24"/>
          <w:highlight w:val="none"/>
        </w:rPr>
        <w:t xml:space="preserve">本合同服务范围为</w:t>
      </w:r>
      <w:r>
        <w:rPr>
          <w:rFonts w:hint="eastAsia" w:ascii="宋体" w:hAnsi="宋体" w:eastAsia="宋体" w:cs="宋体"/>
          <w:sz w:val="24"/>
          <w:szCs w:val="24"/>
          <w:highlight w:val="none"/>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年度</w:t>
      </w:r>
      <w:r>
        <w:rPr>
          <w:rFonts w:hint="eastAsia" w:ascii="宋体" w:hAnsi="宋体" w:cs="宋体"/>
          <w:sz w:val="24"/>
          <w:szCs w:val="24"/>
          <w:highlight w:val="none"/>
          <w:lang w:eastAsia="zh-CN"/>
        </w:rPr>
        <w:t xml:space="preserve">常州市第二人民医院</w:t>
      </w:r>
      <w:r>
        <w:rPr>
          <w:rFonts w:hint="eastAsia" w:ascii="宋体" w:hAnsi="宋体" w:eastAsia="宋体" w:cs="宋体"/>
          <w:sz w:val="24"/>
          <w:szCs w:val="24"/>
          <w:highlight w:val="none"/>
        </w:rPr>
        <w:t xml:space="preserve">医疗责任险、财产险项目</w:t>
      </w:r>
      <w:r>
        <w:rPr>
          <w:rFonts w:hint="eastAsia" w:ascii="宋体" w:hAnsi="宋体" w:eastAsia="宋体" w:cs="宋体"/>
          <w:color w:val="000000"/>
          <w:spacing w:val="2"/>
          <w:sz w:val="24"/>
          <w:szCs w:val="24"/>
          <w:highlight w:val="none"/>
          <w:lang w:val="zh-CN"/>
        </w:rPr>
        <w:t xml:space="preserve">。</w:t>
      </w:r>
      <w:r/>
    </w:p>
    <w:p>
      <w:pPr>
        <w:ind w:right="210" w:firstLine="481"/>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3.2保险险种为：医疗责任保险、附加医疗机构场所责任险、附加医务人员遭受伤害责任保险；财产综合险、机器设备损坏险。</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4.保险服务期限</w:t>
      </w:r>
      <w:r/>
    </w:p>
    <w:p>
      <w:pPr>
        <w:ind w:right="211" w:firstLine="420"/>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4.1 项目保险期间：202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年04月23日零时</w:t>
      </w:r>
      <w:r>
        <w:rPr>
          <w:rFonts w:hint="eastAsia" w:ascii="宋体" w:hAnsi="宋体" w:eastAsia="宋体" w:cs="宋体"/>
          <w:sz w:val="24"/>
          <w:szCs w:val="24"/>
          <w:highlight w:val="none"/>
          <w:lang w:val="en-US" w:eastAsia="zh-CN"/>
        </w:rPr>
        <w:t xml:space="preserve">起</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7</w:t>
      </w:r>
      <w:r>
        <w:rPr>
          <w:rFonts w:hint="eastAsia" w:ascii="宋体" w:hAnsi="宋体" w:eastAsia="宋体" w:cs="宋体"/>
          <w:bCs/>
          <w:color w:val="000000"/>
          <w:sz w:val="24"/>
          <w:szCs w:val="24"/>
          <w:highlight w:val="none"/>
        </w:rPr>
        <w:t xml:space="preserve">年04月22日二十四时</w:t>
      </w:r>
      <w:r>
        <w:rPr>
          <w:rFonts w:hint="eastAsia" w:ascii="宋体" w:hAnsi="宋体" w:eastAsia="宋体" w:cs="宋体"/>
          <w:bCs/>
          <w:color w:val="000000"/>
          <w:sz w:val="24"/>
          <w:szCs w:val="24"/>
          <w:highlight w:val="none"/>
          <w:lang w:val="en-US" w:eastAsia="zh-CN"/>
        </w:rPr>
        <w:t xml:space="preserve">止</w:t>
      </w:r>
      <w:r>
        <w:rPr>
          <w:rFonts w:hint="eastAsia" w:ascii="宋体" w:hAnsi="宋体" w:eastAsia="宋体" w:cs="宋体"/>
          <w:sz w:val="24"/>
          <w:szCs w:val="24"/>
          <w:highlight w:val="none"/>
        </w:rPr>
        <w:t xml:space="preserve">。</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5.保险方案</w:t>
      </w:r>
      <w:r/>
    </w:p>
    <w:p>
      <w:pPr>
        <w:ind w:firstLine="5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5.1本项目保险方案包括但不仅限于招标文件的采购需求。</w:t>
      </w:r>
      <w:r/>
    </w:p>
    <w:p>
      <w:pPr>
        <w:ind w:right="211" w:firstLine="497"/>
        <w:spacing w:line="440" w:lineRule="exact"/>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5.2乙方应遵循本招标文件及其组成文件中特定的保险方案提供保险服务。保险方案与中标人保险条款相悖处，以本招标文件保险方案为准。</w:t>
      </w:r>
      <w:r/>
    </w:p>
    <w:p>
      <w:pPr>
        <w:ind w:right="211" w:firstLine="497"/>
        <w:spacing w:line="440" w:lineRule="exact"/>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5.3本项目由采购人委托的第三方保险经纪公司，制定详细实施方案并经采购人确认后负责具体实施。</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6.双方权利及义务</w:t>
      </w:r>
      <w:r/>
    </w:p>
    <w:p>
      <w:pPr>
        <w:ind w:right="211" w:firstLine="497"/>
        <w:spacing w:line="440" w:lineRule="exact"/>
        <w:rPr>
          <w:rFonts w:hint="eastAsia"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6.1甲方应积极推动本保险项目的实施，投保人应按时支付保险费。</w:t>
      </w:r>
      <w:r/>
    </w:p>
    <w:p>
      <w:pPr>
        <w:ind w:right="211" w:firstLine="497"/>
        <w:spacing w:line="440" w:lineRule="exact"/>
        <w:rPr>
          <w:rFonts w:hint="eastAsia"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6.2乙方应接受甲方及采购人委托的第三方保险经纪公司关于承保方案的安排，开展保险服务执行中标保险人的费率，并以招标文件的采购需求中所列明的主要承保条件、服务要求等作为依据订立保险合同。</w:t>
      </w:r>
      <w:r/>
    </w:p>
    <w:p>
      <w:pPr>
        <w:ind w:right="211" w:firstLine="497"/>
        <w:spacing w:line="440" w:lineRule="exact"/>
        <w:rPr>
          <w:rFonts w:hint="eastAsia"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6.3乙方应针对本项目成立健全的专门服务小组、分管领导亲自负责，做好本保险的承保及理赔服务工作。</w:t>
      </w:r>
      <w:r/>
    </w:p>
    <w:p>
      <w:pPr>
        <w:ind w:firstLine="428"/>
        <w:spacing w:line="360" w:lineRule="auto"/>
        <w:rPr>
          <w:rFonts w:hint="eastAsia"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6.4乙方在服务期间，应及时定期向甲方及采购人委托的第三方保险经纪公司提供履约相关资料、报表。</w:t>
      </w:r>
      <w:r/>
    </w:p>
    <w:p>
      <w:pPr>
        <w:ind w:right="211" w:firstLine="497"/>
        <w:spacing w:line="440" w:lineRule="exact"/>
        <w:rPr>
          <w:rFonts w:hint="eastAsia" w:ascii="宋体" w:hAnsi="宋体" w:eastAsia="宋体" w:cs="宋体"/>
          <w:bCs/>
          <w:spacing w:val="2"/>
          <w:sz w:val="24"/>
          <w:szCs w:val="24"/>
          <w:highlight w:val="none"/>
        </w:rPr>
      </w:pPr>
      <w:r>
        <w:rPr>
          <w:rFonts w:hint="eastAsia" w:ascii="宋体" w:hAnsi="宋体" w:eastAsia="宋体" w:cs="宋体"/>
          <w:bCs/>
          <w:spacing w:val="2"/>
          <w:sz w:val="24"/>
          <w:szCs w:val="24"/>
          <w:highlight w:val="none"/>
        </w:rPr>
        <w:t xml:space="preserve">6.5乙方严格按照合同约定执行，按照相关管理办法定期接受甲方及采购人委托的第三方保险经纪公司履约考核。</w:t>
      </w:r>
      <w:r/>
    </w:p>
    <w:p>
      <w:pPr>
        <w:ind w:right="210"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6.6乙方应自觉遵守国家关于保险行业的有关法律、法规，以及廉政建设的各项规定，开展履约活动，并按照纪检监察机构相关规定出具廉洁自律保证书。</w:t>
      </w:r>
      <w:r/>
    </w:p>
    <w:p>
      <w:pPr>
        <w:ind w:right="210"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6.7乙方违反投标文件以及本合同中的承诺、保证或其他主要义务的，构成根本违约，应当承担相应的违约责任。</w:t>
      </w:r>
      <w:r/>
    </w:p>
    <w:p>
      <w:pPr>
        <w:ind w:right="210" w:firstLine="428"/>
        <w:spacing w:line="440" w:lineRule="exact"/>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6.8 各方当事人应严格履行本合同各项条款，自觉接受财政、监察、审计部门的监督检查。</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7.考核及违约责任</w:t>
      </w:r>
      <w:r/>
    </w:p>
    <w:p>
      <w:pPr>
        <w:ind w:firstLine="480"/>
        <w:keepLines w:val="0"/>
        <w:keepNext w:val="0"/>
        <w:pageBreakBefore w:val="0"/>
        <w:spacing w:line="44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7.1合同一方不履行合同义务或者履行合同义务不符合约定的，应当承担继续履行、采取补救措施或赔偿损失等违约责任。</w:t>
      </w:r>
      <w:r/>
    </w:p>
    <w:p>
      <w:pPr>
        <w:ind w:firstLine="480"/>
        <w:keepLines w:val="0"/>
        <w:keepNext w:val="0"/>
        <w:pageBreakBefore w:val="0"/>
        <w:spacing w:line="440" w:lineRule="exact"/>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7.2甲方未按照约定时间支付保险费的，应当承担逾期付款违约责任。</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rPr>
      </w:pPr>
      <w:r>
        <w:rPr>
          <w:rFonts w:hint="eastAsia" w:ascii="宋体" w:hAnsi="宋体" w:cs="宋体"/>
          <w:spacing w:val="2"/>
          <w:sz w:val="24"/>
          <w:szCs w:val="24"/>
          <w:highlight w:val="none"/>
          <w:lang w:val="en-US" w:eastAsia="zh-CN"/>
        </w:rPr>
        <w:t xml:space="preserve">7.3</w:t>
      </w:r>
      <w:r>
        <w:rPr>
          <w:rFonts w:hint="eastAsia" w:ascii="宋体" w:hAnsi="宋体" w:eastAsia="宋体" w:cs="宋体"/>
          <w:spacing w:val="2"/>
          <w:sz w:val="24"/>
          <w:szCs w:val="24"/>
          <w:highlight w:val="none"/>
        </w:rPr>
        <w:t xml:space="preserve">乙方在合同有效期内应接受甲方或甲方委托的具有专业保险资质的第三方对乙方履约情况进行考核评价，包括但不仅限于对以下内容的审查：保险合同履行、赔付情况、客户满意度等。</w:t>
      </w:r>
      <w:r/>
    </w:p>
    <w:p>
      <w:pPr>
        <w:ind w:firstLine="488"/>
        <w:keepLines w:val="0"/>
        <w:keepNext w:val="0"/>
        <w:pageBreakBefore w:val="0"/>
        <w:spacing w:line="440" w:lineRule="exact"/>
        <w:widowControl w:val="off"/>
        <w:rPr>
          <w:rFonts w:hint="eastAsia" w:ascii="宋体" w:hAnsi="宋体" w:eastAsia="宋体" w:cs="宋体"/>
          <w:spacing w:val="2"/>
          <w:sz w:val="24"/>
          <w:szCs w:val="24"/>
          <w:highlight w:val="none"/>
          <w:lang w:val="en-US" w:eastAsia="zh-CN"/>
        </w:rPr>
      </w:pPr>
      <w:r>
        <w:rPr>
          <w:rFonts w:hint="eastAsia" w:ascii="宋体" w:hAnsi="宋体" w:cs="宋体"/>
          <w:spacing w:val="2"/>
          <w:sz w:val="24"/>
          <w:szCs w:val="24"/>
          <w:highlight w:val="none"/>
          <w:lang w:val="en-US" w:eastAsia="zh-CN"/>
        </w:rPr>
        <w:t xml:space="preserve">7.4</w:t>
      </w:r>
      <w:r>
        <w:rPr>
          <w:rFonts w:hint="eastAsia" w:ascii="宋体" w:hAnsi="宋体" w:eastAsia="宋体" w:cs="宋体"/>
          <w:spacing w:val="2"/>
          <w:sz w:val="24"/>
          <w:szCs w:val="24"/>
          <w:highlight w:val="none"/>
          <w:lang w:val="en-US" w:eastAsia="zh-CN"/>
        </w:rPr>
        <w:t xml:space="preserve">根据《常州市政府采购供应商信用管理暂行办法》（常财规〔2017〕6号）相关规定，乙方未按合同规定履行合同义务，造成不良后果的，甲方应将具体情况以书面形式向财政部门报告，由财政部门按照规定核实予以乙方行政处罚或失信记录。</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8．保密条款</w:t>
      </w:r>
      <w:r/>
    </w:p>
    <w:p>
      <w:pPr>
        <w:ind w:right="210"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8.1任何一方对其获知的本合同涉及的所有有形、无形的信息及资料（包括但不仅限于甲乙及投保人的往来书面文字文件、电子邮件及信息、电子资料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保险合同、保险费率、保险方案、理赔数据等）中另一方的商业秘密负有保密义务。</w:t>
      </w:r>
      <w:r/>
    </w:p>
    <w:p>
      <w:pPr>
        <w:ind w:right="210" w:firstLine="420"/>
        <w:spacing w:line="440" w:lineRule="exact"/>
        <w:rPr>
          <w:rFonts w:hint="eastAsia" w:ascii="宋体" w:hAnsi="宋体" w:eastAsia="宋体" w:cs="宋体"/>
          <w:color w:val="000000"/>
          <w:spacing w:val="6"/>
          <w:sz w:val="24"/>
          <w:szCs w:val="24"/>
          <w:highlight w:val="none"/>
        </w:rPr>
      </w:pPr>
      <w:r>
        <w:rPr>
          <w:rFonts w:hint="eastAsia" w:ascii="宋体" w:hAnsi="宋体" w:eastAsia="宋体" w:cs="宋体"/>
          <w:sz w:val="24"/>
          <w:szCs w:val="24"/>
          <w:highlight w:val="none"/>
        </w:rPr>
        <w:t xml:space="preserve">8.2除非法律、法规另有规定或得到本合同之另一方的书面许可，任何一方不得向第三方泄露前款规定的商业秘密。保密期限自任何一方获知该商业秘密之日起至本条规定的秘密成为公众信息之日止。</w:t>
      </w:r>
      <w:r/>
    </w:p>
    <w:p>
      <w:pPr>
        <w:ind w:firstLine="504"/>
        <w:spacing w:line="44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lang w:val="en-US" w:eastAsia="zh-CN"/>
        </w:rPr>
        <w:t xml:space="preserve">8.3</w:t>
      </w:r>
      <w:r>
        <w:rPr>
          <w:rFonts w:hint="eastAsia" w:ascii="宋体" w:hAnsi="宋体" w:eastAsia="宋体" w:cs="宋体"/>
          <w:color w:val="000000"/>
          <w:spacing w:val="6"/>
          <w:sz w:val="24"/>
          <w:szCs w:val="24"/>
          <w:highlight w:val="none"/>
        </w:rPr>
        <w:t xml:space="preserve">本</w:t>
      </w:r>
      <w:r>
        <w:rPr>
          <w:rFonts w:hint="eastAsia" w:ascii="宋体" w:hAnsi="宋体" w:eastAsia="宋体" w:cs="宋体"/>
          <w:color w:val="000000"/>
          <w:spacing w:val="6"/>
          <w:sz w:val="24"/>
          <w:szCs w:val="24"/>
          <w:highlight w:val="none"/>
          <w:lang w:val="en-US" w:eastAsia="zh-CN"/>
        </w:rPr>
        <w:t xml:space="preserve">合同</w:t>
      </w:r>
      <w:r>
        <w:rPr>
          <w:rFonts w:hint="eastAsia" w:ascii="宋体" w:hAnsi="宋体" w:eastAsia="宋体" w:cs="宋体"/>
          <w:color w:val="000000"/>
          <w:spacing w:val="6"/>
          <w:sz w:val="24"/>
          <w:szCs w:val="24"/>
          <w:highlight w:val="none"/>
        </w:rPr>
        <w:t xml:space="preserve">终止后本条款永久有效。</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9.保费</w:t>
      </w:r>
      <w:r/>
    </w:p>
    <w:p>
      <w:pPr>
        <w:ind w:firstLine="480"/>
        <w:spacing w:line="440" w:lineRule="exact"/>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rPr>
        <w:t xml:space="preserve">9.1本合同执行乙方的中标价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9.2投保人在收到乙方投保资料、缴费通知书后30日内将上述款项划入乙方指定账户。</w:t>
      </w:r>
      <w:r/>
    </w:p>
    <w:p>
      <w:pPr>
        <w:ind w:right="210"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 在约定保险期间内，保费交清前发生的保险事故，保险人承担保险责任。</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9.4与本合同有关的一切税、费，均由乙方承担。</w:t>
      </w:r>
      <w:r/>
    </w:p>
    <w:p>
      <w:pPr>
        <w:pStyle w:val="129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10.履约保证金</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u w:val="single"/>
        </w:rPr>
        <w:t xml:space="preserve">（不收取）</w:t>
      </w:r>
      <w:r>
        <w:rPr>
          <w:rFonts w:hint="eastAsia" w:ascii="宋体" w:hAnsi="宋体" w:eastAsia="宋体" w:cs="宋体"/>
          <w:sz w:val="24"/>
          <w:szCs w:val="24"/>
          <w:highlight w:val="none"/>
        </w:rPr>
        <w:t xml:space="preserve">履约保证金。</w:t>
      </w:r>
      <w:r/>
    </w:p>
    <w:p>
      <w:pPr>
        <w:ind w:firstLine="620"/>
        <w:spacing w:line="360" w:lineRule="auto"/>
        <w:rPr>
          <w:rFonts w:hint="eastAsia" w:ascii="宋体" w:hAnsi="宋体" w:eastAsia="宋体" w:cs="宋体"/>
          <w:i/>
          <w:spacing w:val="-5"/>
          <w:sz w:val="24"/>
          <w:szCs w:val="24"/>
          <w:highlight w:val="none"/>
        </w:rPr>
      </w:pPr>
      <w:r>
        <w:rPr>
          <w:rFonts w:hint="eastAsia" w:ascii="宋体" w:hAnsi="宋体" w:eastAsia="宋体" w:cs="宋体"/>
          <w:i/>
          <w:spacing w:val="-5"/>
          <w:sz w:val="24"/>
          <w:szCs w:val="24"/>
          <w:highlight w:val="none"/>
        </w:rPr>
        <w:t xml:space="preserve">（根据财政部门优化营商环境相关文件要求，原则上不收取履约保证金，如实际情况确实需要收取的，按照下列内容填写完整）</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乙方交纳人民币_/________元作为本合同的履约保证金。（不得超过合同金额的5%）。供应商可以自主选择以支票、汇票、本票、保函（保险）等非现金形式交纳或提交，按照省市有关文件精神，鼓励优先采用电子履约保函（保险）形式。</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合同履行结束后，甲方应及时退还交纳的履约保证金。</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10.2.1履约保证金退还方式：/</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10.2.2履约保证金退还时间：/</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10.2.3履约保证金退还条件：/</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10.2.4履约保证金不予退还的情形：/</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11.合同的变更</w:t>
      </w:r>
      <w:r/>
    </w:p>
    <w:p>
      <w:pPr>
        <w:ind w:right="210"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11.1、除《政府采购法》第四十九条、第五十条第二款规定的情形外，本合同一经签订，甲乙双方不得擅自变更、中止或终止合同。</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11.2、如需修改或补充合同内容，应经甲方、乙方协商，共同签署书面修改或补充协议。该协议将作为本合同不可分割的一部分。</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12.转让</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除甲方事先书面同意外，乙方不得擅自部分或全部转让其应履行的合同义务。</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.解决合同纠纷的方式</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.1在执行本合同中所发生的或与本合同有关的一切争端，甲方和乙方应通过友好协商的办法进行解决。如从协商开始15天内仍不能解决，可向甲方所在地人民法院提起诉讼。</w:t>
      </w:r>
      <w:r/>
    </w:p>
    <w:p>
      <w:pPr>
        <w:ind w:firstLine="42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.2在诉讼期间，本合同应继续执行。</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.生效</w:t>
      </w:r>
      <w:r/>
    </w:p>
    <w:p>
      <w:pPr>
        <w:ind w:firstLine="422"/>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本合同自各方签名盖章之日起生效。</w:t>
      </w:r>
      <w:r/>
    </w:p>
    <w:p>
      <w:pPr>
        <w:ind w:firstLine="56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.合同保存</w:t>
      </w:r>
      <w:r/>
    </w:p>
    <w:p>
      <w:pPr>
        <w:ind w:firstLine="422"/>
        <w:spacing w:line="44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合同份数：本合同一式 </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份，甲方执 </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份，乙方执</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份，具有同等法律效力。</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单位名称（章）：</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经办人：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 </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    方：</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单位名称（章）：</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银行帐号：</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both"/>
        <w:spacing w:before="120" w:after="120" w:line="0" w:lineRule="atLeas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t xml:space="preserve">电  话：</w:t>
      </w:r>
      <w:r>
        <w:rPr>
          <w:rFonts w:hint="eastAsia" w:ascii="宋体" w:hAnsi="宋体" w:eastAsia="宋体" w:cs="宋体"/>
          <w:b/>
          <w:bCs/>
          <w:sz w:val="24"/>
          <w:szCs w:val="24"/>
          <w:highlight w:val="none"/>
          <w:lang w:val="en-US" w:eastAsia="en-US" w:bidi="ar-SA"/>
        </w:rPr>
        <w:t xml:space="preserve">注：银行帐号与开户银行必须填写清楚。</w:t>
      </w:r>
      <w:r>
        <w:rPr>
          <w:rFonts w:hint="eastAsia" w:ascii="宋体" w:hAnsi="宋体" w:eastAsia="宋体" w:cs="宋体"/>
          <w:sz w:val="24"/>
          <w:szCs w:val="24"/>
          <w:highlight w:val="none"/>
          <w:lang w:val="en-US" w:eastAsia="en-US" w:bidi="ar-SA"/>
        </w:rPr>
        <w:t xml:space="preserve"> </w:t>
      </w:r>
      <w:bookmarkEnd w:id="824"/>
      <w:r/>
      <w:bookmarkEnd w:id="825"/>
      <w:r/>
      <w:bookmarkEnd w:id="826"/>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b/>
          <w:sz w:val="36"/>
          <w:szCs w:val="36"/>
          <w:highlight w:val="none"/>
        </w:rPr>
        <w:outlineLvl w:val="0"/>
      </w:pPr>
      <w:r/>
      <w:bookmarkStart w:id="827" w:name="_Toc99301426"/>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第七章   投标文件格式</w:t>
      </w:r>
      <w:bookmarkEnd w:id="827"/>
      <w:r/>
      <w:r/>
    </w:p>
    <w:p>
      <w:pPr>
        <w:ind w:left="142"/>
        <w:spacing w:line="360" w:lineRule="auto"/>
        <w:tabs>
          <w:tab w:val="left" w:pos="900" w:leader="none"/>
          <w:tab w:val="left" w:pos="1980" w:leader="none"/>
        </w:tabs>
        <w:rPr>
          <w:rFonts w:hint="eastAsia" w:ascii="宋体" w:hAnsi="宋体" w:eastAsia="宋体" w:cs="宋体"/>
          <w:b/>
          <w:sz w:val="24"/>
          <w:highlight w:val="none"/>
        </w:rPr>
      </w:pPr>
      <w:r>
        <w:rPr>
          <w:rFonts w:hint="eastAsia" w:ascii="宋体" w:hAnsi="宋体" w:eastAsia="宋体" w:cs="宋体"/>
          <w:b/>
          <w:sz w:val="24"/>
          <w:highlight w:val="none"/>
        </w:rPr>
      </w:r>
      <w:r/>
    </w:p>
    <w:p>
      <w:pPr>
        <w:ind w:left="142"/>
        <w:spacing w:line="360" w:lineRule="auto"/>
        <w:tabs>
          <w:tab w:val="left" w:pos="900" w:leader="none"/>
          <w:tab w:val="left" w:pos="1980" w:leader="none"/>
        </w:tabs>
        <w:rPr>
          <w:rFonts w:hint="eastAsia" w:ascii="宋体" w:hAnsi="宋体" w:eastAsia="宋体" w:cs="宋体"/>
          <w:b/>
          <w:sz w:val="24"/>
          <w:highlight w:val="none"/>
        </w:rPr>
      </w:pPr>
      <w:r>
        <w:rPr>
          <w:rFonts w:hint="eastAsia" w:ascii="宋体" w:hAnsi="宋体" w:eastAsia="宋体" w:cs="宋体"/>
          <w:b/>
          <w:sz w:val="24"/>
          <w:highlight w:val="none"/>
        </w:rPr>
      </w:r>
      <w:r/>
    </w:p>
    <w:p>
      <w:pPr>
        <w:ind w:left="142" w:firstLine="482"/>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b/>
          <w:sz w:val="24"/>
          <w:highlight w:val="none"/>
        </w:rPr>
        <w:t xml:space="preserve">投标人编制文件须知</w:t>
      </w:r>
      <w:r/>
    </w:p>
    <w:p>
      <w:pPr>
        <w:ind w:left="142" w:firstLine="480"/>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3.全部声明和问题的回答及所附材料必须是真实的、准确的和完整的。</w:t>
      </w:r>
      <w:r/>
    </w:p>
    <w:p>
      <w:pPr>
        <w:ind w:left="142" w:firstLine="480"/>
        <w:spacing w:line="360" w:lineRule="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4.实行电子化不见面交易方式的，加盖公章、签名等均通过投标文件编制工具加盖电子公章、</w:t>
      </w:r>
      <w:r>
        <w:rPr>
          <w:rFonts w:hint="eastAsia" w:ascii="宋体" w:hAnsi="宋体" w:eastAsia="宋体" w:cs="宋体"/>
          <w:sz w:val="24"/>
          <w:szCs w:val="20"/>
          <w:highlight w:val="none"/>
        </w:rPr>
        <w:t xml:space="preserve">签字、签章或印鉴</w:t>
      </w:r>
      <w:r>
        <w:rPr>
          <w:rFonts w:hint="eastAsia" w:ascii="宋体" w:hAnsi="宋体" w:eastAsia="宋体" w:cs="宋体"/>
          <w:sz w:val="24"/>
          <w:highlight w:val="none"/>
        </w:rPr>
        <w:t xml:space="preserve">。</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rFonts w:hint="eastAsia" w:ascii="宋体" w:hAnsi="宋体" w:eastAsia="宋体" w:cs="宋体"/>
          <w:b/>
          <w:sz w:val="30"/>
          <w:szCs w:val="20"/>
          <w:highlight w:val="none"/>
        </w:rPr>
        <w:outlineLvl w:val="1"/>
      </w:pPr>
      <w:r>
        <w:rPr>
          <w:rFonts w:hint="eastAsia" w:ascii="宋体" w:hAnsi="宋体" w:eastAsia="宋体" w:cs="宋体"/>
          <w:b/>
          <w:spacing w:val="20"/>
          <w:sz w:val="24"/>
          <w:highlight w:val="none"/>
        </w:rPr>
        <w:t xml:space="preserve">一、资格证明文件格式</w:t>
      </w:r>
      <w:r/>
    </w:p>
    <w:p>
      <w:pPr>
        <w:rPr>
          <w:rFonts w:hint="eastAsia" w:ascii="宋体" w:hAnsi="宋体" w:eastAsia="宋体" w:cs="宋体"/>
          <w:b/>
          <w:spacing w:val="20"/>
          <w:szCs w:val="21"/>
          <w:highlight w:val="none"/>
        </w:rPr>
      </w:pPr>
      <w:r>
        <w:rPr>
          <w:rFonts w:hint="eastAsia" w:ascii="宋体" w:hAnsi="宋体" w:eastAsia="宋体" w:cs="宋体"/>
          <w:b/>
          <w:spacing w:val="20"/>
          <w:szCs w:val="21"/>
          <w:highlight w:val="none"/>
        </w:rPr>
      </w:r>
      <w:r/>
    </w:p>
    <w:p>
      <w:pPr>
        <w:rPr>
          <w:rFonts w:hint="eastAsia" w:ascii="宋体" w:hAnsi="宋体" w:eastAsia="宋体" w:cs="宋体"/>
          <w:b/>
          <w:sz w:val="24"/>
          <w:highlight w:val="none"/>
        </w:rPr>
      </w:pPr>
      <w:r>
        <w:rPr>
          <w:rFonts w:hint="eastAsia" w:ascii="宋体" w:hAnsi="宋体" w:eastAsia="宋体" w:cs="宋体"/>
          <w:b/>
          <w:spacing w:val="20"/>
          <w:sz w:val="24"/>
          <w:highlight w:val="none"/>
        </w:rPr>
        <w:t xml:space="preserve">投标文件</w:t>
      </w:r>
      <w:r>
        <w:rPr>
          <w:rFonts w:hint="eastAsia" w:ascii="宋体" w:hAnsi="宋体" w:eastAsia="宋体" w:cs="宋体"/>
          <w:b/>
          <w:sz w:val="24"/>
          <w:highlight w:val="none"/>
        </w:rPr>
        <w:t xml:space="preserve">封面（非实质性格式）</w:t>
      </w:r>
      <w:r/>
    </w:p>
    <w:p>
      <w:pPr>
        <w:jc w:val="center"/>
        <w:rPr>
          <w:rFonts w:hint="eastAsia" w:ascii="宋体" w:hAnsi="宋体" w:eastAsia="宋体" w:cs="宋体"/>
          <w:szCs w:val="21"/>
          <w:highlight w:val="none"/>
        </w:rPr>
      </w:pPr>
      <w:r>
        <w:rPr>
          <w:rFonts w:hint="eastAsia" w:ascii="宋体" w:hAnsi="宋体" w:eastAsia="宋体" w:cs="宋体"/>
          <w:szCs w:val="21"/>
          <w:highlight w:val="none"/>
        </w:rPr>
      </w:r>
      <w:r/>
    </w:p>
    <w:p>
      <w:pPr>
        <w:jc w:val="center"/>
        <w:rPr>
          <w:rFonts w:hint="eastAsia" w:ascii="宋体" w:hAnsi="宋体" w:eastAsia="宋体" w:cs="宋体"/>
          <w:b/>
          <w:spacing w:val="60"/>
          <w:sz w:val="84"/>
          <w:szCs w:val="84"/>
          <w:highlight w:val="none"/>
        </w:rPr>
      </w:pPr>
      <w:r>
        <w:rPr>
          <w:rFonts w:hint="eastAsia" w:ascii="宋体" w:hAnsi="宋体" w:eastAsia="宋体" w:cs="宋体"/>
          <w:b/>
          <w:spacing w:val="60"/>
          <w:sz w:val="84"/>
          <w:szCs w:val="84"/>
          <w:highlight w:val="none"/>
        </w:rPr>
        <w:t xml:space="preserve">投 标 文 件</w:t>
      </w:r>
      <w:r/>
    </w:p>
    <w:p>
      <w:pPr>
        <w:ind w:firstLine="963"/>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r>
      <w:r/>
    </w:p>
    <w:p>
      <w:pPr>
        <w:ind w:firstLine="963"/>
        <w:rPr>
          <w:rFonts w:hint="eastAsia" w:ascii="宋体" w:hAnsi="宋体" w:eastAsia="宋体" w:cs="宋体"/>
          <w:b/>
          <w:spacing w:val="60"/>
          <w:sz w:val="52"/>
          <w:szCs w:val="52"/>
          <w:highlight w:val="none"/>
        </w:rPr>
      </w:pPr>
      <w:r>
        <w:rPr>
          <w:rFonts w:hint="eastAsia" w:ascii="宋体" w:hAnsi="宋体" w:eastAsia="宋体" w:cs="宋体"/>
          <w:b/>
          <w:spacing w:val="60"/>
          <w:sz w:val="52"/>
          <w:szCs w:val="52"/>
          <w:highlight w:val="none"/>
        </w:rPr>
      </w:r>
      <w:r/>
    </w:p>
    <w:p>
      <w:pPr>
        <w:ind w:firstLine="542"/>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r>
      <w:r/>
    </w:p>
    <w:p>
      <w:pPr>
        <w:ind w:firstLine="542"/>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r>
      <w:r/>
    </w:p>
    <w:p>
      <w:pPr>
        <w:ind w:firstLine="1084"/>
        <w:rPr>
          <w:rFonts w:hint="eastAsia" w:ascii="宋体" w:hAnsi="宋体" w:eastAsia="宋体" w:cs="宋体"/>
          <w:b/>
          <w:sz w:val="36"/>
          <w:highlight w:val="none"/>
        </w:rPr>
      </w:pPr>
      <w:r>
        <w:rPr>
          <w:rFonts w:hint="eastAsia" w:ascii="宋体" w:hAnsi="宋体" w:eastAsia="宋体" w:cs="宋体"/>
          <w:b/>
          <w:sz w:val="36"/>
          <w:highlight w:val="none"/>
        </w:rPr>
        <w:t xml:space="preserve">项 目 名 称：</w:t>
      </w:r>
      <w:r>
        <w:rPr>
          <w:rFonts w:hint="eastAsia" w:ascii="宋体" w:hAnsi="宋体" w:eastAsia="宋体" w:cs="宋体"/>
          <w:b/>
          <w:sz w:val="36"/>
          <w:highlight w:val="none"/>
          <w:u w:val="single"/>
        </w:rPr>
        <w:t xml:space="preserve">               </w:t>
      </w:r>
      <w:r/>
    </w:p>
    <w:p>
      <w:pPr>
        <w:ind w:firstLine="1084"/>
        <w:rPr>
          <w:rFonts w:hint="eastAsia" w:ascii="宋体" w:hAnsi="宋体" w:eastAsia="宋体" w:cs="宋体"/>
          <w:b/>
          <w:sz w:val="36"/>
          <w:highlight w:val="none"/>
          <w:u w:val="single"/>
        </w:rPr>
      </w:pPr>
      <w:r>
        <w:rPr>
          <w:rFonts w:hint="eastAsia" w:ascii="宋体" w:hAnsi="宋体" w:eastAsia="宋体" w:cs="宋体"/>
          <w:b/>
          <w:sz w:val="36"/>
          <w:highlight w:val="none"/>
        </w:rPr>
        <w:t xml:space="preserve">项 目 编 号：</w:t>
      </w:r>
      <w:r>
        <w:rPr>
          <w:rFonts w:hint="eastAsia" w:ascii="宋体" w:hAnsi="宋体" w:eastAsia="宋体" w:cs="宋体"/>
          <w:b/>
          <w:sz w:val="36"/>
          <w:highlight w:val="none"/>
          <w:u w:val="single"/>
        </w:rPr>
        <w:t xml:space="preserve">               </w:t>
      </w:r>
      <w:r/>
    </w:p>
    <w:p>
      <w:pPr>
        <w:rPr>
          <w:rFonts w:hint="eastAsia" w:ascii="宋体" w:hAnsi="宋体" w:eastAsia="宋体" w:cs="宋体"/>
          <w:b/>
          <w:sz w:val="36"/>
          <w:highlight w:val="none"/>
          <w:u w:val="single"/>
        </w:rPr>
      </w:pPr>
      <w:r>
        <w:rPr>
          <w:rFonts w:hint="eastAsia" w:ascii="宋体" w:hAnsi="宋体" w:eastAsia="宋体" w:cs="宋体"/>
          <w:b/>
          <w:sz w:val="36"/>
          <w:highlight w:val="none"/>
        </w:rPr>
        <w:t xml:space="preserve">      投标人名称 ：</w:t>
      </w:r>
      <w:r>
        <w:rPr>
          <w:rFonts w:hint="eastAsia" w:ascii="宋体" w:hAnsi="宋体" w:eastAsia="宋体" w:cs="宋体"/>
          <w:b/>
          <w:sz w:val="36"/>
          <w:highlight w:val="none"/>
          <w:u w:val="single"/>
        </w:rPr>
        <w:t xml:space="preserve">               </w:t>
      </w:r>
      <w:r/>
    </w:p>
    <w:p>
      <w:pPr>
        <w:rPr>
          <w:rFonts w:hint="eastAsia" w:ascii="宋体" w:hAnsi="宋体" w:eastAsia="宋体" w:cs="宋体"/>
          <w:b/>
          <w:sz w:val="36"/>
          <w:highlight w:val="none"/>
        </w:rPr>
      </w:pPr>
      <w:r>
        <w:rPr>
          <w:rFonts w:hint="eastAsia" w:ascii="宋体" w:hAnsi="宋体" w:eastAsia="宋体" w:cs="宋体"/>
          <w:b/>
          <w:sz w:val="36"/>
          <w:highlight w:val="none"/>
        </w:rPr>
        <w:t xml:space="preserve">      日      期 ：</w:t>
      </w:r>
      <w:r>
        <w:rPr>
          <w:rFonts w:hint="eastAsia" w:ascii="宋体" w:hAnsi="宋体" w:eastAsia="宋体" w:cs="宋体"/>
          <w:b/>
          <w:sz w:val="36"/>
          <w:highlight w:val="none"/>
          <w:u w:val="single"/>
        </w:rPr>
        <w:t xml:space="preserve">               </w:t>
      </w:r>
      <w:r/>
    </w:p>
    <w:p>
      <w:pPr>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rPr>
          <w:rFonts w:hint="eastAsia" w:ascii="宋体" w:hAnsi="宋体" w:eastAsia="宋体" w:cs="宋体"/>
          <w:b/>
          <w:sz w:val="32"/>
          <w:szCs w:val="32"/>
          <w:highlight w:val="none"/>
        </w:rPr>
      </w:pPr>
      <w:r>
        <w:rPr>
          <w:rFonts w:hint="eastAsia" w:ascii="宋体" w:hAnsi="宋体" w:eastAsia="宋体" w:cs="宋体"/>
          <w:b/>
          <w:spacing w:val="20"/>
          <w:sz w:val="32"/>
          <w:szCs w:val="32"/>
          <w:highlight w:val="none"/>
        </w:rPr>
        <w:br w:type="page" w:clear="all"/>
      </w:r>
      <w:r>
        <w:rPr>
          <w:rFonts w:hint="eastAsia" w:ascii="宋体" w:hAnsi="宋体" w:eastAsia="宋体" w:cs="宋体"/>
          <w:b/>
          <w:sz w:val="32"/>
          <w:szCs w:val="32"/>
          <w:highlight w:val="none"/>
        </w:rPr>
        <w:t xml:space="preserve">一、资格证明文件</w:t>
      </w:r>
      <w:r/>
    </w:p>
    <w:p>
      <w:pPr>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sz w:val="24"/>
          <w:szCs w:val="20"/>
          <w:highlight w:val="none"/>
        </w:rPr>
        <w:t xml:space="preserve">1 </w:t>
      </w:r>
      <w:r>
        <w:rPr>
          <w:rFonts w:hint="eastAsia" w:ascii="宋体" w:hAnsi="宋体" w:eastAsia="宋体" w:cs="宋体"/>
          <w:b/>
          <w:sz w:val="24"/>
          <w:highlight w:val="none"/>
        </w:rPr>
        <w:t xml:space="preserve">满足《中华人民共和国政府采购法》第二十二条规定及法律法规的其他规定</w:t>
      </w:r>
      <w:r/>
    </w:p>
    <w:p>
      <w:pPr>
        <w:pStyle w:val="1041"/>
        <w:rPr>
          <w:rFonts w:hint="eastAsia" w:ascii="宋体" w:hAnsi="宋体" w:eastAsia="宋体" w:cs="宋体"/>
          <w:b w:val="0"/>
          <w:bCs/>
          <w:highlight w:val="none"/>
          <w:u w:val="none"/>
        </w:rPr>
      </w:pPr>
      <w:r>
        <w:rPr>
          <w:rFonts w:hint="eastAsia" w:ascii="宋体" w:hAnsi="宋体" w:eastAsia="宋体" w:cs="宋体"/>
          <w:b w:val="0"/>
          <w:highlight w:val="none"/>
          <w:u w:val="none"/>
        </w:rPr>
        <w:t xml:space="preserve">1-1 </w:t>
      </w:r>
      <w:r>
        <w:rPr>
          <w:rFonts w:hint="eastAsia" w:ascii="宋体" w:hAnsi="宋体" w:eastAsia="宋体" w:cs="宋体"/>
          <w:highlight w:val="none"/>
          <w:u w:val="none"/>
        </w:rPr>
        <w:t xml:space="preserve">投标人资格声明函（实质性格式）</w:t>
      </w:r>
      <w:r/>
    </w:p>
    <w:p>
      <w:pPr>
        <w:jc w:val="center"/>
        <w:spacing w:before="120"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center"/>
        <w:spacing w:before="120" w:line="360" w:lineRule="auto"/>
        <w:widowControl/>
        <w:rPr>
          <w:rFonts w:hint="eastAsia" w:ascii="宋体" w:hAnsi="宋体" w:eastAsia="宋体" w:cs="宋体"/>
          <w:szCs w:val="21"/>
          <w:highlight w:val="none"/>
        </w:rPr>
      </w:pPr>
      <w:r>
        <w:rPr>
          <w:rFonts w:hint="eastAsia" w:ascii="宋体" w:hAnsi="宋体" w:eastAsia="宋体" w:cs="宋体"/>
          <w:b/>
          <w:sz w:val="28"/>
          <w:szCs w:val="28"/>
          <w:highlight w:val="none"/>
        </w:rPr>
        <w:t xml:space="preserve">投标人资格声明函</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040"/>
        <w:ind w:firstLine="480"/>
        <w:spacing w:line="460" w:lineRule="exact"/>
        <w:rPr>
          <w:rFonts w:hint="eastAsia" w:ascii="宋体" w:hAnsi="宋体" w:eastAsia="宋体" w:cs="宋体"/>
          <w:highlight w:val="none"/>
          <w:lang w:val="en-US" w:eastAsia="zh-CN"/>
        </w:rPr>
      </w:pPr>
      <w:r>
        <w:rPr>
          <w:rFonts w:hint="eastAsia" w:ascii="宋体" w:hAnsi="宋体" w:eastAsia="宋体" w:cs="宋体"/>
          <w:highlight w:val="none"/>
        </w:rPr>
        <w:t xml:space="preserve">致：</w:t>
      </w:r>
      <w:r>
        <w:rPr>
          <w:rFonts w:hint="eastAsia" w:ascii="宋体" w:hAnsi="宋体" w:eastAsia="宋体" w:cs="宋体"/>
          <w:highlight w:val="none"/>
          <w:lang w:val="en-US" w:eastAsia="zh-CN"/>
        </w:rPr>
        <w:t xml:space="preserve">江苏常信保险经纪有限公司</w:t>
      </w:r>
      <w:r/>
    </w:p>
    <w:p>
      <w:pPr>
        <w:pStyle w:val="1040"/>
        <w:ind w:firstLine="960"/>
        <w:spacing w:line="460" w:lineRule="exact"/>
        <w:rPr>
          <w:rFonts w:hint="eastAsia" w:ascii="宋体" w:hAnsi="宋体" w:eastAsia="宋体" w:cs="宋体"/>
          <w:highlight w:val="none"/>
          <w:u w:val="single"/>
        </w:rPr>
      </w:pPr>
      <w:r>
        <w:rPr>
          <w:rFonts w:hint="eastAsia" w:ascii="宋体" w:hAnsi="宋体" w:eastAsia="宋体" w:cs="宋体"/>
          <w:highlight w:val="none"/>
          <w:u w:val="single"/>
        </w:rPr>
        <w:t xml:space="preserve">（采购人名称）</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按照《中华人民共和国政府采购法》第二十二条和招标文件的规定，我单位郑重声明如下：</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一、我单位是按照中华人民共和国法律规定登记注册的，注册地点为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，全称为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，统一社会信用代码为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，法定代表人（单位负责人）为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，具有独立承担民事责任的能力（如属于分公司经总公司授权参与项目，由总公司承担民事责任的，需提供总公司项目授权书）。</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二、我单位具有良好的商业信誉（指投标人经营状况良好，无本资格声明第十条情形）和健全的财务会计制度。</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三、我单位依法进行纳税和社会保险申报并实际履行了义务。</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主要设备有：</w:t>
      </w:r>
      <w:r>
        <w:rPr>
          <w:rFonts w:hint="eastAsia" w:ascii="宋体" w:hAnsi="宋体" w:eastAsia="宋体" w:cs="宋体"/>
          <w:highlight w:val="none"/>
          <w:u w:val="single"/>
        </w:rPr>
        <w:t xml:space="preserve">            </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主要专业技术能力有</w:t>
      </w:r>
      <w:r>
        <w:rPr>
          <w:rFonts w:hint="eastAsia" w:ascii="宋体" w:hAnsi="宋体" w:eastAsia="宋体" w:cs="宋体"/>
          <w:highlight w:val="none"/>
          <w:u w:val="single"/>
        </w:rPr>
        <w:t xml:space="preserve">                 </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六、我单位具备法律、行政法规规定的其他条件。</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七、与我单位存在“单位负责人为同一人或者存在直接控股、管理关系”的其他单位信息如下（如无此情形的，填写“无”）：</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1、与我单位的法定代表人（单位负责人）为同一人的其他单位如下：</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2、我单位直接控股的其他单位如下：</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3、与我单位存在管理关系的其他单位如下：</w:t>
      </w:r>
      <w:r>
        <w:rPr>
          <w:rFonts w:hint="eastAsia" w:ascii="宋体" w:hAnsi="宋体" w:eastAsia="宋体" w:cs="宋体"/>
          <w:highlight w:val="none"/>
          <w:u w:val="single"/>
        </w:rPr>
        <w:t xml:space="preserve">              </w:t>
      </w:r>
      <w:r>
        <w:rPr>
          <w:rFonts w:hint="eastAsia" w:ascii="宋体" w:hAnsi="宋体" w:eastAsia="宋体" w:cs="宋体"/>
          <w:highlight w:val="none"/>
        </w:rPr>
        <w:t xml:space="preserve"> </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八、我单位不属于为本项目提供整体设计、规范编制或者项目管理、监理、检测等服务的投标人。</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九、我单位无以下不良信用记录情形：</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1、在“信用中国”网站被列入失信被执行人和重大税收违法案件当事人名单；</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2、在“中国政府采购网”网站被列入政府采购严重违法失信行为记录名单；</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3、不符合《政府采购法》第二十二条规定的条件。</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我单位保证上述声明的事项都是真实的，如有虚假，我单位愿意承担相应的法律责任，并承担因此所造成的一切损失。</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                          投标人：（加盖公章）</w:t>
      </w:r>
      <w:r/>
    </w:p>
    <w:p>
      <w:pPr>
        <w:pStyle w:val="1040"/>
        <w:ind w:firstLine="480"/>
        <w:spacing w:line="460" w:lineRule="exact"/>
        <w:rPr>
          <w:rFonts w:hint="eastAsia" w:ascii="宋体" w:hAnsi="宋体" w:eastAsia="宋体" w:cs="宋体"/>
          <w:highlight w:val="none"/>
        </w:rPr>
      </w:pPr>
      <w:r>
        <w:rPr>
          <w:rFonts w:hint="eastAsia" w:ascii="宋体" w:hAnsi="宋体" w:eastAsia="宋体" w:cs="宋体"/>
          <w:highlight w:val="none"/>
        </w:rPr>
        <w:t xml:space="preserve">                      法定代表人（或单位负责人）签字或盖章：</w:t>
      </w:r>
      <w:r/>
    </w:p>
    <w:p>
      <w:pPr>
        <w:pStyle w:val="1040"/>
        <w:ind w:firstLine="4920"/>
        <w:spacing w:line="460" w:lineRule="exact"/>
        <w:rPr>
          <w:rFonts w:hint="eastAsia" w:ascii="宋体" w:hAnsi="宋体" w:eastAsia="宋体" w:cs="宋体"/>
          <w:highlight w:val="none"/>
        </w:rPr>
      </w:pPr>
      <w:r>
        <w:rPr>
          <w:rFonts w:hint="eastAsia" w:ascii="宋体" w:hAnsi="宋体" w:eastAsia="宋体" w:cs="宋体"/>
          <w:highlight w:val="none"/>
        </w:rPr>
        <w:t xml:space="preserve">日期：    年    月    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eastAsia="宋体" w:cs="宋体"/>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eastAsia="宋体" w:cs="宋体"/>
          <w:sz w:val="24"/>
          <w:highlight w:val="none"/>
        </w:rPr>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b/>
          <w:sz w:val="24"/>
          <w:szCs w:val="20"/>
          <w:highlight w:val="none"/>
        </w:rPr>
        <w:t xml:space="preserve">2 落实政府采购政策需满足的资格要求（如有）</w:t>
      </w:r>
      <w:r/>
    </w:p>
    <w:p>
      <w:pPr>
        <w:spacing w:line="360" w:lineRule="auto"/>
        <w:rPr>
          <w:rFonts w:hint="eastAsia" w:ascii="宋体" w:hAnsi="宋体" w:eastAsia="宋体" w:cs="宋体"/>
          <w:i/>
          <w:sz w:val="24"/>
          <w:highlight w:val="none"/>
        </w:rPr>
        <w:outlineLvl w:val="2"/>
      </w:pPr>
      <w:r>
        <w:rPr>
          <w:rFonts w:hint="eastAsia" w:ascii="宋体" w:hAnsi="宋体" w:eastAsia="宋体" w:cs="宋体"/>
          <w:b/>
          <w:sz w:val="24"/>
          <w:szCs w:val="20"/>
          <w:highlight w:val="none"/>
        </w:rPr>
        <w:t xml:space="preserve">2-1中小企业声明函</w:t>
      </w:r>
      <w:r/>
    </w:p>
    <w:p>
      <w:pPr>
        <w:spacing w:line="360" w:lineRule="auto"/>
        <w:rPr>
          <w:rFonts w:hint="eastAsia" w:ascii="宋体" w:hAnsi="宋体" w:eastAsia="宋体" w:cs="宋体"/>
          <w:sz w:val="24"/>
          <w:highlight w:val="none"/>
        </w:rPr>
        <w:outlineLvl w:val="2"/>
      </w:pPr>
      <w:r>
        <w:rPr>
          <w:rFonts w:hint="eastAsia" w:ascii="宋体" w:hAnsi="宋体" w:eastAsia="宋体" w:cs="宋体"/>
          <w:sz w:val="24"/>
          <w:highlight w:val="none"/>
        </w:rPr>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说明：</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（1）如本项目（包）不专门面向中小企业预留采购份额，资格证明文件部分无需提供《中小企业声明函》。</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（2）如本项目（包）专门面向中小/小微企业采购，须提供《中小企业声明函》</w:t>
      </w:r>
      <w:r>
        <w:rPr>
          <w:rFonts w:hint="eastAsia" w:ascii="宋体" w:hAnsi="宋体" w:eastAsia="宋体" w:cs="宋体"/>
          <w:sz w:val="24"/>
          <w:szCs w:val="20"/>
          <w:highlight w:val="none"/>
        </w:rPr>
        <w:t xml:space="preserve">（实质性格式）</w:t>
      </w:r>
      <w:r>
        <w:rPr>
          <w:rFonts w:hint="eastAsia" w:ascii="宋体" w:hAnsi="宋体" w:eastAsia="宋体" w:cs="宋体"/>
          <w:sz w:val="24"/>
          <w:highlight w:val="none"/>
        </w:rPr>
        <w:t xml:space="preserve">。</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（4）其他</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spacing w:before="240" w:after="240"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中小企业声明函（工程、服务）格式</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1.</w:t>
      </w:r>
      <w:r>
        <w:rPr>
          <w:rFonts w:hint="eastAsia" w:ascii="宋体" w:hAnsi="宋体" w:eastAsia="宋体" w:cs="宋体"/>
          <w:spacing w:val="6"/>
          <w:sz w:val="24"/>
          <w:highlight w:val="none"/>
          <w:u w:val="single"/>
        </w:rPr>
        <w:t xml:space="preserve">（标的名称）</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（采购文件中明确的所属行业）</w:t>
      </w:r>
      <w:r>
        <w:rPr>
          <w:rFonts w:hint="eastAsia" w:ascii="宋体" w:hAnsi="宋体" w:eastAsia="宋体" w:cs="宋体"/>
          <w:spacing w:val="6"/>
          <w:sz w:val="24"/>
          <w:highlight w:val="none"/>
        </w:rPr>
        <w:t xml:space="preserve">行业；承建（承接）企业为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，从业人员______人，营业收入为______万元，资产总额为______万元</w:t>
      </w:r>
      <w:r>
        <w:rPr>
          <w:rFonts w:hint="eastAsia" w:ascii="宋体" w:hAnsi="宋体" w:eastAsia="宋体" w:cs="宋体"/>
          <w:spacing w:val="6"/>
          <w:sz w:val="24"/>
          <w:highlight w:val="none"/>
          <w:vertAlign w:val="superscript"/>
        </w:rPr>
        <w:t xml:space="preserve">1</w:t>
      </w:r>
      <w:r>
        <w:rPr>
          <w:rFonts w:hint="eastAsia" w:ascii="宋体" w:hAnsi="宋体" w:eastAsia="宋体" w:cs="宋体"/>
          <w:spacing w:val="6"/>
          <w:sz w:val="24"/>
          <w:highlight w:val="none"/>
        </w:rPr>
        <w:t xml:space="preserve">，属于（中型企业、小型企业、微型企业）；</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2.</w:t>
      </w:r>
      <w:r>
        <w:rPr>
          <w:rFonts w:hint="eastAsia" w:ascii="宋体" w:hAnsi="宋体" w:eastAsia="宋体" w:cs="宋体"/>
          <w:spacing w:val="6"/>
          <w:sz w:val="24"/>
          <w:highlight w:val="none"/>
          <w:u w:val="single"/>
        </w:rPr>
        <w:t xml:space="preserve">（标的名称）</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（采购文件中明确的所属行业）</w:t>
      </w:r>
      <w:r>
        <w:rPr>
          <w:rFonts w:hint="eastAsia" w:ascii="宋体" w:hAnsi="宋体" w:eastAsia="宋体" w:cs="宋体"/>
          <w:spacing w:val="6"/>
          <w:sz w:val="24"/>
          <w:highlight w:val="none"/>
        </w:rPr>
        <w:t xml:space="preserve">行业；承建（承接）企业为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，从业人员______人，营业收入为______万元，资产总额为______万元，属于</w:t>
      </w:r>
      <w:r>
        <w:rPr>
          <w:rFonts w:hint="eastAsia" w:ascii="宋体" w:hAnsi="宋体" w:eastAsia="宋体" w:cs="宋体"/>
          <w:spacing w:val="6"/>
          <w:sz w:val="24"/>
          <w:highlight w:val="none"/>
          <w:u w:val="single"/>
        </w:rPr>
        <w:t xml:space="preserve">（中型企业、小型企业、微型企业）</w:t>
      </w:r>
      <w:r>
        <w:rPr>
          <w:rFonts w:hint="eastAsia" w:ascii="宋体" w:hAnsi="宋体" w:eastAsia="宋体" w:cs="宋体"/>
          <w:spacing w:val="6"/>
          <w:sz w:val="24"/>
          <w:highlight w:val="none"/>
        </w:rPr>
        <w:t xml:space="preserve">；</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企业名称（加盖公章）：________</w:t>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w:t>
      </w:r>
      <w:r/>
    </w:p>
    <w:p>
      <w:pPr>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jc w:val="lef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tbl>
      <w:tblPr>
        <w:tblStyle w:val="861"/>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从业人员、营业收入、资产总额填报上一年度数据，无上一年度数据的新成立企业可不填报。</w:t>
            </w:r>
            <w:r/>
          </w:p>
        </w:tc>
      </w:tr>
    </w:tbl>
    <w:p>
      <w:pPr>
        <w:ind w:firstLine="420"/>
        <w:jc w:val="left"/>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240" w:after="240" w:line="360" w:lineRule="auto"/>
        <w:rPr>
          <w:rFonts w:hint="eastAsia" w:ascii="宋体" w:hAnsi="宋体" w:eastAsia="宋体" w:cs="宋体"/>
          <w:sz w:val="24"/>
          <w:szCs w:val="20"/>
          <w:highlight w:val="none"/>
        </w:rPr>
      </w:pPr>
      <w:r>
        <w:rPr>
          <w:rFonts w:hint="eastAsia" w:ascii="宋体" w:hAnsi="宋体" w:eastAsia="宋体" w:cs="宋体"/>
          <w:sz w:val="24"/>
          <w:highlight w:val="none"/>
        </w:rPr>
        <w:br w:type="page" w:clear="all"/>
      </w:r>
      <w:r/>
    </w:p>
    <w:p>
      <w:pPr>
        <w:jc w:val="center"/>
        <w:spacing w:before="240" w:after="240" w:line="360" w:lineRule="auto"/>
        <w:rPr>
          <w:rFonts w:hint="eastAsia" w:ascii="宋体" w:hAnsi="宋体" w:eastAsia="宋体" w:cs="宋体"/>
          <w:b/>
          <w:sz w:val="36"/>
          <w:szCs w:val="36"/>
          <w:highlight w:val="none"/>
        </w:rPr>
      </w:pPr>
      <w:r>
        <w:rPr>
          <w:rFonts w:hint="eastAsia" w:ascii="宋体" w:hAnsi="宋体" w:eastAsia="宋体" w:cs="宋体"/>
          <w:b/>
          <w:bCs/>
          <w:sz w:val="36"/>
          <w:szCs w:val="36"/>
          <w:highlight w:val="none"/>
        </w:rPr>
        <w:t xml:space="preserve">残疾人福利性单位声明函格式</w:t>
      </w:r>
      <w:r>
        <w:rPr>
          <w:rFonts w:hint="eastAsia" w:ascii="宋体" w:hAnsi="宋体" w:eastAsia="宋体" w:cs="宋体"/>
          <w:b/>
          <w:sz w:val="36"/>
          <w:szCs w:val="36"/>
          <w:highlight w:val="none"/>
        </w:rPr>
        <w:t xml:space="preserve">       </w:t>
      </w:r>
      <w:r/>
    </w:p>
    <w:p>
      <w:pPr>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highlight w:val="none"/>
        </w:rPr>
        <w:t xml:space="preserve">〔2017〕 141</w:t>
      </w:r>
      <w:r>
        <w:rPr>
          <w:rFonts w:hint="eastAsia" w:ascii="宋体" w:hAnsi="宋体" w:eastAsia="宋体" w:cs="宋体"/>
          <w:spacing w:val="6"/>
          <w:sz w:val="24"/>
          <w:highlight w:val="none"/>
        </w:rPr>
        <w:t xml:space="preserve">号）的规定，本单位</w:t>
      </w:r>
      <w:r>
        <w:rPr>
          <w:rFonts w:hint="eastAsia" w:ascii="宋体" w:hAnsi="宋体" w:eastAsia="宋体" w:cs="宋体"/>
          <w:b/>
          <w:sz w:val="24"/>
          <w:highlight w:val="none"/>
        </w:rPr>
        <w:t xml:space="preserve">（请进行勾选）</w:t>
      </w:r>
      <w:r>
        <w:rPr>
          <w:rFonts w:hint="eastAsia" w:ascii="宋体" w:hAnsi="宋体" w:eastAsia="宋体" w:cs="宋体"/>
          <w:spacing w:val="6"/>
          <w:sz w:val="24"/>
          <w:highlight w:val="none"/>
        </w:rPr>
        <w:t xml:space="preserve">：</w:t>
      </w:r>
      <w:r/>
    </w:p>
    <w:p>
      <w:pPr>
        <w:ind w:firstLine="482"/>
        <w:spacing w:line="588" w:lineRule="exact"/>
        <w:rPr>
          <w:rFonts w:hint="eastAsia" w:ascii="宋体" w:hAnsi="宋体" w:eastAsia="宋体" w:cs="宋体"/>
          <w:b/>
          <w:spacing w:val="6"/>
          <w:sz w:val="24"/>
          <w:highlight w:val="none"/>
        </w:rPr>
      </w:pPr>
      <w:r>
        <w:rPr>
          <w:rFonts w:hint="eastAsia" w:ascii="宋体" w:hAnsi="宋体" w:eastAsia="宋体" w:cs="宋体"/>
          <w:b/>
          <w:sz w:val="24"/>
          <w:highlight w:val="none"/>
        </w:rPr>
        <w:t xml:space="preserve">□</w:t>
      </w:r>
      <w:r>
        <w:rPr>
          <w:rFonts w:hint="eastAsia" w:ascii="宋体" w:hAnsi="宋体" w:eastAsia="宋体" w:cs="宋体"/>
          <w:b/>
          <w:spacing w:val="6"/>
          <w:sz w:val="24"/>
          <w:highlight w:val="none"/>
        </w:rPr>
        <w:t xml:space="preserve">不属于符合条件的残疾人福利性单位。</w:t>
      </w:r>
      <w:r/>
    </w:p>
    <w:p>
      <w:pPr>
        <w:ind w:firstLine="482"/>
        <w:spacing w:line="588" w:lineRule="exact"/>
        <w:rPr>
          <w:rFonts w:hint="eastAsia" w:ascii="宋体" w:hAnsi="宋体" w:eastAsia="宋体" w:cs="宋体"/>
          <w:spacing w:val="6"/>
          <w:sz w:val="24"/>
          <w:highlight w:val="none"/>
        </w:rPr>
      </w:pPr>
      <w:r>
        <w:rPr>
          <w:rFonts w:hint="eastAsia" w:ascii="宋体" w:hAnsi="宋体" w:eastAsia="宋体" w:cs="宋体"/>
          <w:b/>
          <w:sz w:val="24"/>
          <w:highlight w:val="none"/>
        </w:rPr>
        <w:t xml:space="preserve">□</w:t>
      </w:r>
      <w:r>
        <w:rPr>
          <w:rFonts w:hint="eastAsia" w:ascii="宋体" w:hAnsi="宋体" w:eastAsia="宋体" w:cs="宋体"/>
          <w:b/>
          <w:spacing w:val="6"/>
          <w:sz w:val="24"/>
          <w:highlight w:val="none"/>
        </w:rPr>
        <w:t xml:space="preserve">属于符合条件的残疾人福利性单位，</w:t>
      </w:r>
      <w:r>
        <w:rPr>
          <w:rFonts w:hint="eastAsia" w:ascii="宋体" w:hAnsi="宋体" w:eastAsia="宋体" w:cs="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eastAsia="宋体" w:cs="宋体"/>
          <w:spacing w:val="6"/>
          <w:sz w:val="24"/>
          <w:highlight w:val="none"/>
        </w:rPr>
      </w:pPr>
      <w:r>
        <w:rPr>
          <w:rFonts w:hint="eastAsia" w:ascii="宋体" w:hAnsi="宋体" w:eastAsia="宋体" w:cs="宋体"/>
          <w:b/>
          <w:spacing w:val="6"/>
          <w:sz w:val="24"/>
          <w:highlight w:val="none"/>
        </w:rPr>
        <w:t xml:space="preserve">本单位对上述声明的真实性负责。如有虚假，将依法承担相应责任。</w:t>
      </w:r>
      <w:r/>
    </w:p>
    <w:p>
      <w:pPr>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0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单位名称（加盖公章）：</w:t>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日  期：</w:t>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right="1560" w:firstLine="504"/>
        <w:jc w:val="center"/>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b/>
          <w:sz w:val="24"/>
          <w:szCs w:val="20"/>
          <w:highlight w:val="none"/>
        </w:rPr>
        <w:t xml:space="preserve">2-2 </w:t>
      </w:r>
      <w:r>
        <w:rPr>
          <w:rFonts w:hint="eastAsia" w:ascii="宋体" w:hAnsi="宋体" w:eastAsia="宋体" w:cs="宋体"/>
          <w:b/>
          <w:sz w:val="24"/>
          <w:highlight w:val="none"/>
        </w:rPr>
        <w:t xml:space="preserve">其它落实政府采购政策的资格要求</w:t>
      </w:r>
      <w:r>
        <w:rPr>
          <w:rFonts w:hint="eastAsia" w:ascii="宋体" w:hAnsi="宋体" w:eastAsia="宋体" w:cs="宋体"/>
          <w:b/>
          <w:sz w:val="24"/>
          <w:szCs w:val="20"/>
          <w:highlight w:val="none"/>
        </w:rPr>
        <w:t xml:space="preserve">（如有）</w:t>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szCs w:val="20"/>
          <w:highlight w:val="none"/>
        </w:rPr>
      </w:pPr>
      <w:r>
        <w:rPr>
          <w:rFonts w:hint="eastAsia" w:ascii="宋体" w:hAnsi="宋体" w:eastAsia="宋体" w:cs="宋体"/>
          <w:b/>
          <w:sz w:val="24"/>
          <w:szCs w:val="20"/>
          <w:highlight w:val="none"/>
        </w:rPr>
      </w:r>
      <w:r/>
    </w:p>
    <w:p>
      <w:pPr>
        <w:jc w:val="left"/>
        <w:widowControl/>
        <w:rPr>
          <w:rFonts w:hint="eastAsia" w:ascii="宋体" w:hAnsi="宋体" w:eastAsia="宋体" w:cs="宋体"/>
          <w:b/>
          <w:sz w:val="24"/>
          <w:highlight w:val="none"/>
        </w:rPr>
      </w:pPr>
      <w:r>
        <w:rPr>
          <w:rFonts w:hint="eastAsia" w:ascii="宋体" w:hAnsi="宋体" w:eastAsia="宋体" w:cs="宋体"/>
          <w:b/>
          <w:sz w:val="24"/>
          <w:szCs w:val="20"/>
          <w:highlight w:val="none"/>
        </w:rPr>
        <w:t xml:space="preserve">3 </w:t>
      </w:r>
      <w:r>
        <w:rPr>
          <w:rFonts w:hint="eastAsia" w:ascii="宋体" w:hAnsi="宋体" w:eastAsia="宋体" w:cs="宋体"/>
          <w:b/>
          <w:sz w:val="24"/>
          <w:highlight w:val="none"/>
        </w:rPr>
        <w:t xml:space="preserve">本项目的特定资格要求</w:t>
      </w:r>
      <w:r>
        <w:rPr>
          <w:rFonts w:hint="eastAsia" w:ascii="宋体" w:hAnsi="宋体" w:eastAsia="宋体" w:cs="宋体"/>
          <w:b/>
          <w:sz w:val="24"/>
          <w:szCs w:val="20"/>
          <w:highlight w:val="none"/>
        </w:rPr>
        <w:t xml:space="preserve">（如有）</w:t>
      </w:r>
      <w:r/>
    </w:p>
    <w:p>
      <w:pPr>
        <w:spacing w:line="360" w:lineRule="auto"/>
        <w:rPr>
          <w:rFonts w:hint="eastAsia" w:ascii="宋体" w:hAnsi="宋体" w:eastAsia="宋体" w:cs="宋体"/>
          <w:b/>
          <w:sz w:val="24"/>
          <w:szCs w:val="20"/>
          <w:highlight w:val="none"/>
        </w:rPr>
      </w:pPr>
      <w:r>
        <w:rPr>
          <w:rFonts w:hint="eastAsia" w:ascii="宋体" w:hAnsi="宋体" w:eastAsia="宋体" w:cs="宋体"/>
          <w:b/>
          <w:sz w:val="24"/>
          <w:szCs w:val="20"/>
          <w:highlight w:val="none"/>
        </w:rPr>
        <w:t xml:space="preserve">3-</w:t>
      </w:r>
      <w:r>
        <w:rPr>
          <w:rFonts w:hint="eastAsia" w:ascii="宋体" w:hAnsi="宋体" w:cs="宋体"/>
          <w:b/>
          <w:sz w:val="24"/>
          <w:szCs w:val="20"/>
          <w:highlight w:val="none"/>
          <w:lang w:val="en-US" w:eastAsia="zh-CN"/>
        </w:rPr>
        <w:t xml:space="preserve">3</w:t>
      </w:r>
      <w:r>
        <w:rPr>
          <w:rFonts w:hint="eastAsia" w:ascii="宋体" w:hAnsi="宋体" w:eastAsia="宋体" w:cs="宋体"/>
          <w:b/>
          <w:sz w:val="24"/>
          <w:szCs w:val="20"/>
          <w:highlight w:val="none"/>
        </w:rPr>
        <w:t xml:space="preserve">其他特定资格要求</w:t>
      </w:r>
      <w:r/>
    </w:p>
    <w:p>
      <w:pPr>
        <w:ind w:firstLine="422"/>
        <w:jc w:val="left"/>
        <w:spacing w:line="360" w:lineRule="auto"/>
        <w:tabs>
          <w:tab w:val="left" w:pos="5580" w:leader="none"/>
        </w:tabs>
        <w:rPr>
          <w:rFonts w:hint="eastAsia" w:ascii="宋体" w:hAnsi="宋体" w:eastAsia="宋体" w:cs="宋体"/>
          <w:b/>
          <w:bCs/>
          <w:szCs w:val="21"/>
          <w:highlight w:val="none"/>
        </w:rPr>
      </w:pPr>
      <w:r>
        <w:rPr>
          <w:rFonts w:hint="eastAsia" w:ascii="宋体" w:hAnsi="宋体" w:eastAsia="宋体" w:cs="宋体"/>
          <w:b/>
          <w:bCs/>
          <w:szCs w:val="21"/>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widowControl/>
        <w:rPr>
          <w:rFonts w:hint="eastAsia" w:ascii="宋体" w:hAnsi="宋体" w:eastAsia="宋体" w:cs="宋体"/>
          <w:b/>
          <w:sz w:val="32"/>
          <w:szCs w:val="32"/>
          <w:highlight w:val="none"/>
        </w:rPr>
      </w:pPr>
      <w:r>
        <w:rPr>
          <w:rFonts w:hint="eastAsia" w:ascii="宋体" w:hAnsi="宋体" w:eastAsia="宋体" w:cs="宋体"/>
          <w:sz w:val="24"/>
          <w:szCs w:val="20"/>
          <w:highlight w:val="none"/>
        </w:rPr>
        <w:br w:type="page" w:clear="all"/>
      </w:r>
      <w:r>
        <w:rPr>
          <w:rFonts w:hint="eastAsia" w:ascii="宋体" w:hAnsi="宋体" w:eastAsia="宋体" w:cs="宋体"/>
          <w:b/>
          <w:sz w:val="32"/>
          <w:szCs w:val="32"/>
          <w:highlight w:val="none"/>
        </w:rPr>
        <w:t xml:space="preserve">二、商务技术文件格式</w:t>
      </w:r>
      <w:bookmarkStart w:id="828" w:name="_Toc226337252"/>
      <w:r/>
      <w:bookmarkStart w:id="829" w:name="_Toc480942349"/>
      <w:r/>
      <w:bookmarkStart w:id="830" w:name="_Toc150480794"/>
      <w:r/>
      <w:bookmarkStart w:id="831" w:name="_Toc142311058"/>
      <w:r/>
      <w:bookmarkStart w:id="832" w:name="_Toc226965746"/>
      <w:r/>
      <w:bookmarkStart w:id="833" w:name="_Toc150774761"/>
      <w:r/>
      <w:bookmarkStart w:id="834" w:name="_Toc226965829"/>
      <w:r/>
      <w:bookmarkStart w:id="835" w:name="_Toc226309800"/>
      <w:r/>
      <w:bookmarkStart w:id="836" w:name="_Toc195842921"/>
      <w:r/>
      <w:bookmarkStart w:id="837" w:name="_Ref467988698"/>
      <w:r/>
      <w:bookmarkStart w:id="838" w:name="_Toc520356217"/>
      <w:r/>
      <w:bookmarkStart w:id="839" w:name="_Toc127151556"/>
      <w:r/>
      <w:r/>
    </w:p>
    <w:p>
      <w:pPr>
        <w:jc w:val="center"/>
        <w:widowControl/>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b/>
          <w:sz w:val="24"/>
          <w:highlight w:val="none"/>
        </w:rPr>
        <w:t xml:space="preserve">1</w:t>
      </w:r>
      <w:r>
        <w:rPr>
          <w:rFonts w:hint="eastAsia" w:ascii="宋体" w:hAnsi="宋体" w:eastAsia="宋体" w:cs="宋体"/>
          <w:b/>
          <w:sz w:val="24"/>
          <w:szCs w:val="20"/>
          <w:highlight w:val="none"/>
        </w:rPr>
        <w:t xml:space="preserve">  </w:t>
      </w:r>
      <w:r>
        <w:rPr>
          <w:rFonts w:hint="eastAsia" w:ascii="宋体" w:hAnsi="宋体" w:eastAsia="宋体" w:cs="宋体"/>
          <w:b/>
          <w:sz w:val="24"/>
          <w:highlight w:val="none"/>
        </w:rPr>
        <w:t xml:space="preserve">投标</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ascii="宋体" w:hAnsi="宋体" w:eastAsia="宋体" w:cs="宋体"/>
          <w:b/>
          <w:sz w:val="24"/>
          <w:highlight w:val="none"/>
        </w:rPr>
        <w:t xml:space="preserve">函</w:t>
      </w:r>
      <w:r>
        <w:rPr>
          <w:rFonts w:hint="eastAsia" w:ascii="宋体" w:hAnsi="宋体" w:eastAsia="宋体" w:cs="宋体"/>
          <w:b/>
          <w:sz w:val="24"/>
          <w:szCs w:val="20"/>
          <w:highlight w:val="none"/>
        </w:rPr>
        <w:t xml:space="preserve">（实质性格式）</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投标函</w:t>
      </w:r>
      <w:r/>
    </w:p>
    <w:p>
      <w:pPr>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（采购人或采购代理机构）</w:t>
      </w:r>
      <w:r/>
    </w:p>
    <w:p>
      <w:pPr>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firstLine="408"/>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 我方</w:t>
      </w:r>
      <w:r>
        <w:rPr>
          <w:rFonts w:hint="eastAsia" w:ascii="宋体" w:hAnsi="宋体" w:eastAsia="宋体" w:cs="宋体"/>
          <w:sz w:val="24"/>
          <w:highlight w:val="none"/>
        </w:rPr>
        <w:t xml:space="preserve">已详细审查全部招标文件</w:t>
      </w:r>
      <w:r>
        <w:rPr>
          <w:rFonts w:hint="eastAsia" w:ascii="宋体" w:hAnsi="宋体" w:eastAsia="宋体" w:cs="宋体"/>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（1）本投标有效期为自提交投标文件的截止之日起</w:t>
      </w:r>
      <w:r>
        <w:rPr>
          <w:rFonts w:hint="eastAsia" w:ascii="宋体" w:hAnsi="宋体" w:eastAsia="宋体" w:cs="宋体"/>
          <w:sz w:val="24"/>
          <w:highlight w:val="none"/>
        </w:rPr>
        <w:t xml:space="preserve">60</w:t>
      </w:r>
      <w:r>
        <w:rPr>
          <w:rFonts w:hint="eastAsia" w:ascii="宋体" w:hAnsi="宋体" w:eastAsia="宋体" w:cs="宋体"/>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sz w:val="24"/>
          <w:highlight w:val="none"/>
        </w:rPr>
      </w:pPr>
      <w:r>
        <w:rPr>
          <w:rFonts w:hint="eastAsia" w:ascii="宋体" w:hAnsi="宋体" w:eastAsia="宋体" w:cs="宋体"/>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其他补充条款（如有）：</w:t>
      </w:r>
      <w:r>
        <w:rPr>
          <w:rFonts w:hint="eastAsia" w:ascii="宋体" w:hAnsi="宋体" w:eastAsia="宋体" w:cs="宋体"/>
          <w:sz w:val="24"/>
          <w:szCs w:val="20"/>
          <w:highlight w:val="none"/>
        </w:rPr>
        <w:t xml:space="preserve">___________</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与本投标有关的一切正式往来信函请寄：</w:t>
      </w:r>
      <w:r/>
    </w:p>
    <w:p>
      <w:pPr>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地址________________________     传真____________________________</w:t>
      </w:r>
      <w:r/>
    </w:p>
    <w:p>
      <w:pPr>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电话________________________     电子函件________________________</w:t>
      </w:r>
      <w:r/>
    </w:p>
    <w:p>
      <w:pPr>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投标人名称（加盖公章） ___________</w:t>
      </w:r>
      <w:r/>
    </w:p>
    <w:p>
      <w:pPr>
        <w:ind w:left="420"/>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日期：_____年______月______日    </w:t>
      </w:r>
      <w:r/>
    </w:p>
    <w:p>
      <w:pPr>
        <w:ind w:left="420"/>
        <w:spacing w:line="360" w:lineRule="auto"/>
        <w:tabs>
          <w:tab w:val="left" w:pos="5580" w:leader="none"/>
        </w:tabs>
        <w:rPr>
          <w:rFonts w:hint="eastAsia" w:ascii="宋体" w:hAnsi="宋体" w:eastAsia="宋体" w:cs="宋体"/>
          <w:sz w:val="24"/>
          <w:szCs w:val="20"/>
          <w:highlight w:val="none"/>
          <w:u w:val="single"/>
        </w:rPr>
      </w:pPr>
      <w:r>
        <w:rPr>
          <w:rFonts w:hint="eastAsia" w:ascii="宋体" w:hAnsi="宋体" w:eastAsia="宋体" w:cs="宋体"/>
          <w:sz w:val="24"/>
          <w:szCs w:val="20"/>
          <w:highlight w:val="none"/>
          <w:u w:val="single"/>
        </w:rPr>
      </w:r>
      <w:r/>
    </w:p>
    <w:p>
      <w:pPr>
        <w:jc w:val="left"/>
        <w:widowControl/>
        <w:rPr>
          <w:rFonts w:hint="eastAsia" w:ascii="宋体" w:hAnsi="宋体" w:eastAsia="宋体" w:cs="宋体"/>
          <w:b/>
          <w:sz w:val="24"/>
          <w:highlight w:val="none"/>
        </w:rPr>
      </w:pPr>
      <w:r/>
      <w:bookmarkStart w:id="840" w:name="_Hlt520356243"/>
      <w:r/>
      <w:bookmarkEnd w:id="840"/>
      <w:r/>
      <w:bookmarkStart w:id="841" w:name="_Hlt520355938"/>
      <w:r/>
      <w:bookmarkEnd w:id="841"/>
      <w:r>
        <w:rPr>
          <w:rFonts w:hint="eastAsia" w:ascii="宋体" w:hAnsi="宋体" w:eastAsia="宋体" w:cs="宋体"/>
          <w:sz w:val="24"/>
          <w:highlight w:val="none"/>
        </w:rPr>
        <w:br w:type="page" w:clear="all"/>
      </w:r>
      <w:r/>
    </w:p>
    <w:p>
      <w:pPr>
        <w:jc w:val="left"/>
        <w:widowControl/>
        <w:rPr>
          <w:rFonts w:hint="eastAsia" w:ascii="宋体" w:hAnsi="宋体" w:eastAsia="宋体" w:cs="宋体"/>
          <w:b/>
          <w:sz w:val="24"/>
          <w:highlight w:val="none"/>
        </w:rPr>
      </w:pPr>
      <w:r>
        <w:rPr>
          <w:rFonts w:hint="eastAsia" w:ascii="宋体" w:hAnsi="宋体" w:eastAsia="宋体" w:cs="宋体"/>
          <w:b/>
          <w:sz w:val="24"/>
          <w:highlight w:val="none"/>
        </w:rPr>
        <w:t xml:space="preserve">2  法定代表人资格证明书</w:t>
      </w:r>
      <w:r>
        <w:rPr>
          <w:rFonts w:hint="eastAsia" w:ascii="宋体" w:hAnsi="宋体" w:eastAsia="宋体" w:cs="宋体"/>
          <w:b/>
          <w:sz w:val="24"/>
          <w:szCs w:val="20"/>
          <w:highlight w:val="none"/>
        </w:rPr>
        <w:t xml:space="preserve">（实质性格式）</w:t>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法定代表人资格证明书</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单位名称:</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地址:</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姓名:     性别:       年龄:      职务:</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（投标单位名称）</w:t>
      </w:r>
      <w:r>
        <w:rPr>
          <w:rFonts w:hint="eastAsia" w:ascii="宋体" w:hAnsi="宋体" w:eastAsia="宋体" w:cs="宋体"/>
          <w:sz w:val="24"/>
          <w:highlight w:val="none"/>
        </w:rPr>
        <w:t xml:space="preserve">的法定代表人。为参与</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的政府采购活动，</w:t>
      </w:r>
      <w:r>
        <w:rPr>
          <w:rFonts w:hint="eastAsia" w:ascii="宋体" w:hAnsi="宋体" w:eastAsia="宋体" w:cs="宋体"/>
          <w:sz w:val="24"/>
          <w:szCs w:val="20"/>
          <w:highlight w:val="none"/>
        </w:rPr>
        <w:t xml:space="preserve">签署、澄清确认、递交、撤回、修改</w:t>
      </w:r>
      <w:r>
        <w:rPr>
          <w:rFonts w:hint="eastAsia" w:ascii="宋体" w:hAnsi="宋体" w:eastAsia="宋体" w:cs="宋体"/>
          <w:sz w:val="24"/>
          <w:highlight w:val="none"/>
        </w:rPr>
        <w:t xml:space="preserve">上述项目的投标文件、进行合同谈判、签署合同和处理与之有关的一切事务。</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68"/>
        <w:ind w:right="-46"/>
        <w:spacing w:line="583" w:lineRule="auto"/>
        <w:rPr>
          <w:rFonts w:hint="eastAsia" w:ascii="宋体" w:hAnsi="宋体" w:eastAsia="宋体" w:cs="宋体"/>
          <w:spacing w:val="-3"/>
          <w:highlight w:val="none"/>
        </w:rPr>
      </w:pPr>
      <w:r>
        <w:rPr>
          <w:rFonts w:hint="eastAsia" w:ascii="宋体" w:hAnsi="宋体" w:eastAsia="宋体" w:cs="宋体"/>
          <w:highlight w:val="none"/>
        </w:rPr>
        <w:t xml:space="preserve">附：</w:t>
      </w:r>
      <w:r>
        <w:rPr>
          <w:rFonts w:hint="eastAsia" w:ascii="宋体" w:hAnsi="宋体" w:eastAsia="宋体" w:cs="宋体"/>
          <w:spacing w:val="-3"/>
          <w:highlight w:val="none"/>
        </w:rPr>
        <w:t xml:space="preserve">法</w:t>
      </w:r>
      <w:r>
        <w:rPr>
          <w:rFonts w:hint="eastAsia" w:ascii="宋体" w:hAnsi="宋体" w:eastAsia="宋体" w:cs="宋体"/>
          <w:highlight w:val="none"/>
        </w:rPr>
        <w:t xml:space="preserve">定</w:t>
      </w:r>
      <w:r>
        <w:rPr>
          <w:rFonts w:hint="eastAsia" w:ascii="宋体" w:hAnsi="宋体" w:eastAsia="宋体" w:cs="宋体"/>
          <w:spacing w:val="-3"/>
          <w:highlight w:val="none"/>
        </w:rPr>
        <w:t xml:space="preserve">代</w:t>
      </w:r>
      <w:r>
        <w:rPr>
          <w:rFonts w:hint="eastAsia" w:ascii="宋体" w:hAnsi="宋体" w:eastAsia="宋体" w:cs="宋体"/>
          <w:highlight w:val="none"/>
        </w:rPr>
        <w:t xml:space="preserve">表</w:t>
      </w:r>
      <w:r>
        <w:rPr>
          <w:rFonts w:hint="eastAsia" w:ascii="宋体" w:hAnsi="宋体" w:eastAsia="宋体" w:cs="宋体"/>
          <w:spacing w:val="-3"/>
          <w:highlight w:val="none"/>
        </w:rPr>
        <w:t xml:space="preserve">人</w:t>
      </w:r>
      <w:r>
        <w:rPr>
          <w:rFonts w:hint="eastAsia" w:ascii="宋体" w:hAnsi="宋体" w:eastAsia="宋体" w:cs="宋体"/>
          <w:highlight w:val="none"/>
        </w:rPr>
        <w:t xml:space="preserve">（</w:t>
      </w:r>
      <w:r>
        <w:rPr>
          <w:rFonts w:hint="eastAsia" w:cs="宋体"/>
          <w:highlight w:val="none"/>
          <w:lang w:val="en-US" w:eastAsia="zh-CN"/>
        </w:rPr>
        <w:t xml:space="preserve">或</w:t>
      </w:r>
      <w:r>
        <w:rPr>
          <w:rFonts w:hint="eastAsia" w:ascii="宋体" w:hAnsi="宋体" w:eastAsia="宋体" w:cs="宋体"/>
          <w:spacing w:val="-3"/>
          <w:highlight w:val="none"/>
        </w:rPr>
        <w:t xml:space="preserve">单</w:t>
      </w:r>
      <w:r>
        <w:rPr>
          <w:rFonts w:hint="eastAsia" w:ascii="宋体" w:hAnsi="宋体" w:eastAsia="宋体" w:cs="宋体"/>
          <w:highlight w:val="none"/>
        </w:rPr>
        <w:t xml:space="preserve">位</w:t>
      </w:r>
      <w:r>
        <w:rPr>
          <w:rFonts w:hint="eastAsia" w:ascii="宋体" w:hAnsi="宋体" w:eastAsia="宋体" w:cs="宋体"/>
          <w:spacing w:val="-3"/>
          <w:highlight w:val="none"/>
        </w:rPr>
        <w:t xml:space="preserve">负</w:t>
      </w:r>
      <w:r>
        <w:rPr>
          <w:rFonts w:hint="eastAsia" w:ascii="宋体" w:hAnsi="宋体" w:eastAsia="宋体" w:cs="宋体"/>
          <w:highlight w:val="none"/>
        </w:rPr>
        <w:t xml:space="preserve">责人</w:t>
      </w:r>
      <w:r>
        <w:rPr>
          <w:rFonts w:hint="eastAsia" w:ascii="宋体" w:hAnsi="宋体" w:eastAsia="宋体" w:cs="宋体"/>
          <w:spacing w:val="-3"/>
          <w:highlight w:val="none"/>
        </w:rPr>
        <w:t xml:space="preserve">）有效期内的身份证正反面电子件。</w:t>
      </w:r>
      <w:r/>
    </w:p>
    <w:tbl>
      <w:tblPr>
        <w:tblStyle w:val="86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r>
            <w:r/>
          </w:p>
        </w:tc>
      </w:tr>
    </w:tbl>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                     投标人：（加盖公章）</w:t>
      </w:r>
      <w:r/>
    </w:p>
    <w:p>
      <w:pP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                      法定代表人</w:t>
      </w:r>
      <w:r>
        <w:rPr>
          <w:rFonts w:hint="eastAsia" w:ascii="宋体" w:hAnsi="宋体" w:eastAsia="宋体" w:cs="宋体"/>
          <w:highlight w:val="none"/>
        </w:rPr>
        <w:t xml:space="preserve">（</w:t>
      </w:r>
      <w:r>
        <w:rPr>
          <w:rFonts w:hint="eastAsia" w:cs="宋体"/>
          <w:highlight w:val="none"/>
          <w:lang w:val="en-US" w:eastAsia="zh-CN"/>
        </w:rPr>
        <w:t xml:space="preserve">或</w:t>
      </w:r>
      <w:r>
        <w:rPr>
          <w:rFonts w:hint="eastAsia" w:ascii="宋体" w:hAnsi="宋体" w:eastAsia="宋体" w:cs="宋体"/>
          <w:spacing w:val="-3"/>
          <w:highlight w:val="none"/>
        </w:rPr>
        <w:t xml:space="preserve">单</w:t>
      </w:r>
      <w:r>
        <w:rPr>
          <w:rFonts w:hint="eastAsia" w:ascii="宋体" w:hAnsi="宋体" w:eastAsia="宋体" w:cs="宋体"/>
          <w:highlight w:val="none"/>
        </w:rPr>
        <w:t xml:space="preserve">位</w:t>
      </w:r>
      <w:r>
        <w:rPr>
          <w:rFonts w:hint="eastAsia" w:ascii="宋体" w:hAnsi="宋体" w:eastAsia="宋体" w:cs="宋体"/>
          <w:spacing w:val="-3"/>
          <w:highlight w:val="none"/>
        </w:rPr>
        <w:t xml:space="preserve">负</w:t>
      </w:r>
      <w:r>
        <w:rPr>
          <w:rFonts w:hint="eastAsia" w:ascii="宋体" w:hAnsi="宋体" w:eastAsia="宋体" w:cs="宋体"/>
          <w:highlight w:val="none"/>
        </w:rPr>
        <w:t xml:space="preserve">责人</w:t>
      </w:r>
      <w:r>
        <w:rPr>
          <w:rFonts w:hint="eastAsia" w:ascii="宋体" w:hAnsi="宋体" w:eastAsia="宋体" w:cs="宋体"/>
          <w:spacing w:val="-3"/>
          <w:highlight w:val="none"/>
        </w:rPr>
        <w:t xml:space="preserve">）</w:t>
      </w:r>
      <w:r>
        <w:rPr>
          <w:rFonts w:hint="eastAsia" w:ascii="宋体" w:hAnsi="宋体" w:eastAsia="宋体" w:cs="宋体"/>
          <w:sz w:val="24"/>
          <w:szCs w:val="20"/>
          <w:highlight w:val="none"/>
        </w:rPr>
        <w:t xml:space="preserve">签字或印鉴</w:t>
      </w:r>
      <w:r>
        <w:rPr>
          <w:rFonts w:hint="eastAsia" w:ascii="宋体" w:hAnsi="宋体" w:eastAsia="宋体" w:cs="宋体"/>
          <w:sz w:val="24"/>
          <w:highlight w:val="none"/>
        </w:rPr>
        <w:t xml:space="preserve">：</w:t>
      </w:r>
      <w:r/>
    </w:p>
    <w:p>
      <w:pPr>
        <w:ind w:firstLine="432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说明：</w:t>
      </w:r>
      <w:r/>
    </w:p>
    <w:p>
      <w:pPr>
        <w:jc w:val="left"/>
        <w:spacing w:line="360" w:lineRule="auto"/>
        <w:tabs>
          <w:tab w:val="left" w:pos="558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宋体" w:hAnsi="宋体" w:eastAsia="宋体" w:cs="宋体"/>
          <w:i/>
          <w:sz w:val="24"/>
          <w:szCs w:val="20"/>
          <w:highlight w:val="none"/>
          <w:u w:val="single"/>
        </w:rPr>
      </w:pPr>
      <w:r>
        <w:rPr>
          <w:rFonts w:hint="eastAsia" w:ascii="宋体" w:hAnsi="宋体" w:eastAsia="宋体" w:cs="宋体"/>
          <w:sz w:val="24"/>
          <w:szCs w:val="20"/>
          <w:highlight w:val="none"/>
        </w:rPr>
        <w:t xml:space="preserve">2.供应商为自然人的情形，可不提供本《法定代表人资格证明书》。</w:t>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3  授权委托书（实质性格式）</w:t>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36"/>
          <w:szCs w:val="36"/>
          <w:highlight w:val="none"/>
          <w:lang w:val="en-US" w:eastAsia="zh-CN" w:bidi="ar-SA"/>
        </w:rPr>
        <w:t xml:space="preserve">授权委托书</w:t>
      </w:r>
      <w:r/>
    </w:p>
    <w:p>
      <w:pPr>
        <w:ind w:firstLine="5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本授权委托书声明：我 ___________(姓名)（身份证号码：________________）系_________________（投标人名称）的法定代表人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单位负责人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现授权委托__________________（被授权人的姓名、职务）（身份证号码：___________）为本次投标中我单位的合法代理人，全权负责参加本次项目的投标、签订合同以及与之相关的各项工作。本投标人对被授权人的签名负全部责任。</w:t>
      </w:r>
      <w:r/>
    </w:p>
    <w:p>
      <w:pPr>
        <w:ind w:firstLine="51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本授权书于__________年_______月________日签字或盖章生效，特此声明。</w:t>
      </w: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投标人公章：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szCs w:val="20"/>
          <w:highlight w:val="none"/>
          <w:lang w:eastAsia="zh-CN"/>
        </w:rPr>
        <w:t xml:space="preserve">（</w:t>
      </w:r>
      <w:r>
        <w:rPr>
          <w:rFonts w:hint="eastAsia" w:ascii="宋体" w:hAnsi="宋体" w:cs="宋体"/>
          <w:color w:val="000000"/>
          <w:sz w:val="24"/>
          <w:szCs w:val="20"/>
          <w:highlight w:val="none"/>
          <w:lang w:val="en-US" w:eastAsia="zh-CN"/>
        </w:rPr>
        <w:t xml:space="preserve">或</w:t>
      </w:r>
      <w:r>
        <w:rPr>
          <w:rFonts w:hint="eastAsia" w:ascii="宋体" w:hAnsi="宋体" w:eastAsia="宋体" w:cs="宋体"/>
          <w:color w:val="000000"/>
          <w:sz w:val="24"/>
          <w:szCs w:val="20"/>
          <w:highlight w:val="none"/>
          <w:lang w:val="en-US" w:eastAsia="zh-CN"/>
        </w:rPr>
        <w:t xml:space="preserve">单位负责人</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签章或印鉴</w:t>
      </w:r>
      <w:r>
        <w:rPr>
          <w:rFonts w:hint="eastAsia" w:ascii="宋体" w:hAnsi="宋体" w:eastAsia="宋体" w:cs="宋体"/>
          <w:color w:val="000000"/>
          <w:sz w:val="24"/>
          <w:highlight w:val="none"/>
        </w:rPr>
        <w:t xml:space="preserve">：         联系电话：</w:t>
      </w:r>
      <w:r/>
    </w:p>
    <w:p>
      <w:pPr>
        <w:pStyle w:val="121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委托代理人（被授权人）签字或盖章：           联系电话：</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46"/>
        <w:jc w:val="both"/>
        <w:spacing w:before="120" w:line="583" w:lineRule="auto"/>
        <w:widowControl w:val="off"/>
        <w:rPr>
          <w:rFonts w:hint="eastAsia" w:ascii="宋体" w:hAnsi="宋体" w:eastAsia="宋体" w:cs="宋体"/>
          <w:b/>
          <w:bCs/>
          <w:color w:val="000000"/>
          <w:spacing w:val="-3"/>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附：委托代理人（被授权人）</w:t>
      </w:r>
      <w:r>
        <w:rPr>
          <w:rFonts w:hint="eastAsia" w:ascii="宋体" w:hAnsi="宋体" w:eastAsia="宋体" w:cs="宋体"/>
          <w:b/>
          <w:bCs/>
          <w:color w:val="000000"/>
          <w:spacing w:val="-3"/>
          <w:sz w:val="24"/>
          <w:szCs w:val="24"/>
          <w:highlight w:val="none"/>
          <w:lang w:val="en-US" w:eastAsia="zh-CN" w:bidi="ar-SA"/>
        </w:rPr>
        <w:t xml:space="preserve">有效期内的身份证正反面。</w:t>
      </w:r>
      <w:r/>
    </w:p>
    <w:tbl>
      <w:tblPr>
        <w:tblStyle w:val="86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rPr>
        <w:t xml:space="preserve">备注：授权委托人需为投标人正式职工，提供投标人近三个月内任意一个月（自</w:t>
      </w:r>
      <w:r>
        <w:rPr>
          <w:rFonts w:hint="eastAsia" w:ascii="宋体" w:hAnsi="宋体" w:cs="宋体"/>
          <w:color w:val="000000"/>
          <w:sz w:val="24"/>
          <w:szCs w:val="24"/>
          <w:highlight w:val="none"/>
          <w:lang w:val="en-US" w:eastAsia="zh-CN"/>
        </w:rPr>
        <w:t xml:space="preserve">开标</w:t>
      </w:r>
      <w:r>
        <w:rPr>
          <w:rFonts w:hint="eastAsia" w:ascii="宋体" w:hAnsi="宋体" w:eastAsia="宋体" w:cs="宋体"/>
          <w:color w:val="000000"/>
          <w:sz w:val="24"/>
          <w:szCs w:val="24"/>
          <w:highlight w:val="none"/>
        </w:rPr>
        <w:t xml:space="preserve">之日往前推）为其缴纳社保的记录（法定代表人参加投标时，可不提供授权委托书）。</w:t>
      </w:r>
      <w:r/>
    </w:p>
    <w:p>
      <w:pPr>
        <w:jc w:val="both"/>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sz w:val="24"/>
          <w:highlight w:val="none"/>
        </w:rPr>
      </w:pPr>
      <w:r>
        <w:rPr>
          <w:rFonts w:hint="eastAsia" w:ascii="宋体" w:hAnsi="宋体" w:eastAsia="宋体" w:cs="宋体"/>
          <w:b/>
          <w:color w:val="000000"/>
          <w:sz w:val="24"/>
          <w:highlight w:val="none"/>
        </w:rPr>
        <w:br w:type="page" w:clear="all"/>
      </w:r>
      <w:r/>
    </w:p>
    <w:p>
      <w:pPr>
        <w:jc w:val="left"/>
        <w:widowControl/>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4</w:t>
      </w:r>
      <w:r>
        <w:rPr>
          <w:rFonts w:hint="eastAsia" w:ascii="宋体" w:hAnsi="宋体" w:eastAsia="宋体" w:cs="宋体"/>
          <w:b/>
          <w:sz w:val="24"/>
          <w:highlight w:val="none"/>
        </w:rPr>
        <w:t xml:space="preserve">  政府采购供应商信用承诺书</w:t>
      </w:r>
      <w:r>
        <w:rPr>
          <w:rFonts w:hint="eastAsia" w:ascii="宋体" w:hAnsi="宋体" w:eastAsia="宋体" w:cs="宋体"/>
          <w:b/>
          <w:sz w:val="24"/>
          <w:szCs w:val="20"/>
          <w:highlight w:val="none"/>
        </w:rPr>
        <w:t xml:space="preserve">（实质性格式）</w:t>
      </w:r>
      <w:r/>
    </w:p>
    <w:p>
      <w:pPr>
        <w:ind w:firstLine="321"/>
        <w:jc w:val="cente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321"/>
        <w:jc w:val="cente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政府采购供应商信用承诺书</w:t>
      </w:r>
      <w:r/>
    </w:p>
    <w:p>
      <w:pPr>
        <w:ind w:firstLine="640"/>
        <w:rPr>
          <w:rFonts w:hint="eastAsia" w:ascii="宋体" w:hAnsi="宋体" w:eastAsia="宋体" w:cs="宋体"/>
          <w:highlight w:val="none"/>
        </w:rPr>
      </w:pPr>
      <w:r>
        <w:rPr>
          <w:rFonts w:hint="eastAsia" w:ascii="宋体" w:hAnsi="宋体" w:eastAsia="宋体" w:cs="宋体"/>
          <w:highlight w:val="none"/>
        </w:rPr>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五、承诺本单位自觉接受行政管理部门、行业组织、社会公众、新闻舆论的监督。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七、承诺本单位在信用中国（江苏）网站中无违法违规、较重或严重失信记录。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八、承诺本单位提出政府采购质疑和投诉坚持依法依规、诚实信用原则。</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九、根据政府采购相关法律法规的规定需要作出的其他承诺。 </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十一、承诺本单位同意将以上承诺事项上网公示，违背承诺约定行为将作为失信信息，记录到常州市公共信用信息系统，并予以公开。</w:t>
      </w:r>
      <w:r/>
    </w:p>
    <w:p>
      <w:pPr>
        <w:pStyle w:val="1284"/>
        <w:ind w:right="1050" w:firstLine="2880"/>
        <w:jc w:val="both"/>
        <w:spacing w:line="276"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：____________</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p>
    <w:p>
      <w:pPr>
        <w:jc w:val="left"/>
        <w:widowControl/>
        <w:rPr>
          <w:rFonts w:hint="eastAsia" w:ascii="宋体" w:hAnsi="宋体" w:eastAsia="宋体" w:cs="宋体"/>
          <w:sz w:val="24"/>
          <w:szCs w:val="20"/>
          <w:highlight w:val="none"/>
        </w:rPr>
      </w:pPr>
      <w:r/>
      <w:bookmarkStart w:id="842" w:name="_Hlt520274407"/>
      <w:r/>
      <w:bookmarkEnd w:id="842"/>
      <w:r/>
      <w:bookmarkStart w:id="843" w:name="_Hlt520343392"/>
      <w:r/>
      <w:bookmarkEnd w:id="843"/>
      <w:r/>
      <w:bookmarkStart w:id="844" w:name="_Hlt520274393"/>
      <w:r/>
      <w:bookmarkEnd w:id="844"/>
      <w:r/>
      <w:bookmarkStart w:id="845" w:name="_Hlt520350918"/>
      <w:r/>
      <w:bookmarkEnd w:id="845"/>
      <w:r/>
      <w:bookmarkStart w:id="846" w:name="_Hlt520273711"/>
      <w:r/>
      <w:bookmarkEnd w:id="846"/>
      <w:r/>
      <w:bookmarkStart w:id="847" w:name="_Hlt520274121"/>
      <w:r/>
      <w:bookmarkEnd w:id="847"/>
      <w:r/>
      <w:bookmarkStart w:id="848" w:name="_Hlt520274065"/>
      <w:r/>
      <w:bookmarkEnd w:id="848"/>
      <w:r/>
      <w:bookmarkStart w:id="849" w:name="_Hlt520343000"/>
      <w:r/>
      <w:bookmarkEnd w:id="849"/>
      <w:r/>
      <w:bookmarkStart w:id="850" w:name="_Hlt520271212"/>
      <w:r/>
      <w:bookmarkEnd w:id="850"/>
      <w:r/>
      <w:bookmarkStart w:id="851" w:name="_Hlt520355504"/>
      <w:r/>
      <w:bookmarkEnd w:id="851"/>
      <w:r/>
      <w:bookmarkStart w:id="852" w:name="_Toc127151557"/>
      <w:r/>
      <w:bookmarkStart w:id="853" w:name="_Toc305158899"/>
      <w:r/>
      <w:bookmarkStart w:id="854" w:name="_Toc480942350"/>
      <w:r/>
      <w:bookmarkStart w:id="855" w:name="_Ref467988705"/>
      <w:r/>
      <w:bookmarkStart w:id="856" w:name="_Toc305158825"/>
      <w:r/>
      <w:bookmarkStart w:id="857" w:name="_Toc264969247"/>
      <w:r/>
      <w:bookmarkStart w:id="858" w:name="_Toc265228395"/>
      <w:r/>
      <w:bookmarkStart w:id="859" w:name="_Toc226337253"/>
      <w:r/>
      <w:bookmarkStart w:id="860" w:name="_Toc226965830"/>
      <w:r/>
      <w:bookmarkStart w:id="861" w:name="_Toc520356218"/>
      <w:r/>
      <w:bookmarkStart w:id="862" w:name="_Toc226309801"/>
      <w:r/>
      <w:bookmarkStart w:id="863" w:name="_Toc195842922"/>
      <w:r/>
      <w:bookmarkStart w:id="864" w:name="_Toc142311059"/>
      <w:r/>
      <w:bookmarkStart w:id="865" w:name="_Toc226965747"/>
      <w:r/>
      <w:bookmarkStart w:id="866" w:name="_Toc150774762"/>
      <w:r/>
      <w:bookmarkStart w:id="867" w:name="_Toc150480795"/>
      <w:r>
        <w:rPr>
          <w:rFonts w:hint="eastAsia" w:ascii="宋体" w:hAnsi="宋体" w:eastAsia="宋体" w:cs="宋体"/>
          <w:sz w:val="24"/>
          <w:szCs w:val="20"/>
          <w:highlight w:val="none"/>
        </w:rPr>
        <w:br w:type="page" w:clear="all"/>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b/>
          <w:sz w:val="24"/>
          <w:szCs w:val="20"/>
          <w:highlight w:val="none"/>
          <w:lang w:val="en-US" w:eastAsia="zh-CN"/>
        </w:rPr>
        <w:t xml:space="preserve">5</w:t>
      </w:r>
      <w:r>
        <w:rPr>
          <w:rFonts w:hint="eastAsia" w:ascii="宋体" w:hAnsi="宋体" w:eastAsia="宋体" w:cs="宋体"/>
          <w:b/>
          <w:sz w:val="24"/>
          <w:szCs w:val="20"/>
          <w:highlight w:val="none"/>
        </w:rPr>
        <w:t xml:space="preserve">  开标一览表</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Pr>
          <w:rFonts w:hint="eastAsia" w:ascii="宋体" w:hAnsi="宋体" w:eastAsia="宋体" w:cs="宋体"/>
          <w:b/>
          <w:sz w:val="24"/>
          <w:szCs w:val="20"/>
          <w:highlight w:val="none"/>
        </w:rPr>
        <w:t xml:space="preserve">（实质性格式）</w:t>
      </w:r>
      <w:r/>
    </w:p>
    <w:p>
      <w:pPr>
        <w:jc w:val="center"/>
        <w:spacing w:line="360" w:lineRule="exact"/>
        <w:rPr>
          <w:rFonts w:hint="eastAsia" w:ascii="宋体" w:hAnsi="宋体" w:eastAsia="宋体" w:cs="宋体"/>
          <w:b/>
          <w:sz w:val="36"/>
          <w:szCs w:val="36"/>
          <w:highlight w:val="none"/>
        </w:rPr>
      </w:pPr>
      <w:r/>
      <w:bookmarkStart w:id="868" w:name="_Toc264969248"/>
      <w:r/>
      <w:bookmarkStart w:id="869" w:name="_Toc226965748"/>
      <w:r/>
      <w:bookmarkStart w:id="870" w:name="_Toc226337254"/>
      <w:r/>
      <w:bookmarkStart w:id="871" w:name="_Toc164608672"/>
      <w:r/>
      <w:bookmarkStart w:id="872" w:name="_Toc265228396"/>
      <w:r/>
      <w:bookmarkStart w:id="873" w:name="_Toc164608827"/>
      <w:r/>
      <w:bookmarkStart w:id="874" w:name="_Toc226309802"/>
      <w:r/>
      <w:bookmarkStart w:id="875" w:name="_Toc226965831"/>
      <w:r/>
      <w:bookmarkStart w:id="876" w:name="_Toc195842923"/>
      <w:r/>
      <w:bookmarkStart w:id="877" w:name="_Toc305158900"/>
      <w:r/>
      <w:bookmarkStart w:id="878" w:name="_Toc305158826"/>
      <w:r>
        <w:rPr>
          <w:rFonts w:hint="eastAsia" w:ascii="宋体" w:hAnsi="宋体" w:eastAsia="宋体" w:cs="宋体"/>
          <w:b/>
          <w:sz w:val="36"/>
          <w:szCs w:val="36"/>
          <w:highlight w:val="none"/>
        </w:rPr>
        <w:t xml:space="preserve">开标一览表</w:t>
      </w:r>
      <w:bookmarkEnd w:id="868"/>
      <w:r/>
      <w:bookmarkEnd w:id="869"/>
      <w:r/>
      <w:bookmarkEnd w:id="870"/>
      <w:r/>
      <w:bookmarkEnd w:id="871"/>
      <w:r/>
      <w:bookmarkEnd w:id="872"/>
      <w:r/>
      <w:bookmarkEnd w:id="873"/>
      <w:r/>
      <w:bookmarkEnd w:id="874"/>
      <w:r/>
      <w:bookmarkEnd w:id="875"/>
      <w:r/>
      <w:bookmarkEnd w:id="876"/>
      <w:r/>
      <w:bookmarkEnd w:id="877"/>
      <w:r/>
      <w:bookmarkEnd w:id="878"/>
      <w:r/>
      <w:r/>
    </w:p>
    <w:p>
      <w:pPr>
        <w:jc w:val="left"/>
        <w:spacing w:line="360" w:lineRule="auto"/>
        <w:tabs>
          <w:tab w:val="left" w:pos="1800" w:leader="none"/>
          <w:tab w:val="left" w:pos="5580" w:leader="none"/>
        </w:tabs>
        <w:rPr>
          <w:rFonts w:hint="eastAsia" w:ascii="宋体" w:hAnsi="宋体" w:eastAsia="宋体" w:cs="宋体"/>
          <w:i/>
          <w:sz w:val="24"/>
          <w:highlight w:val="none"/>
        </w:rPr>
      </w:pPr>
      <w:r>
        <w:rPr>
          <w:rFonts w:hint="eastAsia" w:ascii="宋体" w:hAnsi="宋体" w:eastAsia="宋体" w:cs="宋体"/>
          <w:i/>
          <w:sz w:val="24"/>
          <w:highlight w:val="none"/>
        </w:rPr>
      </w:r>
      <w:r/>
    </w:p>
    <w:p>
      <w:pPr>
        <w:ind w:firstLine="240"/>
        <w:jc w:val="left"/>
        <w:spacing w:line="360" w:lineRule="auto"/>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项目编号/包号：_____________________    </w:t>
      </w:r>
      <w:r/>
    </w:p>
    <w:p>
      <w:pPr>
        <w:ind w:firstLine="240"/>
        <w:jc w:val="left"/>
        <w:spacing w:line="360" w:lineRule="auto"/>
        <w:tabs>
          <w:tab w:val="left" w:pos="1800" w:leader="none"/>
          <w:tab w:val="left" w:pos="5580"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项目名称：____________</w:t>
      </w:r>
      <w:r/>
    </w:p>
    <w:tbl>
      <w:tblPr>
        <w:tblStyle w:val="861"/>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jc w:val="center"/>
          <w:trHeight w:val="531"/>
        </w:trPr>
        <w:tc>
          <w:tcPr>
            <w:tcW w:w="412" w:type="pct"/>
            <w:vAlign w:val="center"/>
            <w:vMerge w:val="restart"/>
            <w:textDirection w:val="lrTb"/>
            <w:noWrap w:val="false"/>
          </w:tcPr>
          <w:p>
            <w:pPr>
              <w:jc w:val="center"/>
              <w:tabs>
                <w:tab w:val="left" w:pos="55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W w:w="2215" w:type="pct"/>
            <w:vAlign w:val="center"/>
            <w:vMerge w:val="restart"/>
            <w:textDirection w:val="lrTb"/>
            <w:noWrap w:val="false"/>
          </w:tcPr>
          <w:p>
            <w:pPr>
              <w:jc w:val="center"/>
              <w:tabs>
                <w:tab w:val="left" w:pos="55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投标人名称</w:t>
            </w:r>
            <w:r/>
          </w:p>
        </w:tc>
        <w:tc>
          <w:tcPr>
            <w:gridSpan w:val="2"/>
            <w:tcW w:w="2373" w:type="pct"/>
            <w:vAlign w:val="center"/>
            <w:textDirection w:val="lrTb"/>
            <w:noWrap w:val="false"/>
          </w:tcPr>
          <w:p>
            <w:pPr>
              <w:jc w:val="center"/>
              <w:tabs>
                <w:tab w:val="left" w:pos="55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投标报价（单位：元）</w:t>
            </w:r>
            <w:r/>
          </w:p>
        </w:tc>
      </w:tr>
      <w:tr>
        <w:trPr>
          <w:jc w:val="center"/>
          <w:trHeight w:val="674"/>
        </w:trPr>
        <w:tc>
          <w:tcPr>
            <w:tcW w:w="412" w:type="pct"/>
            <w:vAlign w:val="center"/>
            <w:vMerge w:val="continue"/>
            <w:textDirection w:val="lrTb"/>
            <w:noWrap w:val="false"/>
          </w:tcPr>
          <w:p>
            <w:pPr>
              <w:jc w:val="center"/>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2215" w:type="pct"/>
            <w:vAlign w:val="center"/>
            <w:vMerge w:val="continue"/>
            <w:textDirection w:val="lrTb"/>
            <w:noWrap w:val="false"/>
          </w:tcPr>
          <w:p>
            <w:pPr>
              <w:jc w:val="center"/>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1188" w:type="pct"/>
            <w:vAlign w:val="center"/>
            <w:textDirection w:val="lrTb"/>
            <w:noWrap w:val="false"/>
          </w:tcPr>
          <w:p>
            <w:pPr>
              <w:jc w:val="center"/>
              <w:tabs>
                <w:tab w:val="left" w:pos="55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大写</w:t>
            </w:r>
            <w:r/>
          </w:p>
        </w:tc>
        <w:tc>
          <w:tcPr>
            <w:tcW w:w="1182" w:type="pct"/>
            <w:vAlign w:val="center"/>
            <w:textDirection w:val="lrTb"/>
            <w:noWrap w:val="false"/>
          </w:tcPr>
          <w:p>
            <w:pPr>
              <w:jc w:val="center"/>
              <w:tabs>
                <w:tab w:val="left" w:pos="55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小写</w:t>
            </w:r>
            <w:r/>
          </w:p>
        </w:tc>
      </w:tr>
      <w:tr>
        <w:trPr>
          <w:jc w:val="center"/>
          <w:trHeight w:val="976"/>
        </w:trPr>
        <w:tc>
          <w:tcPr>
            <w:tcW w:w="412" w:type="pct"/>
            <w:vAlign w:val="center"/>
            <w:textDirection w:val="lrTb"/>
            <w:noWrap w:val="false"/>
          </w:tcPr>
          <w:p>
            <w:pPr>
              <w:jc w:val="center"/>
              <w:tabs>
                <w:tab w:val="left" w:pos="558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p>
        </w:tc>
        <w:tc>
          <w:tcPr>
            <w:tcW w:w="2215" w:type="pct"/>
            <w:vAlign w:val="center"/>
            <w:textDirection w:val="lrTb"/>
            <w:noWrap w:val="false"/>
          </w:tcPr>
          <w:p>
            <w:pPr>
              <w:jc w:val="center"/>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1188" w:type="pct"/>
            <w:vAlign w:val="center"/>
            <w:textDirection w:val="lrTb"/>
            <w:noWrap w:val="false"/>
          </w:tcPr>
          <w:p>
            <w:pPr>
              <w:jc w:val="center"/>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1182" w:type="pct"/>
            <w:vAlign w:val="center"/>
            <w:textDirection w:val="lrTb"/>
            <w:noWrap w:val="false"/>
          </w:tcPr>
          <w:p>
            <w:pPr>
              <w:jc w:val="center"/>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tc>
      </w:tr>
    </w:tbl>
    <w:p>
      <w:pPr>
        <w:jc w:val="left"/>
        <w:rPr>
          <w:rFonts w:hint="eastAsia" w:ascii="宋体" w:hAnsi="宋体" w:eastAsia="宋体" w:cs="宋体"/>
          <w:sz w:val="24"/>
          <w:highlight w:val="none"/>
        </w:rPr>
      </w:pPr>
      <w:r>
        <w:rPr>
          <w:rFonts w:hint="eastAsia" w:ascii="宋体" w:hAnsi="宋体" w:eastAsia="宋体" w:cs="宋体"/>
          <w:sz w:val="24"/>
          <w:highlight w:val="none"/>
        </w:rPr>
      </w:r>
      <w:r/>
    </w:p>
    <w:p>
      <w:pPr>
        <w:spacing w:before="25" w:after="25"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：____________</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p>
    <w:p>
      <w:pPr>
        <w:jc w:val="left"/>
        <w:widowControl/>
        <w:rPr>
          <w:rFonts w:hint="eastAsia" w:ascii="宋体" w:hAnsi="宋体" w:eastAsia="宋体" w:cs="宋体"/>
          <w:sz w:val="24"/>
          <w:szCs w:val="20"/>
          <w:highlight w:val="none"/>
        </w:rPr>
      </w:pPr>
      <w:r/>
      <w:bookmarkStart w:id="879" w:name="_Toc305158827"/>
      <w:r/>
      <w:bookmarkStart w:id="880" w:name="_Toc150480796"/>
      <w:r/>
      <w:bookmarkStart w:id="881" w:name="_Toc264969249"/>
      <w:r/>
      <w:bookmarkStart w:id="882" w:name="_Toc226309803"/>
      <w:r/>
      <w:bookmarkStart w:id="883" w:name="_Toc195842924"/>
      <w:r/>
      <w:bookmarkStart w:id="884" w:name="_Toc305158901"/>
      <w:r/>
      <w:bookmarkStart w:id="885" w:name="_Toc142311060"/>
      <w:r/>
      <w:bookmarkStart w:id="886" w:name="_Toc226965832"/>
      <w:r/>
      <w:bookmarkStart w:id="887" w:name="_Toc226337255"/>
      <w:r/>
      <w:bookmarkStart w:id="888" w:name="_Toc150774763"/>
      <w:r/>
      <w:bookmarkStart w:id="889" w:name="_Toc226965749"/>
      <w:r/>
      <w:bookmarkStart w:id="890" w:name="_Toc127151558"/>
      <w:r/>
      <w:bookmarkStart w:id="891" w:name="_Toc265228397"/>
      <w:r>
        <w:rPr>
          <w:rFonts w:hint="eastAsia" w:ascii="宋体" w:hAnsi="宋体" w:eastAsia="宋体" w:cs="宋体"/>
          <w:sz w:val="24"/>
          <w:szCs w:val="20"/>
          <w:highlight w:val="none"/>
        </w:rPr>
        <w:br w:type="page" w:clear="all"/>
      </w:r>
      <w:r/>
    </w:p>
    <w:p>
      <w:pPr>
        <w:spacing w:line="360" w:lineRule="auto"/>
        <w:rPr>
          <w:rFonts w:hint="eastAsia" w:ascii="宋体" w:hAnsi="宋体" w:eastAsia="宋体" w:cs="宋体"/>
          <w:sz w:val="36"/>
          <w:szCs w:val="36"/>
          <w:highlight w:val="none"/>
        </w:rPr>
        <w:outlineLvl w:val="2"/>
      </w:pPr>
      <w:r>
        <w:rPr>
          <w:rFonts w:hint="eastAsia" w:ascii="宋体" w:hAnsi="宋体" w:eastAsia="宋体" w:cs="宋体"/>
          <w:b/>
          <w:sz w:val="24"/>
          <w:szCs w:val="20"/>
          <w:highlight w:val="none"/>
          <w:lang w:val="en-US" w:eastAsia="zh-CN"/>
        </w:rPr>
        <w:t xml:space="preserve">6</w:t>
      </w:r>
      <w:r>
        <w:rPr>
          <w:rFonts w:hint="eastAsia" w:ascii="宋体" w:hAnsi="宋体" w:eastAsia="宋体" w:cs="宋体"/>
          <w:b/>
          <w:sz w:val="24"/>
          <w:szCs w:val="20"/>
          <w:highlight w:val="none"/>
        </w:rPr>
        <w:t xml:space="preserve">  投标分项报价表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rFonts w:hint="eastAsia" w:ascii="宋体" w:hAnsi="宋体" w:eastAsia="宋体" w:cs="宋体"/>
          <w:b/>
          <w:sz w:val="24"/>
          <w:szCs w:val="20"/>
          <w:highlight w:val="none"/>
        </w:rPr>
        <w:t xml:space="preserve">（实质性格式）</w:t>
      </w:r>
      <w:r/>
    </w:p>
    <w:p>
      <w:pPr>
        <w:jc w:val="center"/>
        <w:rPr>
          <w:rFonts w:hint="eastAsia" w:ascii="宋体" w:hAnsi="宋体" w:eastAsia="宋体" w:cs="宋体"/>
          <w:b/>
          <w:i/>
          <w:sz w:val="32"/>
          <w:szCs w:val="32"/>
          <w:highlight w:val="none"/>
          <w:u w:val="single"/>
        </w:rPr>
      </w:pPr>
      <w:r>
        <w:rPr>
          <w:rFonts w:hint="eastAsia" w:ascii="宋体" w:hAnsi="宋体" w:eastAsia="宋体" w:cs="宋体"/>
          <w:b/>
          <w:i/>
          <w:sz w:val="32"/>
          <w:szCs w:val="32"/>
          <w:highlight w:val="none"/>
          <w:u w:val="single"/>
        </w:rPr>
        <w:t xml:space="preserve">投标分项报价表</w:t>
      </w:r>
      <w:r/>
    </w:p>
    <w:tbl>
      <w:tblPr>
        <w:tblStyle w:val="861"/>
        <w:tblW w:w="5261" w:type="pct"/>
        <w:jc w:val="center"/>
        <w:tblLayout w:type="autofit"/>
        <w:tblCellMar>
          <w:left w:w="108" w:type="dxa"/>
          <w:top w:w="0" w:type="dxa"/>
          <w:right w:w="108" w:type="dxa"/>
          <w:bottom w:w="0" w:type="dxa"/>
        </w:tblCellMar>
        <w:tblLook w:val="04A0" w:firstRow="1" w:lastRow="0" w:firstColumn="1" w:lastColumn="0" w:noHBand="0" w:noVBand="1"/>
      </w:tblPr>
      <w:tblGrid>
        <w:gridCol w:w="1126"/>
        <w:gridCol w:w="692"/>
        <w:gridCol w:w="805"/>
        <w:gridCol w:w="864"/>
        <w:gridCol w:w="606"/>
        <w:gridCol w:w="862"/>
        <w:gridCol w:w="489"/>
        <w:gridCol w:w="1437"/>
        <w:gridCol w:w="496"/>
        <w:gridCol w:w="1335"/>
        <w:gridCol w:w="1061"/>
      </w:tblGrid>
      <w:tr>
        <w:trPr>
          <w:jc w:val="center"/>
          <w:trHeight w:val="330"/>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分项报价表一</w:t>
            </w:r>
            <w:r/>
          </w:p>
        </w:tc>
      </w:tr>
      <w:tr>
        <w:trPr>
          <w:cantSplit/>
          <w:jc w:val="center"/>
          <w:trHeight w:val="330"/>
        </w:trPr>
        <w:tc>
          <w:tcPr>
            <w:tcBorders>
              <w:top w:val="single" w:color="auto" w:sz="4" w:space="0"/>
              <w:left w:val="single" w:color="auto" w:sz="4" w:space="0"/>
              <w:bottom w:val="single" w:color="auto" w:sz="4" w:space="0"/>
              <w:right w:val="single" w:color="auto" w:sz="4" w:space="0"/>
            </w:tcBorders>
            <w:tcW w:w="576"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医疗机构名称（简称）</w:t>
            </w:r>
            <w:r/>
          </w:p>
        </w:tc>
        <w:tc>
          <w:tcPr>
            <w:gridSpan w:val="5"/>
            <w:tcBorders>
              <w:top w:val="single" w:color="auto" w:sz="4" w:space="0"/>
              <w:left w:val="single" w:color="auto" w:sz="4" w:space="0"/>
              <w:bottom w:val="single" w:color="auto" w:sz="4" w:space="0"/>
              <w:right w:val="single" w:color="auto" w:sz="4" w:space="0"/>
            </w:tcBorders>
            <w:tcW w:w="1958"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财产综合险</w:t>
            </w:r>
            <w:r/>
          </w:p>
        </w:tc>
        <w:tc>
          <w:tcPr>
            <w:gridSpan w:val="4"/>
            <w:tcBorders>
              <w:top w:val="single" w:color="auto" w:sz="4" w:space="0"/>
              <w:left w:val="single" w:color="auto" w:sz="4" w:space="0"/>
              <w:bottom w:val="single" w:color="auto" w:sz="4" w:space="0"/>
              <w:right w:val="single" w:color="auto" w:sz="4" w:space="0"/>
            </w:tcBorders>
            <w:tcW w:w="192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机器设备损坏险</w:t>
            </w:r>
            <w:r/>
          </w:p>
        </w:tc>
        <w:tc>
          <w:tcPr>
            <w:tcBorders>
              <w:top w:val="single" w:color="auto" w:sz="4" w:space="0"/>
              <w:left w:val="single" w:color="auto" w:sz="4" w:space="0"/>
              <w:bottom w:val="single" w:color="auto" w:sz="4" w:space="0"/>
              <w:right w:val="single" w:color="auto" w:sz="4" w:space="0"/>
            </w:tcBorders>
            <w:tcW w:w="542" w:type="pct"/>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保费合计（元/年）</w:t>
            </w:r>
            <w:r/>
          </w:p>
        </w:tc>
      </w:tr>
      <w:tr>
        <w:trPr>
          <w:cantSplit/>
          <w:jc w:val="center"/>
          <w:trHeight w:val="330"/>
        </w:trPr>
        <w:tc>
          <w:tcPr>
            <w:tcBorders>
              <w:top w:val="single" w:color="auto" w:sz="4" w:space="0"/>
              <w:left w:val="single" w:color="auto" w:sz="4" w:space="0"/>
              <w:bottom w:val="single" w:color="auto" w:sz="4" w:space="0"/>
              <w:right w:val="single" w:color="auto" w:sz="4" w:space="0"/>
            </w:tcBorders>
            <w:tcW w:w="576"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保险金额（万元）</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费率</w:t>
            </w:r>
            <w:r/>
          </w:p>
        </w:tc>
        <w:tc>
          <w:tcPr>
            <w:gridSpan w:val="2"/>
            <w:tcBorders>
              <w:top w:val="single" w:color="auto" w:sz="4" w:space="0"/>
              <w:left w:val="single" w:color="auto" w:sz="4" w:space="0"/>
              <w:bottom w:val="single" w:color="auto" w:sz="4" w:space="0"/>
              <w:right w:val="single" w:color="auto" w:sz="4" w:space="0"/>
            </w:tcBorders>
            <w:tcW w:w="750"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保费（元/年）</w:t>
            </w:r>
            <w:r/>
          </w:p>
        </w:tc>
        <w:tc>
          <w:tcPr>
            <w:gridSpan w:val="2"/>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保险金额（万元）</w:t>
            </w:r>
            <w:r/>
          </w:p>
        </w:tc>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费率</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保费（元/年）</w:t>
            </w:r>
            <w:r/>
          </w:p>
        </w:tc>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330"/>
        </w:trPr>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widowControl/>
              <w:rPr>
                <w:rFonts w:hint="eastAsia" w:ascii="宋体" w:hAnsi="宋体" w:eastAsia="宋体" w:cs="宋体"/>
                <w:color w:val="000000"/>
                <w:sz w:val="24"/>
                <w:szCs w:val="24"/>
                <w:highlight w:val="none"/>
              </w:rPr>
            </w:pPr>
            <w:r/>
            <w:bookmarkStart w:id="918" w:name="_GoBack"/>
            <w:r>
              <w:rPr>
                <w:rFonts w:hint="eastAsia" w:ascii="宋体" w:hAnsi="宋体" w:cs="宋体"/>
                <w:color w:val="000000"/>
                <w:sz w:val="24"/>
                <w:szCs w:val="24"/>
                <w:highlight w:val="none"/>
                <w:lang w:val="en-US" w:eastAsia="zh-CN"/>
              </w:rPr>
              <w:t xml:space="preserve">二院</w:t>
            </w:r>
            <w:r/>
          </w:p>
        </w:tc>
        <w:tc>
          <w:tcPr>
            <w:gridSpan w:val="2"/>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395866.11</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5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141993.03</w:t>
            </w:r>
            <w:r/>
          </w:p>
        </w:tc>
        <w:tc>
          <w:tcPr>
            <w:tcBorders>
              <w:top w:val="single" w:color="auto" w:sz="4" w:space="0"/>
              <w:left w:val="single" w:color="auto" w:sz="4" w:space="0"/>
              <w:bottom w:val="single" w:color="auto" w:sz="4" w:space="0"/>
              <w:right w:val="single" w:color="auto" w:sz="4" w:space="0"/>
            </w:tcBorders>
            <w:tcW w:w="254" w:type="pct"/>
            <w:vAlign w:val="center"/>
            <w:textDirection w:val="lrTb"/>
            <w:noWrap w:val="false"/>
          </w:tcPr>
          <w:p>
            <w:pPr>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bookmarkEnd w:id="918"/>
            <w:r/>
            <w:r/>
          </w:p>
        </w:tc>
      </w:tr>
      <w:tr>
        <w:trPr>
          <w:jc w:val="center"/>
          <w:trHeight w:val="315"/>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auto"/>
              </w:rPr>
              <w:t xml:space="preserve">分项报价表二（医责险）</w:t>
            </w:r>
            <w:r/>
          </w:p>
        </w:tc>
      </w:tr>
      <w:tr>
        <w:trPr>
          <w:cantSplit/>
          <w:jc w:val="center"/>
          <w:trHeight w:val="315"/>
        </w:trPr>
        <w:tc>
          <w:tcPr>
            <w:gridSpan w:val="2"/>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医疗机构名称（简称）</w:t>
            </w:r>
            <w:r/>
          </w:p>
        </w:tc>
        <w:tc>
          <w:tcPr>
            <w:gridSpan w:val="3"/>
            <w:tcBorders>
              <w:top w:val="single" w:color="auto" w:sz="4" w:space="0"/>
              <w:left w:val="single" w:color="auto" w:sz="4" w:space="0"/>
              <w:bottom w:val="single" w:color="auto" w:sz="4" w:space="0"/>
              <w:right w:val="single" w:color="auto" w:sz="4" w:space="0"/>
            </w:tcBorders>
            <w:tcW w:w="1163"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年度累计赔偿限额（万元/年）</w:t>
            </w:r>
            <w:r/>
          </w:p>
        </w:tc>
        <w:tc>
          <w:tcPr>
            <w:gridSpan w:val="2"/>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both"/>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每人每次限额（万元/人/次）</w:t>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both"/>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最高限价（万元/年）</w:t>
            </w:r>
            <w:r/>
          </w:p>
        </w:tc>
        <w:tc>
          <w:tcPr>
            <w:gridSpan w:val="3"/>
            <w:tcBorders>
              <w:top w:val="single" w:color="auto" w:sz="4" w:space="0"/>
              <w:left w:val="single" w:color="auto" w:sz="4" w:space="0"/>
              <w:bottom w:val="single" w:color="auto" w:sz="4" w:space="0"/>
              <w:right w:val="single" w:color="auto" w:sz="4" w:space="0"/>
            </w:tcBorders>
            <w:tcW w:w="1479"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报价（元/年）</w:t>
            </w:r>
            <w:r/>
          </w:p>
        </w:tc>
      </w:tr>
      <w:tr>
        <w:trPr>
          <w:jc w:val="center"/>
          <w:trHeight w:val="315"/>
        </w:trPr>
        <w:tc>
          <w:tcPr>
            <w:gridSpan w:val="2"/>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二院</w:t>
            </w:r>
            <w:r/>
          </w:p>
        </w:tc>
        <w:tc>
          <w:tcPr>
            <w:gridSpan w:val="3"/>
            <w:tcBorders>
              <w:top w:val="single" w:color="auto" w:sz="4" w:space="0"/>
              <w:left w:val="single" w:color="auto" w:sz="4" w:space="0"/>
              <w:bottom w:val="single" w:color="auto" w:sz="4" w:space="0"/>
              <w:right w:val="single" w:color="auto" w:sz="4" w:space="0"/>
            </w:tcBorders>
            <w:tcW w:w="1163"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451.5</w:t>
            </w:r>
            <w:r/>
          </w:p>
        </w:tc>
        <w:tc>
          <w:tcPr>
            <w:gridSpan w:val="2"/>
            <w:tcBorders>
              <w:top w:val="single" w:color="auto" w:sz="4" w:space="0"/>
              <w:left w:val="single" w:color="auto" w:sz="4" w:space="0"/>
              <w:bottom w:val="single" w:color="auto" w:sz="4" w:space="0"/>
              <w:right w:val="single" w:color="auto" w:sz="4" w:space="0"/>
            </w:tcBorders>
            <w:tcW w:w="691" w:type="pct"/>
            <w:vAlign w:val="bottom"/>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40</w:t>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430</w:t>
            </w:r>
            <w:r/>
          </w:p>
        </w:tc>
        <w:tc>
          <w:tcPr>
            <w:gridSpan w:val="3"/>
            <w:tcBorders>
              <w:top w:val="single" w:color="auto" w:sz="4" w:space="0"/>
              <w:left w:val="single" w:color="auto" w:sz="4" w:space="0"/>
              <w:bottom w:val="single" w:color="auto" w:sz="4" w:space="0"/>
              <w:right w:val="single" w:color="auto" w:sz="4" w:space="0"/>
            </w:tcBorders>
            <w:tcW w:w="1479"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15"/>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分项报价表三（附加承诺保障）</w:t>
            </w:r>
            <w:r/>
          </w:p>
        </w:tc>
      </w:tr>
      <w:tr>
        <w:trPr>
          <w:jc w:val="center"/>
          <w:trHeight w:val="315"/>
        </w:trPr>
        <w:tc>
          <w:tcPr>
            <w:gridSpan w:val="5"/>
            <w:tcBorders>
              <w:top w:val="single" w:color="auto" w:sz="4" w:space="0"/>
              <w:left w:val="single" w:color="auto" w:sz="4" w:space="0"/>
              <w:bottom w:val="single" w:color="auto" w:sz="4" w:space="0"/>
              <w:right w:val="single" w:color="auto" w:sz="4" w:space="0"/>
            </w:tcBorders>
            <w:tcW w:w="209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险种</w:t>
            </w:r>
            <w:r/>
          </w:p>
        </w:tc>
        <w:tc>
          <w:tcPr>
            <w:gridSpan w:val="3"/>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both"/>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限额（万元/人/次）</w:t>
            </w:r>
            <w:r/>
          </w:p>
        </w:tc>
        <w:tc>
          <w:tcPr>
            <w:gridSpan w:val="3"/>
            <w:tcBorders>
              <w:top w:val="single" w:color="auto" w:sz="4" w:space="0"/>
              <w:left w:val="single" w:color="auto" w:sz="4" w:space="0"/>
              <w:bottom w:val="single" w:color="auto" w:sz="4" w:space="0"/>
              <w:right w:val="single" w:color="auto" w:sz="4" w:space="0"/>
            </w:tcBorders>
            <w:tcW w:w="1479" w:type="pct"/>
            <w:vAlign w:val="center"/>
            <w:textDirection w:val="lrTb"/>
            <w:noWrap/>
          </w:tcPr>
          <w:p>
            <w:pPr>
              <w:jc w:val="both"/>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累计限额（万元/年）</w:t>
            </w:r>
            <w:r/>
          </w:p>
        </w:tc>
      </w:tr>
      <w:tr>
        <w:trPr>
          <w:jc w:val="center"/>
          <w:trHeight w:val="315"/>
        </w:trPr>
        <w:tc>
          <w:tcPr>
            <w:gridSpan w:val="5"/>
            <w:tcBorders>
              <w:top w:val="single" w:color="auto" w:sz="4" w:space="0"/>
              <w:left w:val="single" w:color="auto" w:sz="4" w:space="0"/>
              <w:bottom w:val="single" w:color="auto" w:sz="4" w:space="0"/>
              <w:right w:val="single" w:color="auto" w:sz="4" w:space="0"/>
            </w:tcBorders>
            <w:tcW w:w="209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医疗机构医责险附加医疗机构场所责任保险限额</w:t>
            </w:r>
            <w:r/>
          </w:p>
        </w:tc>
        <w:tc>
          <w:tcPr>
            <w:gridSpan w:val="3"/>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40</w:t>
            </w:r>
            <w:r/>
          </w:p>
        </w:tc>
        <w:tc>
          <w:tcPr>
            <w:gridSpan w:val="3"/>
            <w:tcBorders>
              <w:top w:val="single" w:color="auto" w:sz="4" w:space="0"/>
              <w:left w:val="single" w:color="auto" w:sz="4" w:space="0"/>
              <w:bottom w:val="single" w:color="auto" w:sz="4" w:space="0"/>
              <w:right w:val="single" w:color="auto" w:sz="4" w:space="0"/>
            </w:tcBorders>
            <w:tcW w:w="1479" w:type="pct"/>
            <w:vAlign w:val="center"/>
            <w:textDirection w:val="lrTb"/>
            <w:noWrap/>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200</w:t>
            </w:r>
            <w:r/>
          </w:p>
        </w:tc>
      </w:tr>
      <w:tr>
        <w:trPr>
          <w:jc w:val="center"/>
          <w:trHeight w:val="315"/>
        </w:trPr>
        <w:tc>
          <w:tcPr>
            <w:gridSpan w:val="5"/>
            <w:tcBorders>
              <w:top w:val="single" w:color="auto" w:sz="4" w:space="0"/>
              <w:left w:val="single" w:color="auto" w:sz="4" w:space="0"/>
              <w:bottom w:val="single" w:color="auto" w:sz="4" w:space="0"/>
              <w:right w:val="single" w:color="auto" w:sz="4" w:space="0"/>
            </w:tcBorders>
            <w:tcW w:w="2094"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医疗机构医责险附加医务人员遭受伤害责任保险死亡伤残限额</w:t>
            </w:r>
            <w:r/>
          </w:p>
        </w:tc>
        <w:tc>
          <w:tcPr>
            <w:gridSpan w:val="3"/>
            <w:tcBorders>
              <w:top w:val="single" w:color="auto" w:sz="4" w:space="0"/>
              <w:left w:val="single" w:color="auto" w:sz="4" w:space="0"/>
              <w:bottom w:val="single" w:color="auto" w:sz="4" w:space="0"/>
              <w:right w:val="single" w:color="auto" w:sz="4" w:space="0"/>
            </w:tcBorders>
            <w:tcW w:w="1426"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50</w:t>
            </w:r>
            <w:r/>
          </w:p>
        </w:tc>
        <w:tc>
          <w:tcPr>
            <w:gridSpan w:val="3"/>
            <w:tcBorders>
              <w:top w:val="single" w:color="auto" w:sz="4" w:space="0"/>
              <w:left w:val="single" w:color="auto" w:sz="4" w:space="0"/>
              <w:bottom w:val="single" w:color="auto" w:sz="4" w:space="0"/>
              <w:right w:val="single" w:color="auto" w:sz="4" w:space="0"/>
            </w:tcBorders>
            <w:tcW w:w="1479" w:type="pct"/>
            <w:vAlign w:val="center"/>
            <w:textDirection w:val="lrTb"/>
            <w:noWrap/>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500</w:t>
            </w:r>
            <w:r/>
          </w:p>
        </w:tc>
      </w:tr>
    </w:tbl>
    <w:p>
      <w:pPr>
        <w:jc w:val="both"/>
        <w:spacing w:line="260" w:lineRule="exact"/>
        <w:rPr>
          <w:rFonts w:hint="eastAsia" w:ascii="宋体" w:hAnsi="宋体" w:eastAsia="宋体" w:cs="宋体"/>
          <w:sz w:val="36"/>
          <w:szCs w:val="36"/>
          <w:highlight w:val="yellow"/>
        </w:rPr>
      </w:pPr>
      <w:r>
        <w:rPr>
          <w:rFonts w:hint="eastAsia" w:ascii="宋体" w:hAnsi="宋体" w:eastAsia="宋体" w:cs="宋体"/>
          <w:sz w:val="36"/>
          <w:szCs w:val="36"/>
          <w:highlight w:val="yellow"/>
        </w:rPr>
      </w:r>
      <w:r/>
    </w:p>
    <w:p>
      <w:pPr>
        <w:pStyle w:val="1268"/>
        <w:ind w:left="0"/>
        <w:jc w:val="center"/>
        <w:spacing w:line="360" w:lineRule="auto"/>
        <w:rPr>
          <w:rFonts w:hint="eastAsia" w:ascii="宋体" w:hAnsi="宋体" w:eastAsia="宋体" w:cs="宋体"/>
          <w:color w:val="000000"/>
          <w:highlight w:val="none"/>
          <w:lang w:eastAsia="zh-CN"/>
        </w:rPr>
        <w:outlineLvl w:val="1"/>
      </w:pPr>
      <w:r>
        <w:rPr>
          <w:rFonts w:hint="eastAsia" w:ascii="宋体" w:hAnsi="宋体" w:eastAsia="宋体" w:cs="宋体"/>
          <w:b/>
          <w:i/>
          <w:color w:val="000000"/>
          <w:sz w:val="32"/>
          <w:szCs w:val="32"/>
          <w:highlight w:val="none"/>
          <w:u w:val="single"/>
          <w:lang w:val="en-US" w:eastAsia="zh-CN"/>
        </w:rPr>
        <w:t xml:space="preserve">投标</w:t>
      </w:r>
      <w:r>
        <w:rPr>
          <w:rFonts w:hint="eastAsia" w:ascii="宋体" w:hAnsi="宋体" w:eastAsia="宋体" w:cs="宋体"/>
          <w:b/>
          <w:i/>
          <w:color w:val="000000"/>
          <w:sz w:val="32"/>
          <w:szCs w:val="32"/>
          <w:highlight w:val="none"/>
          <w:u w:val="single"/>
          <w:lang w:eastAsia="zh-CN"/>
        </w:rPr>
        <w:t xml:space="preserve">报价表汇总</w:t>
      </w:r>
      <w:r/>
    </w:p>
    <w:tbl>
      <w:tblPr>
        <w:tblStyle w:val="861"/>
        <w:tblW w:w="5023" w:type="pct"/>
        <w:jc w:val="center"/>
        <w:tblLayout w:type="autofit"/>
        <w:tblCellMar>
          <w:left w:w="108" w:type="dxa"/>
          <w:top w:w="0" w:type="dxa"/>
          <w:right w:w="108" w:type="dxa"/>
          <w:bottom w:w="0" w:type="dxa"/>
        </w:tblCellMar>
        <w:tblLook w:val="04A0" w:firstRow="1" w:lastRow="0" w:firstColumn="1" w:lastColumn="0" w:noHBand="0" w:noVBand="1"/>
      </w:tblPr>
      <w:tblGrid>
        <w:gridCol w:w="3218"/>
        <w:gridCol w:w="3397"/>
        <w:gridCol w:w="2716"/>
      </w:tblGrid>
      <w:tr>
        <w:trPr>
          <w:jc w:val="center"/>
          <w:trHeight w:val="1340"/>
        </w:trPr>
        <w:tc>
          <w:tcPr>
            <w:tcBorders>
              <w:top w:val="single" w:color="000000" w:sz="4" w:space="0"/>
              <w:left w:val="single" w:color="000000" w:sz="4" w:space="0"/>
              <w:bottom w:val="single" w:color="000000" w:sz="4" w:space="0"/>
              <w:right w:val="single" w:color="000000" w:sz="4" w:space="0"/>
            </w:tcBorders>
            <w:tcW w:w="1724" w:type="pct"/>
            <w:vAlign w:val="center"/>
            <w:textDirection w:val="lrTb"/>
            <w:noWrap/>
          </w:tcPr>
          <w:p>
            <w:pPr>
              <w:jc w:val="center"/>
              <w:widowControl/>
              <w:rPr>
                <w:rFonts w:hint="eastAsia" w:ascii="宋体" w:hAnsi="宋体" w:eastAsia="宋体" w:cs="宋体"/>
                <w:b/>
                <w:bCs/>
                <w:color w:val="000000"/>
                <w:highlight w:val="none"/>
              </w:rPr>
            </w:pPr>
            <w:r>
              <w:rPr>
                <w:rFonts w:hint="eastAsia" w:ascii="宋体" w:hAnsi="宋体" w:eastAsia="宋体" w:cs="宋体"/>
                <w:b/>
                <w:bCs/>
                <w:color w:val="000000"/>
                <w:highlight w:val="none"/>
                <w:lang w:bidi="ar"/>
              </w:rPr>
              <w:t xml:space="preserve">医疗机构名称</w:t>
            </w:r>
            <w:r/>
          </w:p>
        </w:tc>
        <w:tc>
          <w:tcPr>
            <w:tcBorders>
              <w:top w:val="single" w:color="000000" w:sz="4" w:space="0"/>
              <w:left w:val="single" w:color="000000" w:sz="4" w:space="0"/>
              <w:bottom w:val="single" w:color="000000" w:sz="4" w:space="0"/>
              <w:right w:val="single" w:color="000000" w:sz="4" w:space="0"/>
            </w:tcBorders>
            <w:tcW w:w="1820" w:type="pct"/>
            <w:vAlign w:val="center"/>
            <w:textDirection w:val="lrTb"/>
            <w:noWrap w:val="false"/>
          </w:tcPr>
          <w:p>
            <w:pPr>
              <w:jc w:val="center"/>
              <w:widowControl/>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bidi="ar"/>
              </w:rPr>
              <w:t xml:space="preserve">每年：</w:t>
            </w:r>
            <w:r>
              <w:rPr>
                <w:rFonts w:hint="eastAsia" w:ascii="宋体" w:hAnsi="宋体" w:eastAsia="宋体" w:cs="宋体"/>
                <w:b/>
                <w:bCs/>
                <w:color w:val="000000"/>
                <w:highlight w:val="none"/>
                <w:lang w:bidi="ar"/>
              </w:rPr>
              <w:t xml:space="preserve">医疗机构报价（元）</w:t>
            </w:r>
            <w:r/>
          </w:p>
        </w:tc>
        <w:tc>
          <w:tcPr>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jc w:val="center"/>
              <w:widowControl/>
              <w:rPr>
                <w:rFonts w:hint="eastAsia" w:ascii="宋体" w:hAnsi="宋体" w:eastAsia="宋体" w:cs="宋体"/>
                <w:b/>
                <w:bCs/>
                <w:color w:val="000000"/>
                <w:highlight w:val="none"/>
                <w:lang w:bidi="ar"/>
              </w:rPr>
            </w:pPr>
            <w:r>
              <w:rPr>
                <w:rFonts w:hint="eastAsia" w:ascii="宋体" w:hAnsi="宋体" w:eastAsia="宋体" w:cs="宋体"/>
                <w:b/>
                <w:bCs/>
                <w:color w:val="000000"/>
                <w:highlight w:val="none"/>
                <w:lang w:bidi="ar"/>
              </w:rPr>
              <w:t xml:space="preserve">医疗机构预算/最高限价（</w:t>
            </w:r>
            <w:r>
              <w:rPr>
                <w:rFonts w:hint="eastAsia" w:ascii="宋体" w:hAnsi="宋体" w:eastAsia="宋体" w:cs="宋体"/>
                <w:b/>
                <w:bCs/>
                <w:color w:val="000000"/>
                <w:highlight w:val="none"/>
                <w:lang w:val="en-US" w:eastAsia="zh-CN" w:bidi="ar"/>
              </w:rPr>
              <w:t xml:space="preserve">元</w:t>
            </w:r>
            <w:r>
              <w:rPr>
                <w:rFonts w:hint="eastAsia" w:ascii="宋体" w:hAnsi="宋体" w:eastAsia="宋体" w:cs="宋体"/>
                <w:b/>
                <w:bCs/>
                <w:color w:val="000000"/>
                <w:highlight w:val="none"/>
                <w:lang w:bidi="ar"/>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724" w:type="pct"/>
            <w:vAlign w:val="center"/>
            <w:textDirection w:val="lrTb"/>
            <w:noWrap w:val="false"/>
          </w:tcPr>
          <w:p>
            <w:pP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bidi="ar"/>
              </w:rPr>
              <w:t xml:space="preserve">常州市第二人民医院</w:t>
            </w:r>
            <w:r/>
          </w:p>
        </w:tc>
        <w:tc>
          <w:tcPr>
            <w:tcBorders>
              <w:top w:val="single" w:color="000000" w:sz="4" w:space="0"/>
              <w:left w:val="single" w:color="000000" w:sz="4" w:space="0"/>
              <w:bottom w:val="single" w:color="000000" w:sz="4" w:space="0"/>
              <w:right w:val="single" w:color="000000" w:sz="4" w:space="0"/>
            </w:tcBorders>
            <w:tcW w:w="1820" w:type="pct"/>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55"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5000000</w:t>
            </w:r>
            <w:r/>
          </w:p>
        </w:tc>
      </w:tr>
    </w:tbl>
    <w:p>
      <w:pPr>
        <w:pStyle w:val="1268"/>
        <w:ind w:left="0" w:firstLine="0"/>
        <w:spacing w:line="360" w:lineRule="auto"/>
        <w:rPr>
          <w:rFonts w:hint="eastAsia" w:ascii="宋体" w:hAnsi="宋体" w:eastAsia="宋体" w:cs="宋体"/>
          <w:highlight w:val="none"/>
        </w:rPr>
        <w:outlineLvl w:val="1"/>
      </w:pPr>
      <w:r>
        <w:rPr>
          <w:rFonts w:hint="eastAsia" w:ascii="宋体" w:hAnsi="宋体" w:eastAsia="宋体" w:cs="宋体"/>
          <w:highlight w:val="none"/>
        </w:rPr>
      </w:r>
      <w:r/>
    </w:p>
    <w:p>
      <w:pPr>
        <w:jc w:val="left"/>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rPr>
        <w:t xml:space="preserve">注：</w:t>
      </w:r>
      <w:r>
        <w:rPr>
          <w:rFonts w:hint="eastAsia" w:ascii="宋体" w:hAnsi="宋体" w:eastAsia="宋体" w:cs="宋体"/>
          <w:b/>
          <w:bCs/>
          <w:sz w:val="24"/>
          <w:szCs w:val="24"/>
          <w:highlight w:val="none"/>
          <w:lang w:val="en-US" w:eastAsia="zh-CN"/>
        </w:rPr>
        <w:t xml:space="preserve">1.医疗责任险保费最高限价</w:t>
      </w:r>
      <w:r>
        <w:rPr>
          <w:rFonts w:hint="eastAsia" w:ascii="宋体" w:hAnsi="宋体" w:cs="宋体"/>
          <w:b/>
          <w:bCs/>
          <w:sz w:val="24"/>
          <w:szCs w:val="24"/>
          <w:highlight w:val="none"/>
          <w:lang w:val="en-US" w:eastAsia="zh-CN"/>
        </w:rPr>
        <w:t xml:space="preserve">430</w:t>
      </w:r>
      <w:r>
        <w:rPr>
          <w:rFonts w:hint="eastAsia" w:ascii="宋体" w:hAnsi="宋体" w:eastAsia="宋体" w:cs="宋体"/>
          <w:b/>
          <w:bCs/>
          <w:sz w:val="24"/>
          <w:szCs w:val="24"/>
          <w:highlight w:val="none"/>
          <w:lang w:val="en-US" w:eastAsia="zh-CN"/>
        </w:rPr>
        <w:t xml:space="preserve">万元</w:t>
      </w:r>
      <w:r>
        <w:rPr>
          <w:rFonts w:hint="eastAsia" w:ascii="宋体" w:hAnsi="宋体" w:cs="宋体"/>
          <w:b/>
          <w:bCs/>
          <w:sz w:val="24"/>
          <w:szCs w:val="24"/>
          <w:highlight w:val="none"/>
          <w:lang w:val="en-US" w:eastAsia="zh-CN"/>
        </w:rPr>
        <w:t xml:space="preserve">/年</w:t>
      </w:r>
      <w:r>
        <w:rPr>
          <w:rFonts w:hint="eastAsia" w:ascii="宋体" w:hAnsi="宋体" w:eastAsia="宋体" w:cs="宋体"/>
          <w:b/>
          <w:bCs/>
          <w:sz w:val="24"/>
          <w:szCs w:val="24"/>
          <w:highlight w:val="none"/>
          <w:lang w:val="en-US" w:eastAsia="zh-CN"/>
        </w:rPr>
        <w:t xml:space="preserve">；</w:t>
      </w:r>
      <w:r/>
    </w:p>
    <w:p>
      <w:pPr>
        <w:ind w:firstLine="482"/>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财产险、机损险保费</w:t>
      </w:r>
      <w:r>
        <w:rPr>
          <w:rFonts w:hint="eastAsia" w:ascii="宋体" w:hAnsi="宋体" w:cs="宋体"/>
          <w:b/>
          <w:bCs/>
          <w:sz w:val="24"/>
          <w:szCs w:val="24"/>
          <w:highlight w:val="none"/>
          <w:lang w:val="en-US" w:eastAsia="zh-CN"/>
        </w:rPr>
        <w:t xml:space="preserve">每年的</w:t>
      </w:r>
      <w:r>
        <w:rPr>
          <w:rFonts w:hint="eastAsia" w:ascii="宋体" w:hAnsi="宋体" w:eastAsia="宋体" w:cs="宋体"/>
          <w:b/>
          <w:bCs/>
          <w:sz w:val="24"/>
          <w:szCs w:val="24"/>
          <w:highlight w:val="none"/>
          <w:lang w:val="en-US" w:eastAsia="zh-CN"/>
        </w:rPr>
        <w:t xml:space="preserve">最高限价=医疗机构保费</w:t>
      </w:r>
      <w:r>
        <w:rPr>
          <w:rFonts w:hint="eastAsia" w:ascii="宋体" w:hAnsi="宋体" w:cs="宋体"/>
          <w:b/>
          <w:bCs/>
          <w:sz w:val="24"/>
          <w:szCs w:val="24"/>
          <w:highlight w:val="none"/>
          <w:lang w:val="en-US" w:eastAsia="zh-CN"/>
        </w:rPr>
        <w:t xml:space="preserve">每年的</w:t>
      </w:r>
      <w:r>
        <w:rPr>
          <w:rFonts w:hint="eastAsia" w:ascii="宋体" w:hAnsi="宋体" w:eastAsia="宋体" w:cs="宋体"/>
          <w:b/>
          <w:bCs/>
          <w:sz w:val="24"/>
          <w:szCs w:val="24"/>
          <w:highlight w:val="none"/>
          <w:lang w:val="en-US" w:eastAsia="zh-CN"/>
        </w:rPr>
        <w:t xml:space="preserve">最高限价-医疗责任险保费</w:t>
      </w:r>
      <w:r>
        <w:rPr>
          <w:rFonts w:hint="eastAsia" w:ascii="宋体" w:hAnsi="宋体" w:cs="宋体"/>
          <w:b/>
          <w:bCs/>
          <w:sz w:val="24"/>
          <w:szCs w:val="24"/>
          <w:highlight w:val="none"/>
          <w:lang w:val="en-US" w:eastAsia="zh-CN"/>
        </w:rPr>
        <w:t xml:space="preserve">每年的</w:t>
      </w:r>
      <w:r>
        <w:rPr>
          <w:rFonts w:hint="eastAsia" w:ascii="宋体" w:hAnsi="宋体" w:eastAsia="宋体" w:cs="宋体"/>
          <w:b/>
          <w:bCs/>
          <w:sz w:val="24"/>
          <w:szCs w:val="24"/>
          <w:highlight w:val="none"/>
          <w:lang w:val="en-US" w:eastAsia="zh-CN"/>
        </w:rPr>
        <w:t xml:space="preserve">最高限价。</w:t>
      </w:r>
      <w:r/>
    </w:p>
    <w:p>
      <w:pPr>
        <w:ind w:firstLine="482"/>
        <w:jc w:val="left"/>
        <w:rPr>
          <w:rFonts w:hint="eastAsia" w:ascii="宋体" w:hAnsi="宋体" w:eastAsia="宋体" w:cs="宋体"/>
          <w:b/>
          <w:bCs/>
          <w:i/>
          <w:iCs/>
          <w:color w:val="ff0000"/>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.投标人报价不得超过医疗机构最高限价，超过最高限价的报价视为无效投标。</w:t>
      </w:r>
      <w:r/>
    </w:p>
    <w:p>
      <w:pPr>
        <w:ind w:left="42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.分项报价表三（附加承诺保障）的保费由报价表二予以涵盖。</w:t>
      </w:r>
      <w:r/>
    </w:p>
    <w:p>
      <w:pPr>
        <w:ind w:firstLine="422"/>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.投标总价=分项报价表一+分项报价表二。</w:t>
      </w:r>
      <w:r/>
    </w:p>
    <w:p>
      <w:pPr>
        <w:jc w:val="left"/>
        <w:spacing w:line="360" w:lineRule="auto"/>
        <w:rPr>
          <w:rFonts w:hint="eastAsia" w:ascii="宋体" w:hAnsi="宋体" w:eastAsia="宋体" w:cs="宋体"/>
          <w:bCs/>
          <w:highlight w:val="none"/>
        </w:rPr>
      </w:pPr>
      <w:r>
        <w:rPr>
          <w:rFonts w:hint="eastAsia" w:ascii="宋体" w:hAnsi="宋体" w:eastAsia="宋体" w:cs="宋体"/>
          <w:bCs/>
          <w:color w:val="000000"/>
          <w:sz w:val="24"/>
          <w:highlight w:val="none"/>
        </w:rPr>
        <w:t xml:space="preserve">我司承诺：若中标严格按照本招标文件设置的保额进行承保。</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法定代表人（或</w:t>
      </w:r>
      <w:r>
        <w:rPr>
          <w:rFonts w:hint="eastAsia" w:ascii="宋体" w:hAnsi="宋体" w:cs="宋体"/>
          <w:highlight w:val="none"/>
          <w:lang w:val="en-US" w:eastAsia="zh-CN"/>
        </w:rPr>
        <w:t xml:space="preserve">单位</w:t>
      </w:r>
      <w:r>
        <w:rPr>
          <w:rFonts w:hint="eastAsia" w:ascii="宋体" w:hAnsi="宋体" w:eastAsia="宋体" w:cs="宋体"/>
          <w:highlight w:val="none"/>
        </w:rPr>
        <w:t xml:space="preserve">负责人）（签字或盖章）：</w:t>
      </w:r>
      <w:r>
        <w:rPr>
          <w:rFonts w:hint="eastAsia" w:ascii="宋体" w:hAnsi="宋体" w:eastAsia="宋体" w:cs="宋体"/>
          <w:highlight w:val="none"/>
          <w:u w:val="single"/>
        </w:rPr>
        <w:t xml:space="preserve">                                          </w:t>
      </w:r>
      <w:r/>
    </w:p>
    <w:p>
      <w:pPr>
        <w:spacing w:line="360" w:lineRule="auto"/>
        <w:rPr>
          <w:rFonts w:hint="eastAsia" w:ascii="宋体" w:hAnsi="宋体" w:eastAsia="宋体" w:cs="宋体"/>
          <w:highlight w:val="none"/>
          <w:u w:val="single"/>
        </w:rPr>
      </w:pPr>
      <w:r>
        <w:rPr>
          <w:rFonts w:hint="eastAsia" w:ascii="宋体" w:hAnsi="宋体" w:eastAsia="宋体" w:cs="宋体"/>
          <w:highlight w:val="none"/>
        </w:rPr>
        <w:t xml:space="preserve">日期：</w:t>
      </w:r>
      <w:r>
        <w:rPr>
          <w:rFonts w:hint="eastAsia" w:ascii="宋体" w:hAnsi="宋体" w:eastAsia="宋体" w:cs="宋体"/>
          <w:highlight w:val="none"/>
          <w:u w:val="singl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left"/>
        <w:spacing w:before="240" w:after="240"/>
        <w:rPr>
          <w:rFonts w:hint="eastAsia" w:ascii="宋体" w:hAnsi="宋体" w:eastAsia="宋体" w:cs="宋体"/>
          <w:b/>
          <w:sz w:val="24"/>
          <w:szCs w:val="20"/>
          <w:highlight w:val="none"/>
        </w:rPr>
      </w:pPr>
      <w:r>
        <w:rPr>
          <w:rFonts w:hint="eastAsia" w:ascii="宋体" w:hAnsi="宋体" w:eastAsia="宋体" w:cs="宋体"/>
          <w:b/>
          <w:i/>
          <w:sz w:val="24"/>
          <w:highlight w:val="none"/>
        </w:rPr>
        <w:br w:type="page" w:clear="all"/>
      </w:r>
      <w:bookmarkStart w:id="892" w:name="_Toc127151562"/>
      <w:r/>
      <w:bookmarkStart w:id="893" w:name="_Toc264969252"/>
      <w:r/>
      <w:bookmarkStart w:id="894" w:name="_Toc305158904"/>
      <w:r/>
      <w:bookmarkStart w:id="895" w:name="_Toc226337258"/>
      <w:r/>
      <w:bookmarkStart w:id="896" w:name="_Toc150774765"/>
      <w:r/>
      <w:bookmarkStart w:id="897" w:name="_Toc142311062"/>
      <w:r/>
      <w:bookmarkStart w:id="898" w:name="_Toc226309806"/>
      <w:r/>
      <w:bookmarkStart w:id="899" w:name="_Toc195842927"/>
      <w:r/>
      <w:bookmarkStart w:id="900" w:name="_Toc305158830"/>
      <w:r/>
      <w:bookmarkStart w:id="901" w:name="_Toc150480798"/>
      <w:r/>
      <w:bookmarkStart w:id="902" w:name="_Toc226965835"/>
      <w:r/>
      <w:bookmarkStart w:id="903" w:name="_Toc226965752"/>
      <w:r/>
      <w:bookmarkStart w:id="904" w:name="_Toc265228400"/>
      <w:r/>
      <w:bookmarkStart w:id="905" w:name="_Toc195842926"/>
      <w:r/>
      <w:bookmarkStart w:id="906" w:name="_Toc265228399"/>
      <w:r/>
      <w:bookmarkStart w:id="907" w:name="_Toc226337257"/>
      <w:r/>
      <w:bookmarkStart w:id="908" w:name="_Toc305158903"/>
      <w:r/>
      <w:bookmarkStart w:id="909" w:name="_Toc226965834"/>
      <w:r/>
      <w:bookmarkStart w:id="910" w:name="_Toc150480797"/>
      <w:r/>
      <w:bookmarkStart w:id="911" w:name="_Toc305158829"/>
      <w:r/>
      <w:bookmarkStart w:id="912" w:name="_Toc150774764"/>
      <w:r/>
      <w:bookmarkStart w:id="913" w:name="_Toc226309805"/>
      <w:r/>
      <w:bookmarkStart w:id="914" w:name="_Toc142311061"/>
      <w:r/>
      <w:bookmarkStart w:id="915" w:name="_Toc264969251"/>
      <w:r/>
      <w:bookmarkStart w:id="916" w:name="_Toc127151561"/>
      <w:r/>
      <w:bookmarkStart w:id="917" w:name="_Toc226965751"/>
      <w:r>
        <w:rPr>
          <w:rFonts w:hint="eastAsia" w:ascii="宋体" w:hAnsi="宋体" w:eastAsia="宋体" w:cs="宋体"/>
          <w:b/>
          <w:sz w:val="24"/>
          <w:szCs w:val="20"/>
          <w:highlight w:val="none"/>
          <w:lang w:val="en-US" w:eastAsia="zh-CN"/>
        </w:rPr>
        <w:t xml:space="preserve">7</w:t>
      </w:r>
      <w:r>
        <w:rPr>
          <w:rFonts w:hint="eastAsia" w:ascii="宋体" w:hAnsi="宋体" w:eastAsia="宋体" w:cs="宋体"/>
          <w:b/>
          <w:sz w:val="24"/>
          <w:szCs w:val="20"/>
          <w:highlight w:val="none"/>
        </w:rPr>
        <w:t xml:space="preserve">  合同条款偏离表</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rFonts w:hint="eastAsia" w:ascii="宋体" w:hAnsi="宋体" w:eastAsia="宋体" w:cs="宋体"/>
          <w:b/>
          <w:sz w:val="24"/>
          <w:szCs w:val="20"/>
          <w:highlight w:val="none"/>
        </w:rPr>
        <w:t xml:space="preserve">（实质性格式）</w:t>
      </w:r>
      <w:r/>
    </w:p>
    <w:p>
      <w:pP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jc w:val="center"/>
        <w:spacing w:line="360" w:lineRule="auto"/>
        <w:tabs>
          <w:tab w:val="left" w:pos="2775" w:leader="none"/>
          <w:tab w:val="center" w:pos="4153" w:leader="none"/>
        </w:tabs>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合同条款偏离表</w:t>
      </w:r>
      <w:r/>
    </w:p>
    <w:p>
      <w:pPr>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ind w:firstLine="360"/>
        <w:jc w:val="left"/>
        <w:spacing w:line="360" w:lineRule="auto"/>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项目编号/包号：_____________________     项目名称：_____________</w:t>
      </w:r>
      <w:r/>
    </w:p>
    <w:tbl>
      <w:tblPr>
        <w:tblStyle w:val="8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hint="eastAsia" w:ascii="宋体" w:hAnsi="宋体" w:eastAsia="宋体" w:cs="宋体"/>
                <w:b/>
                <w:sz w:val="24"/>
                <w:highlight w:val="none"/>
              </w:rPr>
            </w:pPr>
            <w:r>
              <w:rPr>
                <w:rFonts w:hint="eastAsia" w:ascii="宋体" w:hAnsi="宋体" w:eastAsia="宋体" w:cs="宋体"/>
                <w:b/>
                <w:sz w:val="24"/>
                <w:highlight w:val="none"/>
              </w:rPr>
              <w:t xml:space="preserve">对本项目合同条款的偏离情况（请进行勾选）：</w:t>
            </w:r>
            <w:r/>
          </w:p>
          <w:p>
            <w:pPr>
              <w:jc w:val="left"/>
              <w:rPr>
                <w:rFonts w:hint="eastAsia" w:ascii="宋体" w:hAnsi="宋体" w:eastAsia="宋体" w:cs="宋体"/>
                <w:b/>
                <w:sz w:val="24"/>
                <w:highlight w:val="none"/>
              </w:rPr>
            </w:pPr>
            <w:r>
              <w:rPr>
                <w:rFonts w:hint="eastAsia" w:ascii="宋体" w:hAnsi="宋体" w:eastAsia="宋体" w:cs="宋体"/>
                <w:b/>
                <w:sz w:val="24"/>
                <w:highlight w:val="none"/>
              </w:rPr>
              <w:t xml:space="preserve">□无偏离</w:t>
            </w:r>
            <w:r>
              <w:rPr>
                <w:rFonts w:hint="eastAsia" w:ascii="宋体" w:hAnsi="宋体" w:eastAsia="宋体" w:cs="宋体"/>
                <w:sz w:val="24"/>
                <w:highlight w:val="none"/>
              </w:rPr>
              <w:t xml:space="preserve">（</w:t>
            </w:r>
            <w:r>
              <w:rPr>
                <w:rFonts w:hint="eastAsia" w:ascii="宋体" w:hAnsi="宋体" w:eastAsia="宋体" w:cs="宋体"/>
                <w:sz w:val="24"/>
                <w:szCs w:val="21"/>
                <w:highlight w:val="none"/>
              </w:rPr>
              <w:t xml:space="preserve">如无偏离，仅勾选无偏离即可</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rPr>
            </w:pPr>
            <w:r>
              <w:rPr>
                <w:rFonts w:hint="eastAsia" w:ascii="宋体" w:hAnsi="宋体" w:eastAsia="宋体" w:cs="宋体"/>
                <w:b/>
                <w:sz w:val="24"/>
                <w:highlight w:val="none"/>
              </w:rPr>
              <w:t xml:space="preserve">□有偏离</w:t>
            </w:r>
            <w:r>
              <w:rPr>
                <w:rFonts w:hint="eastAsia" w:ascii="宋体" w:hAnsi="宋体" w:eastAsia="宋体" w:cs="宋体"/>
                <w:sz w:val="24"/>
                <w:highlight w:val="none"/>
              </w:rPr>
              <w:t xml:space="preserve">（</w:t>
            </w:r>
            <w:r>
              <w:rPr>
                <w:rFonts w:hint="eastAsia" w:ascii="宋体" w:hAnsi="宋体" w:eastAsia="宋体" w:cs="宋体"/>
                <w:sz w:val="24"/>
                <w:szCs w:val="21"/>
                <w:highlight w:val="none"/>
              </w:rPr>
              <w:t xml:space="preserve">如有偏离，</w:t>
            </w:r>
            <w:r>
              <w:rPr>
                <w:rFonts w:hint="eastAsia" w:ascii="宋体" w:hAnsi="宋体" w:eastAsia="宋体" w:cs="宋体"/>
                <w:sz w:val="24"/>
                <w:highlight w:val="none"/>
              </w:rPr>
              <w:t xml:space="preserve">则应在本表中对偏离项逐一列明）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13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szCs w:val="21"/>
                <w:highlight w:val="none"/>
              </w:rPr>
              <w:t xml:space="preserve">招标文件</w:t>
            </w:r>
            <w:r>
              <w:rPr>
                <w:rFonts w:hint="eastAsia" w:ascii="宋体" w:hAnsi="宋体" w:eastAsia="宋体" w:cs="宋体"/>
                <w:sz w:val="24"/>
                <w:highlight w:val="none"/>
              </w:rPr>
              <w:t xml:space="preserve">条目号（页码）</w:t>
            </w:r>
            <w:r/>
          </w:p>
        </w:tc>
        <w:tc>
          <w:tcPr>
            <w:tcW w:w="20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szCs w:val="21"/>
                <w:highlight w:val="none"/>
              </w:rPr>
              <w:t xml:space="preserve">招标文件</w:t>
            </w:r>
            <w:r>
              <w:rPr>
                <w:rFonts w:hint="eastAsia" w:ascii="宋体" w:hAnsi="宋体" w:eastAsia="宋体" w:cs="宋体"/>
                <w:sz w:val="24"/>
                <w:highlight w:val="none"/>
              </w:rPr>
              <w:t xml:space="preserve">要求</w:t>
            </w:r>
            <w:r/>
          </w:p>
        </w:tc>
        <w:tc>
          <w:tcPr>
            <w:tcW w:w="200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投标文件内容</w:t>
            </w:r>
            <w:r/>
          </w:p>
        </w:tc>
        <w:tc>
          <w:tcPr>
            <w:tcW w:w="24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偏离情况</w:t>
            </w:r>
            <w:r/>
          </w:p>
        </w:tc>
        <w:tc>
          <w:tcPr>
            <w:tcW w:w="7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4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4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4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w:t>
            </w:r>
            <w:r/>
          </w:p>
        </w:tc>
        <w:tc>
          <w:tcPr>
            <w:tcW w:w="130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00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45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2. “偏离情况”列应据实填写“正偏离”或“负偏离”。</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                      </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    ____________</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p>
    <w:p>
      <w:pPr>
        <w:spacing w:line="360" w:lineRule="auto"/>
        <w:rPr>
          <w:rFonts w:hint="eastAsia" w:ascii="宋体" w:hAnsi="宋体" w:eastAsia="宋体" w:cs="宋体"/>
          <w:b/>
          <w:sz w:val="24"/>
          <w:szCs w:val="20"/>
          <w:highlight w:val="none"/>
        </w:rPr>
        <w:outlineLvl w:val="2"/>
      </w:pPr>
      <w:r>
        <w:rPr>
          <w:rFonts w:hint="eastAsia" w:ascii="宋体" w:hAnsi="宋体" w:eastAsia="宋体" w:cs="宋体"/>
          <w:sz w:val="24"/>
          <w:szCs w:val="20"/>
          <w:highlight w:val="none"/>
        </w:rPr>
        <w:br w:type="page" w:clear="all"/>
      </w:r>
      <w:r>
        <w:rPr>
          <w:rFonts w:hint="eastAsia" w:ascii="宋体" w:hAnsi="宋体" w:eastAsia="宋体" w:cs="宋体"/>
          <w:b/>
          <w:sz w:val="24"/>
          <w:szCs w:val="20"/>
          <w:highlight w:val="none"/>
          <w:lang w:val="en-US" w:eastAsia="zh-CN"/>
        </w:rPr>
        <w:t xml:space="preserve">8</w:t>
      </w:r>
      <w:r>
        <w:rPr>
          <w:rFonts w:hint="eastAsia" w:ascii="宋体" w:hAnsi="宋体" w:eastAsia="宋体" w:cs="宋体"/>
          <w:b/>
          <w:sz w:val="24"/>
          <w:szCs w:val="20"/>
          <w:highlight w:val="none"/>
        </w:rPr>
        <w:t xml:space="preserve">  </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hint="eastAsia" w:ascii="宋体" w:hAnsi="宋体" w:eastAsia="宋体" w:cs="宋体"/>
          <w:b/>
          <w:sz w:val="24"/>
          <w:szCs w:val="20"/>
          <w:highlight w:val="none"/>
        </w:rPr>
        <w:t xml:space="preserve">采购需求偏离表（实质性格式）</w:t>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采购需求偏离表</w:t>
      </w:r>
      <w:r/>
    </w:p>
    <w:p>
      <w:pPr>
        <w:ind w:firstLine="360"/>
        <w:jc w:val="left"/>
        <w:spacing w:line="360" w:lineRule="auto"/>
        <w:tabs>
          <w:tab w:val="left" w:pos="1800" w:leader="none"/>
          <w:tab w:val="left" w:pos="5580"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项目编号/包号：_____________________     项目名称：____________</w:t>
      </w:r>
      <w:r/>
    </w:p>
    <w:tbl>
      <w:tblPr>
        <w:tblStyle w:val="861"/>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1940"/>
        <w:gridCol w:w="2310"/>
        <w:gridCol w:w="1237"/>
        <w:gridCol w:w="1783"/>
        <w:gridCol w:w="1379"/>
      </w:tblGrid>
      <w:tr>
        <w:trPr>
          <w:jc w:val="center"/>
          <w:trHeight w:val="930"/>
        </w:trPr>
        <w:tc>
          <w:tcPr>
            <w:gridSpan w:val="6"/>
            <w:tcW w:w="9645" w:type="dxa"/>
            <w:vAlign w:val="center"/>
            <w:textDirection w:val="lrTb"/>
            <w:noWrap w:val="false"/>
          </w:tcPr>
          <w:p>
            <w:pPr>
              <w:jc w:val="left"/>
              <w:rPr>
                <w:rFonts w:hint="eastAsia" w:ascii="宋体" w:hAnsi="宋体" w:eastAsia="宋体" w:cs="宋体"/>
                <w:b/>
                <w:sz w:val="24"/>
                <w:highlight w:val="none"/>
              </w:rPr>
            </w:pPr>
            <w:r>
              <w:rPr>
                <w:rFonts w:hint="eastAsia" w:ascii="宋体" w:hAnsi="宋体" w:eastAsia="宋体" w:cs="宋体"/>
                <w:b/>
                <w:sz w:val="24"/>
                <w:highlight w:val="none"/>
              </w:rPr>
              <w:t xml:space="preserve">对本项目采购需求的偏离情况（请进行勾选）：</w:t>
            </w:r>
            <w:r/>
          </w:p>
          <w:p>
            <w:pPr>
              <w:jc w:val="left"/>
              <w:rPr>
                <w:rFonts w:hint="eastAsia" w:ascii="宋体" w:hAnsi="宋体" w:eastAsia="宋体" w:cs="宋体"/>
                <w:b/>
                <w:sz w:val="24"/>
                <w:highlight w:val="none"/>
              </w:rPr>
            </w:pPr>
            <w:r>
              <w:rPr>
                <w:rFonts w:hint="eastAsia" w:ascii="宋体" w:hAnsi="宋体" w:eastAsia="宋体" w:cs="宋体"/>
                <w:b/>
                <w:sz w:val="24"/>
                <w:highlight w:val="none"/>
              </w:rPr>
              <w:t xml:space="preserve">□无偏离</w:t>
            </w:r>
            <w:r>
              <w:rPr>
                <w:rFonts w:hint="eastAsia" w:ascii="宋体" w:hAnsi="宋体" w:eastAsia="宋体" w:cs="宋体"/>
                <w:sz w:val="24"/>
                <w:highlight w:val="none"/>
              </w:rPr>
              <w:t xml:space="preserve">（</w:t>
            </w:r>
            <w:r>
              <w:rPr>
                <w:rFonts w:hint="eastAsia" w:ascii="宋体" w:hAnsi="宋体" w:eastAsia="宋体" w:cs="宋体"/>
                <w:sz w:val="24"/>
                <w:szCs w:val="21"/>
                <w:highlight w:val="none"/>
              </w:rPr>
              <w:t xml:space="preserve">如无偏离，仅勾选无偏离即可</w:t>
            </w:r>
            <w:r>
              <w:rPr>
                <w:rFonts w:hint="eastAsia" w:ascii="宋体" w:hAnsi="宋体" w:eastAsia="宋体" w:cs="宋体"/>
                <w:sz w:val="24"/>
                <w:highlight w:val="none"/>
              </w:rPr>
              <w:t xml:space="preserve">）</w:t>
            </w:r>
            <w:r/>
          </w:p>
          <w:p>
            <w:pPr>
              <w:jc w:val="left"/>
              <w:rPr>
                <w:rFonts w:hint="eastAsia" w:ascii="宋体" w:hAnsi="宋体" w:eastAsia="宋体" w:cs="宋体"/>
                <w:sz w:val="24"/>
                <w:highlight w:val="none"/>
              </w:rPr>
            </w:pPr>
            <w:r>
              <w:rPr>
                <w:rFonts w:hint="eastAsia" w:ascii="宋体" w:hAnsi="宋体" w:eastAsia="宋体" w:cs="宋体"/>
                <w:b/>
                <w:sz w:val="24"/>
                <w:highlight w:val="none"/>
              </w:rPr>
              <w:t xml:space="preserve">□有偏离</w:t>
            </w:r>
            <w:r>
              <w:rPr>
                <w:rFonts w:hint="eastAsia" w:ascii="宋体" w:hAnsi="宋体" w:eastAsia="宋体" w:cs="宋体"/>
                <w:sz w:val="24"/>
                <w:highlight w:val="none"/>
              </w:rPr>
              <w:t xml:space="preserve">（</w:t>
            </w:r>
            <w:r>
              <w:rPr>
                <w:rFonts w:hint="eastAsia" w:ascii="宋体" w:hAnsi="宋体" w:eastAsia="宋体" w:cs="宋体"/>
                <w:sz w:val="24"/>
                <w:szCs w:val="21"/>
                <w:highlight w:val="none"/>
              </w:rPr>
              <w:t xml:space="preserve">如有偏离，</w:t>
            </w:r>
            <w:r>
              <w:rPr>
                <w:rFonts w:hint="eastAsia" w:ascii="宋体" w:hAnsi="宋体" w:eastAsia="宋体" w:cs="宋体"/>
                <w:sz w:val="24"/>
                <w:highlight w:val="none"/>
              </w:rPr>
              <w:t xml:space="preserve">则应在本表中对偏离项逐一列明）</w:t>
            </w:r>
            <w:r/>
          </w:p>
        </w:tc>
      </w:tr>
      <w:tr>
        <w:trPr>
          <w:jc w:val="center"/>
          <w:trHeight w:val="1053"/>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招标文件条目号(页码)</w:t>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招标文件要求</w:t>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投标响应内容</w:t>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偏离情况</w:t>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说明</w:t>
            </w:r>
            <w:r/>
          </w:p>
        </w:tc>
      </w:tr>
      <w:tr>
        <w:trPr>
          <w:jc w:val="center"/>
          <w:trHeight w:val="930"/>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930"/>
        </w:trPr>
        <w:tc>
          <w:tcPr>
            <w:tcW w:w="1002"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w:t>
            </w:r>
            <w:r/>
          </w:p>
        </w:tc>
        <w:tc>
          <w:tcPr>
            <w:tcW w:w="194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310"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23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78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ind w:firstLine="360"/>
        <w:jc w:val="left"/>
        <w:spacing w:line="360" w:lineRule="auto"/>
        <w:tabs>
          <w:tab w:val="left" w:pos="1800" w:leader="none"/>
          <w:tab w:val="left" w:pos="5580" w:leader="none"/>
        </w:tabs>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1. 对招标文件中的所有商务、技术要求，除本表所列明的所有偏离外，均视作供应商已对之理解和响应。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2.“偏离情况”列应据实填写“正偏离”或“负偏离”。</w:t>
      </w:r>
      <w:r/>
    </w:p>
    <w:p>
      <w:pPr>
        <w:jc w:val="left"/>
        <w:tabs>
          <w:tab w:val="left" w:pos="1800" w:leader="none"/>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                  </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：____________</w:t>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p>
    <w:p>
      <w:pPr>
        <w:rPr>
          <w:rFonts w:hint="eastAsia" w:ascii="宋体" w:hAnsi="宋体" w:eastAsia="宋体" w:cs="宋体"/>
          <w:b/>
          <w:sz w:val="24"/>
          <w:szCs w:val="20"/>
          <w:highlight w:val="none"/>
        </w:rPr>
      </w:pPr>
      <w:r>
        <w:rPr>
          <w:rFonts w:hint="eastAsia" w:ascii="宋体" w:hAnsi="宋体" w:eastAsia="宋体" w:cs="宋体"/>
          <w:b/>
          <w:sz w:val="24"/>
          <w:szCs w:val="20"/>
          <w:highlight w:val="none"/>
          <w:lang w:val="en-US" w:eastAsia="zh-CN"/>
        </w:rPr>
        <w:t xml:space="preserve">9</w:t>
      </w:r>
      <w:r>
        <w:rPr>
          <w:rFonts w:hint="eastAsia" w:ascii="宋体" w:hAnsi="宋体" w:eastAsia="宋体" w:cs="宋体"/>
          <w:b/>
          <w:sz w:val="24"/>
          <w:szCs w:val="20"/>
          <w:highlight w:val="none"/>
        </w:rPr>
        <w:t xml:space="preserve">  项目实施方案等，包括但不限于如下主题：</w:t>
      </w:r>
      <w:r/>
    </w:p>
    <w:p>
      <w:pPr>
        <w:ind w:firstLine="480"/>
        <w:spacing w:line="56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w:t>
      </w:r>
      <w:r>
        <w:rPr>
          <w:rFonts w:hint="eastAsia" w:ascii="宋体" w:hAnsi="宋体" w:eastAsia="宋体" w:cs="宋体"/>
          <w:sz w:val="24"/>
          <w:szCs w:val="20"/>
          <w:highlight w:val="none"/>
          <w:lang w:eastAsia="zh-CN"/>
        </w:rPr>
        <w:t xml:space="preserve">服务团队</w:t>
      </w:r>
      <w:r>
        <w:rPr>
          <w:rFonts w:hint="eastAsia" w:ascii="宋体" w:hAnsi="宋体" w:eastAsia="宋体" w:cs="宋体"/>
          <w:sz w:val="24"/>
          <w:szCs w:val="20"/>
          <w:highlight w:val="none"/>
          <w:lang w:val="en-US" w:eastAsia="zh-CN"/>
        </w:rPr>
        <w:t xml:space="preserve">方案</w:t>
      </w:r>
      <w:r/>
    </w:p>
    <w:p>
      <w:pPr>
        <w:ind w:firstLine="480"/>
        <w:spacing w:line="560" w:lineRule="exact"/>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w:t>
      </w:r>
      <w:r>
        <w:rPr>
          <w:rFonts w:hint="eastAsia" w:ascii="宋体" w:hAnsi="宋体" w:eastAsia="宋体" w:cs="宋体"/>
          <w:sz w:val="24"/>
          <w:szCs w:val="20"/>
          <w:highlight w:val="none"/>
          <w:lang w:eastAsia="zh-CN"/>
        </w:rPr>
        <w:t xml:space="preserve">承保服务</w:t>
      </w:r>
      <w:r>
        <w:rPr>
          <w:rFonts w:hint="eastAsia" w:ascii="宋体" w:hAnsi="宋体" w:eastAsia="宋体" w:cs="宋体"/>
          <w:sz w:val="24"/>
          <w:szCs w:val="20"/>
          <w:highlight w:val="none"/>
          <w:lang w:val="en-US" w:eastAsia="zh-CN"/>
        </w:rPr>
        <w:t xml:space="preserve">方案</w:t>
      </w:r>
      <w:r/>
    </w:p>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eastAsia="zh-CN"/>
        </w:rPr>
        <w:t xml:space="preserve">理赔服务</w:t>
      </w:r>
      <w:r>
        <w:rPr>
          <w:rFonts w:hint="eastAsia" w:ascii="宋体" w:hAnsi="宋体" w:eastAsia="宋体" w:cs="宋体"/>
          <w:sz w:val="24"/>
          <w:szCs w:val="20"/>
          <w:highlight w:val="none"/>
          <w:lang w:val="en-US" w:eastAsia="zh-CN"/>
        </w:rPr>
        <w:t xml:space="preserve">方案</w:t>
      </w:r>
      <w:r/>
    </w:p>
    <w:p>
      <w:pPr>
        <w:ind w:firstLine="480"/>
        <w:spacing w:line="5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4）重大、疑难案件服务方案</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sz w:val="24"/>
          <w:szCs w:val="20"/>
          <w:highlight w:val="none"/>
        </w:rPr>
      </w:pPr>
      <w:r>
        <w:rPr>
          <w:rFonts w:hint="eastAsia" w:ascii="宋体" w:hAnsi="宋体" w:eastAsia="宋体" w:cs="宋体"/>
          <w:b/>
          <w:sz w:val="24"/>
          <w:szCs w:val="20"/>
          <w:highlight w:val="none"/>
        </w:rPr>
        <w:br w:type="page" w:clear="all"/>
      </w:r>
      <w:r>
        <w:rPr>
          <w:rFonts w:hint="eastAsia" w:ascii="宋体" w:hAnsi="宋体" w:eastAsia="宋体" w:cs="宋体"/>
          <w:b/>
          <w:sz w:val="24"/>
          <w:szCs w:val="20"/>
          <w:highlight w:val="none"/>
          <w:lang w:val="en-US" w:eastAsia="zh-CN"/>
        </w:rPr>
        <w:t xml:space="preserve">10</w:t>
      </w:r>
      <w:r>
        <w:rPr>
          <w:rFonts w:hint="eastAsia" w:ascii="宋体" w:hAnsi="宋体" w:eastAsia="宋体" w:cs="宋体"/>
          <w:b/>
          <w:sz w:val="24"/>
          <w:szCs w:val="20"/>
          <w:highlight w:val="none"/>
        </w:rPr>
        <w:t xml:space="preserve">  参加本项目人员一览表</w:t>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参加本项目人员一览表</w:t>
      </w:r>
      <w:r/>
    </w:p>
    <w:p>
      <w:pPr>
        <w:spacing w:line="360" w:lineRule="auto"/>
        <w:rPr>
          <w:rFonts w:hint="eastAsia" w:ascii="宋体" w:hAnsi="宋体" w:eastAsia="宋体" w:cs="宋体"/>
          <w:sz w:val="22"/>
          <w:highlight w:val="none"/>
        </w:rPr>
      </w:pPr>
      <w:r>
        <w:rPr>
          <w:rFonts w:hint="eastAsia" w:ascii="宋体" w:hAnsi="宋体" w:eastAsia="宋体" w:cs="宋体"/>
          <w:sz w:val="22"/>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p>
    <w:tbl>
      <w:tblPr>
        <w:tblStyle w:val="861"/>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责任</w:t>
            </w:r>
            <w:r/>
          </w:p>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项目经历或主要工作</w:t>
            </w:r>
            <w:r/>
          </w:p>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p>
        </w:tc>
      </w:tr>
    </w:tbl>
    <w:p>
      <w:pPr>
        <w:tabs>
          <w:tab w:val="left" w:pos="9765" w:leader="none"/>
        </w:tabs>
        <w:rPr>
          <w:rFonts w:hint="eastAsia" w:ascii="宋体" w:hAnsi="宋体" w:eastAsia="宋体" w:cs="宋体"/>
          <w:b/>
          <w:sz w:val="24"/>
          <w:highlight w:val="none"/>
          <w:lang w:val="zh-CN"/>
        </w:rPr>
      </w:pPr>
      <w:r>
        <w:rPr>
          <w:rFonts w:hint="eastAsia" w:ascii="宋体" w:hAnsi="宋体" w:eastAsia="宋体" w:cs="宋体"/>
          <w:b/>
          <w:sz w:val="24"/>
          <w:highlight w:val="none"/>
          <w:lang w:val="zh-CN"/>
        </w:rPr>
      </w:r>
      <w:r/>
    </w:p>
    <w:p>
      <w:pPr>
        <w:spacing w:line="360" w:lineRule="auto"/>
        <w:tabs>
          <w:tab w:val="left" w:pos="9765" w:leader="none"/>
        </w:tabs>
        <w:rPr>
          <w:rFonts w:hint="eastAsia" w:ascii="宋体" w:hAnsi="宋体" w:eastAsia="宋体" w:cs="宋体"/>
          <w:b/>
          <w:sz w:val="24"/>
          <w:highlight w:val="none"/>
        </w:rPr>
      </w:pPr>
      <w:r>
        <w:rPr>
          <w:rFonts w:hint="eastAsia" w:ascii="宋体" w:hAnsi="宋体" w:eastAsia="宋体" w:cs="宋体"/>
          <w:b/>
          <w:sz w:val="24"/>
          <w:highlight w:val="none"/>
          <w:lang w:val="zh-CN"/>
        </w:rPr>
        <w:t xml:space="preserve">注：参加本项目人员须是投标人正式职工。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before="25" w:after="25" w:line="360" w:lineRule="auto"/>
        <w:rPr>
          <w:rFonts w:hint="eastAsia" w:ascii="宋体" w:hAnsi="宋体" w:eastAsia="宋体" w:cs="宋体"/>
          <w:sz w:val="24"/>
          <w:highlight w:val="none"/>
          <w:lang w:val="zh-CN"/>
        </w:rPr>
      </w:pPr>
      <w:r>
        <w:rPr>
          <w:rFonts w:hint="eastAsia" w:ascii="宋体" w:hAnsi="宋体" w:eastAsia="宋体" w:cs="宋体"/>
          <w:sz w:val="24"/>
          <w:highlight w:val="none"/>
        </w:rPr>
        <w:t xml:space="preserve">投标人名称（加盖公章）</w:t>
      </w:r>
      <w:r>
        <w:rPr>
          <w:rFonts w:hint="eastAsia" w:ascii="宋体" w:hAnsi="宋体" w:eastAsia="宋体" w:cs="宋体"/>
          <w:sz w:val="24"/>
          <w:highlight w:val="none"/>
          <w:lang w:val="zh-CN"/>
        </w:rPr>
        <w:t xml:space="preserve">：____________</w:t>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日期：_____年______月______日   </w:t>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11 </w:t>
      </w:r>
      <w:r>
        <w:rPr>
          <w:rFonts w:hint="eastAsia" w:ascii="宋体" w:hAnsi="宋体" w:eastAsia="宋体" w:cs="宋体"/>
          <w:color w:val="000000"/>
          <w:sz w:val="24"/>
          <w:szCs w:val="20"/>
          <w:highlight w:val="none"/>
        </w:rPr>
        <w:t xml:space="preserve"> 相关业绩案例一览表</w:t>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相关业绩案例一览表</w:t>
      </w:r>
      <w:r/>
    </w:p>
    <w:p>
      <w:pPr>
        <w:jc w:val="center"/>
        <w:spacing w:line="360" w:lineRule="auto"/>
        <w:rPr>
          <w:rFonts w:hint="eastAsia" w:ascii="宋体" w:hAnsi="宋体" w:eastAsia="宋体" w:cs="宋体"/>
          <w:b/>
          <w:sz w:val="28"/>
          <w:szCs w:val="30"/>
          <w:highlight w:val="none"/>
        </w:rPr>
      </w:pPr>
      <w:r>
        <w:rPr>
          <w:rFonts w:hint="eastAsia" w:ascii="宋体" w:hAnsi="宋体" w:eastAsia="宋体" w:cs="宋体"/>
          <w:b/>
          <w:sz w:val="28"/>
          <w:szCs w:val="30"/>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p>
    <w:tbl>
      <w:tblPr>
        <w:tblStyle w:val="86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eastAsia" w:ascii="宋体" w:hAnsi="宋体" w:eastAsia="宋体" w:cs="宋体"/>
                <w:sz w:val="24"/>
                <w:highlight w:val="none"/>
              </w:rPr>
            </w:pPr>
            <w:r>
              <w:rPr>
                <w:rFonts w:hint="eastAsia" w:ascii="宋体" w:hAnsi="宋体" w:eastAsia="宋体" w:cs="宋体"/>
                <w:sz w:val="24"/>
                <w:highlight w:val="none"/>
              </w:rPr>
            </w:r>
            <w:r/>
          </w:p>
        </w:tc>
      </w:tr>
    </w:tbl>
    <w:p>
      <w:pPr>
        <w:tabs>
          <w:tab w:val="left" w:pos="976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投标人名称（加盖公章）</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spacing w:before="25" w:after="25"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sz w:val="22"/>
          <w:highlight w:val="none"/>
        </w:rPr>
        <w:br w:type="page" w:clear="all"/>
      </w:r>
      <w:r>
        <w:rPr>
          <w:rFonts w:hint="eastAsia" w:ascii="宋体" w:hAnsi="宋体" w:eastAsia="宋体" w:cs="宋体"/>
          <w:b/>
          <w:sz w:val="24"/>
          <w:szCs w:val="24"/>
          <w:highlight w:val="none"/>
          <w:lang w:val="en-US" w:eastAsia="zh-CN"/>
        </w:rPr>
        <w:t xml:space="preserve">12 </w:t>
      </w:r>
      <w:r>
        <w:rPr>
          <w:rFonts w:hint="eastAsia" w:ascii="宋体" w:hAnsi="宋体" w:eastAsia="宋体" w:cs="宋体"/>
          <w:b/>
          <w:bCs/>
          <w:color w:val="000000"/>
          <w:sz w:val="24"/>
          <w:szCs w:val="24"/>
          <w:highlight w:val="none"/>
        </w:rPr>
        <w:t xml:space="preserve">同意接受对本项目保险责任起期及服务管理的书面承诺</w:t>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同意接受对本项目保险责任起期及服务管理的书面承诺</w:t>
      </w:r>
      <w:r/>
    </w:p>
    <w:p>
      <w:pP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常州市第二人民医院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公司</w:t>
      </w:r>
      <w:r>
        <w:rPr>
          <w:rFonts w:hint="eastAsia" w:ascii="宋体" w:hAnsi="宋体" w:eastAsia="宋体" w:cs="宋体"/>
          <w:color w:val="000000"/>
          <w:sz w:val="24"/>
          <w:szCs w:val="24"/>
          <w:highlight w:val="none"/>
        </w:rPr>
        <w:t xml:space="preserve">：</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我公司愿针对</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2027</w:t>
      </w:r>
      <w:r>
        <w:rPr>
          <w:rFonts w:hint="eastAsia" w:ascii="宋体" w:hAnsi="宋体" w:eastAsia="宋体" w:cs="宋体"/>
          <w:color w:val="000000"/>
          <w:sz w:val="24"/>
          <w:szCs w:val="24"/>
          <w:highlight w:val="none"/>
          <w:lang w:val="en-US" w:eastAsia="zh-CN"/>
        </w:rPr>
        <w:t xml:space="preserve">年度</w:t>
      </w:r>
      <w:r>
        <w:rPr>
          <w:rFonts w:hint="eastAsia" w:ascii="宋体" w:hAnsi="宋体" w:cs="宋体"/>
          <w:color w:val="000000"/>
          <w:sz w:val="24"/>
          <w:szCs w:val="24"/>
          <w:highlight w:val="none"/>
          <w:lang w:val="zh-CN"/>
        </w:rPr>
        <w:t xml:space="preserve">常州市第二人民医院</w:t>
      </w:r>
      <w:r>
        <w:rPr>
          <w:rFonts w:hint="eastAsia" w:ascii="宋体" w:hAnsi="宋体" w:eastAsia="宋体" w:cs="宋体"/>
          <w:color w:val="000000"/>
          <w:sz w:val="24"/>
          <w:szCs w:val="24"/>
          <w:highlight w:val="none"/>
          <w:lang w:val="zh-CN"/>
        </w:rPr>
        <w:t xml:space="preserve">医疗责任险、财产险项目</w:t>
      </w:r>
      <w:r>
        <w:rPr>
          <w:rFonts w:hint="eastAsia" w:ascii="宋体" w:hAnsi="宋体" w:eastAsia="宋体" w:cs="宋体"/>
          <w:color w:val="000000"/>
          <w:sz w:val="24"/>
          <w:szCs w:val="24"/>
          <w:highlight w:val="none"/>
        </w:rPr>
        <w:t xml:space="preserve">进行投标</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若本公司中标承诺如下：</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1．本保险项目所涉保险责任自202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年4月23日零时起，自上述期限起（及追溯期内）发生合同约定的保险事故均由我公司承担理赔责任。</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2．同意接受采购人或其保险经纪人对本项目保险服务进行跟踪管理和绩效评价。</w:t>
      </w:r>
      <w:r/>
    </w:p>
    <w:p>
      <w:pP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特此承诺！</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w:t>
      </w:r>
      <w:r>
        <w:rPr>
          <w:rFonts w:hint="eastAsia" w:ascii="宋体" w:hAnsi="宋体" w:cs="宋体"/>
          <w:sz w:val="24"/>
          <w:szCs w:val="24"/>
          <w:highlight w:val="none"/>
          <w:lang w:val="en-US" w:eastAsia="zh-CN"/>
        </w:rPr>
        <w:t xml:space="preserve">单位</w:t>
      </w:r>
      <w:r>
        <w:rPr>
          <w:rFonts w:hint="eastAsia" w:ascii="宋体" w:hAnsi="宋体" w:eastAsia="宋体" w:cs="宋体"/>
          <w:sz w:val="24"/>
          <w:szCs w:val="24"/>
          <w:highlight w:val="none"/>
          <w:lang w:val="en-US" w:eastAsia="zh-CN"/>
        </w:rPr>
        <w:t xml:space="preserve">负责</w:t>
      </w:r>
      <w:r>
        <w:rPr>
          <w:rFonts w:hint="eastAsia" w:ascii="宋体" w:hAnsi="宋体" w:eastAsia="宋体" w:cs="宋体"/>
          <w:sz w:val="24"/>
          <w:szCs w:val="24"/>
          <w:highlight w:val="none"/>
        </w:rPr>
        <w:t xml:space="preserve">人（签字或盖章）：</w:t>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left"/>
        <w:spacing w:line="480" w:lineRule="auto"/>
        <w:rPr>
          <w:rFonts w:hint="eastAsia" w:ascii="宋体" w:hAnsi="宋体" w:eastAsia="宋体" w:cs="宋体"/>
          <w:b/>
          <w:bCs/>
          <w:color w:val="000000"/>
          <w:sz w:val="24"/>
          <w:szCs w:val="20"/>
          <w:highlight w:val="none"/>
        </w:rPr>
      </w:pPr>
      <w:r>
        <w:rPr>
          <w:rFonts w:hint="eastAsia" w:ascii="宋体" w:hAnsi="宋体" w:eastAsia="宋体" w:cs="宋体"/>
          <w:b/>
          <w:sz w:val="32"/>
          <w:highlight w:val="none"/>
          <w:lang w:val="en-US" w:eastAsia="zh-CN"/>
        </w:rPr>
        <w:t xml:space="preserve">13</w:t>
      </w:r>
      <w:r>
        <w:rPr>
          <w:rFonts w:hint="eastAsia" w:ascii="宋体" w:hAnsi="宋体" w:eastAsia="宋体" w:cs="宋体"/>
          <w:b/>
          <w:bCs/>
          <w:sz w:val="28"/>
          <w:szCs w:val="28"/>
          <w:highlight w:val="none"/>
        </w:rPr>
        <w:t xml:space="preserve">保险条款、费率报备手续说明</w:t>
      </w:r>
      <w:r>
        <w:rPr>
          <w:rFonts w:hint="eastAsia" w:ascii="宋体" w:hAnsi="宋体" w:eastAsia="宋体" w:cs="宋体"/>
          <w:b/>
          <w:bCs/>
          <w:color w:val="000000"/>
          <w:sz w:val="24"/>
          <w:szCs w:val="20"/>
          <w:highlight w:val="none"/>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center"/>
        <w:spacing w:line="48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保险条款、费率报备手续说明</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常州市第二人民医院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我公司投标文件中所涉（1）财产综合险。</w:t>
      </w:r>
      <w:r/>
    </w:p>
    <w:p>
      <w:pPr>
        <w:ind w:firstLine="28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（2）机器设备损坏险。</w:t>
      </w:r>
      <w:r/>
    </w:p>
    <w:p>
      <w:pPr>
        <w:ind w:firstLine="28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（3）医疗责任险。</w:t>
      </w:r>
      <w:r/>
    </w:p>
    <w:p>
      <w:pPr>
        <w:ind w:firstLine="28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（4）附加医疗机构场所责任保险。</w:t>
      </w:r>
      <w:r/>
    </w:p>
    <w:p>
      <w:pPr>
        <w:ind w:firstLine="28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（5）附加医务人员遭受伤害责任保险。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这5项保险条款及费率，</w:t>
      </w:r>
      <w:r>
        <w:rPr>
          <w:rFonts w:hint="eastAsia" w:ascii="宋体" w:hAnsi="宋体" w:eastAsia="宋体" w:cs="宋体"/>
          <w:sz w:val="24"/>
          <w:szCs w:val="24"/>
          <w:highlight w:val="none"/>
        </w:rPr>
        <w:t xml:space="preserve">在中标后30日内向国家金融监督管理总局（原中国银行保险监督管理委员会）报备。</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条款名称以各投标人向国家金融监督管理总局（原中国银行保险监督管理委员会）报批或报备的名称为准。</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投标人名称（公章）：</w:t>
      </w:r>
      <w:r/>
    </w:p>
    <w:p>
      <w:pPr>
        <w:spacing w:line="360" w:lineRule="auto"/>
        <w:rPr>
          <w:rFonts w:hint="eastAsia" w:ascii="宋体" w:hAnsi="宋体" w:eastAsia="宋体" w:cs="宋体"/>
          <w:b/>
          <w:bCs/>
          <w:sz w:val="24"/>
          <w:szCs w:val="20"/>
          <w:highlight w:val="red"/>
          <w:lang w:val="en-US" w:eastAsia="zh-CN"/>
        </w:rPr>
      </w:pPr>
      <w:r>
        <w:rPr>
          <w:rFonts w:hint="eastAsia" w:ascii="宋体" w:hAnsi="宋体" w:eastAsia="宋体" w:cs="宋体"/>
          <w:sz w:val="24"/>
          <w:szCs w:val="24"/>
          <w:highlight w:val="none"/>
        </w:rPr>
        <w:t xml:space="preserve">法定代表人或</w:t>
      </w:r>
      <w:r>
        <w:rPr>
          <w:rFonts w:hint="eastAsia" w:ascii="宋体" w:hAnsi="宋体" w:cs="宋体"/>
          <w:sz w:val="24"/>
          <w:szCs w:val="24"/>
          <w:highlight w:val="none"/>
          <w:lang w:val="en-US" w:eastAsia="zh-CN"/>
        </w:rPr>
        <w:t xml:space="preserve">单位</w:t>
      </w:r>
      <w:r>
        <w:rPr>
          <w:rFonts w:hint="eastAsia" w:ascii="宋体" w:hAnsi="宋体" w:eastAsia="宋体" w:cs="宋体"/>
          <w:sz w:val="24"/>
          <w:szCs w:val="24"/>
          <w:highlight w:val="none"/>
          <w:lang w:val="en-US" w:eastAsia="zh-CN"/>
        </w:rPr>
        <w:t xml:space="preserve">负责</w:t>
      </w:r>
      <w:r>
        <w:rPr>
          <w:rFonts w:hint="eastAsia" w:ascii="宋体" w:hAnsi="宋体" w:eastAsia="宋体" w:cs="宋体"/>
          <w:sz w:val="24"/>
          <w:szCs w:val="24"/>
          <w:highlight w:val="none"/>
        </w:rPr>
        <w:t xml:space="preserve">人（签字或盖章）</w:t>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cs="宋体"/>
          <w:b/>
          <w:bCs/>
          <w:sz w:val="24"/>
          <w:szCs w:val="20"/>
          <w:highlight w:val="none"/>
          <w:lang w:val="en-US" w:eastAsia="zh-CN"/>
        </w:rPr>
      </w:pPr>
      <w:r>
        <w:rPr>
          <w:rFonts w:hint="eastAsia" w:ascii="宋体" w:hAnsi="宋体" w:cs="宋体"/>
          <w:b/>
          <w:bCs/>
          <w:sz w:val="24"/>
          <w:szCs w:val="20"/>
          <w:highlight w:val="none"/>
          <w:lang w:val="en-US" w:eastAsia="zh-CN"/>
        </w:rPr>
        <w:t xml:space="preserve">14承诺函</w:t>
      </w:r>
      <w:r/>
    </w:p>
    <w:p>
      <w:pPr>
        <w:jc w:val="center"/>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t xml:space="preserve">承诺函</w:t>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常州市第二人民医院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w:t>
      </w:r>
      <w:r/>
    </w:p>
    <w:p>
      <w:pPr>
        <w:spacing w:line="360" w:lineRule="auto"/>
        <w:rPr>
          <w:rFonts w:hint="default" w:ascii="宋体" w:hAnsi="宋体" w:cs="宋体"/>
          <w:b/>
          <w:bCs/>
          <w:sz w:val="24"/>
          <w:szCs w:val="20"/>
          <w:highlight w:val="none"/>
          <w:lang w:val="en-US" w:eastAsia="zh-CN"/>
        </w:rPr>
      </w:pPr>
      <w:r>
        <w:rPr>
          <w:rFonts w:hint="default" w:ascii="宋体" w:hAnsi="宋体" w:cs="宋体"/>
          <w:b/>
          <w:bCs/>
          <w:sz w:val="24"/>
          <w:szCs w:val="20"/>
          <w:highlight w:val="none"/>
          <w:lang w:val="en-US" w:eastAsia="zh-CN"/>
        </w:rPr>
      </w:r>
      <w:r/>
    </w:p>
    <w:p>
      <w:pPr>
        <w:ind w:firstLine="480"/>
        <w:spacing w:line="360" w:lineRule="auto"/>
        <w:widowControl/>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本</w:t>
      </w:r>
      <w:r>
        <w:rPr>
          <w:rFonts w:hint="eastAsia" w:ascii="宋体" w:hAnsi="宋体" w:cs="宋体"/>
          <w:color w:val="000000"/>
          <w:sz w:val="24"/>
          <w:szCs w:val="24"/>
          <w:highlight w:val="none"/>
          <w:lang w:eastAsia="zh-CN"/>
        </w:rPr>
        <w:t xml:space="preserve">投标人承诺：完全响应</w:t>
      </w:r>
      <w:r>
        <w:rPr>
          <w:rFonts w:hint="eastAsia" w:ascii="宋体" w:hAnsi="宋体" w:cs="宋体"/>
          <w:color w:val="000000"/>
          <w:sz w:val="24"/>
          <w:szCs w:val="24"/>
          <w:highlight w:val="none"/>
          <w:lang w:val="en-US" w:eastAsia="zh-CN"/>
        </w:rPr>
        <w:t xml:space="preserve">本项目采购文件第五章“采购需求”第二条项目内容及要求中第（五）款“主要承保条件”</w:t>
      </w:r>
      <w:r>
        <w:rPr>
          <w:rFonts w:hint="eastAsia" w:ascii="宋体" w:hAnsi="宋体" w:cs="宋体"/>
          <w:color w:val="000000"/>
          <w:sz w:val="24"/>
          <w:szCs w:val="24"/>
          <w:highlight w:val="none"/>
          <w:lang w:eastAsia="zh-CN"/>
        </w:rPr>
        <w:t xml:space="preserve">。</w:t>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投标人名称（公章）：</w:t>
      </w:r>
      <w:r/>
    </w:p>
    <w:p>
      <w:pPr>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法定代表人或</w:t>
      </w:r>
      <w:r>
        <w:rPr>
          <w:rFonts w:hint="eastAsia" w:ascii="宋体" w:hAnsi="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lang w:val="en-US" w:eastAsia="zh-CN"/>
        </w:rPr>
        <w:t xml:space="preserve">负责</w:t>
      </w:r>
      <w:r>
        <w:rPr>
          <w:rFonts w:hint="eastAsia" w:ascii="宋体" w:hAnsi="宋体" w:eastAsia="宋体" w:cs="宋体"/>
          <w:color w:val="000000"/>
          <w:sz w:val="24"/>
          <w:szCs w:val="24"/>
          <w:highlight w:val="none"/>
          <w:lang w:eastAsia="zh-CN"/>
        </w:rPr>
        <w:t xml:space="preserve">人（签字或盖章）：</w:t>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r>
      <w:r/>
    </w:p>
    <w:p>
      <w:pPr>
        <w:spacing w:line="360" w:lineRule="auto"/>
        <w:rPr>
          <w:rFonts w:hint="eastAsia" w:ascii="宋体" w:hAnsi="宋体" w:eastAsia="宋体" w:cs="宋体"/>
          <w:b/>
          <w:bCs/>
          <w:highlight w:val="none"/>
        </w:rPr>
      </w:pPr>
      <w:r>
        <w:rPr>
          <w:rFonts w:hint="eastAsia" w:ascii="宋体" w:hAnsi="宋体" w:eastAsia="宋体" w:cs="宋体"/>
          <w:b/>
          <w:bCs/>
          <w:sz w:val="24"/>
          <w:szCs w:val="20"/>
          <w:highlight w:val="none"/>
          <w:lang w:val="en-US" w:eastAsia="zh-CN"/>
        </w:rPr>
        <w:t xml:space="preserve">1</w:t>
      </w:r>
      <w:r>
        <w:rPr>
          <w:rFonts w:hint="eastAsia" w:ascii="宋体" w:hAnsi="宋体" w:cs="宋体"/>
          <w:b/>
          <w:bCs/>
          <w:sz w:val="24"/>
          <w:szCs w:val="20"/>
          <w:highlight w:val="none"/>
          <w:lang w:val="en-US" w:eastAsia="zh-CN"/>
        </w:rPr>
        <w:t xml:space="preserve">5</w:t>
      </w:r>
      <w:r>
        <w:rPr>
          <w:rFonts w:hint="eastAsia" w:ascii="宋体" w:hAnsi="宋体" w:eastAsia="宋体" w:cs="宋体"/>
          <w:b/>
          <w:bCs/>
          <w:sz w:val="24"/>
          <w:szCs w:val="20"/>
          <w:highlight w:val="none"/>
        </w:rPr>
        <w:t xml:space="preserve">  </w:t>
      </w:r>
      <w:r>
        <w:rPr>
          <w:rFonts w:hint="eastAsia" w:ascii="宋体" w:hAnsi="宋体" w:eastAsia="宋体" w:cs="宋体"/>
          <w:b/>
          <w:bCs/>
          <w:sz w:val="24"/>
          <w:szCs w:val="20"/>
          <w:highlight w:val="none"/>
          <w:lang w:val="en-US" w:eastAsia="zh-CN"/>
        </w:rPr>
        <w:t xml:space="preserve">招标</w:t>
      </w:r>
      <w:r>
        <w:rPr>
          <w:rFonts w:hint="eastAsia" w:ascii="宋体" w:hAnsi="宋体" w:eastAsia="宋体" w:cs="宋体"/>
          <w:b/>
          <w:bCs/>
          <w:sz w:val="24"/>
          <w:szCs w:val="20"/>
          <w:highlight w:val="none"/>
        </w:rPr>
        <w:t xml:space="preserve">文件要求提供或</w:t>
      </w:r>
      <w:r>
        <w:rPr>
          <w:rFonts w:hint="eastAsia" w:ascii="宋体" w:hAnsi="宋体" w:eastAsia="宋体" w:cs="宋体"/>
          <w:b/>
          <w:bCs/>
          <w:sz w:val="24"/>
          <w:szCs w:val="20"/>
          <w:highlight w:val="none"/>
          <w:lang w:val="en-US" w:eastAsia="zh-CN"/>
        </w:rPr>
        <w:t xml:space="preserve">投标人</w:t>
      </w:r>
      <w:r>
        <w:rPr>
          <w:rFonts w:hint="eastAsia" w:ascii="宋体" w:hAnsi="宋体" w:eastAsia="宋体" w:cs="宋体"/>
          <w:b/>
          <w:bCs/>
          <w:sz w:val="24"/>
          <w:szCs w:val="20"/>
          <w:highlight w:val="none"/>
        </w:rPr>
        <w:t xml:space="preserve">认为应附的其他材料</w:t>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t xml:space="preserve">*本招标文件的最终解释权归江苏常信保险经纪有限公司所有*</w:t>
      </w:r>
      <w:r/>
    </w:p>
    <w:p>
      <w:pPr>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xml:space="preserve">（全文完）</w:t>
      </w:r>
      <w:r/>
    </w:p>
    <w:p>
      <w:pPr>
        <w:jc w:val="both"/>
        <w:rPr>
          <w:rFonts w:hint="eastAsia" w:ascii="宋体" w:hAnsi="宋体" w:eastAsia="宋体" w:cs="宋体"/>
          <w:b/>
          <w:sz w:val="32"/>
          <w:highlight w:val="none"/>
          <w:lang w:val="en-US" w:eastAsia="zh-CN"/>
        </w:rPr>
      </w:pPr>
      <w:r>
        <w:rPr>
          <w:rFonts w:hint="eastAsia" w:ascii="宋体" w:hAnsi="宋体" w:eastAsia="宋体" w:cs="宋体"/>
          <w:b/>
          <w:sz w:val="32"/>
          <w:highlight w:val="none"/>
          <w:lang w:val="en-US" w:eastAsia="zh-CN"/>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FangSong">
    <w:panose1 w:val="02010609060101010101"/>
  </w:font>
  <w:font w:name="Wingdings">
    <w:panose1 w:val="05000000000000000000"/>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ind w:right="360"/>
      <w:rPr>
        <w:rStyle w:val="1109"/>
      </w:rPr>
      <w:framePr w:wrap="around" w:vAnchor="text" w:hAnchor="margin" w:y="1"/>
    </w:pPr>
    <w:r/>
    <w:r/>
  </w:p>
  <w:p>
    <w:pPr>
      <w:pStyle w:val="1086"/>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109"/>
      </w:rPr>
      <w:framePr w:wrap="around" w:vAnchor="text" w:hAnchor="margin" w:xAlign="center" w:y="1"/>
    </w:pPr>
    <w:r>
      <w:fldChar w:fldCharType="begin"/>
    </w:r>
    <w:r>
      <w:rPr>
        <w:rStyle w:val="1109"/>
      </w:rPr>
      <w:instrText xml:space="preserve">PAGE  </w:instrText>
    </w:r>
    <w:r>
      <w:fldChar w:fldCharType="end"/>
    </w:r>
    <w:r/>
  </w:p>
  <w:p>
    <w:pPr>
      <w:pStyle w:val="108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109"/>
      </w:rPr>
      <w:framePr w:wrap="around" w:vAnchor="text" w:hAnchor="margin" w:xAlign="right" w:y="1"/>
    </w:pPr>
    <w:r/>
    <w:r/>
  </w:p>
  <w:p>
    <w:pPr>
      <w:pStyle w:val="1086"/>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29</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109"/>
      </w:rPr>
      <w:framePr w:wrap="around" w:vAnchor="text" w:hAnchor="margin" w:xAlign="right" w:y="1"/>
    </w:pPr>
    <w:r>
      <w:rPr>
        <w:rStyle w:val="1109"/>
      </w:rPr>
      <w:fldChar w:fldCharType="begin"/>
    </w:r>
    <w:r>
      <w:rPr>
        <w:rStyle w:val="1109"/>
      </w:rPr>
      <w:instrText xml:space="preserve">PAGE  </w:instrText>
    </w:r>
    <w:r>
      <w:rPr>
        <w:rStyle w:val="1109"/>
      </w:rPr>
      <w:fldChar w:fldCharType="end"/>
    </w:r>
    <w:r/>
  </w:p>
  <w:p>
    <w:pPr>
      <w:pStyle w:val="1086"/>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109"/>
      </w:rPr>
      <w:framePr w:wrap="around" w:vAnchor="text" w:hAnchor="margin" w:xAlign="right" w:y="1"/>
    </w:pPr>
    <w:r>
      <w:rPr>
        <w:rStyle w:val="1109"/>
      </w:rPr>
      <w:fldChar w:fldCharType="begin"/>
    </w:r>
    <w:r>
      <w:rPr>
        <w:rStyle w:val="1109"/>
      </w:rPr>
      <w:instrText xml:space="preserve">PAGE  </w:instrText>
    </w:r>
    <w:r>
      <w:rPr>
        <w:rStyle w:val="1109"/>
      </w:rPr>
      <w:fldChar w:fldCharType="end"/>
    </w:r>
    <w:r/>
  </w:p>
  <w:p>
    <w:pPr>
      <w:pStyle w:val="1086"/>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right"/>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9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pStyle w:val="113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3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7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7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83"/>
      <w:isLgl w:val="false"/>
      <w:suff w:val="nothing"/>
      <w:lvlText w:val="%1.%2.%3.%4.%5.%6　"/>
      <w:lvlJc w:val="left"/>
      <w:pPr>
        <w:ind w:left="-25" w:firstLine="0"/>
      </w:pPr>
      <w:rPr>
        <w:rFonts w:ascii="Times New Roman" w:hAnsi="Times New Roman" w:eastAsia="宋体"/>
        <w:b/>
        <w:i w:val="0"/>
        <w:sz w:val="28"/>
      </w:rPr>
    </w:lvl>
    <w:lvl w:ilvl="6">
      <w:start w:val="1"/>
      <w:numFmt w:val="lowerLetter"/>
      <w:pStyle w:val="119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14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lowerLetter"/>
      <w:pStyle w:val="122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2">
    <w:multiLevelType w:val="hybridMultilevel"/>
    <w:lvl w:ilvl="0">
      <w:start w:val="1"/>
      <w:numFmt w:val="decimal"/>
      <w:pStyle w:val="1245"/>
      <w:isLgl w:val="false"/>
      <w:suff w:val="tab"/>
      <w:lvlText w:val="%1"/>
      <w:lvlJc w:val="left"/>
      <w:pPr>
        <w:ind w:left="680" w:hanging="680"/>
      </w:pPr>
      <w:rPr>
        <w:rFonts w:hint="eastAsia" w:ascii="宋体" w:hAnsi="宋体" w:eastAsia="宋体"/>
      </w:rPr>
    </w:lvl>
    <w:lvl w:ilvl="1">
      <w:start w:val="1"/>
      <w:numFmt w:val="decimal"/>
      <w:pStyle w:val="1246"/>
      <w:isLgl w:val="false"/>
      <w:suff w:val="tab"/>
      <w:lvlText w:val="%1.%2"/>
      <w:lvlJc w:val="left"/>
      <w:pPr>
        <w:ind w:left="851" w:hanging="851"/>
      </w:pPr>
      <w:rPr>
        <w:rFonts w:hint="eastAsia" w:ascii="宋体" w:hAnsi="宋体" w:eastAsia="宋体"/>
        <w:color w:val="000000"/>
      </w:rPr>
    </w:lvl>
    <w:lvl w:ilvl="2">
      <w:start w:val="1"/>
      <w:numFmt w:val="decimal"/>
      <w:pStyle w:val="124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3">
    <w:multiLevelType w:val="hybridMultilevel"/>
    <w:lvl w:ilvl="0">
      <w:start w:val="1"/>
      <w:numFmt w:val="decimal"/>
      <w:pStyle w:val="114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10"/>
  </w:num>
  <w:num w:numId="3">
    <w:abstractNumId w:val="13"/>
  </w:num>
  <w:num w:numId="4">
    <w:abstractNumId w:val="6"/>
  </w:num>
  <w:num w:numId="5">
    <w:abstractNumId w:val="0"/>
  </w:num>
  <w:num w:numId="6">
    <w:abstractNumId w:val="11"/>
  </w:num>
  <w:num w:numId="7">
    <w:abstractNumId w:val="12"/>
  </w:num>
  <w:num w:numId="8">
    <w:abstractNumId w:val="1"/>
  </w:num>
  <w:num w:numId="9">
    <w:abstractNumId w:val="5"/>
  </w:num>
  <w:num w:numId="10">
    <w:abstractNumId w:val="8"/>
  </w:num>
  <w:num w:numId="11">
    <w:abstractNumId w:val="4"/>
  </w:num>
  <w:num w:numId="12">
    <w:abstractNumId w:val="9"/>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default="1">
    <w:name w:val="Normal"/>
    <w:link w:val="12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1">
    <w:name w:val="Heading 1"/>
    <w:basedOn w:val="850"/>
    <w:next w:val="850"/>
    <w:link w:val="889"/>
    <w:uiPriority w:val="9"/>
    <w:qFormat/>
    <w:pPr>
      <w:keepLines/>
      <w:keepNext/>
      <w:spacing w:before="480" w:after="200"/>
      <w:outlineLvl w:val="0"/>
    </w:pPr>
    <w:rPr>
      <w:rFonts w:ascii="Arial" w:hAnsi="Arial" w:eastAsia="Arial" w:cs="Arial"/>
      <w:sz w:val="40"/>
      <w:szCs w:val="40"/>
    </w:rPr>
  </w:style>
  <w:style w:type="paragraph" w:styleId="852">
    <w:name w:val="Heading 2"/>
    <w:basedOn w:val="850"/>
    <w:next w:val="862"/>
    <w:link w:val="890"/>
    <w:uiPriority w:val="9"/>
    <w:unhideWhenUsed/>
    <w:qFormat/>
    <w:pPr>
      <w:keepLines/>
      <w:keepNext/>
      <w:spacing w:before="360" w:after="200"/>
      <w:outlineLvl w:val="1"/>
    </w:pPr>
    <w:rPr>
      <w:rFonts w:ascii="Arial" w:hAnsi="Arial" w:eastAsia="Arial" w:cs="Arial"/>
      <w:sz w:val="34"/>
    </w:rPr>
  </w:style>
  <w:style w:type="paragraph" w:styleId="853">
    <w:name w:val="Heading 3"/>
    <w:basedOn w:val="850"/>
    <w:next w:val="850"/>
    <w:link w:val="891"/>
    <w:uiPriority w:val="9"/>
    <w:unhideWhenUsed/>
    <w:qFormat/>
    <w:pPr>
      <w:keepLines/>
      <w:keepNext/>
      <w:spacing w:before="320" w:after="200"/>
      <w:outlineLvl w:val="2"/>
    </w:pPr>
    <w:rPr>
      <w:rFonts w:ascii="Arial" w:hAnsi="Arial" w:eastAsia="Arial" w:cs="Arial"/>
      <w:sz w:val="30"/>
      <w:szCs w:val="30"/>
    </w:rPr>
  </w:style>
  <w:style w:type="paragraph" w:styleId="854">
    <w:name w:val="Heading 4"/>
    <w:basedOn w:val="850"/>
    <w:next w:val="850"/>
    <w:link w:val="892"/>
    <w:uiPriority w:val="9"/>
    <w:unhideWhenUsed/>
    <w:qFormat/>
    <w:pPr>
      <w:keepLines/>
      <w:keepNext/>
      <w:spacing w:before="320" w:after="200"/>
      <w:outlineLvl w:val="3"/>
    </w:pPr>
    <w:rPr>
      <w:rFonts w:ascii="Arial" w:hAnsi="Arial" w:eastAsia="Arial" w:cs="Arial"/>
      <w:b/>
      <w:bCs/>
      <w:sz w:val="26"/>
      <w:szCs w:val="26"/>
    </w:rPr>
  </w:style>
  <w:style w:type="paragraph" w:styleId="855">
    <w:name w:val="Heading 5"/>
    <w:basedOn w:val="850"/>
    <w:next w:val="850"/>
    <w:link w:val="893"/>
    <w:uiPriority w:val="9"/>
    <w:unhideWhenUsed/>
    <w:qFormat/>
    <w:pPr>
      <w:keepLines/>
      <w:keepNext/>
      <w:spacing w:before="320" w:after="200"/>
      <w:outlineLvl w:val="4"/>
    </w:pPr>
    <w:rPr>
      <w:rFonts w:ascii="Arial" w:hAnsi="Arial" w:eastAsia="Arial" w:cs="Arial"/>
      <w:b/>
      <w:bCs/>
      <w:sz w:val="24"/>
      <w:szCs w:val="24"/>
    </w:rPr>
  </w:style>
  <w:style w:type="paragraph" w:styleId="856">
    <w:name w:val="Heading 6"/>
    <w:basedOn w:val="850"/>
    <w:next w:val="850"/>
    <w:link w:val="894"/>
    <w:uiPriority w:val="9"/>
    <w:unhideWhenUsed/>
    <w:qFormat/>
    <w:pPr>
      <w:keepLines/>
      <w:keepNext/>
      <w:spacing w:before="320" w:after="200"/>
      <w:outlineLvl w:val="5"/>
    </w:pPr>
    <w:rPr>
      <w:rFonts w:ascii="Arial" w:hAnsi="Arial" w:eastAsia="Arial" w:cs="Arial"/>
      <w:b/>
      <w:bCs/>
      <w:sz w:val="22"/>
      <w:szCs w:val="22"/>
    </w:rPr>
  </w:style>
  <w:style w:type="paragraph" w:styleId="857">
    <w:name w:val="Heading 7"/>
    <w:basedOn w:val="850"/>
    <w:next w:val="850"/>
    <w:link w:val="895"/>
    <w:uiPriority w:val="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link w:val="896"/>
    <w:uiPriority w:val="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link w:val="897"/>
    <w:uiPriority w:val="9"/>
    <w:unhideWhenUsed/>
    <w:qFormat/>
    <w:pPr>
      <w:keepLines/>
      <w:keepNext/>
      <w:spacing w:before="320" w:after="200"/>
      <w:outlineLvl w:val="8"/>
    </w:pPr>
    <w:rPr>
      <w:rFonts w:ascii="Arial" w:hAnsi="Arial" w:eastAsia="Arial" w:cs="Arial"/>
      <w:i/>
      <w:iCs/>
      <w:sz w:val="21"/>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Normal Indent"/>
    <w:basedOn w:val="850"/>
    <w:uiPriority w:val="0"/>
    <w:qFormat/>
    <w:pPr>
      <w:ind w:firstLine="420"/>
      <w:jc w:val="left"/>
    </w:pPr>
    <w:rPr>
      <w:rFonts w:ascii="宋体"/>
      <w:sz w:val="24"/>
    </w:rPr>
  </w:style>
  <w:style w:type="paragraph" w:styleId="863">
    <w:name w:val="toc 7"/>
    <w:basedOn w:val="850"/>
    <w:next w:val="850"/>
    <w:uiPriority w:val="39"/>
    <w:unhideWhenUsed/>
    <w:qFormat/>
    <w:pPr>
      <w:ind w:left="1701" w:right="0" w:firstLine="0"/>
      <w:spacing w:after="57"/>
    </w:pPr>
  </w:style>
  <w:style w:type="paragraph" w:styleId="864">
    <w:name w:val="Caption"/>
    <w:basedOn w:val="850"/>
    <w:next w:val="8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5">
    <w:name w:val="annotation text"/>
    <w:basedOn w:val="850"/>
    <w:uiPriority w:val="0"/>
    <w:qFormat/>
    <w:pPr>
      <w:jc w:val="left"/>
    </w:pPr>
  </w:style>
  <w:style w:type="paragraph" w:styleId="866">
    <w:name w:val="Body Text"/>
    <w:basedOn w:val="850"/>
    <w:next w:val="850"/>
    <w:uiPriority w:val="0"/>
    <w:qFormat/>
    <w:pPr>
      <w:spacing w:before="120" w:line="22" w:lineRule="atLeast"/>
      <w:tabs>
        <w:tab w:val="left" w:pos="567" w:leader="none"/>
      </w:tabs>
    </w:pPr>
    <w:rPr>
      <w:rFonts w:ascii="宋体" w:hAnsi="宋体"/>
      <w:sz w:val="24"/>
    </w:rPr>
  </w:style>
  <w:style w:type="paragraph" w:styleId="867">
    <w:name w:val="Body Text Indent"/>
    <w:basedOn w:val="850"/>
    <w:next w:val="850"/>
    <w:uiPriority w:val="0"/>
    <w:qFormat/>
    <w:pPr>
      <w:ind w:firstLine="570"/>
      <w:spacing w:line="360" w:lineRule="auto"/>
    </w:pPr>
    <w:rPr>
      <w:sz w:val="24"/>
    </w:rPr>
  </w:style>
  <w:style w:type="paragraph" w:styleId="868">
    <w:name w:val="toc 5"/>
    <w:basedOn w:val="850"/>
    <w:next w:val="850"/>
    <w:uiPriority w:val="39"/>
    <w:unhideWhenUsed/>
    <w:qFormat/>
    <w:pPr>
      <w:ind w:left="1134" w:right="0" w:firstLine="0"/>
      <w:spacing w:after="57"/>
    </w:pPr>
  </w:style>
  <w:style w:type="paragraph" w:styleId="869">
    <w:name w:val="toc 3"/>
    <w:basedOn w:val="850"/>
    <w:next w:val="850"/>
    <w:uiPriority w:val="39"/>
    <w:unhideWhenUsed/>
    <w:qFormat/>
    <w:pPr>
      <w:ind w:left="567" w:right="0" w:firstLine="0"/>
      <w:spacing w:after="57"/>
    </w:pPr>
  </w:style>
  <w:style w:type="paragraph" w:styleId="870">
    <w:name w:val="toc 8"/>
    <w:basedOn w:val="850"/>
    <w:next w:val="850"/>
    <w:uiPriority w:val="39"/>
    <w:unhideWhenUsed/>
    <w:qFormat/>
    <w:pPr>
      <w:ind w:left="1984" w:right="0" w:firstLine="0"/>
      <w:spacing w:after="57"/>
    </w:pPr>
  </w:style>
  <w:style w:type="paragraph" w:styleId="871">
    <w:name w:val="endnote text"/>
    <w:basedOn w:val="850"/>
    <w:link w:val="1035"/>
    <w:uiPriority w:val="99"/>
    <w:semiHidden/>
    <w:unhideWhenUsed/>
    <w:qFormat/>
    <w:pPr>
      <w:spacing w:after="0" w:line="240" w:lineRule="auto"/>
    </w:pPr>
    <w:rPr>
      <w:sz w:val="20"/>
    </w:rPr>
  </w:style>
  <w:style w:type="paragraph" w:styleId="872">
    <w:name w:val="Footer"/>
    <w:basedOn w:val="850"/>
    <w:link w:val="908"/>
    <w:uiPriority w:val="99"/>
    <w:unhideWhenUsed/>
    <w:qFormat/>
    <w:pPr>
      <w:spacing w:after="0" w:line="240" w:lineRule="auto"/>
      <w:tabs>
        <w:tab w:val="center" w:pos="7143" w:leader="none"/>
        <w:tab w:val="right" w:pos="14287" w:leader="none"/>
      </w:tabs>
    </w:pPr>
  </w:style>
  <w:style w:type="paragraph" w:styleId="873">
    <w:name w:val="Header"/>
    <w:basedOn w:val="850"/>
    <w:link w:val="906"/>
    <w:uiPriority w:val="99"/>
    <w:unhideWhenUsed/>
    <w:qFormat/>
    <w:pPr>
      <w:spacing w:after="0" w:line="240" w:lineRule="auto"/>
      <w:tabs>
        <w:tab w:val="center" w:pos="7143" w:leader="none"/>
        <w:tab w:val="right" w:pos="14287" w:leader="none"/>
      </w:tabs>
    </w:pPr>
  </w:style>
  <w:style w:type="paragraph" w:styleId="874">
    <w:name w:val="toc 1"/>
    <w:basedOn w:val="850"/>
    <w:next w:val="850"/>
    <w:uiPriority w:val="39"/>
    <w:unhideWhenUsed/>
    <w:qFormat/>
    <w:pPr>
      <w:ind w:left="0" w:right="0" w:firstLine="0"/>
      <w:spacing w:after="57"/>
    </w:pPr>
  </w:style>
  <w:style w:type="paragraph" w:styleId="875">
    <w:name w:val="toc 4"/>
    <w:basedOn w:val="850"/>
    <w:next w:val="850"/>
    <w:uiPriority w:val="39"/>
    <w:unhideWhenUsed/>
    <w:qFormat/>
    <w:pPr>
      <w:ind w:left="850" w:right="0" w:firstLine="0"/>
      <w:spacing w:after="57"/>
    </w:pPr>
  </w:style>
  <w:style w:type="paragraph" w:styleId="876">
    <w:name w:val="Subtitle"/>
    <w:basedOn w:val="850"/>
    <w:next w:val="850"/>
    <w:link w:val="901"/>
    <w:uiPriority w:val="11"/>
    <w:qFormat/>
    <w:pPr>
      <w:spacing w:before="200" w:after="200"/>
    </w:pPr>
    <w:rPr>
      <w:sz w:val="24"/>
      <w:szCs w:val="24"/>
    </w:rPr>
  </w:style>
  <w:style w:type="paragraph" w:styleId="877">
    <w:name w:val="footnote text"/>
    <w:basedOn w:val="850"/>
    <w:link w:val="1034"/>
    <w:uiPriority w:val="99"/>
    <w:semiHidden/>
    <w:unhideWhenUsed/>
    <w:qFormat/>
    <w:pPr>
      <w:spacing w:after="40" w:line="240" w:lineRule="auto"/>
    </w:pPr>
    <w:rPr>
      <w:sz w:val="18"/>
    </w:rPr>
  </w:style>
  <w:style w:type="paragraph" w:styleId="878">
    <w:name w:val="toc 6"/>
    <w:basedOn w:val="850"/>
    <w:next w:val="850"/>
    <w:uiPriority w:val="39"/>
    <w:unhideWhenUsed/>
    <w:qFormat/>
    <w:pPr>
      <w:ind w:left="1417" w:right="0" w:firstLine="0"/>
      <w:spacing w:after="57"/>
    </w:pPr>
  </w:style>
  <w:style w:type="paragraph" w:styleId="879">
    <w:name w:val="table of figures"/>
    <w:basedOn w:val="850"/>
    <w:next w:val="850"/>
    <w:uiPriority w:val="99"/>
    <w:unhideWhenUsed/>
    <w:qFormat/>
    <w:pPr>
      <w:spacing w:after="0" w:afterAutospacing="0"/>
    </w:pPr>
  </w:style>
  <w:style w:type="paragraph" w:styleId="880">
    <w:name w:val="toc 2"/>
    <w:basedOn w:val="850"/>
    <w:next w:val="850"/>
    <w:uiPriority w:val="39"/>
    <w:unhideWhenUsed/>
    <w:qFormat/>
    <w:pPr>
      <w:ind w:left="283" w:right="0" w:firstLine="0"/>
      <w:spacing w:after="57"/>
    </w:pPr>
  </w:style>
  <w:style w:type="paragraph" w:styleId="881">
    <w:name w:val="toc 9"/>
    <w:basedOn w:val="850"/>
    <w:next w:val="850"/>
    <w:uiPriority w:val="39"/>
    <w:unhideWhenUsed/>
    <w:qFormat/>
    <w:pPr>
      <w:ind w:left="2268" w:right="0" w:firstLine="0"/>
      <w:spacing w:after="57"/>
    </w:pPr>
  </w:style>
  <w:style w:type="paragraph" w:styleId="882">
    <w:name w:val="Normal (Web)"/>
    <w:basedOn w:val="850"/>
    <w:uiPriority w:val="99"/>
    <w:semiHidden/>
    <w:unhideWhenUsed/>
    <w:qFormat/>
    <w:pPr>
      <w:ind w:left="0" w:right="0"/>
      <w:jc w:val="left"/>
      <w:spacing w:before="0" w:beforeAutospacing="1" w:after="0" w:afterAutospacing="1"/>
    </w:pPr>
    <w:rPr>
      <w:sz w:val="24"/>
      <w:lang w:val="en-US" w:eastAsia="zh-CN" w:bidi="ar"/>
    </w:rPr>
  </w:style>
  <w:style w:type="paragraph" w:styleId="883">
    <w:name w:val="Title"/>
    <w:basedOn w:val="850"/>
    <w:next w:val="850"/>
    <w:link w:val="900"/>
    <w:uiPriority w:val="10"/>
    <w:qFormat/>
    <w:pPr>
      <w:contextualSpacing/>
      <w:spacing w:before="300" w:after="200"/>
    </w:pPr>
    <w:rPr>
      <w:sz w:val="48"/>
      <w:szCs w:val="48"/>
    </w:rPr>
  </w:style>
  <w:style w:type="paragraph" w:styleId="884">
    <w:name w:val="Body Text First Indent 2"/>
    <w:basedOn w:val="867"/>
    <w:next w:val="850"/>
    <w:uiPriority w:val="0"/>
    <w:qFormat/>
    <w:pPr>
      <w:ind w:left="420" w:firstLine="420"/>
      <w:spacing w:after="120" w:line="480" w:lineRule="exact"/>
    </w:pPr>
    <w:rPr>
      <w:szCs w:val="20"/>
    </w:rPr>
  </w:style>
  <w:style w:type="table" w:styleId="8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endnote reference"/>
    <w:uiPriority w:val="99"/>
    <w:semiHidden/>
    <w:unhideWhenUsed/>
    <w:qFormat/>
    <w:rPr>
      <w:vertAlign w:val="superscript"/>
    </w:rPr>
  </w:style>
  <w:style w:type="character" w:styleId="887">
    <w:name w:val="Hyperlink"/>
    <w:uiPriority w:val="99"/>
    <w:unhideWhenUsed/>
    <w:qFormat/>
    <w:rPr>
      <w:color w:val="0000ff" w:themeColor="hyperlink"/>
      <w:u w:val="single"/>
      <w14:textFill>
        <w14:solidFill>
          <w14:schemeClr w14:val="hlink"/>
        </w14:solidFill>
      </w14:textFill>
    </w:rPr>
  </w:style>
  <w:style w:type="character" w:styleId="888">
    <w:name w:val="footnote reference"/>
    <w:uiPriority w:val="99"/>
    <w:unhideWhenUsed/>
    <w:qFormat/>
    <w:rPr>
      <w:vertAlign w:val="superscript"/>
    </w:rPr>
  </w:style>
  <w:style w:type="character" w:styleId="889" w:customStyle="1">
    <w:name w:val="Heading 1 Char"/>
    <w:link w:val="851"/>
    <w:uiPriority w:val="9"/>
    <w:qFormat/>
    <w:rPr>
      <w:rFonts w:ascii="Arial" w:hAnsi="Arial" w:eastAsia="Arial" w:cs="Arial"/>
      <w:sz w:val="40"/>
      <w:szCs w:val="40"/>
    </w:rPr>
  </w:style>
  <w:style w:type="character" w:styleId="890" w:customStyle="1">
    <w:name w:val="Heading 2 Char"/>
    <w:link w:val="852"/>
    <w:uiPriority w:val="9"/>
    <w:qFormat/>
    <w:rPr>
      <w:rFonts w:ascii="Arial" w:hAnsi="Arial" w:eastAsia="Arial" w:cs="Arial"/>
      <w:sz w:val="34"/>
    </w:rPr>
  </w:style>
  <w:style w:type="character" w:styleId="891" w:customStyle="1">
    <w:name w:val="Heading 3 Char"/>
    <w:link w:val="853"/>
    <w:uiPriority w:val="9"/>
    <w:qFormat/>
    <w:rPr>
      <w:rFonts w:ascii="Arial" w:hAnsi="Arial" w:eastAsia="Arial" w:cs="Arial"/>
      <w:sz w:val="30"/>
      <w:szCs w:val="30"/>
    </w:rPr>
  </w:style>
  <w:style w:type="character" w:styleId="892" w:customStyle="1">
    <w:name w:val="Heading 4 Char"/>
    <w:link w:val="854"/>
    <w:uiPriority w:val="9"/>
    <w:qFormat/>
    <w:rPr>
      <w:rFonts w:ascii="Arial" w:hAnsi="Arial" w:eastAsia="Arial" w:cs="Arial"/>
      <w:b/>
      <w:bCs/>
      <w:sz w:val="26"/>
      <w:szCs w:val="26"/>
    </w:rPr>
  </w:style>
  <w:style w:type="character" w:styleId="893" w:customStyle="1">
    <w:name w:val="Heading 5 Char"/>
    <w:link w:val="855"/>
    <w:uiPriority w:val="9"/>
    <w:qFormat/>
    <w:rPr>
      <w:rFonts w:ascii="Arial" w:hAnsi="Arial" w:eastAsia="Arial" w:cs="Arial"/>
      <w:b/>
      <w:bCs/>
      <w:sz w:val="24"/>
      <w:szCs w:val="24"/>
    </w:rPr>
  </w:style>
  <w:style w:type="character" w:styleId="894" w:customStyle="1">
    <w:name w:val="Heading 6 Char"/>
    <w:link w:val="856"/>
    <w:uiPriority w:val="9"/>
    <w:qFormat/>
    <w:rPr>
      <w:rFonts w:ascii="Arial" w:hAnsi="Arial" w:eastAsia="Arial" w:cs="Arial"/>
      <w:b/>
      <w:bCs/>
      <w:sz w:val="22"/>
      <w:szCs w:val="22"/>
    </w:rPr>
  </w:style>
  <w:style w:type="character" w:styleId="895" w:customStyle="1">
    <w:name w:val="Heading 7 Char"/>
    <w:link w:val="857"/>
    <w:uiPriority w:val="9"/>
    <w:qFormat/>
    <w:rPr>
      <w:rFonts w:ascii="Arial" w:hAnsi="Arial" w:eastAsia="Arial" w:cs="Arial"/>
      <w:b/>
      <w:bCs/>
      <w:i/>
      <w:iCs/>
      <w:sz w:val="22"/>
      <w:szCs w:val="22"/>
    </w:rPr>
  </w:style>
  <w:style w:type="character" w:styleId="896" w:customStyle="1">
    <w:name w:val="Heading 8 Char"/>
    <w:link w:val="858"/>
    <w:uiPriority w:val="9"/>
    <w:qFormat/>
    <w:rPr>
      <w:rFonts w:ascii="Arial" w:hAnsi="Arial" w:eastAsia="Arial" w:cs="Arial"/>
      <w:i/>
      <w:iCs/>
      <w:sz w:val="22"/>
      <w:szCs w:val="22"/>
    </w:rPr>
  </w:style>
  <w:style w:type="character" w:styleId="897" w:customStyle="1">
    <w:name w:val="Heading 9 Char"/>
    <w:link w:val="859"/>
    <w:uiPriority w:val="9"/>
    <w:qFormat/>
    <w:rPr>
      <w:rFonts w:ascii="Arial" w:hAnsi="Arial" w:eastAsia="Arial" w:cs="Arial"/>
      <w:i/>
      <w:iCs/>
      <w:sz w:val="21"/>
      <w:szCs w:val="21"/>
    </w:rPr>
  </w:style>
  <w:style w:type="paragraph" w:styleId="898">
    <w:name w:val="List Paragraph"/>
    <w:basedOn w:val="850"/>
    <w:uiPriority w:val="34"/>
    <w:qFormat/>
    <w:pPr>
      <w:contextualSpacing/>
      <w:ind w:left="720"/>
    </w:pPr>
  </w:style>
  <w:style w:type="paragraph" w:styleId="899">
    <w:name w:val="No Spacing"/>
    <w:uiPriority w:val="1"/>
    <w:qFormat/>
    <w:pPr>
      <w:spacing w:before="0" w:after="0" w:line="240" w:lineRule="auto"/>
    </w:pPr>
    <w:rPr>
      <w:rFonts w:hint="default" w:ascii="Times New Roman" w:hAnsi="Times New Roman" w:eastAsia="宋体" w:cs="Times New Roman"/>
    </w:rPr>
  </w:style>
  <w:style w:type="character" w:styleId="900" w:customStyle="1">
    <w:name w:val="Title Char"/>
    <w:link w:val="883"/>
    <w:uiPriority w:val="10"/>
    <w:qFormat/>
    <w:rPr>
      <w:sz w:val="48"/>
      <w:szCs w:val="48"/>
    </w:rPr>
  </w:style>
  <w:style w:type="character" w:styleId="901" w:customStyle="1">
    <w:name w:val="Subtitle Char"/>
    <w:link w:val="876"/>
    <w:uiPriority w:val="11"/>
    <w:qFormat/>
    <w:rPr>
      <w:sz w:val="24"/>
      <w:szCs w:val="24"/>
    </w:rPr>
  </w:style>
  <w:style w:type="paragraph" w:styleId="902">
    <w:name w:val="Quote"/>
    <w:basedOn w:val="850"/>
    <w:next w:val="850"/>
    <w:link w:val="903"/>
    <w:uiPriority w:val="29"/>
    <w:qFormat/>
    <w:pPr>
      <w:ind w:left="720" w:right="720"/>
    </w:pPr>
    <w:rPr>
      <w:i/>
    </w:rPr>
  </w:style>
  <w:style w:type="character" w:styleId="903" w:customStyle="1">
    <w:name w:val="Quote Char"/>
    <w:link w:val="902"/>
    <w:uiPriority w:val="29"/>
    <w:qFormat/>
    <w:rPr>
      <w:i/>
    </w:rPr>
  </w:style>
  <w:style w:type="paragraph" w:styleId="904">
    <w:name w:val="Intense Quote"/>
    <w:basedOn w:val="850"/>
    <w:next w:val="850"/>
    <w:link w:val="9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Intense Quote Char"/>
    <w:link w:val="904"/>
    <w:uiPriority w:val="30"/>
    <w:qFormat/>
    <w:rPr>
      <w:i/>
    </w:rPr>
  </w:style>
  <w:style w:type="character" w:styleId="906" w:customStyle="1">
    <w:name w:val="Header Char"/>
    <w:link w:val="873"/>
    <w:uiPriority w:val="99"/>
    <w:qFormat/>
  </w:style>
  <w:style w:type="character" w:styleId="907" w:customStyle="1">
    <w:name w:val="Footer Char"/>
    <w:link w:val="872"/>
    <w:uiPriority w:val="99"/>
    <w:qFormat/>
  </w:style>
  <w:style w:type="character" w:styleId="908" w:customStyle="1">
    <w:name w:val="Caption Char"/>
    <w:link w:val="872"/>
    <w:uiPriority w:val="99"/>
    <w:qFormat/>
  </w:style>
  <w:style w:type="table" w:styleId="9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4" w:customStyle="1">
    <w:name w:val="Footnote Text Char"/>
    <w:link w:val="877"/>
    <w:uiPriority w:val="99"/>
    <w:qFormat/>
    <w:rPr>
      <w:sz w:val="18"/>
    </w:rPr>
  </w:style>
  <w:style w:type="character" w:styleId="1035" w:customStyle="1">
    <w:name w:val="Endnote Text Char"/>
    <w:link w:val="871"/>
    <w:uiPriority w:val="99"/>
    <w:qFormat/>
    <w:rPr>
      <w:sz w:val="20"/>
    </w:rPr>
  </w:style>
  <w:style w:type="paragraph" w:styleId="1036" w:customStyle="1">
    <w:name w:val="TOC Heading"/>
    <w:uiPriority w:val="39"/>
    <w:unhideWhenUsed/>
    <w:qFormat/>
    <w:rPr>
      <w:rFonts w:hint="default" w:ascii="Times New Roman" w:hAnsi="Times New Roman" w:eastAsia="宋体" w:cs="Times New Roman"/>
    </w:rPr>
  </w:style>
  <w:style w:type="paragraph" w:styleId="1037" w:customStyle="1">
    <w:name w:val="标题 11"/>
    <w:basedOn w:val="850"/>
    <w:next w:val="850"/>
    <w:link w:val="1050"/>
    <w:uiPriority w:val="0"/>
    <w:qFormat/>
    <w:pPr>
      <w:jc w:val="center"/>
      <w:keepLines/>
      <w:keepNext/>
      <w:spacing w:before="240" w:after="120" w:line="300" w:lineRule="auto"/>
      <w:outlineLvl w:val="0"/>
    </w:pPr>
    <w:rPr>
      <w:rFonts w:ascii="宋体"/>
      <w:b/>
      <w:sz w:val="32"/>
      <w:szCs w:val="20"/>
    </w:rPr>
  </w:style>
  <w:style w:type="paragraph" w:styleId="1038" w:customStyle="1">
    <w:name w:val="标题 21"/>
    <w:basedOn w:val="850"/>
    <w:next w:val="1039"/>
    <w:link w:val="1051"/>
    <w:uiPriority w:val="0"/>
    <w:qFormat/>
    <w:pPr>
      <w:jc w:val="center"/>
      <w:keepLines/>
      <w:keepNext/>
      <w:spacing w:before="120" w:line="300" w:lineRule="auto"/>
      <w:outlineLvl w:val="1"/>
    </w:pPr>
    <w:rPr>
      <w:rFonts w:ascii="Arial" w:hAnsi="Arial" w:eastAsia="黑体"/>
      <w:b/>
      <w:sz w:val="30"/>
      <w:szCs w:val="20"/>
    </w:rPr>
  </w:style>
  <w:style w:type="paragraph" w:styleId="1039" w:customStyle="1">
    <w:name w:val="正文缩进111"/>
    <w:basedOn w:val="850"/>
    <w:uiPriority w:val="99"/>
    <w:qFormat/>
    <w:pPr>
      <w:ind w:firstLine="420"/>
      <w:jc w:val="left"/>
    </w:pPr>
    <w:rPr>
      <w:rFonts w:ascii="宋体"/>
      <w:sz w:val="24"/>
    </w:rPr>
  </w:style>
  <w:style w:type="paragraph" w:styleId="1040" w:customStyle="1">
    <w:name w:val="正文缩进11"/>
    <w:basedOn w:val="850"/>
    <w:link w:val="1052"/>
    <w:uiPriority w:val="99"/>
    <w:qFormat/>
    <w:pPr>
      <w:ind w:firstLine="420"/>
      <w:jc w:val="left"/>
    </w:pPr>
    <w:rPr>
      <w:rFonts w:ascii="宋体"/>
      <w:sz w:val="24"/>
    </w:rPr>
  </w:style>
  <w:style w:type="paragraph" w:styleId="1041" w:customStyle="1">
    <w:name w:val="标题 31"/>
    <w:basedOn w:val="850"/>
    <w:next w:val="1040"/>
    <w:link w:val="1053"/>
    <w:uiPriority w:val="0"/>
    <w:qFormat/>
    <w:pPr>
      <w:jc w:val="left"/>
      <w:keepLines/>
      <w:keepNext/>
      <w:spacing w:before="360" w:after="120"/>
      <w:outlineLvl w:val="2"/>
    </w:pPr>
    <w:rPr>
      <w:rFonts w:ascii="宋体"/>
      <w:b/>
      <w:sz w:val="24"/>
      <w:szCs w:val="20"/>
      <w:u w:val="single"/>
    </w:rPr>
  </w:style>
  <w:style w:type="paragraph" w:styleId="1042" w:customStyle="1">
    <w:name w:val="标题 41"/>
    <w:basedOn w:val="850"/>
    <w:next w:val="850"/>
    <w:link w:val="1054"/>
    <w:uiPriority w:val="0"/>
    <w:qFormat/>
    <w:pPr>
      <w:keepLines/>
      <w:keepNext/>
      <w:spacing w:before="280" w:after="290" w:line="376" w:lineRule="atLeast"/>
      <w:outlineLvl w:val="3"/>
    </w:pPr>
    <w:rPr>
      <w:rFonts w:ascii="Arial" w:hAnsi="Arial" w:eastAsia="黑体"/>
      <w:b/>
      <w:sz w:val="28"/>
      <w:szCs w:val="20"/>
    </w:rPr>
  </w:style>
  <w:style w:type="paragraph" w:styleId="1043" w:customStyle="1">
    <w:name w:val="标题 51"/>
    <w:basedOn w:val="850"/>
    <w:next w:val="850"/>
    <w:link w:val="1055"/>
    <w:uiPriority w:val="0"/>
    <w:qFormat/>
    <w:pPr>
      <w:keepLines/>
      <w:keepNext/>
      <w:spacing w:before="280" w:after="290" w:line="376" w:lineRule="atLeast"/>
      <w:outlineLvl w:val="4"/>
    </w:pPr>
    <w:rPr>
      <w:b/>
      <w:sz w:val="28"/>
      <w:szCs w:val="20"/>
    </w:rPr>
  </w:style>
  <w:style w:type="paragraph" w:styleId="1044" w:customStyle="1">
    <w:name w:val="标题 61"/>
    <w:basedOn w:val="850"/>
    <w:next w:val="850"/>
    <w:link w:val="1056"/>
    <w:uiPriority w:val="0"/>
    <w:qFormat/>
    <w:pPr>
      <w:keepLines/>
      <w:keepNext/>
      <w:spacing w:before="240" w:after="64" w:line="320" w:lineRule="atLeast"/>
      <w:outlineLvl w:val="5"/>
    </w:pPr>
    <w:rPr>
      <w:rFonts w:ascii="Arial" w:hAnsi="Arial" w:eastAsia="黑体"/>
      <w:b/>
      <w:sz w:val="24"/>
      <w:szCs w:val="20"/>
    </w:rPr>
  </w:style>
  <w:style w:type="paragraph" w:styleId="1045" w:customStyle="1">
    <w:name w:val="标题 71"/>
    <w:basedOn w:val="850"/>
    <w:next w:val="850"/>
    <w:link w:val="1057"/>
    <w:uiPriority w:val="0"/>
    <w:qFormat/>
    <w:pPr>
      <w:keepLines/>
      <w:keepNext/>
      <w:spacing w:before="240" w:after="64" w:line="320" w:lineRule="atLeast"/>
      <w:outlineLvl w:val="6"/>
    </w:pPr>
    <w:rPr>
      <w:b/>
      <w:sz w:val="24"/>
      <w:szCs w:val="20"/>
    </w:rPr>
  </w:style>
  <w:style w:type="paragraph" w:styleId="1046" w:customStyle="1">
    <w:name w:val="标题 81"/>
    <w:basedOn w:val="850"/>
    <w:next w:val="850"/>
    <w:link w:val="1058"/>
    <w:uiPriority w:val="0"/>
    <w:qFormat/>
    <w:pPr>
      <w:keepLines/>
      <w:keepNext/>
      <w:spacing w:before="240" w:after="64" w:line="320" w:lineRule="atLeast"/>
      <w:outlineLvl w:val="7"/>
    </w:pPr>
    <w:rPr>
      <w:rFonts w:ascii="Arial" w:hAnsi="Arial" w:eastAsia="黑体"/>
      <w:sz w:val="24"/>
      <w:szCs w:val="20"/>
    </w:rPr>
  </w:style>
  <w:style w:type="paragraph" w:styleId="1047" w:customStyle="1">
    <w:name w:val="标题 91"/>
    <w:basedOn w:val="850"/>
    <w:next w:val="850"/>
    <w:link w:val="1059"/>
    <w:uiPriority w:val="0"/>
    <w:qFormat/>
    <w:pPr>
      <w:keepLines/>
      <w:keepNext/>
      <w:spacing w:before="240" w:after="64" w:line="320" w:lineRule="atLeast"/>
      <w:outlineLvl w:val="8"/>
    </w:pPr>
    <w:rPr>
      <w:rFonts w:ascii="Arial" w:hAnsi="Arial" w:eastAsia="黑体"/>
      <w:szCs w:val="20"/>
    </w:rPr>
  </w:style>
  <w:style w:type="character" w:styleId="1048" w:customStyle="1">
    <w:name w:val="默认段落字体1"/>
    <w:link w:val="850"/>
    <w:uiPriority w:val="1"/>
    <w:unhideWhenUsed/>
    <w:qFormat/>
  </w:style>
  <w:style w:type="table" w:styleId="1049" w:customStyle="1">
    <w:name w:val="普通表格1"/>
    <w:uiPriority w:val="99"/>
    <w:unhideWhenUsed/>
    <w:qFormat/>
    <w:tblPr/>
  </w:style>
  <w:style w:type="character" w:styleId="1050" w:customStyle="1">
    <w:name w:val="标题 1 Char"/>
    <w:link w:val="1037"/>
    <w:uiPriority w:val="0"/>
    <w:qFormat/>
    <w:rPr>
      <w:rFonts w:ascii="宋体"/>
      <w:b/>
      <w:sz w:val="32"/>
    </w:rPr>
  </w:style>
  <w:style w:type="character" w:styleId="1051" w:customStyle="1">
    <w:name w:val="标题 2 Char1"/>
    <w:link w:val="1038"/>
    <w:uiPriority w:val="0"/>
    <w:qFormat/>
    <w:rPr>
      <w:rFonts w:ascii="Arial" w:hAnsi="Arial" w:eastAsia="黑体"/>
      <w:b/>
      <w:sz w:val="30"/>
      <w:lang w:val="en-US" w:eastAsia="zh-CN" w:bidi="ar-SA"/>
    </w:rPr>
  </w:style>
  <w:style w:type="character" w:styleId="1052" w:customStyle="1">
    <w:name w:val="正文缩进 Char1"/>
    <w:link w:val="1040"/>
    <w:uiPriority w:val="0"/>
    <w:qFormat/>
    <w:rPr>
      <w:rFonts w:ascii="宋体" w:eastAsia="宋体"/>
      <w:sz w:val="24"/>
      <w:szCs w:val="24"/>
      <w:lang w:val="en-US" w:eastAsia="zh-CN" w:bidi="ar-SA"/>
    </w:rPr>
  </w:style>
  <w:style w:type="character" w:styleId="1053" w:customStyle="1">
    <w:name w:val="标题 3 Char1"/>
    <w:link w:val="1041"/>
    <w:uiPriority w:val="0"/>
    <w:qFormat/>
    <w:rPr>
      <w:rFonts w:ascii="宋体" w:eastAsia="宋体"/>
      <w:b/>
      <w:sz w:val="24"/>
      <w:u w:val="single"/>
      <w:lang w:val="en-US" w:eastAsia="zh-CN" w:bidi="ar-SA"/>
    </w:rPr>
  </w:style>
  <w:style w:type="character" w:styleId="1054" w:customStyle="1">
    <w:name w:val="标题 4 Char"/>
    <w:link w:val="1042"/>
    <w:uiPriority w:val="0"/>
    <w:qFormat/>
    <w:rPr>
      <w:rFonts w:ascii="Arial" w:hAnsi="Arial" w:eastAsia="黑体"/>
      <w:b/>
      <w:sz w:val="28"/>
    </w:rPr>
  </w:style>
  <w:style w:type="character" w:styleId="1055" w:customStyle="1">
    <w:name w:val="标题 5 Char"/>
    <w:link w:val="1043"/>
    <w:uiPriority w:val="0"/>
    <w:qFormat/>
    <w:rPr>
      <w:b/>
      <w:sz w:val="28"/>
    </w:rPr>
  </w:style>
  <w:style w:type="character" w:styleId="1056" w:customStyle="1">
    <w:name w:val="标题 6 Char"/>
    <w:link w:val="1044"/>
    <w:uiPriority w:val="0"/>
    <w:qFormat/>
    <w:rPr>
      <w:rFonts w:ascii="Arial" w:hAnsi="Arial" w:eastAsia="黑体"/>
      <w:b/>
      <w:sz w:val="24"/>
    </w:rPr>
  </w:style>
  <w:style w:type="character" w:styleId="1057" w:customStyle="1">
    <w:name w:val="标题 7 Char"/>
    <w:link w:val="1045"/>
    <w:uiPriority w:val="0"/>
    <w:qFormat/>
    <w:rPr>
      <w:b/>
      <w:sz w:val="24"/>
    </w:rPr>
  </w:style>
  <w:style w:type="character" w:styleId="1058" w:customStyle="1">
    <w:name w:val="标题 8 Char"/>
    <w:link w:val="1046"/>
    <w:uiPriority w:val="0"/>
    <w:qFormat/>
    <w:rPr>
      <w:rFonts w:ascii="Arial" w:hAnsi="Arial" w:eastAsia="黑体"/>
      <w:sz w:val="24"/>
    </w:rPr>
  </w:style>
  <w:style w:type="character" w:styleId="1059" w:customStyle="1">
    <w:name w:val="标题 9 Char"/>
    <w:link w:val="1047"/>
    <w:uiPriority w:val="0"/>
    <w:qFormat/>
    <w:rPr>
      <w:rFonts w:ascii="Arial" w:hAnsi="Arial" w:eastAsia="黑体"/>
      <w:sz w:val="21"/>
    </w:rPr>
  </w:style>
  <w:style w:type="paragraph" w:styleId="1060" w:customStyle="1">
    <w:name w:val="目录 71"/>
    <w:basedOn w:val="850"/>
    <w:next w:val="850"/>
    <w:uiPriority w:val="0"/>
    <w:qFormat/>
    <w:pPr>
      <w:ind w:left="2520"/>
    </w:pPr>
  </w:style>
  <w:style w:type="paragraph" w:styleId="1061" w:customStyle="1">
    <w:name w:val="题注1"/>
    <w:basedOn w:val="850"/>
    <w:next w:val="850"/>
    <w:uiPriority w:val="0"/>
    <w:qFormat/>
    <w:pPr>
      <w:spacing w:line="480" w:lineRule="auto"/>
    </w:pPr>
    <w:rPr>
      <w:rFonts w:ascii="华文中宋" w:hAnsi="华文中宋" w:eastAsia="华文中宋"/>
      <w:sz w:val="36"/>
      <w:szCs w:val="20"/>
    </w:rPr>
  </w:style>
  <w:style w:type="paragraph" w:styleId="1062" w:customStyle="1">
    <w:name w:val="文档结构图1"/>
    <w:basedOn w:val="850"/>
    <w:link w:val="1063"/>
    <w:uiPriority w:val="0"/>
    <w:qFormat/>
    <w:pPr>
      <w:shd w:val="clear" w:color="auto" w:fill="000080"/>
    </w:pPr>
  </w:style>
  <w:style w:type="character" w:styleId="1063" w:customStyle="1">
    <w:name w:val="文档结构图 Char"/>
    <w:link w:val="1062"/>
    <w:uiPriority w:val="0"/>
    <w:qFormat/>
    <w:rPr>
      <w:sz w:val="21"/>
      <w:szCs w:val="24"/>
      <w:shd w:val="clear" w:color="auto" w:fill="000080"/>
    </w:rPr>
  </w:style>
  <w:style w:type="paragraph" w:styleId="1064" w:customStyle="1">
    <w:name w:val="批注文字1"/>
    <w:basedOn w:val="850"/>
    <w:link w:val="1065"/>
    <w:uiPriority w:val="99"/>
    <w:qFormat/>
    <w:pPr>
      <w:jc w:val="left"/>
    </w:pPr>
  </w:style>
  <w:style w:type="character" w:styleId="1065" w:customStyle="1">
    <w:name w:val="批注文字 Char1"/>
    <w:link w:val="1064"/>
    <w:uiPriority w:val="99"/>
    <w:qFormat/>
    <w:rPr>
      <w:sz w:val="21"/>
      <w:szCs w:val="24"/>
    </w:rPr>
  </w:style>
  <w:style w:type="paragraph" w:styleId="1066" w:customStyle="1">
    <w:name w:val="正文文本 31"/>
    <w:basedOn w:val="850"/>
    <w:link w:val="1067"/>
    <w:uiPriority w:val="0"/>
    <w:qFormat/>
    <w:pPr>
      <w:spacing w:after="120"/>
    </w:pPr>
    <w:rPr>
      <w:sz w:val="16"/>
      <w:szCs w:val="16"/>
    </w:rPr>
  </w:style>
  <w:style w:type="character" w:styleId="1067" w:customStyle="1">
    <w:name w:val="正文文本 3 Char"/>
    <w:link w:val="1066"/>
    <w:uiPriority w:val="0"/>
    <w:qFormat/>
    <w:rPr>
      <w:sz w:val="16"/>
      <w:szCs w:val="16"/>
    </w:rPr>
  </w:style>
  <w:style w:type="paragraph" w:styleId="1068" w:customStyle="1">
    <w:name w:val="正文文本1"/>
    <w:basedOn w:val="850"/>
    <w:link w:val="1069"/>
    <w:uiPriority w:val="0"/>
    <w:qFormat/>
    <w:pPr>
      <w:spacing w:before="120" w:line="22" w:lineRule="atLeast"/>
      <w:tabs>
        <w:tab w:val="left" w:pos="567" w:leader="none"/>
      </w:tabs>
    </w:pPr>
    <w:rPr>
      <w:rFonts w:ascii="宋体" w:hAnsi="宋体"/>
      <w:sz w:val="24"/>
    </w:rPr>
  </w:style>
  <w:style w:type="character" w:styleId="1069" w:customStyle="1">
    <w:name w:val="正文文本 Char"/>
    <w:link w:val="1068"/>
    <w:uiPriority w:val="0"/>
    <w:qFormat/>
    <w:rPr>
      <w:rFonts w:ascii="宋体" w:hAnsi="宋体"/>
      <w:sz w:val="24"/>
      <w:szCs w:val="24"/>
    </w:rPr>
  </w:style>
  <w:style w:type="paragraph" w:styleId="1070" w:customStyle="1">
    <w:name w:val="正文文本缩进11"/>
    <w:basedOn w:val="850"/>
    <w:link w:val="1071"/>
    <w:uiPriority w:val="0"/>
    <w:qFormat/>
    <w:pPr>
      <w:ind w:firstLine="570"/>
      <w:spacing w:line="360" w:lineRule="auto"/>
    </w:pPr>
    <w:rPr>
      <w:sz w:val="24"/>
    </w:rPr>
  </w:style>
  <w:style w:type="character" w:styleId="1071" w:customStyle="1">
    <w:name w:val="正文文本缩进 Char2"/>
    <w:link w:val="1070"/>
    <w:uiPriority w:val="0"/>
    <w:qFormat/>
    <w:rPr>
      <w:rFonts w:eastAsia="宋体"/>
      <w:sz w:val="24"/>
      <w:szCs w:val="24"/>
      <w:lang w:val="en-US" w:eastAsia="zh-CN" w:bidi="ar-SA"/>
    </w:rPr>
  </w:style>
  <w:style w:type="paragraph" w:styleId="1072" w:customStyle="1">
    <w:name w:val="列表 21"/>
    <w:basedOn w:val="850"/>
    <w:uiPriority w:val="0"/>
    <w:qFormat/>
    <w:pPr>
      <w:ind w:left="100" w:hanging="200"/>
    </w:pPr>
  </w:style>
  <w:style w:type="paragraph" w:styleId="1073" w:customStyle="1">
    <w:name w:val="文本块1"/>
    <w:basedOn w:val="850"/>
    <w:uiPriority w:val="0"/>
    <w:qFormat/>
    <w:pPr>
      <w:ind w:left="480" w:right="-341" w:firstLine="513"/>
      <w:widowControl/>
    </w:pPr>
    <w:rPr>
      <w:sz w:val="24"/>
      <w:szCs w:val="20"/>
    </w:rPr>
  </w:style>
  <w:style w:type="paragraph" w:styleId="1074" w:customStyle="1">
    <w:name w:val="目录 51"/>
    <w:basedOn w:val="850"/>
    <w:next w:val="850"/>
    <w:uiPriority w:val="0"/>
    <w:qFormat/>
    <w:pPr>
      <w:ind w:left="1680"/>
    </w:pPr>
  </w:style>
  <w:style w:type="paragraph" w:styleId="1075" w:customStyle="1">
    <w:name w:val="目录 31"/>
    <w:basedOn w:val="850"/>
    <w:next w:val="850"/>
    <w:uiPriority w:val="39"/>
    <w:qFormat/>
    <w:pPr>
      <w:ind w:left="840"/>
    </w:pPr>
  </w:style>
  <w:style w:type="paragraph" w:styleId="1076" w:customStyle="1">
    <w:name w:val="纯文本1"/>
    <w:basedOn w:val="850"/>
    <w:next w:val="1077"/>
    <w:link w:val="1078"/>
    <w:uiPriority w:val="99"/>
    <w:qFormat/>
    <w:rPr>
      <w:rFonts w:hint="eastAsia" w:ascii="宋体" w:hAnsi="Courier New"/>
      <w:szCs w:val="20"/>
    </w:rPr>
  </w:style>
  <w:style w:type="paragraph" w:styleId="1077" w:customStyle="1">
    <w:name w:val="目录 41"/>
    <w:basedOn w:val="850"/>
    <w:next w:val="850"/>
    <w:uiPriority w:val="0"/>
    <w:qFormat/>
    <w:pPr>
      <w:ind w:left="1260"/>
    </w:pPr>
  </w:style>
  <w:style w:type="character" w:styleId="1078" w:customStyle="1">
    <w:name w:val="纯文本 Char"/>
    <w:link w:val="1076"/>
    <w:uiPriority w:val="99"/>
    <w:qFormat/>
    <w:rPr>
      <w:rFonts w:hint="eastAsia" w:ascii="宋体" w:hAnsi="Courier New" w:eastAsia="宋体" w:cs="宋体"/>
      <w:sz w:val="21"/>
    </w:rPr>
  </w:style>
  <w:style w:type="paragraph" w:styleId="1079" w:customStyle="1">
    <w:name w:val="目录 81"/>
    <w:basedOn w:val="850"/>
    <w:next w:val="850"/>
    <w:uiPriority w:val="0"/>
    <w:qFormat/>
    <w:pPr>
      <w:ind w:left="2940"/>
    </w:pPr>
  </w:style>
  <w:style w:type="paragraph" w:styleId="1080" w:customStyle="1">
    <w:name w:val="日期1"/>
    <w:basedOn w:val="850"/>
    <w:next w:val="850"/>
    <w:link w:val="1081"/>
    <w:uiPriority w:val="0"/>
    <w:qFormat/>
    <w:pPr>
      <w:ind w:left="100"/>
    </w:pPr>
    <w:rPr>
      <w:rFonts w:ascii="仿宋_GB2312" w:hAnsi="宋体" w:eastAsia="仿宋_GB2312"/>
      <w:color w:val="000000"/>
      <w:sz w:val="24"/>
    </w:rPr>
  </w:style>
  <w:style w:type="character" w:styleId="1081" w:customStyle="1">
    <w:name w:val="日期 Char"/>
    <w:link w:val="1080"/>
    <w:uiPriority w:val="0"/>
    <w:qFormat/>
    <w:rPr>
      <w:rFonts w:ascii="仿宋_GB2312" w:hAnsi="宋体" w:eastAsia="仿宋_GB2312"/>
      <w:color w:val="000000"/>
      <w:sz w:val="24"/>
      <w:szCs w:val="24"/>
    </w:rPr>
  </w:style>
  <w:style w:type="paragraph" w:styleId="1082" w:customStyle="1">
    <w:name w:val="正文文本缩进 21"/>
    <w:basedOn w:val="850"/>
    <w:link w:val="1083"/>
    <w:uiPriority w:val="0"/>
    <w:qFormat/>
    <w:pPr>
      <w:ind w:firstLine="480"/>
    </w:pPr>
    <w:rPr>
      <w:rFonts w:ascii="仿宋_GB2312" w:eastAsia="仿宋_GB2312"/>
      <w:sz w:val="24"/>
    </w:rPr>
  </w:style>
  <w:style w:type="character" w:styleId="1083" w:customStyle="1">
    <w:name w:val="正文文本缩进 2 Char"/>
    <w:link w:val="1082"/>
    <w:uiPriority w:val="0"/>
    <w:qFormat/>
    <w:rPr>
      <w:rFonts w:ascii="仿宋_GB2312" w:eastAsia="仿宋_GB2312"/>
      <w:sz w:val="24"/>
      <w:szCs w:val="24"/>
    </w:rPr>
  </w:style>
  <w:style w:type="paragraph" w:styleId="1084" w:customStyle="1">
    <w:name w:val="批注框文本1"/>
    <w:basedOn w:val="850"/>
    <w:link w:val="1085"/>
    <w:uiPriority w:val="0"/>
    <w:qFormat/>
    <w:rPr>
      <w:sz w:val="18"/>
      <w:szCs w:val="18"/>
    </w:rPr>
  </w:style>
  <w:style w:type="character" w:styleId="1085" w:customStyle="1">
    <w:name w:val="批注框文本 Char"/>
    <w:link w:val="1084"/>
    <w:uiPriority w:val="0"/>
    <w:qFormat/>
    <w:rPr>
      <w:sz w:val="18"/>
      <w:szCs w:val="18"/>
    </w:rPr>
  </w:style>
  <w:style w:type="paragraph" w:styleId="1086" w:customStyle="1">
    <w:name w:val="页脚1"/>
    <w:basedOn w:val="850"/>
    <w:link w:val="1087"/>
    <w:uiPriority w:val="99"/>
    <w:qFormat/>
    <w:pPr>
      <w:jc w:val="left"/>
      <w:tabs>
        <w:tab w:val="center" w:pos="4153" w:leader="none"/>
        <w:tab w:val="right" w:pos="8306" w:leader="none"/>
      </w:tabs>
    </w:pPr>
    <w:rPr>
      <w:rFonts w:ascii="宋体"/>
      <w:sz w:val="18"/>
      <w:szCs w:val="20"/>
    </w:rPr>
  </w:style>
  <w:style w:type="character" w:styleId="1087" w:customStyle="1">
    <w:name w:val="页脚 Char1"/>
    <w:link w:val="1086"/>
    <w:uiPriority w:val="99"/>
    <w:qFormat/>
    <w:rPr>
      <w:rFonts w:ascii="宋体" w:eastAsia="宋体"/>
      <w:sz w:val="18"/>
      <w:lang w:val="en-US" w:eastAsia="zh-CN" w:bidi="ar-SA"/>
    </w:rPr>
  </w:style>
  <w:style w:type="paragraph" w:styleId="1088" w:customStyle="1">
    <w:name w:val="页眉1"/>
    <w:basedOn w:val="850"/>
    <w:link w:val="1089"/>
    <w:uiPriority w:val="0"/>
    <w:qFormat/>
    <w:pPr>
      <w:jc w:val="center"/>
      <w:tabs>
        <w:tab w:val="center" w:pos="4153" w:leader="none"/>
        <w:tab w:val="right" w:pos="8306" w:leader="none"/>
      </w:tabs>
      <w:pBdr>
        <w:bottom w:val="single" w:color="000000" w:sz="6" w:space="1"/>
      </w:pBdr>
    </w:pPr>
    <w:rPr>
      <w:sz w:val="18"/>
      <w:szCs w:val="18"/>
    </w:rPr>
  </w:style>
  <w:style w:type="character" w:styleId="1089" w:customStyle="1">
    <w:name w:val="页眉 Char1"/>
    <w:link w:val="1088"/>
    <w:uiPriority w:val="0"/>
    <w:qFormat/>
    <w:rPr>
      <w:rFonts w:eastAsia="宋体"/>
      <w:sz w:val="18"/>
      <w:szCs w:val="18"/>
      <w:lang w:val="en-US" w:eastAsia="zh-CN" w:bidi="ar-SA"/>
    </w:rPr>
  </w:style>
  <w:style w:type="paragraph" w:styleId="1090" w:customStyle="1">
    <w:name w:val="目录 11"/>
    <w:basedOn w:val="850"/>
    <w:next w:val="850"/>
    <w:uiPriority w:val="39"/>
    <w:qFormat/>
    <w:pPr>
      <w:spacing w:line="300" w:lineRule="auto"/>
      <w:tabs>
        <w:tab w:val="left" w:pos="1050" w:leader="none"/>
        <w:tab w:val="right" w:pos="8937" w:leader="dot"/>
      </w:tabs>
    </w:pPr>
    <w:rPr>
      <w:rFonts w:ascii="宋体" w:hAnsi="宋体"/>
      <w:b/>
      <w:sz w:val="24"/>
    </w:rPr>
  </w:style>
  <w:style w:type="paragraph" w:styleId="1091" w:customStyle="1">
    <w:name w:val="目录 61"/>
    <w:basedOn w:val="850"/>
    <w:next w:val="850"/>
    <w:uiPriority w:val="0"/>
    <w:qFormat/>
    <w:pPr>
      <w:ind w:left="2100"/>
    </w:pPr>
  </w:style>
  <w:style w:type="paragraph" w:styleId="1092" w:customStyle="1">
    <w:name w:val="正文文本缩进 31"/>
    <w:basedOn w:val="850"/>
    <w:link w:val="1093"/>
    <w:uiPriority w:val="0"/>
    <w:qFormat/>
    <w:pPr>
      <w:ind w:left="720" w:firstLine="480"/>
      <w:jc w:val="left"/>
      <w:spacing w:before="120" w:line="22" w:lineRule="atLeast"/>
    </w:pPr>
    <w:rPr>
      <w:rFonts w:ascii="宋体"/>
      <w:sz w:val="24"/>
      <w:szCs w:val="20"/>
    </w:rPr>
  </w:style>
  <w:style w:type="character" w:styleId="1093" w:customStyle="1">
    <w:name w:val="正文文本缩进 3 Char"/>
    <w:link w:val="1092"/>
    <w:uiPriority w:val="0"/>
    <w:qFormat/>
    <w:rPr>
      <w:rFonts w:ascii="宋体"/>
      <w:sz w:val="24"/>
    </w:rPr>
  </w:style>
  <w:style w:type="paragraph" w:styleId="1094" w:customStyle="1">
    <w:name w:val="目录 21"/>
    <w:basedOn w:val="850"/>
    <w:next w:val="850"/>
    <w:uiPriority w:val="39"/>
    <w:qFormat/>
    <w:pPr>
      <w:ind w:left="420"/>
      <w:spacing w:line="312" w:lineRule="auto"/>
      <w:tabs>
        <w:tab w:val="right" w:pos="8937" w:leader="dot"/>
      </w:tabs>
    </w:pPr>
  </w:style>
  <w:style w:type="paragraph" w:styleId="1095" w:customStyle="1">
    <w:name w:val="目录 91"/>
    <w:basedOn w:val="850"/>
    <w:next w:val="850"/>
    <w:uiPriority w:val="0"/>
    <w:qFormat/>
    <w:pPr>
      <w:ind w:left="3360"/>
    </w:pPr>
  </w:style>
  <w:style w:type="paragraph" w:styleId="1096" w:customStyle="1">
    <w:name w:val="HTML 预设格式1"/>
    <w:basedOn w:val="850"/>
    <w:link w:val="109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7" w:customStyle="1">
    <w:name w:val="HTML 预设格式 Char"/>
    <w:link w:val="1096"/>
    <w:uiPriority w:val="0"/>
    <w:qFormat/>
    <w:rPr>
      <w:rFonts w:ascii="宋体" w:hAnsi="宋体" w:cs="宋体"/>
      <w:sz w:val="24"/>
      <w:szCs w:val="24"/>
    </w:rPr>
  </w:style>
  <w:style w:type="paragraph" w:styleId="1098" w:customStyle="1">
    <w:name w:val="普通(网站)1"/>
    <w:basedOn w:val="850"/>
    <w:uiPriority w:val="99"/>
    <w:unhideWhenUsed/>
    <w:qFormat/>
    <w:pPr>
      <w:jc w:val="left"/>
      <w:spacing w:before="100" w:beforeAutospacing="1" w:after="100" w:afterAutospacing="1"/>
      <w:widowControl/>
    </w:pPr>
    <w:rPr>
      <w:rFonts w:ascii="宋体" w:hAnsi="宋体" w:cs="宋体"/>
      <w:sz w:val="24"/>
    </w:rPr>
  </w:style>
  <w:style w:type="paragraph" w:styleId="1099" w:customStyle="1">
    <w:name w:val="索引 11"/>
    <w:basedOn w:val="850"/>
    <w:next w:val="850"/>
    <w:uiPriority w:val="0"/>
    <w:qFormat/>
    <w:rPr>
      <w:szCs w:val="20"/>
    </w:rPr>
  </w:style>
  <w:style w:type="paragraph" w:styleId="1100" w:customStyle="1">
    <w:name w:val="标题1"/>
    <w:basedOn w:val="850"/>
    <w:link w:val="1101"/>
    <w:uiPriority w:val="0"/>
    <w:qFormat/>
    <w:pPr>
      <w:jc w:val="center"/>
      <w:outlineLvl w:val="0"/>
    </w:pPr>
    <w:rPr>
      <w:b/>
      <w:sz w:val="32"/>
      <w:szCs w:val="20"/>
    </w:rPr>
  </w:style>
  <w:style w:type="character" w:styleId="1101" w:customStyle="1">
    <w:name w:val="标题 Char1"/>
    <w:link w:val="1100"/>
    <w:uiPriority w:val="0"/>
    <w:qFormat/>
    <w:rPr>
      <w:b/>
      <w:sz w:val="32"/>
    </w:rPr>
  </w:style>
  <w:style w:type="paragraph" w:styleId="1102" w:customStyle="1">
    <w:name w:val="批注主题1"/>
    <w:basedOn w:val="1064"/>
    <w:next w:val="1064"/>
    <w:link w:val="1103"/>
    <w:uiPriority w:val="0"/>
    <w:qFormat/>
    <w:rPr>
      <w:b/>
      <w:bCs/>
    </w:rPr>
  </w:style>
  <w:style w:type="character" w:styleId="1103" w:customStyle="1">
    <w:name w:val="批注主题 Char"/>
    <w:link w:val="1102"/>
    <w:uiPriority w:val="0"/>
    <w:qFormat/>
    <w:rPr>
      <w:rFonts w:ascii="Times New Roman" w:hAnsi="Times New Roman" w:eastAsia="宋体" w:cs="Times New Roman"/>
      <w:b/>
      <w:bCs/>
      <w:sz w:val="21"/>
      <w:szCs w:val="24"/>
      <w:lang w:val="en-US" w:eastAsia="zh-CN" w:bidi="ar-SA"/>
    </w:rPr>
  </w:style>
  <w:style w:type="paragraph" w:styleId="1104" w:customStyle="1">
    <w:name w:val="正文首行缩进 21"/>
    <w:basedOn w:val="1070"/>
    <w:link w:val="1105"/>
    <w:uiPriority w:val="0"/>
    <w:qFormat/>
    <w:pPr>
      <w:ind w:left="420" w:firstLine="420"/>
      <w:spacing w:after="120" w:line="480" w:lineRule="exact"/>
    </w:pPr>
    <w:rPr>
      <w:szCs w:val="20"/>
    </w:rPr>
  </w:style>
  <w:style w:type="character" w:styleId="1105" w:customStyle="1">
    <w:name w:val="正文首行缩进 2 Char"/>
    <w:link w:val="1104"/>
    <w:uiPriority w:val="0"/>
    <w:qFormat/>
    <w:rPr>
      <w:rFonts w:eastAsia="宋体"/>
      <w:sz w:val="24"/>
      <w:szCs w:val="24"/>
      <w:lang w:val="en-US" w:eastAsia="zh-CN" w:bidi="ar-SA"/>
    </w:rPr>
  </w:style>
  <w:style w:type="table" w:styleId="1106" w:customStyle="1">
    <w:name w:val="网格型1"/>
    <w:basedOn w:val="1049"/>
    <w:uiPriority w:val="0"/>
    <w:qFormat/>
    <w:tblPr/>
  </w:style>
  <w:style w:type="table" w:styleId="1107" w:customStyle="1">
    <w:name w:val="中等深浅网格 1 - 强调文字颜色 21"/>
    <w:basedOn w:val="1049"/>
    <w:uiPriority w:val="0"/>
    <w:qFormat/>
    <w:rPr>
      <w:sz w:val="21"/>
      <w:szCs w:val="24"/>
    </w:rPr>
    <w:tblPr/>
  </w:style>
  <w:style w:type="character" w:styleId="1108" w:customStyle="1">
    <w:name w:val="要点1"/>
    <w:link w:val="850"/>
    <w:uiPriority w:val="22"/>
    <w:qFormat/>
    <w:rPr>
      <w:b/>
      <w:bCs/>
    </w:rPr>
  </w:style>
  <w:style w:type="character" w:styleId="1109" w:customStyle="1">
    <w:name w:val="页码1"/>
    <w:link w:val="850"/>
    <w:uiPriority w:val="0"/>
    <w:qFormat/>
  </w:style>
  <w:style w:type="character" w:styleId="1110" w:customStyle="1">
    <w:name w:val="访问过的超链接"/>
    <w:link w:val="850"/>
    <w:uiPriority w:val="0"/>
    <w:qFormat/>
    <w:rPr>
      <w:color w:val="800080"/>
      <w:u w:val="single"/>
    </w:rPr>
  </w:style>
  <w:style w:type="character" w:styleId="1111" w:customStyle="1">
    <w:name w:val="强调1"/>
    <w:link w:val="850"/>
    <w:uiPriority w:val="0"/>
    <w:qFormat/>
    <w:rPr>
      <w:color w:val="cc0033"/>
    </w:rPr>
  </w:style>
  <w:style w:type="character" w:styleId="1112" w:customStyle="1">
    <w:name w:val="超链接1"/>
    <w:link w:val="850"/>
    <w:uiPriority w:val="99"/>
    <w:qFormat/>
    <w:rPr>
      <w:color w:val="0000ff"/>
      <w:u w:val="single"/>
    </w:rPr>
  </w:style>
  <w:style w:type="character" w:styleId="1113" w:customStyle="1">
    <w:name w:val="批注引用1"/>
    <w:link w:val="850"/>
    <w:uiPriority w:val="99"/>
    <w:qFormat/>
    <w:rPr>
      <w:sz w:val="21"/>
      <w:szCs w:val="21"/>
    </w:rPr>
  </w:style>
  <w:style w:type="character" w:styleId="1114" w:customStyle="1">
    <w:name w:val="HTML 引文1"/>
    <w:link w:val="850"/>
    <w:uiPriority w:val="0"/>
    <w:qFormat/>
    <w:rPr>
      <w:i/>
      <w:iCs/>
    </w:rPr>
  </w:style>
  <w:style w:type="character" w:styleId="1115" w:customStyle="1">
    <w:name w:val="批注文字 字符"/>
    <w:link w:val="850"/>
    <w:uiPriority w:val="99"/>
    <w:qFormat/>
    <w:rPr>
      <w:rFonts w:ascii="Times New Roman" w:hAnsi="Times New Roman" w:eastAsia="宋体" w:cs="Times New Roman"/>
      <w:sz w:val="24"/>
      <w:lang w:val="en-US" w:eastAsia="zh-CN" w:bidi="ar-SA"/>
    </w:rPr>
  </w:style>
  <w:style w:type="character" w:styleId="1116" w:customStyle="1">
    <w:name w:val="c21"/>
    <w:link w:val="850"/>
    <w:uiPriority w:val="0"/>
    <w:qFormat/>
    <w:rPr>
      <w:rFonts w:ascii="ˎ̥" w:hAnsi="ˎ̥"/>
      <w:color w:val="000000"/>
      <w:sz w:val="20"/>
      <w:szCs w:val="20"/>
      <w:u w:val="none"/>
    </w:rPr>
  </w:style>
  <w:style w:type="character" w:styleId="1117" w:customStyle="1">
    <w:name w:val="title4"/>
    <w:link w:val="850"/>
    <w:uiPriority w:val="0"/>
    <w:qFormat/>
    <w:rPr>
      <w:b/>
      <w:bCs/>
      <w:color w:val="1d87b3"/>
      <w:sz w:val="15"/>
      <w:szCs w:val="15"/>
    </w:rPr>
  </w:style>
  <w:style w:type="character" w:styleId="1118" w:customStyle="1">
    <w:name w:val="标题 2 Char Char"/>
    <w:link w:val="850"/>
    <w:uiPriority w:val="0"/>
    <w:qFormat/>
    <w:rPr>
      <w:rFonts w:ascii="Arial" w:hAnsi="Arial" w:eastAsia="黑体"/>
      <w:b/>
      <w:bCs/>
      <w:sz w:val="32"/>
      <w:szCs w:val="32"/>
      <w:lang w:val="en-US" w:eastAsia="zh-CN" w:bidi="ar-SA"/>
    </w:rPr>
  </w:style>
  <w:style w:type="character" w:styleId="1119" w:customStyle="1">
    <w:name w:val="black1"/>
    <w:link w:val="850"/>
    <w:uiPriority w:val="0"/>
    <w:qFormat/>
    <w:rPr>
      <w:color w:val="000000"/>
    </w:rPr>
  </w:style>
  <w:style w:type="character" w:styleId="1120" w:customStyle="1">
    <w:name w:val="street-address"/>
    <w:link w:val="850"/>
    <w:uiPriority w:val="0"/>
    <w:qFormat/>
  </w:style>
  <w:style w:type="character" w:styleId="1121" w:customStyle="1">
    <w:name w:val="locality"/>
    <w:link w:val="850"/>
    <w:uiPriority w:val="0"/>
    <w:qFormat/>
  </w:style>
  <w:style w:type="character" w:styleId="1122" w:customStyle="1">
    <w:name w:val="正文文本缩进 Char1"/>
    <w:link w:val="1123"/>
    <w:uiPriority w:val="0"/>
    <w:qFormat/>
    <w:rPr>
      <w:rFonts w:ascii="宋体" w:hAnsi="宋体" w:eastAsia="宋体"/>
      <w:sz w:val="24"/>
      <w:szCs w:val="24"/>
      <w:lang w:bidi="ar-SA"/>
    </w:rPr>
  </w:style>
  <w:style w:type="paragraph" w:styleId="1123" w:customStyle="1">
    <w:name w:val="正文文本缩进1"/>
    <w:basedOn w:val="850"/>
    <w:link w:val="1122"/>
    <w:uiPriority w:val="0"/>
    <w:qFormat/>
    <w:pPr>
      <w:ind w:firstLine="480"/>
      <w:spacing w:line="480" w:lineRule="exact"/>
    </w:pPr>
    <w:rPr>
      <w:rFonts w:ascii="宋体" w:hAnsi="宋体"/>
      <w:sz w:val="24"/>
    </w:rPr>
  </w:style>
  <w:style w:type="character" w:styleId="1124" w:customStyle="1">
    <w:name w:val="Char Char11"/>
    <w:link w:val="850"/>
    <w:uiPriority w:val="0"/>
    <w:qFormat/>
    <w:rPr>
      <w:rFonts w:ascii="宋体" w:eastAsia="宋体"/>
      <w:b/>
      <w:sz w:val="24"/>
      <w:u w:val="single"/>
      <w:lang w:val="en-US" w:eastAsia="zh-CN" w:bidi="ar-SA"/>
    </w:rPr>
  </w:style>
  <w:style w:type="character" w:styleId="1125" w:customStyle="1">
    <w:name w:val="txt"/>
    <w:link w:val="850"/>
    <w:uiPriority w:val="0"/>
    <w:qFormat/>
  </w:style>
  <w:style w:type="character" w:styleId="1126" w:customStyle="1">
    <w:name w:val="正文缩进 Char Char"/>
    <w:link w:val="1127"/>
    <w:uiPriority w:val="0"/>
    <w:qFormat/>
    <w:rPr>
      <w:rFonts w:ascii="宋体" w:eastAsia="宋体"/>
      <w:color w:val="000000"/>
      <w:sz w:val="28"/>
      <w:lang w:bidi="ar-SA"/>
    </w:rPr>
  </w:style>
  <w:style w:type="paragraph" w:styleId="1127" w:customStyle="1">
    <w:name w:val="正文缩进1"/>
    <w:basedOn w:val="850"/>
    <w:link w:val="1126"/>
    <w:uiPriority w:val="0"/>
    <w:qFormat/>
    <w:pPr>
      <w:ind w:firstLine="567"/>
      <w:spacing w:line="480" w:lineRule="exact"/>
      <w:widowControl/>
    </w:pPr>
    <w:rPr>
      <w:rFonts w:ascii="宋体"/>
      <w:color w:val="000000"/>
      <w:sz w:val="28"/>
      <w:szCs w:val="20"/>
    </w:rPr>
  </w:style>
  <w:style w:type="character" w:styleId="1128" w:customStyle="1">
    <w:name w:val="普通文字1 Char1"/>
    <w:link w:val="850"/>
    <w:uiPriority w:val="0"/>
    <w:qFormat/>
    <w:rPr>
      <w:rFonts w:ascii="宋体" w:hAnsi="Courier New" w:eastAsia="宋体"/>
      <w:sz w:val="21"/>
      <w:lang w:val="en-US" w:eastAsia="zh-CN" w:bidi="ar-SA"/>
    </w:rPr>
  </w:style>
  <w:style w:type="character" w:styleId="1129" w:customStyle="1">
    <w:name w:val="chanpin1"/>
    <w:link w:val="850"/>
    <w:uiPriority w:val="0"/>
    <w:qFormat/>
    <w:rPr>
      <w:rFonts w:ascii="ˎ̥" w:hAnsi="ˎ̥"/>
      <w:color w:val="000000"/>
      <w:sz w:val="20"/>
      <w:szCs w:val="20"/>
      <w:u w:val="none"/>
    </w:rPr>
  </w:style>
  <w:style w:type="character" w:styleId="1130" w:customStyle="1">
    <w:name w:val="列出段落 Char1"/>
    <w:link w:val="1131"/>
    <w:uiPriority w:val="34"/>
    <w:qFormat/>
    <w:rPr>
      <w:rFonts w:ascii="Calibri" w:hAnsi="Calibri" w:eastAsia="宋体"/>
      <w:sz w:val="21"/>
      <w:szCs w:val="22"/>
      <w:lang w:val="en-US" w:eastAsia="zh-CN" w:bidi="ar-SA"/>
    </w:rPr>
  </w:style>
  <w:style w:type="paragraph" w:styleId="1131" w:customStyle="1">
    <w:name w:val="列出段落"/>
    <w:basedOn w:val="850"/>
    <w:link w:val="1130"/>
    <w:uiPriority w:val="34"/>
    <w:qFormat/>
    <w:pPr>
      <w:ind w:firstLine="420"/>
    </w:pPr>
    <w:rPr>
      <w:rFonts w:ascii="Calibri" w:hAnsi="Calibri"/>
      <w:szCs w:val="22"/>
    </w:rPr>
  </w:style>
  <w:style w:type="character" w:styleId="1132" w:customStyle="1">
    <w:name w:val="标题 3 Char Char"/>
    <w:link w:val="850"/>
    <w:uiPriority w:val="0"/>
    <w:qFormat/>
    <w:rPr>
      <w:rFonts w:eastAsia="宋体"/>
      <w:b/>
      <w:bCs/>
      <w:sz w:val="32"/>
      <w:szCs w:val="32"/>
      <w:lang w:val="en-US" w:eastAsia="zh-CN" w:bidi="ar-SA"/>
    </w:rPr>
  </w:style>
  <w:style w:type="character" w:styleId="1133" w:customStyle="1">
    <w:name w:val="段1 Char"/>
    <w:link w:val="850"/>
    <w:uiPriority w:val="0"/>
    <w:qFormat/>
    <w:rPr>
      <w:rFonts w:ascii="宋体" w:eastAsia="宋体"/>
      <w:sz w:val="24"/>
      <w:lang w:val="en-US" w:eastAsia="zh-CN" w:bidi="ar-SA"/>
    </w:rPr>
  </w:style>
  <w:style w:type="character" w:styleId="1134" w:customStyle="1">
    <w:name w:val="chanpin拷贝"/>
    <w:link w:val="850"/>
    <w:uiPriority w:val="0"/>
    <w:qFormat/>
  </w:style>
  <w:style w:type="character" w:styleId="1135" w:customStyle="1">
    <w:name w:val="纯文本 Char1"/>
    <w:link w:val="850"/>
    <w:uiPriority w:val="0"/>
    <w:qFormat/>
    <w:rPr>
      <w:rFonts w:ascii="宋体" w:hAnsi="Courier New" w:eastAsia="宋体"/>
      <w:sz w:val="21"/>
      <w:lang w:val="en-US" w:eastAsia="zh-CN" w:bidi="ar-SA"/>
    </w:rPr>
  </w:style>
  <w:style w:type="character" w:styleId="1136" w:customStyle="1">
    <w:name w:val="apple-style-span"/>
    <w:link w:val="850"/>
    <w:uiPriority w:val="0"/>
    <w:qFormat/>
    <w:rPr>
      <w:rFonts w:cs="Times New Roman"/>
    </w:rPr>
  </w:style>
  <w:style w:type="paragraph" w:styleId="1137" w:customStyle="1">
    <w:name w:val="二级条标题"/>
    <w:basedOn w:val="1138"/>
    <w:next w:val="85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38" w:customStyle="1">
    <w:name w:val="一级条标题"/>
    <w:basedOn w:val="1139"/>
    <w:next w:val="850"/>
    <w:uiPriority w:val="0"/>
    <w:qFormat/>
    <w:pPr>
      <w:numPr>
        <w:ilvl w:val="1"/>
      </w:numPr>
      <w:ind w:left="0" w:hanging="840"/>
      <w:tabs>
        <w:tab w:val="left" w:pos="360" w:leader="none"/>
        <w:tab w:val="left" w:pos="840" w:leader="none"/>
      </w:tabs>
      <w:outlineLvl w:val="1"/>
    </w:pPr>
  </w:style>
  <w:style w:type="paragraph" w:styleId="1139" w:customStyle="1">
    <w:name w:val="章标题"/>
    <w:next w:val="850"/>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40" w:customStyle="1">
    <w:name w:val="font7"/>
    <w:basedOn w:val="850"/>
    <w:uiPriority w:val="0"/>
    <w:qFormat/>
    <w:pPr>
      <w:jc w:val="left"/>
      <w:spacing w:before="100" w:beforeAutospacing="1" w:after="100" w:afterAutospacing="1"/>
      <w:widowControl/>
    </w:pPr>
    <w:rPr>
      <w:rFonts w:eastAsia="Arial Unicode MS"/>
      <w:b/>
      <w:bCs/>
      <w:color w:val="000000"/>
      <w:sz w:val="20"/>
      <w:szCs w:val="20"/>
    </w:rPr>
  </w:style>
  <w:style w:type="paragraph" w:styleId="1141" w:customStyle="1">
    <w:name w:val="字元 字元"/>
    <w:basedOn w:val="850"/>
    <w:uiPriority w:val="0"/>
    <w:qFormat/>
    <w:rPr>
      <w:rFonts w:ascii="Tahoma" w:hAnsi="Tahoma"/>
      <w:sz w:val="24"/>
      <w:szCs w:val="20"/>
    </w:rPr>
  </w:style>
  <w:style w:type="paragraph" w:styleId="1142" w:customStyle="1">
    <w:name w:val="Char3 Char Char Char"/>
    <w:basedOn w:val="850"/>
    <w:uiPriority w:val="0"/>
    <w:qFormat/>
    <w:rPr>
      <w:rFonts w:ascii="Tahoma" w:hAnsi="Tahoma"/>
      <w:sz w:val="24"/>
      <w:szCs w:val="20"/>
    </w:rPr>
  </w:style>
  <w:style w:type="paragraph" w:styleId="1143" w:customStyle="1">
    <w:name w:val="font6"/>
    <w:basedOn w:val="850"/>
    <w:uiPriority w:val="0"/>
    <w:qFormat/>
    <w:pPr>
      <w:jc w:val="left"/>
      <w:spacing w:before="100" w:beforeAutospacing="1" w:after="100" w:afterAutospacing="1"/>
      <w:widowControl/>
    </w:pPr>
    <w:rPr>
      <w:rFonts w:ascii="宋体" w:hAnsi="宋体" w:cs="宋体"/>
      <w:sz w:val="20"/>
      <w:szCs w:val="20"/>
    </w:rPr>
  </w:style>
  <w:style w:type="paragraph" w:styleId="1144" w:customStyle="1">
    <w:name w:val="项目编号2"/>
    <w:basedOn w:val="1145"/>
    <w:uiPriority w:val="0"/>
    <w:qFormat/>
    <w:pPr>
      <w:numPr>
        <w:numId w:val="2"/>
      </w:numPr>
    </w:pPr>
  </w:style>
  <w:style w:type="paragraph" w:styleId="1145" w:customStyle="1">
    <w:name w:val="项目编号1"/>
    <w:basedOn w:val="850"/>
    <w:uiPriority w:val="0"/>
    <w:qFormat/>
    <w:pPr>
      <w:numPr>
        <w:ilvl w:val="0"/>
        <w:numId w:val="3"/>
      </w:numPr>
      <w:spacing w:before="100" w:beforeAutospacing="1" w:after="100" w:afterAutospacing="1" w:line="360" w:lineRule="auto"/>
    </w:pPr>
    <w:rPr>
      <w:sz w:val="24"/>
    </w:rPr>
  </w:style>
  <w:style w:type="paragraph" w:styleId="1146" w:customStyle="1">
    <w:name w:val="图中文字"/>
    <w:basedOn w:val="850"/>
    <w:uiPriority w:val="0"/>
    <w:qFormat/>
    <w:pPr>
      <w:jc w:val="center"/>
      <w:spacing w:line="0" w:lineRule="atLeast"/>
    </w:pPr>
    <w:rPr>
      <w:sz w:val="24"/>
      <w:szCs w:val="20"/>
    </w:rPr>
  </w:style>
  <w:style w:type="paragraph" w:styleId="1147" w:customStyle="1">
    <w:name w:val="xl46"/>
    <w:basedOn w:val="85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8" w:customStyle="1">
    <w:name w:val="xl25"/>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9" w:customStyle="1">
    <w:name w:val="Char2"/>
    <w:basedOn w:val="850"/>
    <w:uiPriority w:val="0"/>
    <w:qFormat/>
    <w:rPr>
      <w:rFonts w:ascii="Tahoma" w:hAnsi="Tahoma"/>
      <w:sz w:val="24"/>
      <w:szCs w:val="20"/>
    </w:rPr>
  </w:style>
  <w:style w:type="paragraph" w:styleId="1150" w:customStyle="1">
    <w:name w:val="xl35"/>
    <w:basedOn w:val="85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1" w:customStyle="1">
    <w:name w:val="xl40"/>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customStyle="1">
    <w:name w:val="xl52"/>
    <w:basedOn w:val="8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3" w:customStyle="1">
    <w:name w:val="xl43"/>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4" w:customStyle="1">
    <w:name w:val="background1"/>
    <w:basedOn w:val="850"/>
    <w:uiPriority w:val="0"/>
    <w:qFormat/>
    <w:pPr>
      <w:jc w:val="left"/>
      <w:spacing w:before="100" w:beforeAutospacing="1" w:after="100" w:afterAutospacing="1"/>
      <w:widowControl/>
    </w:pPr>
    <w:rPr>
      <w:rFonts w:ascii="宋体" w:hAnsi="宋体" w:cs="宋体"/>
      <w:sz w:val="24"/>
    </w:rPr>
  </w:style>
  <w:style w:type="paragraph" w:styleId="1155" w:customStyle="1">
    <w:name w:val="Char Char Char Char Char Char Char"/>
    <w:basedOn w:val="850"/>
    <w:uiPriority w:val="0"/>
    <w:qFormat/>
    <w:pPr>
      <w:ind w:firstLine="200"/>
      <w:spacing w:line="360" w:lineRule="auto"/>
    </w:pPr>
    <w:rPr>
      <w:rFonts w:eastAsia="仿宋_GB2312"/>
      <w:sz w:val="24"/>
    </w:rPr>
  </w:style>
  <w:style w:type="paragraph" w:styleId="1156" w:customStyle="1">
    <w:name w:val="xl38"/>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7" w:customStyle="1">
    <w:name w:val="xl36"/>
    <w:basedOn w:val="85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8" w:customStyle="1">
    <w:name w:val="正文 + 宋体"/>
    <w:basedOn w:val="850"/>
    <w:uiPriority w:val="0"/>
    <w:qFormat/>
    <w:pPr>
      <w:ind w:left="360" w:hanging="360"/>
      <w:jc w:val="left"/>
      <w:widowControl/>
    </w:pPr>
    <w:rPr>
      <w:rFonts w:ascii="宋体" w:hAnsi="宋体" w:cs="宋体"/>
      <w:b/>
      <w:bCs/>
      <w:color w:val="000000"/>
      <w:sz w:val="18"/>
      <w:szCs w:val="18"/>
    </w:rPr>
  </w:style>
  <w:style w:type="paragraph" w:styleId="1159" w:customStyle="1">
    <w:name w:val="正文列项_数字"/>
    <w:basedOn w:val="85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60" w:customStyle="1">
    <w:name w:val="xl39"/>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1" w:customStyle="1">
    <w:name w:val="xl37"/>
    <w:basedOn w:val="85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2" w:customStyle="1">
    <w:name w:val="xl32"/>
    <w:basedOn w:val="8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3" w:customStyle="1">
    <w:name w:val="font8"/>
    <w:basedOn w:val="850"/>
    <w:uiPriority w:val="0"/>
    <w:qFormat/>
    <w:pPr>
      <w:jc w:val="left"/>
      <w:spacing w:before="100" w:beforeAutospacing="1" w:after="100" w:afterAutospacing="1"/>
      <w:widowControl/>
    </w:pPr>
    <w:rPr>
      <w:sz w:val="36"/>
      <w:szCs w:val="36"/>
    </w:rPr>
  </w:style>
  <w:style w:type="paragraph" w:styleId="1164" w:customStyle="1">
    <w:name w:val="Char"/>
    <w:basedOn w:val="850"/>
    <w:uiPriority w:val="0"/>
    <w:qFormat/>
    <w:pPr>
      <w:tabs>
        <w:tab w:val="left" w:pos="360" w:leader="none"/>
      </w:tabs>
    </w:pPr>
    <w:rPr>
      <w:sz w:val="24"/>
    </w:rPr>
  </w:style>
  <w:style w:type="paragraph" w:styleId="1165" w:customStyle="1">
    <w:name w:val="Char Char Char Char Char Char Char Char Char Char Char Char Char Char Char Char"/>
    <w:basedOn w:val="850"/>
    <w:uiPriority w:val="0"/>
    <w:qFormat/>
    <w:pPr>
      <w:jc w:val="center"/>
      <w:spacing w:after="160" w:line="240" w:lineRule="exact"/>
      <w:widowControl/>
    </w:pPr>
    <w:rPr>
      <w:rFonts w:ascii="宋体" w:hAnsi="宋体"/>
      <w:b/>
      <w:sz w:val="30"/>
      <w:szCs w:val="30"/>
      <w:lang w:eastAsia="en-US"/>
    </w:rPr>
  </w:style>
  <w:style w:type="paragraph" w:styleId="1166" w:customStyle="1">
    <w:name w:val="xl45"/>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7" w:customStyle="1">
    <w:name w:val="Char Char1 Char Char Char Char Char Char"/>
    <w:basedOn w:val="850"/>
    <w:uiPriority w:val="0"/>
    <w:qFormat/>
    <w:pPr>
      <w:jc w:val="left"/>
      <w:spacing w:after="160" w:line="240" w:lineRule="exact"/>
      <w:widowControl/>
    </w:pPr>
    <w:rPr>
      <w:rFonts w:ascii="Verdana" w:hAnsi="Verdana" w:eastAsia="仿宋_GB2312"/>
      <w:sz w:val="24"/>
      <w:szCs w:val="20"/>
      <w:lang w:eastAsia="en-US"/>
    </w:rPr>
  </w:style>
  <w:style w:type="paragraph" w:styleId="1168" w:customStyle="1">
    <w:name w:val="Char Char1"/>
    <w:basedOn w:val="1062"/>
    <w:uiPriority w:val="0"/>
    <w:qFormat/>
    <w:rPr>
      <w:rFonts w:ascii="Tahoma" w:hAnsi="Tahoma"/>
      <w:sz w:val="24"/>
    </w:rPr>
  </w:style>
  <w:style w:type="paragraph" w:styleId="1169" w:customStyle="1">
    <w:name w:val="xl26"/>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0" w:customStyle="1">
    <w:name w:val="xl30"/>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1" w:customStyle="1">
    <w:name w:val="xl41"/>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2" w:customStyle="1">
    <w:name w:val="样式 宋体 五号 行距: 单倍行距"/>
    <w:basedOn w:val="850"/>
    <w:uiPriority w:val="0"/>
    <w:qFormat/>
    <w:pPr>
      <w:jc w:val="left"/>
    </w:pPr>
    <w:rPr>
      <w:rFonts w:ascii="宋体" w:hAnsi="宋体"/>
      <w:szCs w:val="20"/>
    </w:rPr>
  </w:style>
  <w:style w:type="paragraph" w:styleId="1173" w:customStyle="1">
    <w:name w:val="Char1 Char Char Char1"/>
    <w:basedOn w:val="850"/>
    <w:uiPriority w:val="0"/>
    <w:qFormat/>
    <w:rPr>
      <w:rFonts w:ascii="Tahoma" w:hAnsi="Tahoma" w:cs="仿宋_GB2312"/>
      <w:sz w:val="24"/>
      <w:szCs w:val="28"/>
    </w:rPr>
  </w:style>
  <w:style w:type="paragraph" w:styleId="1174" w:customStyle="1">
    <w:name w:val="四级条标题"/>
    <w:basedOn w:val="1175"/>
    <w:next w:val="850"/>
    <w:uiPriority w:val="0"/>
    <w:qFormat/>
    <w:pPr>
      <w:numPr>
        <w:ilvl w:val="4"/>
      </w:numPr>
      <w:ind w:left="0" w:hanging="840"/>
      <w:tabs>
        <w:tab w:val="left" w:pos="360" w:leader="none"/>
        <w:tab w:val="left" w:pos="840" w:leader="none"/>
      </w:tabs>
      <w:outlineLvl w:val="4"/>
    </w:pPr>
  </w:style>
  <w:style w:type="paragraph" w:styleId="1175" w:customStyle="1">
    <w:name w:val="三级条标题"/>
    <w:basedOn w:val="1137"/>
    <w:next w:val="850"/>
    <w:uiPriority w:val="0"/>
    <w:qFormat/>
    <w:pPr>
      <w:numPr>
        <w:ilvl w:val="3"/>
        <w:numId w:val="1"/>
      </w:numPr>
      <w:ind w:left="0" w:hanging="840"/>
      <w:outlineLvl w:val="3"/>
    </w:pPr>
  </w:style>
  <w:style w:type="paragraph" w:styleId="117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77" w:customStyle="1">
    <w:name w:val="样式 标题 2 + 宋体 五号 行距: 单倍行距"/>
    <w:basedOn w:val="1038"/>
    <w:uiPriority w:val="0"/>
    <w:qFormat/>
    <w:pPr>
      <w:numPr>
        <w:ilvl w:val="1"/>
        <w:numId w:val="4"/>
      </w:numPr>
      <w:jc w:val="left"/>
      <w:spacing w:before="260" w:after="260" w:line="240" w:lineRule="auto"/>
    </w:pPr>
    <w:rPr>
      <w:rFonts w:ascii="宋体" w:hAnsi="宋体" w:eastAsia="宋体"/>
      <w:bCs/>
      <w:sz w:val="21"/>
    </w:rPr>
  </w:style>
  <w:style w:type="paragraph" w:styleId="1178" w:customStyle="1">
    <w:name w:val="List Paragraph1"/>
    <w:basedOn w:val="850"/>
    <w:uiPriority w:val="0"/>
    <w:qFormat/>
    <w:pPr>
      <w:ind w:firstLine="420"/>
    </w:pPr>
    <w:rPr>
      <w:rFonts w:ascii="Calibri" w:hAnsi="Calibri"/>
      <w:szCs w:val="22"/>
    </w:rPr>
  </w:style>
  <w:style w:type="paragraph" w:styleId="1179" w:customStyle="1">
    <w:name w:val="项目符号1"/>
    <w:basedOn w:val="1180"/>
    <w:uiPriority w:val="0"/>
    <w:qFormat/>
    <w:pPr>
      <w:ind w:left="-25" w:firstLine="0"/>
    </w:pPr>
  </w:style>
  <w:style w:type="paragraph" w:styleId="1180" w:customStyle="1">
    <w:name w:val="正文文本样式"/>
    <w:basedOn w:val="850"/>
    <w:uiPriority w:val="0"/>
    <w:qFormat/>
    <w:pPr>
      <w:ind w:firstLine="482"/>
      <w:spacing w:line="360" w:lineRule="auto"/>
    </w:pPr>
    <w:rPr>
      <w:rFonts w:cs="宋体"/>
      <w:sz w:val="24"/>
      <w:szCs w:val="20"/>
    </w:rPr>
  </w:style>
  <w:style w:type="paragraph" w:styleId="1181" w:customStyle="1">
    <w:name w:val="xl27"/>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2" w:customStyle="1">
    <w:name w:val="font5"/>
    <w:basedOn w:val="850"/>
    <w:uiPriority w:val="0"/>
    <w:qFormat/>
    <w:pPr>
      <w:jc w:val="left"/>
      <w:spacing w:before="100" w:beforeAutospacing="1" w:after="100" w:afterAutospacing="1"/>
      <w:widowControl/>
    </w:pPr>
    <w:rPr>
      <w:rFonts w:ascii="宋体" w:hAnsi="宋体" w:cs="宋体"/>
      <w:sz w:val="18"/>
      <w:szCs w:val="18"/>
    </w:rPr>
  </w:style>
  <w:style w:type="paragraph" w:styleId="1183" w:customStyle="1">
    <w:name w:val="五级条标题"/>
    <w:basedOn w:val="1174"/>
    <w:next w:val="850"/>
    <w:uiPriority w:val="0"/>
    <w:qFormat/>
    <w:pPr>
      <w:numPr>
        <w:ilvl w:val="5"/>
      </w:numPr>
      <w:ind w:left="0" w:hanging="840"/>
      <w:outlineLvl w:val="5"/>
    </w:pPr>
  </w:style>
  <w:style w:type="paragraph" w:styleId="1184" w:customStyle="1">
    <w:name w:val="xl49"/>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5" w:customStyle="1">
    <w:name w:val="文档正文"/>
    <w:basedOn w:val="850"/>
    <w:uiPriority w:val="0"/>
    <w:qFormat/>
    <w:pPr>
      <w:spacing w:before="120" w:after="120" w:line="180" w:lineRule="auto"/>
    </w:pPr>
    <w:rPr>
      <w:rFonts w:ascii="Arial" w:hAnsi="Arial"/>
      <w:szCs w:val="20"/>
    </w:rPr>
  </w:style>
  <w:style w:type="paragraph" w:styleId="1186" w:customStyle="1">
    <w:name w:val="xl33"/>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7" w:customStyle="1">
    <w:name w:val="xl42"/>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8" w:customStyle="1">
    <w:name w:val="Char Char Char1 Char"/>
    <w:basedOn w:val="850"/>
    <w:uiPriority w:val="0"/>
    <w:qFormat/>
    <w:rPr>
      <w:rFonts w:ascii="Tahoma" w:hAnsi="Tahoma"/>
      <w:sz w:val="24"/>
      <w:szCs w:val="20"/>
    </w:rPr>
  </w:style>
  <w:style w:type="paragraph" w:styleId="1189" w:customStyle="1">
    <w:name w:val="xl44"/>
    <w:basedOn w:val="8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90" w:customStyle="1">
    <w:name w:val="1名"/>
    <w:basedOn w:val="850"/>
    <w:uiPriority w:val="0"/>
    <w:qFormat/>
    <w:pPr>
      <w:numPr>
        <w:ilvl w:val="0"/>
        <w:numId w:val="5"/>
      </w:numPr>
      <w:spacing w:before="120"/>
    </w:pPr>
    <w:rPr>
      <w:rFonts w:ascii="宋体"/>
      <w:sz w:val="28"/>
      <w:szCs w:val="20"/>
    </w:rPr>
  </w:style>
  <w:style w:type="paragraph" w:styleId="1191" w:customStyle="1">
    <w:name w:val="font9"/>
    <w:basedOn w:val="85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92" w:customStyle="1">
    <w:name w:val="Char Char Char1 Char1"/>
    <w:basedOn w:val="850"/>
    <w:uiPriority w:val="0"/>
    <w:qFormat/>
    <w:rPr>
      <w:rFonts w:ascii="Tahoma" w:hAnsi="Tahoma"/>
      <w:sz w:val="24"/>
      <w:szCs w:val="20"/>
    </w:rPr>
  </w:style>
  <w:style w:type="paragraph" w:styleId="1193" w:customStyle="1">
    <w:name w:val="Char Char Char Char Char Char Char Char Char Char"/>
    <w:basedOn w:val="850"/>
    <w:uiPriority w:val="0"/>
    <w:qFormat/>
  </w:style>
  <w:style w:type="paragraph" w:styleId="1194" w:customStyle="1">
    <w:name w:val="Char Char1 Char Char Char Char Char Char Char Char"/>
    <w:basedOn w:val="850"/>
    <w:uiPriority w:val="0"/>
    <w:qFormat/>
    <w:pPr>
      <w:jc w:val="left"/>
      <w:spacing w:after="160" w:line="240" w:lineRule="exact"/>
      <w:widowControl/>
    </w:pPr>
    <w:rPr>
      <w:rFonts w:ascii="Verdana" w:hAnsi="Verdana"/>
      <w:sz w:val="20"/>
      <w:szCs w:val="20"/>
      <w:lang w:eastAsia="en-US"/>
    </w:rPr>
  </w:style>
  <w:style w:type="paragraph" w:styleId="1195" w:customStyle="1">
    <w:name w:val="Char1"/>
    <w:basedOn w:val="850"/>
    <w:uiPriority w:val="0"/>
    <w:qFormat/>
    <w:pPr>
      <w:tabs>
        <w:tab w:val="left" w:pos="360" w:leader="none"/>
      </w:tabs>
    </w:pPr>
    <w:rPr>
      <w:sz w:val="24"/>
    </w:rPr>
  </w:style>
  <w:style w:type="paragraph" w:styleId="1196" w:customStyle="1">
    <w:name w:val="正文列项_字母"/>
    <w:basedOn w:val="85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97" w:customStyle="1">
    <w:name w:val="xl28"/>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customStyle="1">
    <w:name w:val="xl47"/>
    <w:basedOn w:val="8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9" w:customStyle="1">
    <w:name w:val="默认段落字体 Para Char Char Char Char"/>
    <w:basedOn w:val="850"/>
    <w:uiPriority w:val="0"/>
    <w:qFormat/>
    <w:rPr>
      <w:rFonts w:ascii="Arial" w:hAnsi="Arial" w:cs="Arial"/>
      <w:szCs w:val="21"/>
    </w:rPr>
  </w:style>
  <w:style w:type="paragraph" w:styleId="1200" w:customStyle="1">
    <w:name w:val="xl48"/>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1" w:customStyle="1">
    <w:name w:val="xl31"/>
    <w:basedOn w:val="8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2" w:customStyle="1">
    <w:name w:val="xl53"/>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customStyle="1">
    <w:name w:val="Char Char Char"/>
    <w:basedOn w:val="850"/>
    <w:uiPriority w:val="0"/>
    <w:qFormat/>
    <w:rPr>
      <w:rFonts w:ascii="Tahoma" w:hAnsi="Tahoma"/>
      <w:sz w:val="24"/>
      <w:szCs w:val="20"/>
    </w:rPr>
  </w:style>
  <w:style w:type="paragraph" w:styleId="1204" w:customStyle="1">
    <w:name w:val="xl50"/>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5" w:customStyle="1">
    <w:name w:val="缺省文本"/>
    <w:basedOn w:val="850"/>
    <w:uiPriority w:val="0"/>
    <w:qFormat/>
    <w:pPr>
      <w:jc w:val="left"/>
    </w:pPr>
    <w:rPr>
      <w:sz w:val="24"/>
    </w:rPr>
  </w:style>
  <w:style w:type="paragraph" w:styleId="1206" w:customStyle="1">
    <w:name w:val="Char Char Char1"/>
    <w:basedOn w:val="850"/>
    <w:uiPriority w:val="0"/>
    <w:qFormat/>
    <w:rPr>
      <w:rFonts w:ascii="Tahoma" w:hAnsi="Tahoma"/>
      <w:sz w:val="24"/>
      <w:szCs w:val="20"/>
    </w:rPr>
  </w:style>
  <w:style w:type="paragraph" w:styleId="1207" w:customStyle="1">
    <w:name w:val="Char Char Char Char Char Char Char1"/>
    <w:basedOn w:val="850"/>
    <w:uiPriority w:val="0"/>
    <w:qFormat/>
    <w:pPr>
      <w:ind w:firstLine="200"/>
      <w:spacing w:line="360" w:lineRule="auto"/>
    </w:pPr>
    <w:rPr>
      <w:rFonts w:eastAsia="仿宋_GB2312"/>
      <w:sz w:val="24"/>
    </w:rPr>
  </w:style>
  <w:style w:type="paragraph" w:styleId="1208" w:customStyle="1">
    <w:name w:val="xl51"/>
    <w:basedOn w:val="8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customStyle="1">
    <w:name w:val="样式2"/>
    <w:basedOn w:val="1099"/>
    <w:uiPriority w:val="0"/>
    <w:qFormat/>
    <w:pPr>
      <w:jc w:val="center"/>
      <w:spacing w:line="360" w:lineRule="auto"/>
    </w:pPr>
    <w:rPr>
      <w:sz w:val="24"/>
    </w:rPr>
  </w:style>
  <w:style w:type="paragraph" w:styleId="1210" w:customStyle="1">
    <w:name w:val="xl24"/>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1" w:customStyle="1">
    <w:name w:val="xl29"/>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2" w:customStyle="1">
    <w:name w:val="正文 + 楷体_GB2312"/>
    <w:basedOn w:val="850"/>
    <w:uiPriority w:val="0"/>
    <w:qFormat/>
    <w:pPr>
      <w:jc w:val="left"/>
      <w:widowControl/>
    </w:pPr>
    <w:rPr>
      <w:rFonts w:ascii="楷体_GB2312" w:eastAsia="楷体_GB2312" w:cs="Arial"/>
      <w:sz w:val="24"/>
    </w:rPr>
  </w:style>
  <w:style w:type="paragraph" w:styleId="1213" w:customStyle="1">
    <w:name w:val="xl34"/>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4" w:customStyle="1">
    <w:name w:val="1 Char Char Char Char"/>
    <w:basedOn w:val="850"/>
    <w:uiPriority w:val="0"/>
    <w:qFormat/>
    <w:rPr>
      <w:rFonts w:ascii="Tahoma" w:hAnsi="Tahoma"/>
      <w:sz w:val="24"/>
      <w:szCs w:val="20"/>
    </w:rPr>
  </w:style>
  <w:style w:type="paragraph" w:styleId="1215"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16" w:customStyle="1">
    <w:name w:val="列出段落1"/>
    <w:basedOn w:val="850"/>
    <w:uiPriority w:val="0"/>
    <w:qFormat/>
    <w:pPr>
      <w:ind w:firstLine="420"/>
    </w:pPr>
    <w:rPr>
      <w:rFonts w:ascii="Calibri" w:hAnsi="Calibri"/>
      <w:szCs w:val="22"/>
    </w:rPr>
  </w:style>
  <w:style w:type="paragraph" w:styleId="1217" w:customStyle="1">
    <w:name w:val="default"/>
    <w:basedOn w:val="850"/>
    <w:uiPriority w:val="0"/>
    <w:qFormat/>
    <w:pPr>
      <w:jc w:val="left"/>
      <w:spacing w:before="100" w:beforeAutospacing="1" w:after="100" w:afterAutospacing="1"/>
      <w:widowControl/>
    </w:pPr>
    <w:rPr>
      <w:rFonts w:ascii="宋体" w:hAnsi="宋体" w:cs="宋体"/>
      <w:sz w:val="24"/>
    </w:rPr>
  </w:style>
  <w:style w:type="paragraph" w:styleId="1218" w:customStyle="1">
    <w:name w:val="字元 字元1"/>
    <w:basedOn w:val="850"/>
    <w:uiPriority w:val="0"/>
    <w:qFormat/>
    <w:rPr>
      <w:rFonts w:ascii="Tahoma" w:hAnsi="Tahoma"/>
      <w:sz w:val="24"/>
      <w:szCs w:val="20"/>
    </w:rPr>
  </w:style>
  <w:style w:type="paragraph" w:styleId="1219" w:customStyle="1">
    <w:name w:val="_Style 160"/>
    <w:uiPriority w:val="0"/>
    <w:qFormat/>
    <w:rPr>
      <w:rFonts w:hint="default" w:ascii="Times New Roman" w:hAnsi="Times New Roman" w:eastAsia="宋体" w:cs="Times New Roman"/>
      <w:sz w:val="21"/>
      <w:szCs w:val="24"/>
      <w:lang w:val="en-US" w:eastAsia="zh-CN" w:bidi="ar-SA"/>
    </w:rPr>
  </w:style>
  <w:style w:type="paragraph" w:styleId="1220" w:customStyle="1">
    <w:name w:val="项目编号3"/>
    <w:basedOn w:val="1180"/>
    <w:uiPriority w:val="0"/>
    <w:qFormat/>
    <w:pPr>
      <w:numPr>
        <w:ilvl w:val="0"/>
        <w:numId w:val="6"/>
      </w:numPr>
    </w:pPr>
  </w:style>
  <w:style w:type="paragraph" w:styleId="1221" w:customStyle="1">
    <w:name w:val="Char21"/>
    <w:basedOn w:val="850"/>
    <w:uiPriority w:val="0"/>
    <w:qFormat/>
    <w:rPr>
      <w:rFonts w:ascii="Tahoma" w:hAnsi="Tahoma"/>
      <w:sz w:val="24"/>
      <w:szCs w:val="20"/>
    </w:rPr>
  </w:style>
  <w:style w:type="paragraph" w:styleId="1222" w:customStyle="1">
    <w:name w:val="表格文字"/>
    <w:basedOn w:val="1070"/>
    <w:uiPriority w:val="0"/>
    <w:qFormat/>
    <w:pPr>
      <w:ind w:firstLine="0"/>
      <w:spacing w:before="20" w:after="20" w:line="240" w:lineRule="auto"/>
    </w:pPr>
    <w:rPr>
      <w:rFonts w:ascii="Century Gothic" w:hAnsi="Century Gothic"/>
      <w:sz w:val="20"/>
      <w:szCs w:val="20"/>
    </w:rPr>
  </w:style>
  <w:style w:type="paragraph" w:styleId="1223" w:customStyle="1">
    <w:name w:val="Char Char Char Char Char Char Char Char Char Char1"/>
    <w:basedOn w:val="850"/>
    <w:uiPriority w:val="0"/>
    <w:qFormat/>
    <w:rPr>
      <w:rFonts w:ascii="宋体" w:hAnsi="宋体" w:cs="Courier New"/>
      <w:sz w:val="32"/>
      <w:szCs w:val="32"/>
    </w:rPr>
  </w:style>
  <w:style w:type="paragraph" w:styleId="1224" w:customStyle="1">
    <w:name w:val="正文文本样式 加粗"/>
    <w:basedOn w:val="1180"/>
    <w:uiPriority w:val="0"/>
    <w:qFormat/>
    <w:rPr>
      <w:b/>
    </w:rPr>
  </w:style>
  <w:style w:type="paragraph" w:styleId="1225" w:customStyle="1">
    <w:name w:val="Char2 Char Char Char Char Char Char"/>
    <w:basedOn w:val="850"/>
    <w:uiPriority w:val="0"/>
    <w:qFormat/>
    <w:pPr>
      <w:jc w:val="center"/>
      <w:spacing w:line="400" w:lineRule="exact"/>
      <w:widowControl/>
    </w:pPr>
  </w:style>
  <w:style w:type="paragraph" w:styleId="1226" w:customStyle="1">
    <w:name w:val="Char Char4"/>
    <w:basedOn w:val="850"/>
    <w:uiPriority w:val="0"/>
    <w:qFormat/>
    <w:pPr>
      <w:jc w:val="center"/>
      <w:spacing w:line="400" w:lineRule="exact"/>
      <w:widowControl/>
    </w:pPr>
  </w:style>
  <w:style w:type="paragraph" w:styleId="1227" w:customStyle="1">
    <w:name w:val="Char3 Char Char Char1"/>
    <w:basedOn w:val="850"/>
    <w:uiPriority w:val="0"/>
    <w:qFormat/>
    <w:rPr>
      <w:rFonts w:ascii="Tahoma" w:hAnsi="Tahoma"/>
      <w:sz w:val="24"/>
      <w:szCs w:val="20"/>
    </w:rPr>
  </w:style>
  <w:style w:type="paragraph" w:styleId="1228"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9" w:customStyle="1">
    <w:name w:val="22222222222222"/>
    <w:basedOn w:val="850"/>
    <w:uiPriority w:val="0"/>
    <w:qFormat/>
    <w:pPr>
      <w:ind w:firstLine="480"/>
      <w:jc w:val="left"/>
      <w:spacing w:line="360" w:lineRule="auto"/>
      <w:widowControl/>
    </w:pPr>
    <w:rPr>
      <w:color w:val="ff0000"/>
      <w:sz w:val="24"/>
      <w:szCs w:val="20"/>
    </w:rPr>
  </w:style>
  <w:style w:type="character" w:styleId="1230" w:customStyle="1">
    <w:name w:val="中等深浅网格 1 - 强调文字颜色 2 Char"/>
    <w:link w:val="1231"/>
    <w:uiPriority w:val="0"/>
    <w:qFormat/>
    <w:rPr>
      <w:sz w:val="21"/>
      <w:szCs w:val="24"/>
      <w:lang w:val="zh-CN" w:eastAsia="zh-CN" w:bidi="ar-SA"/>
    </w:rPr>
  </w:style>
  <w:style w:type="paragraph" w:styleId="1231" w:customStyle="1">
    <w:name w:val="1"/>
    <w:link w:val="1230"/>
    <w:uiPriority w:val="0"/>
    <w:qFormat/>
    <w:rPr>
      <w:rFonts w:hint="default" w:ascii="Times New Roman" w:hAnsi="Times New Roman" w:eastAsia="宋体" w:cs="Times New Roman"/>
      <w:sz w:val="21"/>
      <w:szCs w:val="24"/>
      <w:lang w:val="zh-CN" w:eastAsia="zh-CN" w:bidi="ar-SA"/>
    </w:rPr>
  </w:style>
  <w:style w:type="paragraph" w:styleId="1232" w:customStyle="1">
    <w:name w:val="图文"/>
    <w:basedOn w:val="850"/>
    <w:uiPriority w:val="0"/>
    <w:qFormat/>
    <w:pPr>
      <w:spacing w:after="50" w:line="360" w:lineRule="auto"/>
    </w:pPr>
    <w:rPr>
      <w:sz w:val="24"/>
    </w:rPr>
  </w:style>
  <w:style w:type="paragraph" w:styleId="1233" w:customStyle="1">
    <w:name w:val="xl23"/>
    <w:basedOn w:val="850"/>
    <w:uiPriority w:val="0"/>
    <w:qFormat/>
    <w:pPr>
      <w:spacing w:before="100" w:beforeAutospacing="1" w:after="100" w:afterAutospacing="1" w:line="360" w:lineRule="auto"/>
      <w:widowControl/>
    </w:pPr>
    <w:rPr>
      <w:sz w:val="24"/>
      <w:szCs w:val="20"/>
    </w:rPr>
  </w:style>
  <w:style w:type="paragraph" w:styleId="1234" w:customStyle="1">
    <w:name w:val="正文表格"/>
    <w:basedOn w:val="850"/>
    <w:link w:val="1235"/>
    <w:uiPriority w:val="0"/>
    <w:qFormat/>
    <w:pPr>
      <w:jc w:val="left"/>
    </w:pPr>
    <w:rPr>
      <w:rFonts w:ascii="宋体" w:hAnsi="宋体"/>
      <w:color w:val="000000"/>
      <w:szCs w:val="21"/>
    </w:rPr>
  </w:style>
  <w:style w:type="character" w:styleId="1235" w:customStyle="1">
    <w:name w:val="正文表格 Char"/>
    <w:link w:val="1234"/>
    <w:uiPriority w:val="0"/>
    <w:qFormat/>
    <w:rPr>
      <w:rFonts w:ascii="宋体" w:hAnsi="宋体"/>
      <w:color w:val="000000"/>
      <w:sz w:val="21"/>
      <w:szCs w:val="21"/>
    </w:rPr>
  </w:style>
  <w:style w:type="paragraph" w:styleId="1236" w:customStyle="1">
    <w:name w:val="正文重点"/>
    <w:basedOn w:val="850"/>
    <w:link w:val="1237"/>
    <w:uiPriority w:val="0"/>
    <w:qFormat/>
    <w:pPr>
      <w:ind w:firstLine="482"/>
      <w:jc w:val="left"/>
      <w:spacing w:line="360" w:lineRule="auto"/>
    </w:pPr>
    <w:rPr>
      <w:b/>
      <w:sz w:val="24"/>
      <w:szCs w:val="20"/>
    </w:rPr>
  </w:style>
  <w:style w:type="character" w:styleId="1237" w:customStyle="1">
    <w:name w:val="正文重点 Char"/>
    <w:link w:val="1236"/>
    <w:uiPriority w:val="0"/>
    <w:qFormat/>
    <w:rPr>
      <w:b/>
      <w:sz w:val="24"/>
    </w:rPr>
  </w:style>
  <w:style w:type="paragraph" w:styleId="1238" w:customStyle="1">
    <w:name w:val="标题1-附件"/>
    <w:basedOn w:val="1037"/>
    <w:uiPriority w:val="0"/>
    <w:qFormat/>
    <w:pPr>
      <w:jc w:val="left"/>
    </w:pPr>
    <w:rPr>
      <w:sz w:val="24"/>
      <w:szCs w:val="24"/>
    </w:rPr>
  </w:style>
  <w:style w:type="paragraph" w:styleId="1239" w:customStyle="1">
    <w:name w:val="正文小标题"/>
    <w:basedOn w:val="850"/>
    <w:next w:val="1040"/>
    <w:link w:val="1240"/>
    <w:uiPriority w:val="0"/>
    <w:qFormat/>
    <w:pPr>
      <w:ind w:firstLine="482"/>
      <w:jc w:val="left"/>
      <w:spacing w:before="312" w:after="312"/>
    </w:pPr>
    <w:rPr>
      <w:rFonts w:ascii="宋体" w:hAnsi="宋体"/>
      <w:b/>
      <w:i/>
      <w:color w:val="ff0000"/>
      <w:sz w:val="24"/>
      <w:szCs w:val="20"/>
    </w:rPr>
  </w:style>
  <w:style w:type="character" w:styleId="1240" w:customStyle="1">
    <w:name w:val="正文小标题 Char"/>
    <w:link w:val="1239"/>
    <w:uiPriority w:val="0"/>
    <w:qFormat/>
    <w:rPr>
      <w:rFonts w:ascii="宋体" w:hAnsi="宋体"/>
      <w:b/>
      <w:i/>
      <w:color w:val="ff0000"/>
      <w:sz w:val="24"/>
    </w:rPr>
  </w:style>
  <w:style w:type="paragraph" w:styleId="1241" w:customStyle="1">
    <w:name w:val="正文大标题"/>
    <w:basedOn w:val="1239"/>
    <w:next w:val="1040"/>
    <w:link w:val="1242"/>
    <w:uiPriority w:val="0"/>
    <w:qFormat/>
    <w:pPr>
      <w:jc w:val="center"/>
    </w:pPr>
    <w:rPr>
      <w:i w:val="0"/>
      <w:color w:val="000000"/>
      <w:sz w:val="28"/>
      <w:szCs w:val="21"/>
    </w:rPr>
  </w:style>
  <w:style w:type="character" w:styleId="1242" w:customStyle="1">
    <w:name w:val="正文大标题 Char"/>
    <w:link w:val="1241"/>
    <w:uiPriority w:val="0"/>
    <w:qFormat/>
    <w:rPr>
      <w:rFonts w:ascii="宋体" w:hAnsi="宋体"/>
      <w:b/>
      <w:color w:val="000000"/>
      <w:sz w:val="28"/>
      <w:szCs w:val="21"/>
    </w:rPr>
  </w:style>
  <w:style w:type="paragraph" w:styleId="1243" w:customStyle="1">
    <w:name w:val="注释"/>
    <w:basedOn w:val="850"/>
    <w:link w:val="1244"/>
    <w:uiPriority w:val="0"/>
    <w:qFormat/>
    <w:pPr>
      <w:ind w:left="420" w:hanging="420"/>
      <w:jc w:val="left"/>
    </w:pPr>
    <w:rPr>
      <w:rFonts w:ascii="宋体" w:hAnsi="宋体"/>
      <w:szCs w:val="21"/>
    </w:rPr>
  </w:style>
  <w:style w:type="character" w:styleId="1244" w:customStyle="1">
    <w:name w:val="注释 Char"/>
    <w:link w:val="1243"/>
    <w:uiPriority w:val="0"/>
    <w:qFormat/>
    <w:rPr>
      <w:rFonts w:ascii="宋体" w:hAnsi="宋体"/>
      <w:sz w:val="21"/>
      <w:szCs w:val="21"/>
    </w:rPr>
  </w:style>
  <w:style w:type="paragraph" w:styleId="1245" w:customStyle="1">
    <w:name w:val="正文须知-1级"/>
    <w:basedOn w:val="850"/>
    <w:next w:val="850"/>
    <w:uiPriority w:val="0"/>
    <w:qFormat/>
    <w:pPr>
      <w:numPr>
        <w:ilvl w:val="0"/>
        <w:numId w:val="7"/>
      </w:numPr>
      <w:spacing w:line="300" w:lineRule="auto"/>
    </w:pPr>
    <w:rPr>
      <w:rFonts w:ascii="宋体" w:hAnsi="Calibri"/>
      <w:sz w:val="24"/>
      <w:szCs w:val="21"/>
    </w:rPr>
  </w:style>
  <w:style w:type="paragraph" w:styleId="1246" w:customStyle="1">
    <w:name w:val="正文须知-2级"/>
    <w:basedOn w:val="850"/>
    <w:uiPriority w:val="0"/>
    <w:qFormat/>
    <w:pPr>
      <w:numPr>
        <w:ilvl w:val="1"/>
        <w:numId w:val="7"/>
      </w:numPr>
      <w:spacing w:line="300" w:lineRule="auto"/>
    </w:pPr>
    <w:rPr>
      <w:rFonts w:ascii="宋体" w:hAnsi="Calibri"/>
      <w:sz w:val="24"/>
      <w:szCs w:val="21"/>
    </w:rPr>
  </w:style>
  <w:style w:type="paragraph" w:styleId="1247" w:customStyle="1">
    <w:name w:val="正文须知-3级"/>
    <w:basedOn w:val="850"/>
    <w:uiPriority w:val="0"/>
    <w:qFormat/>
    <w:pPr>
      <w:numPr>
        <w:ilvl w:val="2"/>
        <w:numId w:val="7"/>
      </w:numPr>
      <w:ind w:hanging="355"/>
      <w:spacing w:line="300" w:lineRule="auto"/>
    </w:pPr>
    <w:rPr>
      <w:rFonts w:ascii="宋体" w:hAnsi="Calibri"/>
      <w:sz w:val="24"/>
      <w:szCs w:val="21"/>
    </w:rPr>
  </w:style>
  <w:style w:type="character" w:styleId="1248" w:customStyle="1">
    <w:name w:val="纯文本 字符"/>
    <w:link w:val="850"/>
    <w:uiPriority w:val="99"/>
    <w:qFormat/>
    <w:rPr>
      <w:rFonts w:ascii="宋体" w:hAnsi="Courier New" w:eastAsia="宋体" w:cs="Times New Roman"/>
      <w:sz w:val="21"/>
      <w:szCs w:val="21"/>
      <w:lang w:val="en-US" w:eastAsia="zh-CN" w:bidi="ar-SA"/>
    </w:rPr>
  </w:style>
  <w:style w:type="paragraph" w:styleId="1249" w:customStyle="1">
    <w:name w:val="表格1"/>
    <w:basedOn w:val="850"/>
    <w:uiPriority w:val="0"/>
    <w:qFormat/>
    <w:pPr>
      <w:ind w:firstLine="480"/>
      <w:jc w:val="center"/>
    </w:pPr>
    <w:rPr>
      <w:sz w:val="24"/>
      <w:szCs w:val="20"/>
    </w:rPr>
  </w:style>
  <w:style w:type="character" w:styleId="1250" w:customStyle="1">
    <w:name w:val="纯文本 字符1"/>
    <w:link w:val="850"/>
    <w:uiPriority w:val="0"/>
    <w:qFormat/>
    <w:rPr>
      <w:rFonts w:ascii="宋体" w:hAnsi="Courier New"/>
    </w:rPr>
  </w:style>
  <w:style w:type="character" w:styleId="1251" w:customStyle="1">
    <w:name w:val="bjh-p"/>
    <w:link w:val="850"/>
    <w:uiPriority w:val="0"/>
    <w:qFormat/>
  </w:style>
  <w:style w:type="paragraph" w:styleId="1252" w:customStyle="1">
    <w:name w:val="无标题条"/>
    <w:next w:val="850"/>
    <w:uiPriority w:val="0"/>
    <w:qFormat/>
    <w:pPr>
      <w:jc w:val="both"/>
    </w:pPr>
    <w:rPr>
      <w:rFonts w:hint="default" w:ascii="Times New Roman" w:hAnsi="Times New Roman" w:eastAsia="宋体" w:cs="Times New Roman"/>
      <w:sz w:val="21"/>
      <w:lang w:val="en-US" w:eastAsia="zh-CN" w:bidi="ar-SA"/>
    </w:rPr>
  </w:style>
  <w:style w:type="character" w:styleId="1253" w:customStyle="1">
    <w:name w:val="正文格式 Char"/>
    <w:link w:val="1254"/>
    <w:uiPriority w:val="0"/>
    <w:qFormat/>
    <w:rPr>
      <w:rFonts w:ascii="宋体" w:hAnsi="宋体"/>
      <w:sz w:val="24"/>
      <w:szCs w:val="24"/>
      <w:lang w:val="en-GB"/>
    </w:rPr>
  </w:style>
  <w:style w:type="paragraph" w:styleId="1254" w:customStyle="1">
    <w:name w:val="正文格式"/>
    <w:basedOn w:val="850"/>
    <w:link w:val="1253"/>
    <w:uiPriority w:val="0"/>
    <w:qFormat/>
    <w:pPr>
      <w:ind w:firstLine="480"/>
      <w:spacing w:line="360" w:lineRule="auto"/>
    </w:pPr>
    <w:rPr>
      <w:rFonts w:ascii="宋体" w:hAnsi="宋体"/>
      <w:sz w:val="24"/>
      <w:lang w:val="en-GB"/>
    </w:rPr>
  </w:style>
  <w:style w:type="character" w:styleId="1255" w:customStyle="1">
    <w:name w:val="标题 3 Char"/>
    <w:link w:val="850"/>
    <w:uiPriority w:val="0"/>
    <w:qFormat/>
    <w:rPr>
      <w:rFonts w:ascii="宋体" w:eastAsia="宋体"/>
      <w:b/>
      <w:sz w:val="24"/>
      <w:u w:val="single"/>
      <w:lang w:val="en-US" w:eastAsia="zh-CN" w:bidi="ar-SA"/>
    </w:rPr>
  </w:style>
  <w:style w:type="character" w:styleId="1256" w:customStyle="1">
    <w:name w:val="正文缩进 Char"/>
    <w:link w:val="850"/>
    <w:uiPriority w:val="0"/>
    <w:qFormat/>
    <w:rPr>
      <w:rFonts w:ascii="宋体" w:eastAsia="宋体"/>
      <w:sz w:val="24"/>
      <w:szCs w:val="24"/>
      <w:lang w:val="en-US" w:eastAsia="zh-CN" w:bidi="ar-SA"/>
    </w:rPr>
  </w:style>
  <w:style w:type="character" w:styleId="1257" w:customStyle="1">
    <w:name w:val="Char Char111"/>
    <w:link w:val="850"/>
    <w:uiPriority w:val="0"/>
    <w:qFormat/>
    <w:rPr>
      <w:rFonts w:ascii="宋体" w:eastAsia="宋体"/>
      <w:b/>
      <w:sz w:val="24"/>
      <w:u w:val="single"/>
      <w:lang w:val="en-US" w:eastAsia="zh-CN" w:bidi="ar-SA"/>
    </w:rPr>
  </w:style>
  <w:style w:type="character" w:styleId="1258" w:customStyle="1">
    <w:name w:val="正文文本缩进 Char"/>
    <w:link w:val="850"/>
    <w:uiPriority w:val="0"/>
    <w:qFormat/>
    <w:rPr>
      <w:rFonts w:eastAsia="宋体"/>
      <w:sz w:val="24"/>
      <w:szCs w:val="24"/>
      <w:lang w:val="en-US" w:eastAsia="zh-CN" w:bidi="ar-SA"/>
    </w:rPr>
  </w:style>
  <w:style w:type="character" w:styleId="1259" w:customStyle="1">
    <w:name w:val="列出段落 Char"/>
    <w:link w:val="850"/>
    <w:uiPriority w:val="0"/>
    <w:qFormat/>
    <w:rPr>
      <w:rFonts w:ascii="Calibri" w:hAnsi="Calibri" w:eastAsia="宋体"/>
      <w:sz w:val="21"/>
      <w:szCs w:val="22"/>
      <w:lang w:val="en-US" w:eastAsia="zh-CN" w:bidi="ar-SA"/>
    </w:rPr>
  </w:style>
  <w:style w:type="character" w:styleId="1260" w:customStyle="1">
    <w:name w:val="页眉 Char"/>
    <w:link w:val="850"/>
    <w:uiPriority w:val="0"/>
    <w:qFormat/>
    <w:rPr>
      <w:rFonts w:eastAsia="宋体"/>
      <w:sz w:val="18"/>
      <w:szCs w:val="18"/>
      <w:lang w:val="en-US" w:eastAsia="zh-CN" w:bidi="ar-SA"/>
    </w:rPr>
  </w:style>
  <w:style w:type="character" w:styleId="1261" w:customStyle="1">
    <w:name w:val="标题 2 Char"/>
    <w:link w:val="850"/>
    <w:uiPriority w:val="0"/>
    <w:qFormat/>
    <w:rPr>
      <w:rFonts w:ascii="Arial" w:hAnsi="Arial" w:eastAsia="黑体"/>
      <w:b/>
      <w:sz w:val="30"/>
      <w:lang w:val="en-US" w:eastAsia="zh-CN" w:bidi="ar-SA"/>
    </w:rPr>
  </w:style>
  <w:style w:type="paragraph" w:styleId="1262" w:customStyle="1">
    <w:name w:val="字元 字元2"/>
    <w:basedOn w:val="850"/>
    <w:uiPriority w:val="0"/>
    <w:qFormat/>
    <w:rPr>
      <w:rFonts w:ascii="Tahoma" w:hAnsi="Tahoma"/>
      <w:sz w:val="24"/>
      <w:szCs w:val="20"/>
    </w:rPr>
  </w:style>
  <w:style w:type="paragraph" w:styleId="1263" w:customStyle="1">
    <w:name w:val="Char3 Char Char Char2"/>
    <w:basedOn w:val="850"/>
    <w:uiPriority w:val="0"/>
    <w:qFormat/>
    <w:rPr>
      <w:rFonts w:ascii="Tahoma" w:hAnsi="Tahoma"/>
      <w:sz w:val="24"/>
      <w:szCs w:val="20"/>
    </w:rPr>
  </w:style>
  <w:style w:type="paragraph" w:styleId="1264" w:customStyle="1">
    <w:name w:val="正文文本缩进2"/>
    <w:basedOn w:val="850"/>
    <w:uiPriority w:val="0"/>
    <w:qFormat/>
    <w:pPr>
      <w:ind w:firstLine="480"/>
      <w:spacing w:line="480" w:lineRule="exact"/>
    </w:pPr>
    <w:rPr>
      <w:rFonts w:ascii="宋体" w:hAnsi="宋体"/>
      <w:sz w:val="24"/>
      <w:lang w:val="zh-CN" w:eastAsia="zh-CN"/>
    </w:rPr>
  </w:style>
  <w:style w:type="paragraph" w:styleId="1265" w:customStyle="1">
    <w:name w:val="Char3"/>
    <w:basedOn w:val="850"/>
    <w:uiPriority w:val="0"/>
    <w:qFormat/>
    <w:pPr>
      <w:tabs>
        <w:tab w:val="left" w:pos="360" w:leader="none"/>
      </w:tabs>
    </w:pPr>
    <w:rPr>
      <w:sz w:val="24"/>
    </w:rPr>
  </w:style>
  <w:style w:type="paragraph" w:styleId="1266" w:customStyle="1">
    <w:name w:val="Char Char Char Char Char Char Char Char Char Char Char Char Char Char Char Char1"/>
    <w:basedOn w:val="850"/>
    <w:uiPriority w:val="0"/>
    <w:qFormat/>
    <w:pPr>
      <w:jc w:val="center"/>
      <w:spacing w:after="160" w:line="240" w:lineRule="exact"/>
      <w:widowControl/>
    </w:pPr>
    <w:rPr>
      <w:rFonts w:ascii="宋体" w:hAnsi="宋体"/>
      <w:b/>
      <w:sz w:val="30"/>
      <w:szCs w:val="30"/>
      <w:lang w:eastAsia="en-US"/>
    </w:rPr>
  </w:style>
  <w:style w:type="paragraph" w:styleId="1267" w:customStyle="1">
    <w:name w:val="Char Char1 Char Char Char Char Char Char1"/>
    <w:basedOn w:val="850"/>
    <w:uiPriority w:val="0"/>
    <w:qFormat/>
    <w:pPr>
      <w:jc w:val="left"/>
      <w:spacing w:after="160" w:line="240" w:lineRule="exact"/>
      <w:widowControl/>
    </w:pPr>
    <w:rPr>
      <w:rFonts w:ascii="Verdana" w:hAnsi="Verdana" w:eastAsia="仿宋_GB2312"/>
      <w:sz w:val="24"/>
      <w:szCs w:val="20"/>
      <w:lang w:eastAsia="en-US"/>
    </w:rPr>
  </w:style>
  <w:style w:type="paragraph" w:styleId="1268" w:customStyle="1">
    <w:name w:val="列出段落2"/>
    <w:basedOn w:val="850"/>
    <w:uiPriority w:val="0"/>
    <w:qFormat/>
    <w:pPr>
      <w:ind w:firstLine="420"/>
    </w:pPr>
    <w:rPr>
      <w:rFonts w:ascii="Calibri" w:hAnsi="Calibri"/>
      <w:szCs w:val="22"/>
    </w:rPr>
  </w:style>
  <w:style w:type="paragraph" w:styleId="1269" w:customStyle="1">
    <w:name w:val="Char Char Char1 Char2"/>
    <w:basedOn w:val="850"/>
    <w:uiPriority w:val="0"/>
    <w:qFormat/>
    <w:rPr>
      <w:rFonts w:ascii="Tahoma" w:hAnsi="Tahoma"/>
      <w:sz w:val="24"/>
      <w:szCs w:val="20"/>
    </w:rPr>
  </w:style>
  <w:style w:type="paragraph" w:styleId="1270" w:customStyle="1">
    <w:name w:val="Char Char Char2"/>
    <w:basedOn w:val="850"/>
    <w:uiPriority w:val="0"/>
    <w:qFormat/>
    <w:rPr>
      <w:rFonts w:ascii="Tahoma" w:hAnsi="Tahoma"/>
      <w:sz w:val="24"/>
      <w:szCs w:val="20"/>
    </w:rPr>
  </w:style>
  <w:style w:type="paragraph" w:styleId="1271" w:customStyle="1">
    <w:name w:val="Char Char Char Char Char Char Char2"/>
    <w:basedOn w:val="850"/>
    <w:uiPriority w:val="0"/>
    <w:qFormat/>
    <w:pPr>
      <w:ind w:firstLine="200"/>
      <w:spacing w:line="360" w:lineRule="auto"/>
    </w:pPr>
    <w:rPr>
      <w:rFonts w:eastAsia="仿宋_GB2312"/>
      <w:sz w:val="24"/>
    </w:rPr>
  </w:style>
  <w:style w:type="paragraph" w:styleId="1272" w:customStyle="1">
    <w:name w:val="正文缩进2"/>
    <w:basedOn w:val="850"/>
    <w:uiPriority w:val="0"/>
    <w:qFormat/>
    <w:pPr>
      <w:ind w:firstLine="567"/>
      <w:spacing w:line="480" w:lineRule="exact"/>
      <w:widowControl/>
    </w:pPr>
    <w:rPr>
      <w:rFonts w:ascii="宋体"/>
      <w:color w:val="000000"/>
      <w:sz w:val="28"/>
      <w:szCs w:val="20"/>
      <w:lang w:val="zh-CN" w:eastAsia="zh-CN"/>
    </w:rPr>
  </w:style>
  <w:style w:type="paragraph" w:styleId="1273" w:customStyle="1">
    <w:name w:val="Revision"/>
    <w:uiPriority w:val="0"/>
    <w:qFormat/>
    <w:rPr>
      <w:rFonts w:hint="default" w:ascii="Times New Roman" w:hAnsi="Times New Roman" w:eastAsia="宋体" w:cs="Times New Roman"/>
      <w:sz w:val="21"/>
      <w:szCs w:val="24"/>
      <w:lang w:val="en-US" w:eastAsia="zh-CN" w:bidi="ar-SA"/>
    </w:rPr>
  </w:style>
  <w:style w:type="paragraph" w:styleId="1274" w:customStyle="1">
    <w:name w:val="Char22"/>
    <w:basedOn w:val="850"/>
    <w:uiPriority w:val="0"/>
    <w:qFormat/>
    <w:rPr>
      <w:rFonts w:ascii="Tahoma" w:hAnsi="Tahoma"/>
      <w:sz w:val="24"/>
      <w:szCs w:val="20"/>
    </w:rPr>
  </w:style>
  <w:style w:type="paragraph" w:styleId="1275" w:customStyle="1">
    <w:name w:val="Char Char Char Char Char Char Char Char Char Char2"/>
    <w:basedOn w:val="850"/>
    <w:uiPriority w:val="0"/>
    <w:qFormat/>
    <w:rPr>
      <w:rFonts w:ascii="宋体" w:hAnsi="宋体" w:cs="Courier New"/>
      <w:sz w:val="32"/>
      <w:szCs w:val="32"/>
    </w:rPr>
  </w:style>
  <w:style w:type="paragraph" w:styleId="1276" w:customStyle="1">
    <w:name w:val="Char2 Char Char Char Char Char Char1"/>
    <w:basedOn w:val="850"/>
    <w:uiPriority w:val="0"/>
    <w:qFormat/>
    <w:pPr>
      <w:jc w:val="center"/>
      <w:spacing w:line="400" w:lineRule="exact"/>
      <w:widowControl/>
    </w:pPr>
  </w:style>
  <w:style w:type="character" w:styleId="1277" w:customStyle="1">
    <w:name w:val="页脚 Char"/>
    <w:link w:val="850"/>
    <w:uiPriority w:val="0"/>
    <w:qFormat/>
    <w:rPr>
      <w:rFonts w:ascii="宋体" w:eastAsia="宋体"/>
      <w:sz w:val="18"/>
      <w:lang w:val="en-US" w:eastAsia="zh-CN" w:bidi="ar-SA"/>
    </w:rPr>
  </w:style>
  <w:style w:type="paragraph" w:styleId="1278" w:customStyle="1">
    <w:name w:val="Char Char41"/>
    <w:basedOn w:val="850"/>
    <w:uiPriority w:val="0"/>
    <w:qFormat/>
    <w:pPr>
      <w:jc w:val="center"/>
      <w:spacing w:line="400" w:lineRule="exact"/>
      <w:widowControl/>
    </w:pPr>
  </w:style>
  <w:style w:type="character" w:styleId="1279" w:customStyle="1">
    <w:name w:val="批注文字 Char"/>
    <w:link w:val="850"/>
    <w:uiPriority w:val="99"/>
    <w:qFormat/>
    <w:rPr>
      <w:sz w:val="21"/>
      <w:szCs w:val="24"/>
    </w:rPr>
  </w:style>
  <w:style w:type="character" w:styleId="1280" w:customStyle="1">
    <w:name w:val="标题 Char"/>
    <w:link w:val="850"/>
    <w:uiPriority w:val="0"/>
    <w:qFormat/>
    <w:rPr>
      <w:b/>
      <w:sz w:val="32"/>
    </w:rPr>
  </w:style>
  <w:style w:type="paragraph" w:styleId="1281" w:customStyle="1">
    <w:name w:val="图例"/>
    <w:basedOn w:val="850"/>
    <w:uiPriority w:val="0"/>
    <w:qFormat/>
    <w:pPr>
      <w:jc w:val="center"/>
      <w:spacing w:before="120" w:after="120" w:line="360" w:lineRule="auto"/>
    </w:pPr>
    <w:rPr>
      <w:rFonts w:eastAsia="仿宋_GB2312"/>
      <w:b/>
      <w:sz w:val="24"/>
      <w:szCs w:val="20"/>
    </w:rPr>
  </w:style>
  <w:style w:type="table" w:styleId="1282" w:customStyle="1">
    <w:name w:val="Table Normal"/>
    <w:uiPriority w:val="2"/>
    <w:unhideWhenUsed/>
    <w:qFormat/>
    <w:pPr>
      <w:widowControl w:val="off"/>
    </w:pPr>
    <w:rPr>
      <w:rFonts w:ascii="Calibri" w:hAnsi="Calibri"/>
      <w:sz w:val="22"/>
      <w:szCs w:val="22"/>
      <w:lang w:val="en-US" w:eastAsia="en-US" w:bidi="ar-SA"/>
    </w:rPr>
    <w:tblPr/>
  </w:style>
  <w:style w:type="paragraph" w:styleId="1283" w:customStyle="1">
    <w:name w:val="Table Paragraph"/>
    <w:basedOn w:val="850"/>
    <w:uiPriority w:val="1"/>
    <w:qFormat/>
    <w:pPr>
      <w:jc w:val="left"/>
    </w:pPr>
    <w:rPr>
      <w:rFonts w:ascii="宋体" w:hAnsi="宋体" w:cs="宋体"/>
      <w:sz w:val="22"/>
      <w:szCs w:val="22"/>
      <w:lang w:eastAsia="en-US"/>
    </w:rPr>
  </w:style>
  <w:style w:type="paragraph" w:styleId="1284" w:customStyle="1">
    <w:name w:val="成文日期"/>
    <w:basedOn w:val="850"/>
    <w:link w:val="1285"/>
    <w:uiPriority w:val="0"/>
    <w:qFormat/>
    <w:pPr>
      <w:ind w:right="400" w:firstLine="200"/>
      <w:jc w:val="right"/>
      <w:spacing w:line="570" w:lineRule="exact"/>
    </w:pPr>
    <w:rPr>
      <w:rFonts w:ascii="仿宋_GB2312" w:eastAsia="仿宋_GB2312"/>
      <w:sz w:val="32"/>
      <w:szCs w:val="20"/>
    </w:rPr>
  </w:style>
  <w:style w:type="character" w:styleId="1285" w:customStyle="1">
    <w:name w:val="成文日期 Char"/>
    <w:link w:val="1284"/>
    <w:uiPriority w:val="0"/>
    <w:qFormat/>
    <w:rPr>
      <w:rFonts w:ascii="仿宋_GB2312" w:eastAsia="仿宋_GB2312"/>
      <w:sz w:val="32"/>
    </w:rPr>
  </w:style>
  <w:style w:type="paragraph" w:styleId="1286"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287" w:customStyle="1">
    <w:name w:val="正文缩进 字符"/>
    <w:link w:val="850"/>
    <w:uiPriority w:val="99"/>
    <w:qFormat/>
    <w:rPr>
      <w:rFonts w:ascii="宋体" w:hAnsi="Times New Roman" w:eastAsia="宋体" w:cs="Times New Roman"/>
      <w:sz w:val="24"/>
    </w:rPr>
  </w:style>
  <w:style w:type="character" w:styleId="1288" w:customStyle="1">
    <w:name w:val="纯文本 字符2"/>
    <w:link w:val="850"/>
    <w:uiPriority w:val="99"/>
    <w:qFormat/>
    <w:rPr>
      <w:rFonts w:ascii="宋体" w:hAnsi="Courier New"/>
      <w:sz w:val="21"/>
    </w:rPr>
  </w:style>
  <w:style w:type="character" w:styleId="1289" w:customStyle="1">
    <w:name w:val="正文文本 字符"/>
    <w:link w:val="850"/>
    <w:uiPriority w:val="0"/>
    <w:qFormat/>
    <w:rPr>
      <w:rFonts w:ascii="宋体" w:hAnsi="宋体"/>
      <w:sz w:val="24"/>
      <w:szCs w:val="24"/>
    </w:rPr>
  </w:style>
  <w:style w:type="paragraph" w:styleId="1290" w:customStyle="1">
    <w:name w:val="正文11"/>
    <w:uiPriority w:val="99"/>
    <w:qFormat/>
    <w:pPr>
      <w:spacing w:line="240" w:lineRule="atLeast"/>
      <w:widowControl w:val="off"/>
    </w:pPr>
    <w:rPr>
      <w:rFonts w:ascii="宋体" w:hAnsi="Times New Roman" w:eastAsia="宋体" w:cs="宋体"/>
      <w:sz w:val="34"/>
      <w:szCs w:val="34"/>
      <w:lang w:val="en-US" w:eastAsia="zh-CN" w:bidi="ar-SA"/>
    </w:rPr>
  </w:style>
  <w:style w:type="character" w:styleId="1291" w:customStyle="1">
    <w:name w:val="font61"/>
    <w:link w:val="850"/>
    <w:uiPriority w:val="0"/>
    <w:qFormat/>
    <w:rPr>
      <w:rFonts w:ascii="Times New Roman" w:hAnsi="Times New Roman" w:cs="Times New Roman"/>
      <w:color w:val="000000"/>
      <w:sz w:val="28"/>
      <w:szCs w:val="28"/>
      <w:u w:val="none"/>
    </w:rPr>
  </w:style>
  <w:style w:type="character" w:styleId="1292" w:customStyle="1">
    <w:name w:val="font81"/>
    <w:link w:val="850"/>
    <w:uiPriority w:val="0"/>
    <w:qFormat/>
    <w:rPr>
      <w:rFonts w:hint="eastAsia" w:ascii="宋体" w:hAnsi="宋体" w:eastAsia="宋体" w:cs="宋体"/>
      <w:color w:val="000000"/>
      <w:sz w:val="28"/>
      <w:szCs w:val="28"/>
      <w:u w:val="none"/>
    </w:rPr>
  </w:style>
  <w:style w:type="character" w:styleId="1293" w:customStyle="1">
    <w:name w:val="font51"/>
    <w:link w:val="850"/>
    <w:uiPriority w:val="0"/>
    <w:qFormat/>
    <w:rPr>
      <w:rFonts w:ascii="Times New Roman" w:hAnsi="Times New Roman" w:cs="Times New Roman"/>
      <w:b/>
      <w:bCs/>
      <w:color w:val="000000"/>
      <w:sz w:val="21"/>
      <w:szCs w:val="21"/>
      <w:u w:val="none"/>
    </w:rPr>
  </w:style>
  <w:style w:type="paragraph" w:styleId="1294" w:customStyle="1">
    <w:name w:val="一、"/>
    <w:uiPriority w:val="0"/>
    <w:qFormat/>
    <w:pPr>
      <w:ind w:firstLine="640"/>
      <w:jc w:val="both"/>
      <w:widowControl w:val="off"/>
    </w:pPr>
    <w:rPr>
      <w:rFonts w:hint="default" w:ascii="Times New Roman" w:hAnsi="Times New Roman" w:eastAsia="黑体" w:cs="Times New Roman"/>
      <w:sz w:val="21"/>
      <w:szCs w:val="32"/>
      <w:lang w:val="en-US" w:eastAsia="zh-CN" w:bidi="ar-SA"/>
    </w:rPr>
  </w:style>
  <w:style w:type="numbering" w:styleId="12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陈晨</cp:lastModifiedBy>
  <cp:revision>201</cp:revision>
  <dcterms:created xsi:type="dcterms:W3CDTF">2022-05-30T08:08:00Z</dcterms:created>
  <dcterms:modified xsi:type="dcterms:W3CDTF">2026-08-24T03:11:45Z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A97E36583471402A94BE995E4EF17C92_13</vt:lpwstr>
  </property>
  <property fmtid="{D5CDD505-2E9C-101B-9397-08002B2CF9AE}" pid="4" name="KSOTemplateDocerSaveRecord">
    <vt:lpwstr>eyJoZGlkIjoiYzMxN2YyMTM5N2VmMDNhMGJmZTc3YmU5OGZiZWNhYmMiLCJ1c2VySWQiOiIxNTc4MjcyODIzIn0=</vt:lpwstr>
  </property>
</Properties>
</file>