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default" w:ascii="Times New Roman" w:hAnsi="Times New Roman" w:cs="Times New Roman"/>
          <w:color w:val="000000" w:themeColor="text1"/>
          <w:sz w:val="28"/>
          <w:highlight w:val="none"/>
          <w14:textFill>
            <w14:solidFill>
              <w14:schemeClr w14:val="tx1"/>
            </w14:solidFill>
          </w14:textFill>
        </w:rPr>
      </w:pPr>
      <w:r>
        <w:rPr>
          <w:rFonts w:hint="default" w:ascii="Times New Roman" w:hAnsi="Times New Roman" w:cs="Times New Roman"/>
          <w:color w:val="000000" w:themeColor="text1"/>
          <w:sz w:val="28"/>
          <w:highlight w:val="none"/>
          <w14:textFill>
            <w14:solidFill>
              <w14:schemeClr w14:val="tx1"/>
            </w14:solidFill>
          </w14:textFill>
        </w:rPr>
      </w:r>
      <w:r/>
    </w:p>
    <w:p>
      <w:pPr>
        <w:jc w:val="right"/>
        <w:spacing w:line="360" w:lineRule="auto"/>
        <w:rPr>
          <w:rFonts w:hint="default" w:ascii="Times New Roman" w:hAnsi="Times New Roman" w:cs="Times New Roman"/>
          <w:b/>
          <w:bCs/>
          <w:color w:val="000000" w:themeColor="text1"/>
          <w:sz w:val="32"/>
          <w:szCs w:val="32"/>
          <w:highlight w:val="none"/>
          <w14:textFill>
            <w14:solidFill>
              <w14:schemeClr w14:val="tx1"/>
            </w14:solidFill>
          </w14:textFill>
        </w:rPr>
        <w:outlineLvl w:val="9"/>
      </w:pPr>
      <w:r>
        <w:rPr>
          <w:rFonts w:hint="eastAsia" w:cs="Times New Roman"/>
          <w:b/>
          <w:bCs/>
          <w:color w:val="000000" w:themeColor="text1"/>
          <w:sz w:val="32"/>
          <w:szCs w:val="32"/>
          <w:highlight w:val="none"/>
          <w:lang w:eastAsia="zh-CN"/>
          <w14:textFill>
            <w14:solidFill>
              <w14:schemeClr w14:val="tx1"/>
            </w14:solidFill>
          </w14:textFill>
        </w:rPr>
        <w:t xml:space="preserve">JSZC-321002-YZLZ-C2026-0007</w:t>
      </w:r>
      <w:r>
        <w:rPr>
          <w:rFonts w:hint="default" w:ascii="Times New Roman" w:hAnsi="Times New Roman" w:cs="Times New Roman"/>
          <w:b/>
          <w:bCs/>
          <w:color w:val="000000" w:themeColor="text1"/>
          <w:sz w:val="32"/>
          <w:szCs w:val="32"/>
          <w:highlight w:val="none"/>
          <w14:textFill>
            <w14:solidFill>
              <w14:schemeClr w14:val="tx1"/>
            </w14:solidFill>
          </w14:textFill>
        </w:rPr>
        <w:t xml:space="preserve"> </w:t>
      </w:r>
      <w:r/>
    </w:p>
    <w:p>
      <w:pPr>
        <w:jc w:val="right"/>
        <w:spacing w:line="360" w:lineRule="auto"/>
        <w:rPr>
          <w:rFonts w:hint="default" w:ascii="Times New Roman" w:hAnsi="Times New Roman" w:cs="Times New Roman"/>
          <w:b/>
          <w:bCs/>
          <w:color w:val="000000" w:themeColor="text1"/>
          <w:sz w:val="32"/>
          <w:szCs w:val="32"/>
          <w:highlight w:val="none"/>
          <w14:textFill>
            <w14:solidFill>
              <w14:schemeClr w14:val="tx1"/>
            </w14:solidFill>
          </w14:textFill>
        </w:rPr>
        <w:outlineLvl w:val="9"/>
      </w:pPr>
      <w:r>
        <w:rPr>
          <w:rFonts w:hint="default" w:ascii="Times New Roman" w:hAnsi="Times New Roman" w:cs="Times New Roman"/>
          <w:b/>
          <w:bCs/>
          <w:color w:val="000000" w:themeColor="text1"/>
          <w:sz w:val="32"/>
          <w:szCs w:val="32"/>
          <w:highlight w:val="none"/>
          <w14:textFill>
            <w14:solidFill>
              <w14:schemeClr w14:val="tx1"/>
            </w14:solidFill>
          </w14:textFill>
        </w:rPr>
      </w:r>
      <w:r/>
    </w:p>
    <w:p>
      <w:pPr>
        <w:jc w:val="center"/>
        <w:spacing w:line="360" w:lineRule="auto"/>
        <w:rPr>
          <w:rFonts w:hint="default" w:ascii="Times New Roman" w:hAnsi="Times New Roman" w:cs="Times New Roman"/>
          <w:color w:val="000000" w:themeColor="text1"/>
          <w:sz w:val="36"/>
          <w:highlight w:val="none"/>
          <w14:textFill>
            <w14:solidFill>
              <w14:schemeClr w14:val="tx1"/>
            </w14:solidFill>
          </w14:textFill>
        </w:rPr>
      </w:pPr>
      <w:r>
        <w:rPr>
          <w:rFonts w:hint="default" w:ascii="Times New Roman" w:hAnsi="Times New Roman" w:cs="Times New Roman"/>
          <w:color w:val="000000" w:themeColor="text1"/>
          <w:sz w:val="36"/>
          <w:highlight w:val="none"/>
          <w14:textFill>
            <w14:solidFill>
              <w14:schemeClr w14:val="tx1"/>
            </w14:solidFill>
          </w14:textFill>
        </w:rPr>
      </w:r>
      <w:r/>
    </w:p>
    <w:p>
      <w:pPr>
        <w:jc w:val="center"/>
        <w:spacing w:line="360" w:lineRule="auto"/>
        <w:rPr>
          <w:rFonts w:hint="default" w:ascii="Times New Roman" w:hAnsi="Times New Roman" w:eastAsia="宋体" w:cs="Times New Roman"/>
          <w:b/>
          <w:bCs/>
          <w:color w:val="000000" w:themeColor="text1"/>
          <w:sz w:val="32"/>
          <w:szCs w:val="32"/>
          <w:highlight w:val="none"/>
          <w:lang w:eastAsia="zh-CN"/>
          <w14:textFill>
            <w14:solidFill>
              <w14:schemeClr w14:val="tx1"/>
            </w14:solidFill>
          </w14:textFill>
        </w:rPr>
        <w:outlineLvl w:val="9"/>
      </w:pPr>
      <w:r>
        <w:rPr>
          <w:rFonts w:hint="eastAsia" w:cs="Times New Roman"/>
          <w:b/>
          <w:bCs/>
          <w:color w:val="000000" w:themeColor="text1"/>
          <w:sz w:val="32"/>
          <w:szCs w:val="32"/>
          <w:highlight w:val="none"/>
          <w:lang w:eastAsia="zh-CN"/>
          <w14:textFill>
            <w14:solidFill>
              <w14:schemeClr w14:val="tx1"/>
            </w14:solidFill>
          </w14:textFill>
        </w:rPr>
        <w:t xml:space="preserve">曲江街道铁骑队伍服务采购项目</w:t>
      </w:r>
      <w:r/>
    </w:p>
    <w:p>
      <w:pPr>
        <w:jc w:val="center"/>
        <w:spacing w:line="360" w:lineRule="auto"/>
        <w:rPr>
          <w:rFonts w:hint="default" w:ascii="Times New Roman" w:hAnsi="Times New Roman" w:cs="Times New Roman"/>
          <w:b/>
          <w:bCs/>
          <w:color w:val="000000" w:themeColor="text1"/>
          <w:sz w:val="32"/>
          <w:szCs w:val="32"/>
          <w:highlight w:val="none"/>
          <w14:textFill>
            <w14:solidFill>
              <w14:schemeClr w14:val="tx1"/>
            </w14:solidFill>
          </w14:textFill>
        </w:rPr>
        <w:outlineLvl w:val="9"/>
      </w:pPr>
      <w:r/>
      <w:bookmarkStart w:id="0" w:name="_Toc12739"/>
      <w:r/>
      <w:bookmarkStart w:id="1" w:name="_Toc18736"/>
      <w:r>
        <w:rPr>
          <w:rFonts w:hint="default" w:ascii="Times New Roman" w:hAnsi="Times New Roman" w:cs="Times New Roman"/>
          <w:b/>
          <w:bCs/>
          <w:color w:val="000000" w:themeColor="text1"/>
          <w:sz w:val="32"/>
          <w:szCs w:val="32"/>
          <w:highlight w:val="none"/>
          <w14:textFill>
            <w14:solidFill>
              <w14:schemeClr w14:val="tx1"/>
            </w14:solidFill>
          </w14:textFill>
        </w:rPr>
        <w:t xml:space="preserve">竞争性磋商文件</w:t>
      </w:r>
      <w:bookmarkEnd w:id="0"/>
      <w:r/>
      <w:bookmarkEnd w:id="1"/>
      <w:r/>
      <w:r/>
    </w:p>
    <w:p>
      <w:pPr>
        <w:jc w:val="center"/>
        <w:spacing w:line="360" w:lineRule="auto"/>
        <w:rPr>
          <w:rFonts w:hint="default" w:ascii="Times New Roman" w:hAnsi="Times New Roman" w:cs="Times New Roman"/>
          <w:color w:val="000000" w:themeColor="text1"/>
          <w:sz w:val="36"/>
          <w:highlight w:val="none"/>
          <w14:textFill>
            <w14:solidFill>
              <w14:schemeClr w14:val="tx1"/>
            </w14:solidFill>
          </w14:textFill>
        </w:rPr>
      </w:pPr>
      <w:r>
        <w:rPr>
          <w:rFonts w:hint="default" w:ascii="Times New Roman" w:hAnsi="Times New Roman" w:cs="Times New Roman"/>
          <w:color w:val="000000" w:themeColor="text1"/>
          <w:sz w:val="36"/>
          <w:highlight w:val="none"/>
          <w14:textFill>
            <w14:solidFill>
              <w14:schemeClr w14:val="tx1"/>
            </w14:solidFill>
          </w14:textFill>
        </w:rPr>
      </w:r>
      <w:r/>
    </w:p>
    <w:p>
      <w:pPr>
        <w:jc w:val="center"/>
        <w:spacing w:line="360" w:lineRule="auto"/>
        <w:rPr>
          <w:rFonts w:hint="default" w:ascii="Times New Roman" w:hAnsi="Times New Roman" w:cs="Times New Roman"/>
          <w:color w:val="000000" w:themeColor="text1"/>
          <w:sz w:val="36"/>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207000" cy="3474720"/>
                <wp:effectExtent l="19050" t="0" r="0" b="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r/>
                      </pic:nvPicPr>
                      <pic:blipFill>
                        <a:blip r:embed="rId19"/>
                        <a:stretch/>
                      </pic:blipFill>
                      <pic:spPr bwMode="auto">
                        <a:xfrm>
                          <a:off x="0" y="0"/>
                          <a:ext cx="5207000" cy="3474720"/>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0.0pt;height:273.6pt;mso-wrap-distance-left:0.0pt;mso-wrap-distance-top:0.0pt;mso-wrap-distance-right:0.0pt;mso-wrap-distance-bottom:0.0pt;" stroked="f" strokeweight="0.75pt">
                <v:path textboxrect="0,0,0,0"/>
                <v:imagedata r:id="rId19" o:title=""/>
              </v:shape>
            </w:pict>
          </mc:Fallback>
        </mc:AlternateContent>
      </w:r>
      <w:r/>
    </w:p>
    <w:p>
      <w:pPr>
        <w:jc w:val="center"/>
        <w:spacing w:line="360" w:lineRule="auto"/>
        <w:rPr>
          <w:rFonts w:hint="default" w:ascii="Times New Roman" w:hAnsi="Times New Roman" w:cs="Times New Roman"/>
          <w:color w:val="000000" w:themeColor="text1"/>
          <w:sz w:val="36"/>
          <w:highlight w:val="none"/>
          <w14:textFill>
            <w14:solidFill>
              <w14:schemeClr w14:val="tx1"/>
            </w14:solidFill>
          </w14:textFill>
        </w:rPr>
      </w:pPr>
      <w:r>
        <w:rPr>
          <w:rFonts w:hint="default" w:ascii="Times New Roman" w:hAnsi="Times New Roman" w:cs="Times New Roman"/>
          <w:color w:val="000000" w:themeColor="text1"/>
          <w:sz w:val="36"/>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sz w:val="36"/>
          <w:highlight w:val="none"/>
          <w14:textFill>
            <w14:solidFill>
              <w14:schemeClr w14:val="tx1"/>
            </w14:solidFill>
          </w14:textFill>
        </w:rPr>
      </w:pPr>
      <w:r>
        <w:rPr>
          <w:rFonts w:hint="default" w:ascii="Times New Roman" w:hAnsi="Times New Roman" w:cs="Times New Roman"/>
          <w:b/>
          <w:bCs/>
          <w:color w:val="000000" w:themeColor="text1"/>
          <w:sz w:val="36"/>
          <w:highlight w:val="none"/>
          <w14:textFill>
            <w14:solidFill>
              <w14:schemeClr w14:val="tx1"/>
            </w14:solidFill>
          </w14:textFill>
        </w:rPr>
      </w:r>
      <w:r/>
    </w:p>
    <w:p>
      <w:pPr>
        <w:jc w:val="center"/>
        <w:spacing w:line="360" w:lineRule="auto"/>
        <w:rPr>
          <w:rFonts w:hint="default" w:ascii="Times New Roman" w:hAnsi="Times New Roman" w:eastAsia="宋体" w:cs="Times New Roman"/>
          <w:color w:val="000000" w:themeColor="text1"/>
          <w:sz w:val="30"/>
          <w:szCs w:val="30"/>
          <w:highlight w:val="none"/>
          <w:lang w:eastAsia="zh-CN"/>
          <w14:textFill>
            <w14:solidFill>
              <w14:schemeClr w14:val="tx1"/>
            </w14:solidFill>
          </w14:textFill>
        </w:rPr>
        <w:outlineLvl w:val="9"/>
      </w:pPr>
      <w:r/>
      <w:bookmarkStart w:id="2" w:name="_Toc26296"/>
      <w:r/>
      <w:bookmarkStart w:id="3" w:name="_Toc19420"/>
      <w:r>
        <w:rPr>
          <w:rFonts w:hint="default" w:ascii="Times New Roman" w:hAnsi="Times New Roman" w:cs="Times New Roman"/>
          <w:color w:val="000000" w:themeColor="text1"/>
          <w:sz w:val="30"/>
          <w:szCs w:val="30"/>
          <w:highlight w:val="none"/>
          <w14:textFill>
            <w14:solidFill>
              <w14:schemeClr w14:val="tx1"/>
            </w14:solidFill>
          </w14:textFill>
        </w:rPr>
        <w:t xml:space="preserve">采购人：</w:t>
      </w:r>
      <w:bookmarkEnd w:id="2"/>
      <w:r/>
      <w:bookmarkEnd w:id="3"/>
      <w:r>
        <w:rPr>
          <w:rFonts w:hint="eastAsia" w:cs="Times New Roman"/>
          <w:color w:val="000000" w:themeColor="text1"/>
          <w:sz w:val="30"/>
          <w:szCs w:val="30"/>
          <w:highlight w:val="none"/>
          <w:lang w:eastAsia="zh-CN"/>
          <w14:textFill>
            <w14:solidFill>
              <w14:schemeClr w14:val="tx1"/>
            </w14:solidFill>
          </w14:textFill>
        </w:rPr>
        <w:t xml:space="preserve">扬州市广陵区人民政府曲江街道办事处</w:t>
      </w:r>
      <w:r/>
    </w:p>
    <w:p>
      <w:pPr>
        <w:jc w:val="center"/>
        <w:spacing w:line="360" w:lineRule="auto"/>
        <w:rPr>
          <w:rFonts w:hint="default" w:ascii="Times New Roman" w:hAnsi="Times New Roman" w:cs="Times New Roman"/>
          <w:b/>
          <w:bCs/>
          <w:color w:val="000000" w:themeColor="text1"/>
          <w:sz w:val="36"/>
          <w:highlight w:val="none"/>
          <w14:textFill>
            <w14:solidFill>
              <w14:schemeClr w14:val="tx1"/>
            </w14:solidFill>
          </w14:textFill>
        </w:rPr>
        <w:outlineLvl w:val="9"/>
      </w:pPr>
      <w:r>
        <w:rPr>
          <w:rFonts w:hint="default" w:ascii="Times New Roman" w:hAnsi="Times New Roman" w:cs="Times New Roman"/>
          <w:color w:val="000000" w:themeColor="text1"/>
          <w:sz w:val="30"/>
          <w:szCs w:val="30"/>
          <w:highlight w:val="none"/>
          <w14:textFill>
            <w14:solidFill>
              <w14:schemeClr w14:val="tx1"/>
            </w14:solidFill>
          </w14:textFill>
        </w:rPr>
        <w:t xml:space="preserve">采购代理机构：扬州览众建设工程咨询服务有限公司</w:t>
      </w:r>
      <w:r/>
    </w:p>
    <w:p>
      <w:pPr>
        <w:jc w:val="center"/>
        <w:spacing w:line="360" w:lineRule="auto"/>
        <w:rPr>
          <w:rFonts w:hint="default" w:ascii="Times New Roman" w:hAnsi="Times New Roman" w:cs="Times New Roman"/>
          <w:color w:val="000000" w:themeColor="text1"/>
          <w:sz w:val="30"/>
          <w:szCs w:val="30"/>
          <w:highlight w:val="none"/>
          <w14:textFill>
            <w14:solidFill>
              <w14:schemeClr w14:val="tx1"/>
            </w14:solidFill>
          </w14:textFill>
        </w:rPr>
        <w:sectPr>
          <w:headerReference w:type="default" r:id="rId9"/>
          <w:footerReference w:type="default" r:id="rId13"/>
          <w:footnotePr/>
          <w:endnotePr/>
          <w:type w:val="nextPage"/>
          <w:pgSz w:w="11906" w:h="16838" w:orient="portrait"/>
          <w:pgMar w:top="1440" w:right="1800" w:bottom="1440" w:left="1800" w:header="851" w:footer="992" w:gutter="0"/>
          <w:pgNumType w:start="1"/>
          <w:rtlGutter/>
          <w:cols w:num="1" w:sep="0" w:space="720" w:equalWidth="1"/>
          <w:docGrid w:linePitch="360"/>
        </w:sectPr>
        <w:outlineLvl w:val="9"/>
      </w:pPr>
      <w:r>
        <w:rPr>
          <w:rFonts w:hint="default" w:ascii="Times New Roman" w:hAnsi="Times New Roman" w:cs="Times New Roman"/>
          <w:color w:val="000000" w:themeColor="text1"/>
          <w:sz w:val="30"/>
          <w:szCs w:val="30"/>
          <w:highlight w:val="none"/>
          <w14:textFill>
            <w14:solidFill>
              <w14:schemeClr w14:val="tx1"/>
            </w14:solidFill>
          </w14:textFill>
        </w:rPr>
        <w:t xml:space="preserve">发放日期：202</w:t>
      </w:r>
      <w:r>
        <w:rPr>
          <w:rFonts w:hint="eastAsia" w:cs="Times New Roman"/>
          <w:color w:val="000000" w:themeColor="text1"/>
          <w:sz w:val="30"/>
          <w:szCs w:val="30"/>
          <w:highlight w:val="none"/>
          <w:lang w:val="en-US" w:eastAsia="zh-CN"/>
          <w14:textFill>
            <w14:solidFill>
              <w14:schemeClr w14:val="tx1"/>
            </w14:solidFill>
          </w14:textFill>
        </w:rPr>
        <w:t xml:space="preserve">6</w:t>
      </w:r>
      <w:r>
        <w:rPr>
          <w:rFonts w:hint="default" w:ascii="Times New Roman" w:hAnsi="Times New Roman" w:cs="Times New Roman"/>
          <w:color w:val="000000" w:themeColor="text1"/>
          <w:sz w:val="30"/>
          <w:szCs w:val="30"/>
          <w:highlight w:val="none"/>
          <w14:textFill>
            <w14:solidFill>
              <w14:schemeClr w14:val="tx1"/>
            </w14:solidFill>
          </w14:textFill>
        </w:rPr>
        <w:t xml:space="preserve">年</w:t>
      </w:r>
      <w:r>
        <w:rPr>
          <w:rFonts w:hint="eastAsia" w:cs="Times New Roman"/>
          <w:color w:val="000000" w:themeColor="text1"/>
          <w:sz w:val="30"/>
          <w:szCs w:val="30"/>
          <w:highlight w:val="none"/>
          <w:lang w:val="en-US" w:eastAsia="zh-CN"/>
          <w14:textFill>
            <w14:solidFill>
              <w14:schemeClr w14:val="tx1"/>
            </w14:solidFill>
          </w14:textFill>
        </w:rPr>
        <w:t xml:space="preserve">8</w:t>
      </w:r>
      <w:r>
        <w:rPr>
          <w:rFonts w:hint="default" w:ascii="Times New Roman" w:hAnsi="Times New Roman" w:cs="Times New Roman"/>
          <w:color w:val="000000" w:themeColor="text1"/>
          <w:sz w:val="30"/>
          <w:szCs w:val="30"/>
          <w:highlight w:val="none"/>
          <w14:textFill>
            <w14:solidFill>
              <w14:schemeClr w14:val="tx1"/>
            </w14:solidFill>
          </w14:textFill>
        </w:rPr>
        <w:t xml:space="preserve">月</w:t>
      </w:r>
      <w:r>
        <w:rPr>
          <w:rFonts w:hint="eastAsia" w:cs="Times New Roman"/>
          <w:color w:val="000000" w:themeColor="text1"/>
          <w:sz w:val="30"/>
          <w:szCs w:val="30"/>
          <w:highlight w:val="none"/>
          <w:lang w:val="en-US" w:eastAsia="zh-CN"/>
          <w14:textFill>
            <w14:solidFill>
              <w14:schemeClr w14:val="tx1"/>
            </w14:solidFill>
          </w14:textFill>
        </w:rPr>
        <w:t xml:space="preserve">21</w:t>
      </w:r>
      <w:r>
        <w:rPr>
          <w:rFonts w:hint="default" w:ascii="Times New Roman" w:hAnsi="Times New Roman" w:cs="Times New Roman"/>
          <w:color w:val="000000" w:themeColor="text1"/>
          <w:sz w:val="30"/>
          <w:szCs w:val="30"/>
          <w:highlight w:val="none"/>
          <w14:textFill>
            <w14:solidFill>
              <w14:schemeClr w14:val="tx1"/>
            </w14:solidFill>
          </w14:textFill>
        </w:rPr>
        <w:t xml:space="preserve">日</w:t>
      </w:r>
      <w:r/>
    </w:p>
    <w:p>
      <w:pPr>
        <w:jc w:val="center"/>
        <w:spacing w:line="360" w:lineRule="auto"/>
        <w:rPr>
          <w:rFonts w:hint="default" w:ascii="Times New Roman" w:hAnsi="Times New Roman" w:cs="Times New Roman"/>
          <w:color w:val="000000" w:themeColor="text1"/>
          <w:sz w:val="32"/>
          <w:highlight w:val="none"/>
          <w14:textFill>
            <w14:solidFill>
              <w14:schemeClr w14:val="tx1"/>
            </w14:solidFill>
          </w14:textFill>
        </w:rPr>
        <w:outlineLvl w:val="9"/>
      </w:pPr>
      <w:r/>
      <w:bookmarkStart w:id="4" w:name="_Toc10836"/>
      <w:r/>
      <w:bookmarkStart w:id="5" w:name="_Toc3271"/>
      <w:r/>
      <w:bookmarkStart w:id="6" w:name="_Toc497145839"/>
      <w:r/>
      <w:bookmarkStart w:id="7" w:name="_Toc497468124"/>
      <w:r/>
      <w:r/>
    </w:p>
    <w:p>
      <w:pPr>
        <w:jc w:val="center"/>
        <w:spacing w:line="360" w:lineRule="auto"/>
        <w:rPr>
          <w:rFonts w:hint="default" w:ascii="Times New Roman" w:hAnsi="Times New Roman" w:cs="Times New Roman"/>
          <w:color w:val="000000" w:themeColor="text1"/>
          <w:sz w:val="32"/>
          <w:highlight w:val="none"/>
          <w14:textFill>
            <w14:solidFill>
              <w14:schemeClr w14:val="tx1"/>
            </w14:solidFill>
          </w14:textFill>
        </w:rPr>
        <w:outlineLvl w:val="9"/>
      </w:pPr>
      <w:r>
        <w:rPr>
          <w:rFonts w:hint="default" w:ascii="Times New Roman" w:hAnsi="Times New Roman" w:cs="Times New Roman"/>
          <w:color w:val="000000" w:themeColor="text1"/>
          <w:sz w:val="32"/>
          <w:highlight w:val="none"/>
          <w14:textFill>
            <w14:solidFill>
              <w14:schemeClr w14:val="tx1"/>
            </w14:solidFill>
          </w14:textFill>
        </w:rPr>
        <w:t xml:space="preserve">目 录</w:t>
      </w:r>
      <w:bookmarkEnd w:id="4"/>
      <w:r/>
      <w:bookmarkEnd w:id="5"/>
      <w:r/>
      <w:r/>
    </w:p>
    <w:p>
      <w:pPr>
        <w:ind w:left="0" w:right="0" w:firstLine="0"/>
        <w:jc w:val="center"/>
        <w:spacing w:before="0" w:after="0" w:line="24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112"/>
        <w:tabs>
          <w:tab w:val="right" w:pos="8306" w:leader="dot"/>
        </w:tabs>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fldChar w:fldCharType="begin"/>
      </w:r>
      <w:r>
        <w:rPr>
          <w:rFonts w:hint="default" w:ascii="Times New Roman" w:hAnsi="Times New Roman" w:cs="Times New Roman"/>
          <w:color w:val="000000" w:themeColor="text1"/>
          <w:sz w:val="32"/>
          <w:highlight w:val="none"/>
          <w14:textFill>
            <w14:solidFill>
              <w14:schemeClr w14:val="tx1"/>
            </w14:solidFill>
          </w14:textFill>
        </w:rPr>
        <w:instrText xml:space="preserve">TOC \o "1-1" \h \u </w:instrText>
      </w:r>
      <w:r>
        <w:rPr>
          <w:rFonts w:hint="default" w:ascii="Times New Roman" w:hAnsi="Times New Roman" w:cs="Times New Roman"/>
          <w:color w:val="000000" w:themeColor="text1"/>
          <w:sz w:val="32"/>
          <w:highlight w:val="none"/>
          <w14:textFill>
            <w14:solidFill>
              <w14:schemeClr w14:val="tx1"/>
            </w14:solidFill>
          </w14:textFill>
        </w:rPr>
        <w:fldChar w:fldCharType="separate"/>
      </w:r>
      <w:r/>
    </w:p>
    <w:p>
      <w:pPr>
        <w:pStyle w:val="1112"/>
        <w:keepLines w:val="0"/>
        <w:keepNext w:val="0"/>
        <w:pageBreakBefore w:val="0"/>
        <w:spacing w:line="700" w:lineRule="exact"/>
        <w:widowControl/>
        <w:tabs>
          <w:tab w:val="right" w:pos="8306" w:leader="dot"/>
        </w:tabs>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14:textFill>
            <w14:solidFill>
              <w14:schemeClr w14:val="tx1"/>
            </w14:solidFill>
          </w14:textFill>
        </w:rPr>
        <w:instrText xml:space="preserve"> HYPERLINK \l _Toc27025 </w:instrTex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第一章 竞争性磋商公告</w:t>
      </w:r>
      <w:r>
        <w:rPr>
          <w:rFonts w:hint="default" w:ascii="Times New Roman" w:hAnsi="Times New Roman" w:eastAsia="宋体" w:cs="Times New Roman"/>
          <w:color w:val="000000" w:themeColor="text1"/>
          <w:sz w:val="21"/>
          <w:szCs w:val="21"/>
          <w:highlight w:val="none"/>
          <w14:textFill>
            <w14:solidFill>
              <w14:schemeClr w14:val="tx1"/>
            </w14:solidFill>
          </w14:textFill>
        </w:rPr>
        <w:tab/>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14:textFill>
            <w14:solidFill>
              <w14:schemeClr w14:val="tx1"/>
            </w14:solidFill>
          </w14:textFill>
        </w:rPr>
        <w:instrText xml:space="preserve"> PAGEREF _Toc27025 \h </w:instrTex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2</w: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end"/>
      </w:r>
      <w:r/>
    </w:p>
    <w:p>
      <w:pPr>
        <w:pStyle w:val="1112"/>
        <w:keepLines w:val="0"/>
        <w:keepNext w:val="0"/>
        <w:pageBreakBefore w:val="0"/>
        <w:spacing w:line="700" w:lineRule="exact"/>
        <w:widowControl/>
        <w:tabs>
          <w:tab w:val="right" w:pos="8306" w:leader="dot"/>
        </w:tabs>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14:textFill>
            <w14:solidFill>
              <w14:schemeClr w14:val="tx1"/>
            </w14:solidFill>
          </w14:textFill>
        </w:rPr>
        <w:instrText xml:space="preserve"> HYPERLINK \l _Toc14619 </w:instrTex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第二章 磋商须知</w:t>
      </w:r>
      <w:r>
        <w:rPr>
          <w:rFonts w:hint="default" w:ascii="Times New Roman" w:hAnsi="Times New Roman" w:eastAsia="宋体" w:cs="Times New Roman"/>
          <w:color w:val="000000" w:themeColor="text1"/>
          <w:sz w:val="21"/>
          <w:szCs w:val="21"/>
          <w:highlight w:val="none"/>
          <w14:textFill>
            <w14:solidFill>
              <w14:schemeClr w14:val="tx1"/>
            </w14:solidFill>
          </w14:textFill>
        </w:rPr>
        <w:tab/>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14:textFill>
            <w14:solidFill>
              <w14:schemeClr w14:val="tx1"/>
            </w14:solidFill>
          </w14:textFill>
        </w:rPr>
        <w:instrText xml:space="preserve"> PAGEREF _Toc14619 \h </w:instrTex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6</w: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end"/>
      </w:r>
      <w:r/>
    </w:p>
    <w:p>
      <w:pPr>
        <w:pStyle w:val="1112"/>
        <w:keepLines w:val="0"/>
        <w:keepNext w:val="0"/>
        <w:pageBreakBefore w:val="0"/>
        <w:spacing w:line="700" w:lineRule="exact"/>
        <w:widowControl/>
        <w:tabs>
          <w:tab w:val="right" w:pos="8306" w:leader="dot"/>
        </w:tabs>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14:textFill>
            <w14:solidFill>
              <w14:schemeClr w14:val="tx1"/>
            </w14:solidFill>
          </w14:textFill>
        </w:rPr>
        <w:instrText xml:space="preserve"> HYPERLINK \l _Toc2861 </w:instrTex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第三章 合同条款及格式</w:t>
      </w:r>
      <w:r>
        <w:rPr>
          <w:rFonts w:hint="default" w:ascii="Times New Roman" w:hAnsi="Times New Roman" w:eastAsia="宋体" w:cs="Times New Roman"/>
          <w:color w:val="000000" w:themeColor="text1"/>
          <w:sz w:val="21"/>
          <w:szCs w:val="21"/>
          <w:highlight w:val="none"/>
          <w14:textFill>
            <w14:solidFill>
              <w14:schemeClr w14:val="tx1"/>
            </w14:solidFill>
          </w14:textFill>
        </w:rPr>
        <w:tab/>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14:textFill>
            <w14:solidFill>
              <w14:schemeClr w14:val="tx1"/>
            </w14:solidFill>
          </w14:textFill>
        </w:rPr>
        <w:instrText xml:space="preserve"> PAGEREF _Toc2861 \h </w:instrTex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16</w: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end"/>
      </w:r>
      <w:r/>
    </w:p>
    <w:p>
      <w:pPr>
        <w:pStyle w:val="1112"/>
        <w:keepLines w:val="0"/>
        <w:keepNext w:val="0"/>
        <w:pageBreakBefore w:val="0"/>
        <w:spacing w:line="700" w:lineRule="exact"/>
        <w:widowControl/>
        <w:tabs>
          <w:tab w:val="right" w:pos="8306" w:leader="dot"/>
        </w:tabs>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14:textFill>
            <w14:solidFill>
              <w14:schemeClr w14:val="tx1"/>
            </w14:solidFill>
          </w14:textFill>
        </w:rPr>
        <w:instrText xml:space="preserve"> HYPERLINK \l _Toc19587 </w:instrTex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第四章 项目需求</w:t>
      </w:r>
      <w:r>
        <w:rPr>
          <w:rFonts w:hint="default" w:ascii="Times New Roman" w:hAnsi="Times New Roman" w:eastAsia="宋体" w:cs="Times New Roman"/>
          <w:color w:val="000000" w:themeColor="text1"/>
          <w:sz w:val="21"/>
          <w:szCs w:val="21"/>
          <w:highlight w:val="none"/>
          <w14:textFill>
            <w14:solidFill>
              <w14:schemeClr w14:val="tx1"/>
            </w14:solidFill>
          </w14:textFill>
        </w:rPr>
        <w:tab/>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14:textFill>
            <w14:solidFill>
              <w14:schemeClr w14:val="tx1"/>
            </w14:solidFill>
          </w14:textFill>
        </w:rPr>
        <w:instrText xml:space="preserve"> PAGEREF _Toc19587 \h </w:instrTex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23</w: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end"/>
      </w:r>
      <w:r/>
    </w:p>
    <w:p>
      <w:pPr>
        <w:pStyle w:val="1112"/>
        <w:keepLines w:val="0"/>
        <w:keepNext w:val="0"/>
        <w:pageBreakBefore w:val="0"/>
        <w:spacing w:line="700" w:lineRule="exact"/>
        <w:widowControl/>
        <w:tabs>
          <w:tab w:val="right" w:pos="8306" w:leader="dot"/>
        </w:tabs>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14:textFill>
            <w14:solidFill>
              <w14:schemeClr w14:val="tx1"/>
            </w14:solidFill>
          </w14:textFill>
        </w:rPr>
        <w:instrText xml:space="preserve"> HYPERLINK \l _Toc5502 </w:instrTex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第五章 评审方法和评审标准</w:t>
      </w:r>
      <w:r>
        <w:rPr>
          <w:rFonts w:hint="default" w:ascii="Times New Roman" w:hAnsi="Times New Roman" w:eastAsia="宋体" w:cs="Times New Roman"/>
          <w:color w:val="000000" w:themeColor="text1"/>
          <w:sz w:val="21"/>
          <w:szCs w:val="21"/>
          <w:highlight w:val="none"/>
          <w14:textFill>
            <w14:solidFill>
              <w14:schemeClr w14:val="tx1"/>
            </w14:solidFill>
          </w14:textFill>
        </w:rPr>
        <w:tab/>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14:textFill>
            <w14:solidFill>
              <w14:schemeClr w14:val="tx1"/>
            </w14:solidFill>
          </w14:textFill>
        </w:rPr>
        <w:instrText xml:space="preserve"> PAGEREF _Toc5502 \h </w:instrTex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28</w: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end"/>
      </w:r>
      <w:r/>
    </w:p>
    <w:p>
      <w:pPr>
        <w:pStyle w:val="1112"/>
        <w:keepLines w:val="0"/>
        <w:keepNext w:val="0"/>
        <w:pageBreakBefore w:val="0"/>
        <w:spacing w:line="700" w:lineRule="exact"/>
        <w:widowControl/>
        <w:tabs>
          <w:tab w:val="right" w:pos="8306" w:leader="dot"/>
        </w:tabs>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14:textFill>
            <w14:solidFill>
              <w14:schemeClr w14:val="tx1"/>
            </w14:solidFill>
          </w14:textFill>
        </w:rPr>
        <w:instrText xml:space="preserve"> HYPERLINK \l _Toc24729 </w:instrTex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第六章 竞争性磋商响应文件格式</w:t>
      </w:r>
      <w:r>
        <w:rPr>
          <w:rFonts w:hint="default" w:ascii="Times New Roman" w:hAnsi="Times New Roman" w:eastAsia="宋体" w:cs="Times New Roman"/>
          <w:color w:val="000000" w:themeColor="text1"/>
          <w:sz w:val="21"/>
          <w:szCs w:val="21"/>
          <w:highlight w:val="none"/>
          <w14:textFill>
            <w14:solidFill>
              <w14:schemeClr w14:val="tx1"/>
            </w14:solidFill>
          </w14:textFill>
        </w:rPr>
        <w:tab/>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14:textFill>
            <w14:solidFill>
              <w14:schemeClr w14:val="tx1"/>
            </w14:solidFill>
          </w14:textFill>
        </w:rPr>
        <w:instrText xml:space="preserve"> PAGEREF _Toc24729 \h </w:instrTex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32</w:t>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 w:val="21"/>
          <w:szCs w:val="21"/>
          <w:highlight w:val="none"/>
          <w14:textFill>
            <w14:solidFill>
              <w14:schemeClr w14:val="tx1"/>
            </w14:solidFill>
          </w14:textFill>
        </w:rPr>
        <w:fldChar w:fldCharType="end"/>
      </w:r>
      <w:r/>
    </w:p>
    <w:p>
      <w:pPr>
        <w:jc w:val="center"/>
        <w:spacing w:line="360" w:lineRule="auto"/>
        <w:rPr>
          <w:rFonts w:hint="default" w:ascii="Times New Roman" w:hAnsi="Times New Roman" w:cs="Times New Roman"/>
          <w:color w:val="000000" w:themeColor="text1"/>
          <w:sz w:val="32"/>
          <w:highlight w:val="none"/>
          <w14:textFill>
            <w14:solidFill>
              <w14:schemeClr w14:val="tx1"/>
            </w14:solidFill>
          </w14:textFill>
        </w:rPr>
        <w:outlineLvl w:val="9"/>
      </w:pPr>
      <w:r>
        <w:rPr>
          <w:rFonts w:hint="default" w:ascii="Times New Roman" w:hAnsi="Times New Roman" w:cs="Times New Roman"/>
          <w:color w:val="000000" w:themeColor="text1"/>
          <w:highlight w:val="none"/>
          <w14:textFill>
            <w14:solidFill>
              <w14:schemeClr w14:val="tx1"/>
            </w14:solidFill>
          </w14:textFill>
        </w:rPr>
        <w:fldChar w:fldCharType="end"/>
      </w:r>
      <w:r/>
    </w:p>
    <w:p>
      <w:pPr>
        <w:spacing w:line="360" w:lineRule="auto"/>
        <w:rPr>
          <w:rFonts w:hint="default" w:ascii="Times New Roman" w:hAnsi="Times New Roman" w:cs="Times New Roman"/>
          <w:color w:val="000000" w:themeColor="text1"/>
          <w:sz w:val="28"/>
          <w:highlight w:val="none"/>
          <w14:textFill>
            <w14:solidFill>
              <w14:schemeClr w14:val="tx1"/>
            </w14:solidFill>
          </w14:textFill>
        </w:rPr>
      </w:pPr>
      <w:r>
        <w:rPr>
          <w:rFonts w:hint="default" w:ascii="Times New Roman" w:hAnsi="Times New Roman" w:cs="Times New Roman"/>
          <w:color w:val="000000" w:themeColor="text1"/>
          <w:sz w:val="28"/>
          <w:highlight w:val="none"/>
          <w14:textFill>
            <w14:solidFill>
              <w14:schemeClr w14:val="tx1"/>
            </w14:solidFill>
          </w14:textFill>
        </w:rPr>
      </w:r>
      <w:r/>
    </w:p>
    <w:p>
      <w:pPr>
        <w:pStyle w:val="871"/>
        <w:spacing w:line="360" w:lineRule="auto"/>
        <w:rPr>
          <w:rFonts w:hint="default" w:ascii="Times New Roman" w:hAnsi="Times New Roman" w:cs="Times New Roman"/>
          <w:color w:val="000000" w:themeColor="text1"/>
          <w:sz w:val="28"/>
          <w:highlight w:val="none"/>
          <w14:textFill>
            <w14:solidFill>
              <w14:schemeClr w14:val="tx1"/>
            </w14:solidFill>
          </w14:textFill>
        </w:rPr>
      </w:pPr>
      <w:r>
        <w:rPr>
          <w:rFonts w:hint="default" w:ascii="Times New Roman" w:hAnsi="Times New Roman" w:cs="Times New Roman"/>
          <w:color w:val="000000" w:themeColor="text1"/>
          <w:sz w:val="28"/>
          <w:highlight w:val="none"/>
          <w14:textFill>
            <w14:solidFill>
              <w14:schemeClr w14:val="tx1"/>
            </w14:solidFill>
          </w14:textFill>
        </w:rPr>
      </w:r>
      <w:r/>
    </w:p>
    <w:p>
      <w:pPr>
        <w:pStyle w:val="871"/>
        <w:spacing w:line="360" w:lineRule="auto"/>
        <w:rPr>
          <w:rFonts w:hint="default" w:ascii="Times New Roman" w:hAnsi="Times New Roman" w:cs="Times New Roman"/>
          <w:color w:val="000000" w:themeColor="text1"/>
          <w:sz w:val="28"/>
          <w:highlight w:val="none"/>
          <w14:textFill>
            <w14:solidFill>
              <w14:schemeClr w14:val="tx1"/>
            </w14:solidFill>
          </w14:textFill>
        </w:rPr>
      </w:pPr>
      <w:r>
        <w:rPr>
          <w:rFonts w:hint="default" w:ascii="Times New Roman" w:hAnsi="Times New Roman" w:cs="Times New Roman"/>
          <w:color w:val="000000" w:themeColor="text1"/>
          <w:sz w:val="28"/>
          <w:highlight w:val="none"/>
          <w14:textFill>
            <w14:solidFill>
              <w14:schemeClr w14:val="tx1"/>
            </w14:solidFill>
          </w14:textFill>
        </w:rPr>
      </w:r>
      <w:r/>
    </w:p>
    <w:p>
      <w:pPr>
        <w:pStyle w:val="871"/>
        <w:spacing w:line="360" w:lineRule="auto"/>
        <w:rPr>
          <w:rFonts w:hint="default" w:ascii="Times New Roman" w:hAnsi="Times New Roman" w:cs="Times New Roman"/>
          <w:color w:val="000000" w:themeColor="text1"/>
          <w:sz w:val="28"/>
          <w:highlight w:val="none"/>
          <w14:textFill>
            <w14:solidFill>
              <w14:schemeClr w14:val="tx1"/>
            </w14:solidFill>
          </w14:textFill>
        </w:rPr>
      </w:pPr>
      <w:r>
        <w:rPr>
          <w:rFonts w:hint="default" w:ascii="Times New Roman" w:hAnsi="Times New Roman" w:cs="Times New Roman"/>
          <w:color w:val="000000" w:themeColor="text1"/>
          <w:sz w:val="28"/>
          <w:highlight w:val="none"/>
          <w14:textFill>
            <w14:solidFill>
              <w14:schemeClr w14:val="tx1"/>
            </w14:solidFill>
          </w14:textFill>
        </w:rPr>
      </w:r>
      <w:r/>
    </w:p>
    <w:p>
      <w:pPr>
        <w:pStyle w:val="853"/>
        <w:ind w:firstLine="723"/>
        <w:jc w:val="center"/>
        <w:spacing w:line="360" w:lineRule="auto"/>
        <w:rPr>
          <w:rFonts w:hint="default" w:ascii="Times New Roman" w:hAnsi="Times New Roman" w:cs="Times New Roman"/>
          <w:color w:val="000000" w:themeColor="text1"/>
          <w:sz w:val="28"/>
          <w:highlight w:val="none"/>
          <w14:textFill>
            <w14:solidFill>
              <w14:schemeClr w14:val="tx1"/>
            </w14:solidFill>
          </w14:textFill>
        </w:rPr>
        <w:outlineLvl w:val="9"/>
      </w:pPr>
      <w:r>
        <w:rPr>
          <w:rFonts w:hint="default" w:ascii="Times New Roman" w:hAnsi="Times New Roman" w:cs="Times New Roman"/>
          <w:color w:val="000000" w:themeColor="text1"/>
          <w:sz w:val="28"/>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53"/>
        <w:numPr>
          <w:ilvl w:val="0"/>
          <w:numId w:val="5"/>
        </w:numPr>
        <w:ind w:firstLine="723"/>
        <w:jc w:val="center"/>
        <w:spacing w:line="360" w:lineRule="auto"/>
        <w:rPr>
          <w:rFonts w:hint="default" w:ascii="Times New Roman" w:hAnsi="Times New Roman" w:cs="Times New Roman"/>
          <w:color w:val="000000" w:themeColor="text1"/>
          <w:sz w:val="36"/>
          <w:highlight w:val="none"/>
          <w14:textFill>
            <w14:solidFill>
              <w14:schemeClr w14:val="tx1"/>
            </w14:solidFill>
          </w14:textFill>
        </w:rPr>
      </w:pPr>
      <w:r/>
      <w:bookmarkStart w:id="8" w:name="_Toc27025"/>
      <w:r/>
      <w:bookmarkStart w:id="9" w:name="_Toc26068"/>
      <w:r/>
      <w:bookmarkStart w:id="10" w:name="_Toc20775"/>
      <w:r>
        <w:rPr>
          <w:rFonts w:hint="default" w:ascii="Times New Roman" w:hAnsi="Times New Roman" w:cs="Times New Roman"/>
          <w:color w:val="000000" w:themeColor="text1"/>
          <w:sz w:val="36"/>
          <w:szCs w:val="36"/>
          <w:highlight w:val="none"/>
          <w14:textFill>
            <w14:solidFill>
              <w14:schemeClr w14:val="tx1"/>
            </w14:solidFill>
          </w14:textFill>
        </w:rPr>
        <w:t xml:space="preserve">竞争性磋商公告</w:t>
      </w:r>
      <w:bookmarkEnd w:id="6"/>
      <w:r/>
      <w:bookmarkEnd w:id="8"/>
      <w:r/>
      <w:bookmarkEnd w:id="9"/>
      <w:r/>
      <w:bookmarkEnd w:id="10"/>
      <w:r/>
      <w:r/>
    </w:p>
    <w:tbl>
      <w:tblPr>
        <w:tblStyle w:val="863"/>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339"/>
      </w:tblGrid>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项目概况</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cs="Times New Roman"/>
                <w:color w:val="000000" w:themeColor="text1"/>
                <w:highlight w:val="none"/>
                <w:lang w:eastAsia="zh-CN"/>
                <w14:textFill>
                  <w14:solidFill>
                    <w14:schemeClr w14:val="tx1"/>
                  </w14:solidFill>
                </w14:textFill>
              </w:rPr>
              <w:t xml:space="preserve">曲江街道铁骑队伍服务采购项目JSZC-321002-YZLZ-C2026-0007</w:t>
            </w:r>
            <w:r>
              <w:rPr>
                <w:rFonts w:hint="default" w:ascii="Times New Roman" w:hAnsi="Times New Roman" w:cs="Times New Roman"/>
                <w:color w:val="000000" w:themeColor="text1"/>
                <w:highlight w:val="none"/>
                <w14:textFill>
                  <w14:solidFill>
                    <w14:schemeClr w14:val="tx1"/>
                  </w14:solidFill>
                </w14:textFill>
              </w:rPr>
              <w:t xml:space="preserve">采购项目的潜在供应商应在</w:t>
            </w:r>
            <w:r>
              <w:rPr>
                <w:rFonts w:hint="eastAsia" w:cs="Times New Roman"/>
                <w:color w:val="000000" w:themeColor="text1"/>
                <w:highlight w:val="none"/>
                <w:lang w:eastAsia="zh-CN"/>
                <w14:textFill>
                  <w14:solidFill>
                    <w14:schemeClr w14:val="tx1"/>
                  </w14:solidFill>
                </w14:textFill>
              </w:rPr>
              <w:t xml:space="preserve">“扬州市广陵区政府采购网”、“扬州市政府采购网”、“江苏省政府采购网”、“中国政府采购网”</w:t>
            </w:r>
            <w:r>
              <w:rPr>
                <w:rFonts w:hint="default" w:ascii="Times New Roman" w:hAnsi="Times New Roman" w:cs="Times New Roman"/>
                <w:color w:val="000000" w:themeColor="text1"/>
                <w:highlight w:val="none"/>
                <w14:textFill>
                  <w14:solidFill>
                    <w14:schemeClr w14:val="tx1"/>
                  </w14:solidFill>
                </w14:textFill>
              </w:rPr>
              <w:t xml:space="preserve"> 获取采购文件，并于202</w:t>
            </w:r>
            <w:r>
              <w:rPr>
                <w:rFonts w:hint="eastAsia" w:cs="Times New Roman"/>
                <w:color w:val="000000" w:themeColor="text1"/>
                <w:highlight w:val="none"/>
                <w:lang w:val="en-US" w:eastAsia="zh-CN"/>
                <w14:textFill>
                  <w14:solidFill>
                    <w14:schemeClr w14:val="tx1"/>
                  </w14:solidFill>
                </w14:textFill>
              </w:rPr>
              <w:t xml:space="preserve">6</w:t>
            </w:r>
            <w:r>
              <w:rPr>
                <w:rFonts w:hint="default" w:ascii="Times New Roman" w:hAnsi="Times New Roman" w:cs="Times New Roman"/>
                <w:color w:val="000000" w:themeColor="text1"/>
                <w:highlight w:val="none"/>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9</w:t>
            </w:r>
            <w:r>
              <w:rPr>
                <w:rFonts w:hint="default" w:ascii="Times New Roman" w:hAnsi="Times New Roman" w:cs="Times New Roman"/>
                <w:color w:val="000000" w:themeColor="text1"/>
                <w:highlight w:val="none"/>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14</w:t>
            </w:r>
            <w:r>
              <w:rPr>
                <w:rFonts w:hint="default" w:ascii="Times New Roman" w:hAnsi="Times New Roman" w:cs="Times New Roman"/>
                <w:color w:val="000000" w:themeColor="text1"/>
                <w:highlight w:val="none"/>
                <w14:textFill>
                  <w14:solidFill>
                    <w14:schemeClr w14:val="tx1"/>
                  </w14:solidFill>
                </w14:textFill>
              </w:rPr>
              <w:t xml:space="preserve">:30（北京时间）前递交响应文件。</w:t>
            </w:r>
            <w:r/>
          </w:p>
        </w:tc>
      </w:tr>
    </w:tbl>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一、项目基本情况</w:t>
      </w:r>
      <w:r/>
    </w:p>
    <w:p>
      <w:pPr>
        <w:pStyle w:val="907"/>
        <w:ind w:firstLine="422"/>
        <w:spacing w:line="360" w:lineRule="auto"/>
        <w:rPr>
          <w:rFonts w:hint="default" w:ascii="Times New Roman" w:hAnsi="Times New Roman" w:eastAsia="宋体" w:cs="Times New Roman"/>
          <w:b w:val="0"/>
          <w:bCs w:val="0"/>
          <w:color w:val="000000" w:themeColor="text1"/>
          <w:highlight w:val="none"/>
          <w:lang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项目编号：</w:t>
      </w:r>
      <w:r>
        <w:rPr>
          <w:rFonts w:hint="eastAsia" w:cs="Times New Roman"/>
          <w:b w:val="0"/>
          <w:bCs w:val="0"/>
          <w:color w:val="000000" w:themeColor="text1"/>
          <w:highlight w:val="none"/>
          <w:lang w:eastAsia="zh-CN"/>
          <w14:textFill>
            <w14:solidFill>
              <w14:schemeClr w14:val="tx1"/>
            </w14:solidFill>
          </w14:textFill>
        </w:rPr>
        <w:t xml:space="preserve">JSZC-321002-YZLZ-C2026-0007</w:t>
      </w:r>
      <w:r/>
    </w:p>
    <w:p>
      <w:pPr>
        <w:pStyle w:val="907"/>
        <w:ind w:firstLine="422"/>
        <w:spacing w:line="360" w:lineRule="auto"/>
        <w:rPr>
          <w:rFonts w:hint="default" w:ascii="Times New Roman" w:hAnsi="Times New Roman" w:eastAsia="宋体" w:cs="Times New Roman"/>
          <w:b w:val="0"/>
          <w:bCs w:val="0"/>
          <w:color w:val="000000" w:themeColor="text1"/>
          <w:highlight w:val="none"/>
          <w:lang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项目名称：</w:t>
      </w:r>
      <w:r>
        <w:rPr>
          <w:rFonts w:hint="eastAsia" w:cs="Times New Roman"/>
          <w:b w:val="0"/>
          <w:bCs w:val="0"/>
          <w:color w:val="000000" w:themeColor="text1"/>
          <w:highlight w:val="none"/>
          <w:lang w:eastAsia="zh-CN"/>
          <w14:textFill>
            <w14:solidFill>
              <w14:schemeClr w14:val="tx1"/>
            </w14:solidFill>
          </w14:textFill>
        </w:rPr>
        <w:t xml:space="preserve">曲江街道铁骑队伍服务采购项目</w:t>
      </w:r>
      <w:r/>
    </w:p>
    <w:p>
      <w:pPr>
        <w:pStyle w:val="907"/>
        <w:ind w:firstLine="422"/>
        <w:spacing w:line="360" w:lineRule="auto"/>
        <w:rPr>
          <w:rFonts w:hint="default" w:ascii="Times New Roman" w:hAnsi="Times New Roman" w:eastAsia="宋体" w:cs="Times New Roman"/>
          <w:b w:val="0"/>
          <w:bCs w:val="0"/>
          <w:color w:val="000000" w:themeColor="text1"/>
          <w:highlight w:val="none"/>
          <w:lang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采购方式：竞争性磋商</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预算金额：</w:t>
      </w:r>
      <w:r>
        <w:rPr>
          <w:rFonts w:hint="eastAsia" w:cs="Times New Roman"/>
          <w:b w:val="0"/>
          <w:bCs w:val="0"/>
          <w:color w:val="000000" w:themeColor="text1"/>
          <w:highlight w:val="none"/>
          <w:lang w:val="en-US" w:eastAsia="zh-CN"/>
          <w14:textFill>
            <w14:solidFill>
              <w14:schemeClr w14:val="tx1"/>
            </w14:solidFill>
          </w14:textFill>
        </w:rPr>
        <w:t xml:space="preserve">230万元</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最高限价：</w:t>
      </w:r>
      <w:r>
        <w:rPr>
          <w:rFonts w:hint="eastAsia" w:cs="Times New Roman"/>
          <w:b w:val="0"/>
          <w:bCs w:val="0"/>
          <w:color w:val="000000" w:themeColor="text1"/>
          <w:highlight w:val="none"/>
          <w:lang w:val="en-US" w:eastAsia="zh-CN"/>
          <w14:textFill>
            <w14:solidFill>
              <w14:schemeClr w14:val="tx1"/>
            </w14:solidFill>
          </w14:textFill>
        </w:rPr>
        <w:t xml:space="preserve">114万元/年，两年228万元</w:t>
      </w:r>
      <w:r>
        <w:rPr>
          <w:rFonts w:hint="default" w:ascii="Times New Roman" w:hAnsi="Times New Roman" w:cs="Times New Roman"/>
          <w:b w:val="0"/>
          <w:bCs w:val="0"/>
          <w:color w:val="000000" w:themeColor="text1"/>
          <w:highlight w:val="none"/>
          <w:lang w:val="en-US" w:eastAsia="zh-CN"/>
          <w14:textFill>
            <w14:solidFill>
              <w14:schemeClr w14:val="tx1"/>
            </w14:solidFill>
          </w14:textFill>
        </w:rPr>
        <w:t xml:space="preserve">。报价超过最高限价做无效响应文件处理。</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采购需求：</w:t>
      </w:r>
      <w:r>
        <w:rPr>
          <w:rFonts w:hint="default" w:ascii="Times New Roman" w:hAnsi="Times New Roman" w:cs="Times New Roman"/>
          <w:b w:val="0"/>
          <w:bCs w:val="0"/>
          <w:color w:val="000000" w:themeColor="text1"/>
          <w:highlight w:val="none"/>
          <w:lang w:val="en-US" w:eastAsia="zh-CN"/>
          <w14:textFill>
            <w14:solidFill>
              <w14:schemeClr w14:val="tx1"/>
            </w14:solidFill>
          </w14:textFill>
        </w:rPr>
        <w:t xml:space="preserve">详见第四章项目需求。</w:t>
      </w:r>
      <w:r/>
    </w:p>
    <w:p>
      <w:pPr>
        <w:pStyle w:val="907"/>
        <w:ind w:firstLine="422"/>
        <w:spacing w:line="360" w:lineRule="auto"/>
        <w:rPr>
          <w:rFonts w:hint="default" w:ascii="Times New Roman" w:hAnsi="Times New Roman" w:cs="Times New Roman"/>
          <w:b w:val="0"/>
          <w:bCs w:val="0"/>
          <w:color w:val="000000" w:themeColor="text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合同履行期限：</w:t>
      </w:r>
      <w:r>
        <w:rPr>
          <w:rFonts w:hint="default" w:ascii="Times New Roman" w:hAnsi="Times New Roman" w:cs="Times New Roman"/>
          <w:b w:val="0"/>
          <w:bCs w:val="0"/>
          <w:color w:val="000000" w:themeColor="text1"/>
          <w:highlight w:val="none"/>
          <w:lang w:val="en-US" w:eastAsia="zh-CN"/>
          <w14:textFill>
            <w14:solidFill>
              <w14:schemeClr w14:val="tx1"/>
            </w14:solidFill>
          </w14:textFill>
        </w:rPr>
        <w:t xml:space="preserve">本项目履行期限为二年，采用一年一签模式。每期合同服务期满，乙方服务质量符合甲方考核标准的，双方可协商续签一年。</w:t>
      </w:r>
      <w:r/>
    </w:p>
    <w:p>
      <w:pPr>
        <w:pStyle w:val="907"/>
        <w:ind w:firstLine="422"/>
        <w:spacing w:line="360" w:lineRule="auto"/>
        <w:rPr>
          <w:rFonts w:hint="default" w:ascii="Times New Roman" w:hAnsi="Times New Roman" w:eastAsia="宋体" w:cs="Times New Roman"/>
          <w:b w:val="0"/>
          <w:bCs w:val="0"/>
          <w:color w:val="000000" w:themeColor="text1"/>
          <w:highlight w:val="none"/>
          <w:lang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本项目（是/否）接受联合体投标：不接受联合体</w:t>
      </w:r>
      <w:r>
        <w:rPr>
          <w:rFonts w:hint="default" w:ascii="Times New Roman" w:hAnsi="Times New Roman" w:cs="Times New Roman"/>
          <w:b w:val="0"/>
          <w:bCs w:val="0"/>
          <w:color w:val="000000" w:themeColor="text1"/>
          <w:highlight w:val="none"/>
          <w:lang w:eastAsia="zh-CN"/>
          <w14:textFill>
            <w14:solidFill>
              <w14:schemeClr w14:val="tx1"/>
            </w14:solidFill>
          </w14:textFill>
        </w:rPr>
        <w:t xml:space="preserve">。</w:t>
      </w:r>
      <w:r/>
    </w:p>
    <w:p>
      <w:pPr>
        <w:pStyle w:val="907"/>
        <w:ind w:firstLine="422"/>
        <w:spacing w:line="360" w:lineRule="auto"/>
        <w:tabs>
          <w:tab w:val="left" w:pos="5846" w:leader="none"/>
        </w:tabs>
        <w:rPr>
          <w:rFonts w:hint="default" w:ascii="Times New Roman" w:hAnsi="Times New Roman" w:eastAsia="宋体" w:cs="Times New Roman"/>
          <w:b/>
          <w:bCs/>
          <w:color w:val="000000" w:themeColor="text1"/>
          <w:highlight w:val="none"/>
          <w:lang w:eastAsia="zh-CN"/>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二、申请人的资格要求：</w:t>
      </w:r>
      <w:r>
        <w:rPr>
          <w:rFonts w:hint="default" w:ascii="Times New Roman" w:hAnsi="Times New Roman" w:cs="Times New Roman"/>
          <w:b/>
          <w:bCs/>
          <w:color w:val="000000" w:themeColor="text1"/>
          <w:highlight w:val="none"/>
          <w:lang w:eastAsia="zh-CN"/>
          <w14:textFill>
            <w14:solidFill>
              <w14:schemeClr w14:val="tx1"/>
            </w14:solidFill>
          </w14:textFill>
        </w:rPr>
        <w:tab/>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（一）满足《中华人民共和国政府采购法》第二十二条规定；</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1.法人或者其他组织的营业执照等证明文件，自然人的身份证明</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2.依法缴纳税收和社会保障资金的相关材料（提供提交投标文件截止时间前一年内至少一个月依法缴纳税收及缴纳社会保障资金的证明材料。供应商依法享受缓缴、免缴税收、社会保障资金的提供。）</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eastAsia" w:cs="Times New Roman"/>
          <w:b w:val="0"/>
          <w:bCs w:val="0"/>
          <w:color w:val="000000" w:themeColor="text1"/>
          <w:highlight w:val="none"/>
          <w:lang w:val="en-US" w:eastAsia="zh-CN"/>
          <w14:textFill>
            <w14:solidFill>
              <w14:schemeClr w14:val="tx1"/>
            </w14:solidFill>
          </w14:textFill>
        </w:rPr>
        <w:t xml:space="preserve">3</w:t>
      </w:r>
      <w:r>
        <w:rPr>
          <w:rFonts w:hint="default" w:ascii="Times New Roman" w:hAnsi="Times New Roman" w:cs="Times New Roman"/>
          <w:b w:val="0"/>
          <w:bCs w:val="0"/>
          <w:color w:val="000000" w:themeColor="text1"/>
          <w:highlight w:val="none"/>
          <w14:textFill>
            <w14:solidFill>
              <w14:schemeClr w14:val="tx1"/>
            </w14:solidFill>
          </w14:textFill>
        </w:rPr>
        <w:t xml:space="preserve">.上一年度的财务报告情况（成立不满一年不需提供）</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eastAsia" w:cs="Times New Roman"/>
          <w:b w:val="0"/>
          <w:bCs w:val="0"/>
          <w:color w:val="000000" w:themeColor="text1"/>
          <w:highlight w:val="none"/>
          <w:lang w:val="en-US" w:eastAsia="zh-CN"/>
          <w14:textFill>
            <w14:solidFill>
              <w14:schemeClr w14:val="tx1"/>
            </w14:solidFill>
          </w14:textFill>
        </w:rPr>
        <w:t xml:space="preserve">4</w:t>
      </w:r>
      <w:r>
        <w:rPr>
          <w:rFonts w:hint="default" w:ascii="Times New Roman" w:hAnsi="Times New Roman" w:cs="Times New Roman"/>
          <w:b w:val="0"/>
          <w:bCs w:val="0"/>
          <w:color w:val="000000" w:themeColor="text1"/>
          <w:highlight w:val="none"/>
          <w14:textFill>
            <w14:solidFill>
              <w14:schemeClr w14:val="tx1"/>
            </w14:solidFill>
          </w14:textFill>
        </w:rPr>
        <w:t xml:space="preserve">.具备履行合同所必需的设备和专业技术能力的证明材料</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eastAsia" w:cs="Times New Roman"/>
          <w:b w:val="0"/>
          <w:bCs w:val="0"/>
          <w:color w:val="000000" w:themeColor="text1"/>
          <w:highlight w:val="none"/>
          <w:lang w:val="en-US" w:eastAsia="zh-CN"/>
          <w14:textFill>
            <w14:solidFill>
              <w14:schemeClr w14:val="tx1"/>
            </w14:solidFill>
          </w14:textFill>
        </w:rPr>
        <w:t xml:space="preserve">5</w:t>
      </w:r>
      <w:r>
        <w:rPr>
          <w:rFonts w:hint="default" w:ascii="Times New Roman" w:hAnsi="Times New Roman" w:cs="Times New Roman"/>
          <w:b w:val="0"/>
          <w:bCs w:val="0"/>
          <w:color w:val="000000" w:themeColor="text1"/>
          <w:highlight w:val="none"/>
          <w14:textFill>
            <w14:solidFill>
              <w14:schemeClr w14:val="tx1"/>
            </w14:solidFill>
          </w14:textFill>
        </w:rPr>
        <w:t xml:space="preserve">.参加本次政府采购活动前3年内在经营活动中没有重大违法记录的书面声明</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eastAsia" w:cs="Times New Roman"/>
          <w:b w:val="0"/>
          <w:bCs w:val="0"/>
          <w:color w:val="000000" w:themeColor="text1"/>
          <w:highlight w:val="none"/>
          <w:lang w:val="en-US" w:eastAsia="zh-CN"/>
          <w14:textFill>
            <w14:solidFill>
              <w14:schemeClr w14:val="tx1"/>
            </w14:solidFill>
          </w14:textFill>
        </w:rPr>
        <w:t xml:space="preserve">6</w:t>
      </w:r>
      <w:r>
        <w:rPr>
          <w:rFonts w:hint="default" w:ascii="Times New Roman" w:hAnsi="Times New Roman" w:cs="Times New Roman"/>
          <w:b w:val="0"/>
          <w:bCs w:val="0"/>
          <w:color w:val="000000" w:themeColor="text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.未被“信用中国”网站（www.creditchina.gov.cn）、“中国政府采购网”(www.ccgp.gov.cn)列入失信被执行人、重大税收违法案件当事人名单、政府采购严重违法失信行为记录名单（文件中无需提供证明材料）</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eastAsia" w:cs="Times New Roman"/>
          <w:b w:val="0"/>
          <w:bCs w:val="0"/>
          <w:color w:val="000000" w:themeColor="text1"/>
          <w:highlight w:val="none"/>
          <w:lang w:val="en-US" w:eastAsia="zh-CN"/>
          <w14:textFill>
            <w14:solidFill>
              <w14:schemeClr w14:val="tx1"/>
            </w14:solidFill>
          </w14:textFill>
        </w:rPr>
        <w:t xml:space="preserve">7</w:t>
      </w:r>
      <w:r>
        <w:rPr>
          <w:rFonts w:hint="default" w:ascii="Times New Roman" w:hAnsi="Times New Roman" w:cs="Times New Roman"/>
          <w:b w:val="0"/>
          <w:bCs w:val="0"/>
          <w:color w:val="000000" w:themeColor="text1"/>
          <w:highlight w:val="none"/>
          <w14:textFill>
            <w14:solidFill>
              <w14:schemeClr w14:val="tx1"/>
            </w14:solidFill>
          </w14:textFill>
        </w:rPr>
        <w:t xml:space="preserve">.供应商信用承诺书</w:t>
      </w:r>
      <w:r/>
    </w:p>
    <w:p>
      <w:pPr>
        <w:pStyle w:val="907"/>
        <w:ind w:firstLine="422"/>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highlight w:val="none"/>
          <w:lang w:val="en-US" w:eastAsia="zh-CN"/>
          <w14:textFill>
            <w14:solidFill>
              <w14:schemeClr w14:val="tx1"/>
            </w14:solidFill>
          </w14:textFill>
        </w:rPr>
        <w:t xml:space="preserve">8</w:t>
      </w:r>
      <w:r>
        <w:rPr>
          <w:rFonts w:hint="default" w:ascii="Times New Roman" w:hAnsi="Times New Roman" w:eastAsia="Times New Roman" w:cs="Times New Roman"/>
          <w:color w:val="000000" w:themeColor="text1"/>
          <w:sz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highlight w:val="none"/>
          <w14:textFill>
            <w14:solidFill>
              <w14:schemeClr w14:val="tx1"/>
            </w14:solidFill>
          </w14:textFill>
        </w:rPr>
        <w:t xml:space="preserve">磋商响应函</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eastAsia" w:eastAsia="宋体" w:cs="Times New Roman"/>
          <w:color w:val="000000" w:themeColor="text1"/>
          <w:sz w:val="21"/>
          <w:highlight w:val="none"/>
          <w:lang w:val="en-US" w:eastAsia="zh-CN"/>
          <w14:textFill>
            <w14:solidFill>
              <w14:schemeClr w14:val="tx1"/>
            </w14:solidFill>
          </w14:textFill>
        </w:rPr>
        <w:t xml:space="preserve">9</w:t>
      </w:r>
      <w:r>
        <w:rPr>
          <w:rFonts w:hint="default" w:ascii="Times New Roman" w:hAnsi="Times New Roman" w:eastAsia="Times New Roman" w:cs="Times New Roman"/>
          <w:color w:val="000000" w:themeColor="text1"/>
          <w:sz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highlight w:val="none"/>
          <w14:textFill>
            <w14:solidFill>
              <w14:schemeClr w14:val="tx1"/>
            </w14:solidFill>
          </w14:textFill>
        </w:rPr>
        <w:t xml:space="preserve">法人授权书</w:t>
      </w:r>
      <w:r/>
    </w:p>
    <w:p>
      <w:pPr>
        <w:pStyle w:val="907"/>
        <w:ind w:firstLine="422"/>
        <w:spacing w:line="360" w:lineRule="auto"/>
        <w:rPr>
          <w:rFonts w:hint="eastAsia" w:ascii="Times New Roman" w:hAnsi="Times New Roman" w:eastAsia="宋体"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（二）落实政府采购政策需满足的资格要求：</w:t>
      </w:r>
      <w:r>
        <w:rPr>
          <w:rFonts w:hint="eastAsia" w:ascii="Times New Roman" w:hAnsi="Times New Roman" w:eastAsia="宋体" w:cs="Times New Roman"/>
          <w:b w:val="0"/>
          <w:bCs w:val="0"/>
          <w:color w:val="000000" w:themeColor="text1"/>
          <w:highlight w:val="none"/>
          <w14:textFill>
            <w14:solidFill>
              <w14:schemeClr w14:val="tx1"/>
            </w14:solidFill>
          </w14:textFill>
        </w:rPr>
        <w:t xml:space="preserve">根据《政府采购促进中小企业发展管理办法》的规定，本项目专门面向中小企业采购，供应商投标时须提供《中小企业声明函》，《中小企业声明函》不符合要求或未提供的，响应文件无效。</w:t>
      </w:r>
      <w:r/>
    </w:p>
    <w:p>
      <w:pPr>
        <w:pStyle w:val="907"/>
        <w:ind w:firstLine="422"/>
        <w:spacing w:line="360" w:lineRule="auto"/>
        <w:rPr>
          <w:rFonts w:hint="default" w:ascii="Times New Roman" w:hAnsi="Times New Roman" w:eastAsia="宋体" w:cs="Times New Roman"/>
          <w:b w:val="0"/>
          <w:bCs w:val="0"/>
          <w:color w:val="000000" w:themeColor="text1"/>
          <w:highlight w:val="none"/>
          <w14:textFill>
            <w14:solidFill>
              <w14:schemeClr w14:val="tx1"/>
            </w14:solidFill>
          </w14:textFill>
        </w:rPr>
      </w:pPr>
      <w:r>
        <w:rPr>
          <w:rFonts w:hint="eastAsia" w:ascii="Times New Roman" w:hAnsi="Times New Roman" w:eastAsia="宋体" w:cs="Times New Roman"/>
          <w:b w:val="0"/>
          <w:bCs w:val="0"/>
          <w:color w:val="000000" w:themeColor="text1"/>
          <w:highlight w:val="none"/>
          <w14:textFill>
            <w14:solidFill>
              <w14:schemeClr w14:val="tx1"/>
            </w14:solidFill>
          </w14:textFill>
        </w:rPr>
        <w:t xml:space="preserve">本项目采购标的按中小企业划分标准所属行业区分为：租赁和商务服务业（中小微企业划型标准网http://www.ccgp.gov.cn/zcfg/mof/201310/t20131029_3587674.htm）。</w:t>
      </w:r>
      <w:r/>
    </w:p>
    <w:p>
      <w:pPr>
        <w:pStyle w:val="907"/>
        <w:ind w:firstLine="422"/>
        <w:spacing w:line="360" w:lineRule="auto"/>
        <w:rPr>
          <w:rFonts w:hint="eastAsia" w:ascii="Times New Roman" w:hAnsi="Times New Roman" w:eastAsia="宋体" w:cs="Times New Roman"/>
          <w:b w:val="0"/>
          <w:bCs w:val="0"/>
          <w:color w:val="000000" w:themeColor="text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（三）本项目的特定资格要求：</w:t>
      </w:r>
      <w:r>
        <w:rPr>
          <w:rFonts w:hint="eastAsia" w:cs="Times New Roman"/>
          <w:b w:val="0"/>
          <w:bCs w:val="0"/>
          <w:color w:val="000000" w:themeColor="text1"/>
          <w:highlight w:val="none"/>
          <w:lang w:val="en-US" w:eastAsia="zh-CN"/>
          <w14:textFill>
            <w14:solidFill>
              <w14:schemeClr w14:val="tx1"/>
            </w14:solidFill>
          </w14:textFill>
        </w:rPr>
        <w:t xml:space="preserve">无</w:t>
      </w:r>
      <w:r>
        <w:rPr>
          <w:rFonts w:hint="default" w:ascii="Times New Roman" w:hAnsi="Times New Roman" w:cs="Times New Roman"/>
          <w:b w:val="0"/>
          <w:bCs w:val="0"/>
          <w:color w:val="000000" w:themeColor="text1"/>
          <w:highlight w:val="none"/>
          <w14:textFill>
            <w14:solidFill>
              <w14:schemeClr w14:val="tx1"/>
            </w14:solidFill>
          </w14:textFill>
        </w:rPr>
        <w:t xml:space="preserve">。</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三、获取采购文件</w:t>
      </w:r>
      <w:r/>
    </w:p>
    <w:p>
      <w:pPr>
        <w:pStyle w:val="907"/>
        <w:ind w:firstLine="422"/>
        <w:spacing w:line="360" w:lineRule="auto"/>
        <w:rPr>
          <w:rFonts w:hint="default" w:ascii="Times New Roman" w:hAnsi="Times New Roman" w:eastAsia="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时间：</w:t>
      </w:r>
      <w:r>
        <w:rPr>
          <w:rFonts w:hint="default" w:ascii="Times New Roman" w:hAnsi="Times New Roman" w:eastAsia="宋体" w:cs="Times New Roman"/>
          <w:color w:val="000000" w:themeColor="text1"/>
          <w:sz w:val="21"/>
          <w:highlight w:val="none"/>
          <w14:textFill>
            <w14:solidFill>
              <w14:schemeClr w14:val="tx1"/>
            </w14:solidFill>
          </w14:textFill>
        </w:rPr>
        <w:t xml:space="preserve">自磋商文件公告发布之日起</w:t>
      </w:r>
      <w:r>
        <w:rPr>
          <w:rFonts w:hint="default" w:ascii="Times New Roman" w:hAnsi="Times New Roman" w:eastAsia="Times New Roman" w:cs="Times New Roman"/>
          <w:color w:val="000000" w:themeColor="text1"/>
          <w:sz w:val="21"/>
          <w:highlight w:val="none"/>
          <w14:textFill>
            <w14:solidFill>
              <w14:schemeClr w14:val="tx1"/>
            </w14:solidFill>
          </w14:textFill>
        </w:rPr>
        <w:t xml:space="preserve">5</w:t>
      </w:r>
      <w:r>
        <w:rPr>
          <w:rFonts w:hint="default" w:ascii="Times New Roman" w:hAnsi="Times New Roman" w:eastAsia="宋体" w:cs="Times New Roman"/>
          <w:color w:val="000000" w:themeColor="text1"/>
          <w:sz w:val="21"/>
          <w:highlight w:val="none"/>
          <w14:textFill>
            <w14:solidFill>
              <w14:schemeClr w14:val="tx1"/>
            </w14:solidFill>
          </w14:textFill>
        </w:rPr>
        <w:t xml:space="preserve">个工作日</w:t>
      </w:r>
      <w:r>
        <w:rPr>
          <w:rFonts w:hint="default" w:ascii="Times New Roman" w:hAnsi="Times New Roman" w:eastAsia="Times New Roman" w:cs="Times New Roman"/>
          <w:color w:val="000000" w:themeColor="text1"/>
          <w:sz w:val="21"/>
          <w:highlight w:val="none"/>
          <w14:textFill>
            <w14:solidFill>
              <w14:schemeClr w14:val="tx1"/>
            </w14:solidFill>
          </w14:textFill>
        </w:rPr>
        <w:t xml:space="preserve"> </w:t>
      </w:r>
      <w:r/>
    </w:p>
    <w:p>
      <w:pPr>
        <w:pStyle w:val="907"/>
        <w:ind w:firstLine="422"/>
        <w:spacing w:line="360" w:lineRule="auto"/>
        <w:rPr>
          <w:rFonts w:hint="eastAsia" w:ascii="Times New Roman" w:hAnsi="Times New Roman" w:eastAsia="宋体" w:cs="Times New Roman"/>
          <w:b w:val="0"/>
          <w:bCs w:val="0"/>
          <w:color w:val="000000" w:themeColor="text1"/>
          <w:highlight w:val="none"/>
          <w:lang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地点：</w:t>
      </w:r>
      <w:r>
        <w:rPr>
          <w:rFonts w:hint="eastAsia" w:cs="Times New Roman"/>
          <w:b w:val="0"/>
          <w:bCs w:val="0"/>
          <w:color w:val="000000" w:themeColor="text1"/>
          <w:highlight w:val="none"/>
          <w:lang w:eastAsia="zh-CN"/>
          <w14:textFill>
            <w14:solidFill>
              <w14:schemeClr w14:val="tx1"/>
            </w14:solidFill>
          </w14:textFill>
        </w:rPr>
        <w:t xml:space="preserve">“扬州市广陵区政府采购网”、“扬州市政府采购网”、“江苏省政府采购网”、“中国政府采购网”</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方式：“苏采云”系统（网址： http://jszfcg.jsczt.cn/）</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售价：0.00元</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四、响应文件提交</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截止时间：202</w:t>
      </w:r>
      <w:r>
        <w:rPr>
          <w:rFonts w:hint="eastAsia" w:cs="Times New Roman"/>
          <w:b w:val="0"/>
          <w:bCs w:val="0"/>
          <w:color w:val="000000" w:themeColor="text1"/>
          <w:highlight w:val="none"/>
          <w:lang w:val="en-US" w:eastAsia="zh-CN"/>
          <w14:textFill>
            <w14:solidFill>
              <w14:schemeClr w14:val="tx1"/>
            </w14:solidFill>
          </w14:textFill>
        </w:rPr>
        <w:t xml:space="preserve">6</w:t>
      </w:r>
      <w:r>
        <w:rPr>
          <w:rFonts w:hint="default" w:ascii="Times New Roman" w:hAnsi="Times New Roman" w:cs="Times New Roman"/>
          <w:b w:val="0"/>
          <w:bCs w:val="0"/>
          <w:color w:val="000000" w:themeColor="text1"/>
          <w:highlight w:val="none"/>
          <w14:textFill>
            <w14:solidFill>
              <w14:schemeClr w14:val="tx1"/>
            </w14:solidFill>
          </w14:textFill>
        </w:rPr>
        <w:t xml:space="preserve">-</w:t>
      </w:r>
      <w:r>
        <w:rPr>
          <w:rFonts w:hint="eastAsia" w:cs="Times New Roman"/>
          <w:b w:val="0"/>
          <w:bCs w:val="0"/>
          <w:color w:val="000000" w:themeColor="text1"/>
          <w:highlight w:val="none"/>
          <w:lang w:val="en-US" w:eastAsia="zh-CN"/>
          <w14:textFill>
            <w14:solidFill>
              <w14:schemeClr w14:val="tx1"/>
            </w14:solidFill>
          </w14:textFill>
        </w:rPr>
        <w:t xml:space="preserve">9</w:t>
      </w:r>
      <w:r>
        <w:rPr>
          <w:rFonts w:hint="default" w:ascii="Times New Roman" w:hAnsi="Times New Roman" w:cs="Times New Roman"/>
          <w:b w:val="0"/>
          <w:bCs w:val="0"/>
          <w:color w:val="000000" w:themeColor="text1"/>
          <w:highlight w:val="none"/>
          <w14:textFill>
            <w14:solidFill>
              <w14:schemeClr w14:val="tx1"/>
            </w14:solidFill>
          </w14:textFill>
        </w:rPr>
        <w:t xml:space="preserve">-</w:t>
      </w:r>
      <w:r>
        <w:rPr>
          <w:rFonts w:hint="eastAsia" w:cs="Times New Roman"/>
          <w:b w:val="0"/>
          <w:bCs w:val="0"/>
          <w:color w:val="000000" w:themeColor="text1"/>
          <w:highlight w:val="none"/>
          <w:lang w:val="en-US" w:eastAsia="zh-CN"/>
          <w14:textFill>
            <w14:solidFill>
              <w14:schemeClr w14:val="tx1"/>
            </w14:solidFill>
          </w14:textFill>
        </w:rPr>
        <w:t xml:space="preserve">3</w:t>
      </w:r>
      <w:r>
        <w:rPr>
          <w:rFonts w:hint="default" w:ascii="Times New Roman" w:hAnsi="Times New Roman" w:cs="Times New Roman"/>
          <w:b w:val="0"/>
          <w:bCs w:val="0"/>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highlight w:val="none"/>
          <w14:textFill>
            <w14:solidFill>
              <w14:schemeClr w14:val="tx1"/>
            </w14:solidFill>
          </w14:textFill>
        </w:rPr>
        <w:t xml:space="preserve"> </w:t>
      </w:r>
      <w:r>
        <w:rPr>
          <w:rFonts w:hint="default" w:ascii="Times New Roman" w:hAnsi="Times New Roman" w:cs="Times New Roman"/>
          <w:b w:val="0"/>
          <w:bCs w:val="0"/>
          <w:color w:val="000000" w:themeColor="text1"/>
          <w:highlight w:val="none"/>
          <w:lang w:val="en-US" w:eastAsia="zh-CN"/>
          <w14:textFill>
            <w14:solidFill>
              <w14:schemeClr w14:val="tx1"/>
            </w14:solidFill>
          </w14:textFill>
        </w:rPr>
        <w:t xml:space="preserve">14</w:t>
      </w:r>
      <w:r>
        <w:rPr>
          <w:rFonts w:hint="default" w:ascii="Times New Roman" w:hAnsi="Times New Roman" w:cs="Times New Roman"/>
          <w:b w:val="0"/>
          <w:bCs w:val="0"/>
          <w:color w:val="000000" w:themeColor="text1"/>
          <w:highlight w:val="none"/>
          <w14:textFill>
            <w14:solidFill>
              <w14:schemeClr w14:val="tx1"/>
            </w14:solidFill>
          </w14:textFill>
        </w:rPr>
        <w:t xml:space="preserve">:30（北京时间）</w:t>
      </w:r>
      <w:r/>
    </w:p>
    <w:p>
      <w:pPr>
        <w:pStyle w:val="907"/>
        <w:ind w:firstLine="422"/>
        <w:spacing w:line="360" w:lineRule="auto"/>
        <w:rPr>
          <w:rFonts w:hint="default" w:ascii="Times New Roman" w:hAnsi="Times New Roman" w:eastAsia="宋体" w:cs="Times New Roman"/>
          <w:b w:val="0"/>
          <w:bCs w:val="0"/>
          <w:color w:val="000000" w:themeColor="text1"/>
          <w:highlight w:val="none"/>
          <w:lang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地点：“苏采云”系统（网址： http://jszfcg.jsczt.cn/）</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五、开启</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时间：202</w:t>
      </w:r>
      <w:r>
        <w:rPr>
          <w:rFonts w:hint="eastAsia" w:cs="Times New Roman"/>
          <w:b w:val="0"/>
          <w:bCs w:val="0"/>
          <w:color w:val="000000" w:themeColor="text1"/>
          <w:highlight w:val="none"/>
          <w:lang w:val="en-US" w:eastAsia="zh-CN"/>
          <w14:textFill>
            <w14:solidFill>
              <w14:schemeClr w14:val="tx1"/>
            </w14:solidFill>
          </w14:textFill>
        </w:rPr>
        <w:t xml:space="preserve">6</w:t>
      </w:r>
      <w:r>
        <w:rPr>
          <w:rFonts w:hint="default" w:ascii="Times New Roman" w:hAnsi="Times New Roman" w:cs="Times New Roman"/>
          <w:b w:val="0"/>
          <w:bCs w:val="0"/>
          <w:color w:val="000000" w:themeColor="text1"/>
          <w:highlight w:val="none"/>
          <w14:textFill>
            <w14:solidFill>
              <w14:schemeClr w14:val="tx1"/>
            </w14:solidFill>
          </w14:textFill>
        </w:rPr>
        <w:t xml:space="preserve">-</w:t>
      </w:r>
      <w:r>
        <w:rPr>
          <w:rFonts w:hint="eastAsia" w:cs="Times New Roman"/>
          <w:b w:val="0"/>
          <w:bCs w:val="0"/>
          <w:color w:val="000000" w:themeColor="text1"/>
          <w:highlight w:val="none"/>
          <w:lang w:val="en-US" w:eastAsia="zh-CN"/>
          <w14:textFill>
            <w14:solidFill>
              <w14:schemeClr w14:val="tx1"/>
            </w14:solidFill>
          </w14:textFill>
        </w:rPr>
        <w:t xml:space="preserve">9</w:t>
      </w:r>
      <w:r>
        <w:rPr>
          <w:rFonts w:hint="default" w:ascii="Times New Roman" w:hAnsi="Times New Roman" w:cs="Times New Roman"/>
          <w:b w:val="0"/>
          <w:bCs w:val="0"/>
          <w:color w:val="000000" w:themeColor="text1"/>
          <w:highlight w:val="none"/>
          <w14:textFill>
            <w14:solidFill>
              <w14:schemeClr w14:val="tx1"/>
            </w14:solidFill>
          </w14:textFill>
        </w:rPr>
        <w:t xml:space="preserve">-</w:t>
      </w:r>
      <w:r>
        <w:rPr>
          <w:rFonts w:hint="eastAsia" w:cs="Times New Roman"/>
          <w:b w:val="0"/>
          <w:bCs w:val="0"/>
          <w:color w:val="000000" w:themeColor="text1"/>
          <w:highlight w:val="none"/>
          <w:lang w:val="en-US" w:eastAsia="zh-CN"/>
          <w14:textFill>
            <w14:solidFill>
              <w14:schemeClr w14:val="tx1"/>
            </w14:solidFill>
          </w14:textFill>
        </w:rPr>
        <w:t xml:space="preserve">3 </w:t>
      </w:r>
      <w:r>
        <w:rPr>
          <w:rFonts w:hint="default" w:ascii="Times New Roman" w:hAnsi="Times New Roman" w:cs="Times New Roman"/>
          <w:b w:val="0"/>
          <w:bCs w:val="0"/>
          <w:color w:val="000000" w:themeColor="text1"/>
          <w:highlight w:val="none"/>
          <w:lang w:val="en-US" w:eastAsia="zh-CN"/>
          <w14:textFill>
            <w14:solidFill>
              <w14:schemeClr w14:val="tx1"/>
            </w14:solidFill>
          </w14:textFill>
        </w:rPr>
        <w:t xml:space="preserve">    14</w:t>
      </w:r>
      <w:r>
        <w:rPr>
          <w:rFonts w:hint="default" w:ascii="Times New Roman" w:hAnsi="Times New Roman" w:cs="Times New Roman"/>
          <w:b w:val="0"/>
          <w:bCs w:val="0"/>
          <w:color w:val="000000" w:themeColor="text1"/>
          <w:highlight w:val="none"/>
          <w14:textFill>
            <w14:solidFill>
              <w14:schemeClr w14:val="tx1"/>
            </w14:solidFill>
          </w14:textFill>
        </w:rPr>
        <w:t xml:space="preserve">:30 （北京时间）</w:t>
      </w:r>
      <w:r/>
    </w:p>
    <w:p>
      <w:pPr>
        <w:pStyle w:val="907"/>
        <w:ind w:firstLine="422"/>
        <w:spacing w:line="360" w:lineRule="auto"/>
        <w:rPr>
          <w:rFonts w:hint="default" w:ascii="Times New Roman" w:hAnsi="Times New Roman" w:eastAsia="宋体" w:cs="Times New Roman"/>
          <w:b w:val="0"/>
          <w:bCs w:val="0"/>
          <w:color w:val="000000" w:themeColor="text1"/>
          <w:highlight w:val="none"/>
          <w:lang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地点：“苏采云”系统（网址： http://jszfcg.jsczt.cn/）“开标大厅”</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六、公告期限</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自本公告发布之日起3个工作日。</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七、其他补充事宜</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1.本次采购采用“政府采购管理交易系统（苏采云）”，招标、投标、评标和成交结果发布全程电子化，开标方式为不见面开标。供应商应当按照《“苏采云”系统供应商操作手册》参加投标活动。如供应商未按要求操作，由此所产生的风险由供应商自行承担。</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2.供应商如确定参加投标，可自行下载采购文件及有关资料，按照《操作手册》进行注册，领取CA和办理电子签章，并按《操作手册》要求制作、上传电子投标文件，技术支持联系方式：13813140731。</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4.潜在供应商对采购文件项目需求部分的询问、质疑请向采购人提出，由采购人负责答复。</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5.本次采购不收取保证金。</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6.有关本次采购的事项若存在变动或修改，敬请及时关注“扬州市政府采购网”、”江苏省政府采购网”、“中国政府采购网”发布的信息。</w:t>
      </w:r>
      <w:r/>
    </w:p>
    <w:p>
      <w:pPr>
        <w:pStyle w:val="907"/>
        <w:ind w:firstLine="422"/>
        <w:spacing w:line="360" w:lineRule="auto"/>
        <w:rPr>
          <w:rFonts w:hint="default" w:ascii="Times New Roman" w:hAnsi="Times New Roman" w:cs="Times New Roman"/>
          <w:b w:val="0"/>
          <w:bCs w:val="0"/>
          <w:i/>
          <w:iCs/>
          <w:color w:val="000000" w:themeColor="text1"/>
          <w:highlight w:val="none"/>
          <w:u w:val="single"/>
          <w14:textFill>
            <w14:solidFill>
              <w14:schemeClr w14:val="tx1"/>
            </w14:solidFill>
          </w14:textFill>
        </w:rPr>
      </w:pPr>
      <w:r>
        <w:rPr>
          <w:rFonts w:hint="default" w:ascii="Times New Roman" w:hAnsi="Times New Roman" w:cs="Times New Roman"/>
          <w:b w:val="0"/>
          <w:bCs w:val="0"/>
          <w:i/>
          <w:iCs/>
          <w:color w:val="000000" w:themeColor="text1"/>
          <w:highlight w:val="none"/>
          <w:u w:val="single"/>
          <w14:textFill>
            <w14:solidFill>
              <w14:schemeClr w14:val="tx1"/>
            </w14:solidFill>
          </w14:textFill>
        </w:rPr>
        <w:t xml:space="preserve">7.本项目磋商文件中所有斜体下划线部分为实质性条款，如不满足，则为无效响应。</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9.如在开标时间发生系统崩溃等不可预见的情况，造成开评标活动无法正常进行的，将延迟开评标，具体开评标时间另行通知。</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10.落实好政府采购履约资金扶持政策。</w:t>
      </w:r>
      <w:r>
        <w:rPr>
          <w:rFonts w:hint="default" w:ascii="Times New Roman" w:hAnsi="Times New Roman" w:cs="Times New Roman"/>
          <w:b/>
          <w:bCs/>
          <w:color w:val="000000" w:themeColor="text1"/>
          <w:highlight w:val="none"/>
          <w:lang w:eastAsia="zh-CN"/>
          <w14:textFill>
            <w14:solidFill>
              <w14:schemeClr w14:val="tx1"/>
            </w14:solidFill>
          </w14:textFill>
        </w:rPr>
        <w:t xml:space="preserve">成交</w:t>
      </w:r>
      <w:r>
        <w:rPr>
          <w:rFonts w:hint="default" w:ascii="Times New Roman" w:hAnsi="Times New Roman" w:cs="Times New Roman"/>
          <w:b/>
          <w:bCs/>
          <w:color w:val="000000" w:themeColor="text1"/>
          <w:highlight w:val="none"/>
          <w14:textFill>
            <w14:solidFill>
              <w14:schemeClr w14:val="tx1"/>
            </w14:solidFill>
          </w14:textFill>
        </w:rPr>
        <w:t xml:space="preserve">/成交供应商可凭政府采购合同办理融资贷款，详见江苏政府采购网“政采贷”专栏。</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11.为提升政府采购供应商的融资可得性，解决中小企业融资难问题，中国人民银行、市财政局、市公共资源交易中心推出了政府采购线上应收账款融资模式。各供应商如果有融资需求，可以凭借政府采购</w:t>
      </w:r>
      <w:r>
        <w:rPr>
          <w:rFonts w:hint="default" w:ascii="Times New Roman" w:hAnsi="Times New Roman" w:cs="Times New Roman"/>
          <w:b/>
          <w:bCs/>
          <w:color w:val="000000" w:themeColor="text1"/>
          <w:highlight w:val="none"/>
          <w:lang w:eastAsia="zh-CN"/>
          <w14:textFill>
            <w14:solidFill>
              <w14:schemeClr w14:val="tx1"/>
            </w14:solidFill>
          </w14:textFill>
        </w:rPr>
        <w:t xml:space="preserve">成交</w:t>
      </w:r>
      <w:r>
        <w:rPr>
          <w:rFonts w:hint="default" w:ascii="Times New Roman" w:hAnsi="Times New Roman" w:cs="Times New Roman"/>
          <w:b/>
          <w:bCs/>
          <w:color w:val="000000" w:themeColor="text1"/>
          <w:highlight w:val="none"/>
          <w14:textFill>
            <w14:solidFill>
              <w14:schemeClr w14:val="tx1"/>
            </w14:solidFill>
          </w14:textFill>
        </w:rPr>
        <w:t xml:space="preserve">（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12.严格执行政府采购关于支持</w:t>
      </w:r>
      <w:r>
        <w:rPr>
          <w:rFonts w:hint="default" w:ascii="Times New Roman" w:hAnsi="Times New Roman" w:cs="Times New Roman"/>
          <w:b/>
          <w:bCs/>
          <w:color w:val="000000" w:themeColor="text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13.供应商对于投标产品的包装应按照“财办库〔2020〕123号《关于印发《商品包装政府采购需求标准（试行）》、《快递包装政府采购需求标准（试行）》的通知》”执行。</w:t>
      </w:r>
      <w:r/>
    </w:p>
    <w:p>
      <w:pPr>
        <w:pStyle w:val="907"/>
        <w:ind w:firstLine="422"/>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八、凡对本次采购提出询问，请按以下方式联系。</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1.采购人信息</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单位名称：</w:t>
      </w:r>
      <w:r>
        <w:rPr>
          <w:rFonts w:hint="eastAsia" w:cs="Times New Roman"/>
          <w:b w:val="0"/>
          <w:bCs w:val="0"/>
          <w:color w:val="000000" w:themeColor="text1"/>
          <w:highlight w:val="none"/>
          <w:lang w:eastAsia="zh-CN"/>
          <w14:textFill>
            <w14:solidFill>
              <w14:schemeClr w14:val="tx1"/>
            </w14:solidFill>
          </w14:textFill>
        </w:rPr>
        <w:t xml:space="preserve">扬州市广陵区人民政府曲江街道办事处</w:t>
      </w:r>
      <w:r/>
    </w:p>
    <w:p>
      <w:pPr>
        <w:pStyle w:val="907"/>
        <w:ind w:firstLine="422"/>
        <w:spacing w:line="360" w:lineRule="auto"/>
        <w:rPr>
          <w:rFonts w:hint="default" w:ascii="Times New Roman" w:hAnsi="Times New Roman" w:cs="Times New Roman"/>
          <w:b w:val="0"/>
          <w:bCs w:val="0"/>
          <w:color w:val="000000" w:themeColor="text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单位地址：</w:t>
      </w:r>
      <w:r>
        <w:rPr>
          <w:rFonts w:hint="default" w:ascii="Times New Roman" w:hAnsi="Times New Roman" w:cs="Times New Roman"/>
          <w:b w:val="0"/>
          <w:bCs w:val="0"/>
          <w:color w:val="000000" w:themeColor="text1"/>
          <w:highlight w:val="none"/>
          <w:lang w:val="en-US" w:eastAsia="zh-CN"/>
          <w14:textFill>
            <w14:solidFill>
              <w14:schemeClr w14:val="tx1"/>
            </w14:solidFill>
          </w14:textFill>
        </w:rPr>
        <w:t xml:space="preserve">扬州市广陵区文昌中路112号</w:t>
      </w:r>
      <w:r/>
    </w:p>
    <w:p>
      <w:pPr>
        <w:pStyle w:val="907"/>
        <w:ind w:firstLine="422"/>
        <w:spacing w:line="360" w:lineRule="auto"/>
        <w:rPr>
          <w:rFonts w:hint="default" w:ascii="Times New Roman" w:hAnsi="Times New Roman" w:cs="Times New Roman"/>
          <w:b w:val="0"/>
          <w:bCs w:val="0"/>
          <w:color w:val="000000" w:themeColor="text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highlight w:val="none"/>
          <w:lang w:val="en-US" w:eastAsia="zh-CN"/>
          <w14:textFill>
            <w14:solidFill>
              <w14:schemeClr w14:val="tx1"/>
            </w14:solidFill>
          </w14:textFill>
        </w:rPr>
        <w:t xml:space="preserve">联系人：聂士豪</w:t>
      </w:r>
      <w:r/>
    </w:p>
    <w:p>
      <w:pPr>
        <w:pStyle w:val="907"/>
        <w:ind w:firstLine="422"/>
        <w:spacing w:line="360" w:lineRule="auto"/>
        <w:rPr>
          <w:rFonts w:hint="default" w:ascii="Times New Roman" w:hAnsi="Times New Roman" w:cs="Times New Roman"/>
          <w:b w:val="0"/>
          <w:bCs w:val="0"/>
          <w:color w:val="000000" w:themeColor="text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highlight w:val="none"/>
          <w:lang w:val="en-US" w:eastAsia="zh-CN"/>
          <w14:textFill>
            <w14:solidFill>
              <w14:schemeClr w14:val="tx1"/>
            </w14:solidFill>
          </w14:textFill>
        </w:rPr>
        <w:t xml:space="preserve">联系方式：15371252489</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2.采购代理机构信息</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单位名称：扬州览众建设工程咨询服务有限公司</w:t>
      </w:r>
      <w:r/>
    </w:p>
    <w:p>
      <w:pPr>
        <w:pStyle w:val="907"/>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单位地址：扬州市邗江区玉箫路18号瘦西湖名苑商业配套用房</w:t>
      </w:r>
      <w:r>
        <w:rPr>
          <w:rFonts w:hint="default" w:ascii="Times New Roman" w:hAnsi="Times New Roman" w:cs="Times New Roman"/>
          <w:b w:val="0"/>
          <w:bCs w:val="0"/>
          <w:color w:val="000000" w:themeColor="text1"/>
          <w:highlight w:val="none"/>
          <w:lang w:val="en-US" w:eastAsia="zh-CN"/>
          <w14:textFill>
            <w14:solidFill>
              <w14:schemeClr w14:val="tx1"/>
            </w14:solidFill>
          </w14:textFill>
        </w:rPr>
        <w:t xml:space="preserve">3</w:t>
      </w:r>
      <w:r>
        <w:rPr>
          <w:rFonts w:hint="default" w:ascii="Times New Roman" w:hAnsi="Times New Roman" w:cs="Times New Roman"/>
          <w:b w:val="0"/>
          <w:bCs w:val="0"/>
          <w:color w:val="000000" w:themeColor="text1"/>
          <w:highlight w:val="none"/>
          <w14:textFill>
            <w14:solidFill>
              <w14:schemeClr w14:val="tx1"/>
            </w14:solidFill>
          </w14:textFill>
        </w:rPr>
        <w:t xml:space="preserve">楼</w:t>
      </w:r>
      <w:r/>
    </w:p>
    <w:p>
      <w:pPr>
        <w:pStyle w:val="907"/>
        <w:ind w:firstLine="422"/>
        <w:spacing w:line="360" w:lineRule="auto"/>
        <w:rPr>
          <w:rFonts w:hint="default" w:ascii="Times New Roman" w:hAnsi="Times New Roman" w:eastAsia="宋体" w:cs="Times New Roman"/>
          <w:b w:val="0"/>
          <w:bCs w:val="0"/>
          <w:color w:val="000000" w:themeColor="text1"/>
          <w:highlight w:val="none"/>
          <w:lang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联系人：</w:t>
      </w:r>
      <w:r>
        <w:rPr>
          <w:rFonts w:hint="default" w:ascii="Times New Roman" w:hAnsi="Times New Roman" w:cs="Times New Roman"/>
          <w:b w:val="0"/>
          <w:bCs w:val="0"/>
          <w:color w:val="000000" w:themeColor="text1"/>
          <w:highlight w:val="none"/>
          <w:lang w:eastAsia="zh-CN"/>
          <w14:textFill>
            <w14:solidFill>
              <w14:schemeClr w14:val="tx1"/>
            </w14:solidFill>
          </w14:textFill>
        </w:rPr>
        <w:t xml:space="preserve">阚明佳</w:t>
      </w:r>
      <w:r/>
    </w:p>
    <w:p>
      <w:pPr>
        <w:pStyle w:val="907"/>
        <w:ind w:firstLine="422"/>
        <w:spacing w:line="360" w:lineRule="auto"/>
        <w:rPr>
          <w:rFonts w:hint="default" w:ascii="Times New Roman" w:hAnsi="Times New Roman" w:eastAsia="宋体" w:cs="Times New Roman"/>
          <w:b w:val="0"/>
          <w:bCs w:val="0"/>
          <w:color w:val="000000" w:themeColor="text1"/>
          <w:highlight w:val="none"/>
          <w:lang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联系电话：</w:t>
      </w:r>
      <w:r>
        <w:rPr>
          <w:rFonts w:hint="default" w:ascii="Times New Roman" w:hAnsi="Times New Roman" w:cs="Times New Roman"/>
          <w:b w:val="0"/>
          <w:bCs w:val="0"/>
          <w:color w:val="000000" w:themeColor="text1"/>
          <w:highlight w:val="none"/>
          <w:lang w:eastAsia="zh-CN"/>
          <w14:textFill>
            <w14:solidFill>
              <w14:schemeClr w14:val="tx1"/>
            </w14:solidFill>
          </w14:textFill>
        </w:rPr>
        <w:t xml:space="preserve">18952513130</w:t>
      </w:r>
      <w:r/>
    </w:p>
    <w:p>
      <w:pPr>
        <w:pStyle w:val="907"/>
        <w:numPr>
          <w:ilvl w:val="0"/>
          <w:numId w:val="6"/>
        </w:numPr>
        <w:ind w:firstLine="422"/>
        <w:spacing w:line="360" w:lineRule="auto"/>
        <w:rPr>
          <w:rFonts w:hint="default" w:ascii="Times New Roman" w:hAnsi="Times New Roman" w:cs="Times New Roman"/>
          <w:b w:val="0"/>
          <w:bCs w:val="0"/>
          <w:color w:val="000000" w:themeColor="text1"/>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项目联系方式</w:t>
      </w:r>
      <w:r/>
    </w:p>
    <w:p>
      <w:pPr>
        <w:pStyle w:val="907"/>
        <w:ind w:firstLine="422"/>
        <w:spacing w:line="360" w:lineRule="auto"/>
        <w:rPr>
          <w:rFonts w:hint="default" w:ascii="Times New Roman" w:hAnsi="Times New Roman" w:eastAsia="宋体" w:cs="Times New Roman"/>
          <w:b w:val="0"/>
          <w:bCs w:val="0"/>
          <w:color w:val="000000" w:themeColor="text1"/>
          <w:highlight w:val="none"/>
          <w:lang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项目联系人：</w:t>
      </w:r>
      <w:r>
        <w:rPr>
          <w:rFonts w:hint="default" w:ascii="Times New Roman" w:hAnsi="Times New Roman" w:cs="Times New Roman"/>
          <w:b w:val="0"/>
          <w:bCs w:val="0"/>
          <w:color w:val="000000" w:themeColor="text1"/>
          <w:highlight w:val="none"/>
          <w:lang w:eastAsia="zh-CN"/>
          <w14:textFill>
            <w14:solidFill>
              <w14:schemeClr w14:val="tx1"/>
            </w14:solidFill>
          </w14:textFill>
        </w:rPr>
        <w:t xml:space="preserve">阚明佳</w:t>
      </w:r>
      <w:r/>
    </w:p>
    <w:p>
      <w:pPr>
        <w:pStyle w:val="907"/>
        <w:ind w:firstLine="422"/>
        <w:spacing w:line="360" w:lineRule="auto"/>
        <w:rPr>
          <w:rFonts w:hint="default" w:ascii="Times New Roman" w:hAnsi="Times New Roman" w:eastAsia="宋体" w:cs="Times New Roman"/>
          <w:b w:val="0"/>
          <w:bCs w:val="0"/>
          <w:color w:val="000000" w:themeColor="text1"/>
          <w:highlight w:val="none"/>
          <w:lang w:eastAsia="zh-CN"/>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t xml:space="preserve">电话：</w:t>
      </w:r>
      <w:r>
        <w:rPr>
          <w:rFonts w:hint="default" w:ascii="Times New Roman" w:hAnsi="Times New Roman" w:cs="Times New Roman"/>
          <w:b w:val="0"/>
          <w:bCs w:val="0"/>
          <w:color w:val="000000" w:themeColor="text1"/>
          <w:highlight w:val="none"/>
          <w:lang w:eastAsia="zh-CN"/>
          <w14:textFill>
            <w14:solidFill>
              <w14:schemeClr w14:val="tx1"/>
            </w14:solidFill>
          </w14:textFill>
        </w:rPr>
        <w:t xml:space="preserve">18952513130</w:t>
      </w:r>
      <w:r/>
    </w:p>
    <w:p>
      <w:pPr>
        <w:ind w:firstLine="420"/>
        <w:spacing w:line="360" w:lineRule="auto"/>
        <w:rPr>
          <w:rFonts w:hint="default" w:ascii="Times New Roman" w:hAnsi="Times New Roman" w:cs="Times New Roman"/>
          <w:color w:val="000000" w:themeColor="text1"/>
          <w:highlight w:val="none"/>
          <w14:textFill>
            <w14:solidFill>
              <w14:schemeClr w14:val="tx1"/>
            </w14:solidFill>
          </w14:textFill>
        </w:rPr>
        <w:sectPr>
          <w:headerReference w:type="default" r:id="rId10"/>
          <w:footerReference w:type="default" r:id="rId14"/>
          <w:footnotePr/>
          <w:endnotePr/>
          <w:type w:val="nextPage"/>
          <w:pgSz w:w="11906" w:h="16838" w:orient="portrait"/>
          <w:pgMar w:top="1440" w:right="1800" w:bottom="1440" w:left="1800" w:header="851" w:footer="992" w:gutter="0"/>
          <w:pgNumType w:start="1"/>
          <w:rtlGutter/>
          <w:cols w:num="1" w:sep="0" w:space="720" w:equalWidth="1"/>
          <w:docGrid w:linePitch="360"/>
        </w:sectPr>
      </w:pPr>
      <w:r>
        <w:rPr>
          <w:rFonts w:hint="default" w:ascii="Times New Roman" w:hAnsi="Times New Roman" w:cs="Times New Roman"/>
          <w:color w:val="000000" w:themeColor="text1"/>
          <w:highlight w:val="none"/>
          <w14:textFill>
            <w14:solidFill>
              <w14:schemeClr w14:val="tx1"/>
            </w14:solidFill>
          </w14:textFill>
        </w:rPr>
      </w:r>
      <w:r/>
    </w:p>
    <w:p>
      <w:pPr>
        <w:pStyle w:val="853"/>
        <w:ind w:firstLine="723"/>
        <w:jc w:val="center"/>
        <w:spacing w:line="360" w:lineRule="auto"/>
        <w:rPr>
          <w:rFonts w:hint="default" w:ascii="Times New Roman" w:hAnsi="Times New Roman" w:cs="Times New Roman"/>
          <w:color w:val="000000" w:themeColor="text1"/>
          <w:sz w:val="36"/>
          <w:highlight w:val="none"/>
          <w14:textFill>
            <w14:solidFill>
              <w14:schemeClr w14:val="tx1"/>
            </w14:solidFill>
          </w14:textFill>
        </w:rPr>
      </w:pPr>
      <w:r/>
      <w:bookmarkStart w:id="11" w:name="_Toc11302"/>
      <w:r/>
      <w:bookmarkStart w:id="12" w:name="_Toc25461"/>
      <w:r/>
      <w:bookmarkStart w:id="13" w:name="_Toc14619"/>
      <w:r/>
      <w:bookmarkStart w:id="14" w:name="_Toc497145840"/>
      <w:r>
        <w:rPr>
          <w:rFonts w:hint="default" w:ascii="Times New Roman" w:hAnsi="Times New Roman" w:cs="Times New Roman"/>
          <w:color w:val="000000" w:themeColor="text1"/>
          <w:sz w:val="36"/>
          <w:highlight w:val="none"/>
          <w14:textFill>
            <w14:solidFill>
              <w14:schemeClr w14:val="tx1"/>
            </w14:solidFill>
          </w14:textFill>
        </w:rPr>
        <w:t xml:space="preserve">第二章 磋商须知</w:t>
      </w:r>
      <w:bookmarkEnd w:id="7"/>
      <w:r/>
      <w:bookmarkEnd w:id="11"/>
      <w:r/>
      <w:bookmarkEnd w:id="12"/>
      <w:r/>
      <w:bookmarkEnd w:id="13"/>
      <w:r/>
      <w:bookmarkEnd w:id="14"/>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bookmarkStart w:id="15" w:name="_Toc497145841"/>
      <w:r/>
      <w:bookmarkStart w:id="16" w:name="_Toc497468125"/>
      <w:r>
        <w:rPr>
          <w:rFonts w:hint="default" w:ascii="Times New Roman" w:hAnsi="Times New Roman" w:cs="Times New Roman"/>
          <w:color w:val="000000" w:themeColor="text1"/>
          <w:highlight w:val="none"/>
          <w14:textFill>
            <w14:solidFill>
              <w14:schemeClr w14:val="tx1"/>
            </w14:solidFill>
          </w14:textFill>
        </w:rPr>
        <w:t xml:space="preserve">1、采购方式</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1.1 本次采购采取竞争性磋商方式，本采购文件仅适用于</w:t>
      </w:r>
      <w:r>
        <w:rPr>
          <w:rFonts w:hint="eastAsia" w:cs="Times New Roman"/>
          <w:color w:val="000000" w:themeColor="text1"/>
          <w:highlight w:val="none"/>
          <w:lang w:val="en-US" w:eastAsia="zh-CN"/>
          <w14:textFill>
            <w14:solidFill>
              <w14:schemeClr w14:val="tx1"/>
            </w14:solidFill>
          </w14:textFill>
        </w:rPr>
        <w:t xml:space="preserve">JSZC-321002-YZLZ-C2026-0007</w:t>
      </w:r>
      <w:r>
        <w:rPr>
          <w:rFonts w:hint="default" w:ascii="Times New Roman" w:hAnsi="Times New Roman"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号项目。</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2、供应商</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2.1 参加竞争性磋商的供应商以下简称“供应商”，是指参加磋商并符合采购文件规定资格条件的法人、其他组织或者自然人。</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2.2合格的供应商</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2.2.1 满足采购公告中供应商的资格条件要求的规定。</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2.2.2 满足本文件实质性条款的规定。</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3、适用法律</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3.1 本次采购及由此产生的合同受中华人民共和国有关的法律法规制约和保护。</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4、参加磋商费用</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4.1 供应商应自行承担所有与参加磋商有关的费用，无论磋商过程中的做法和结果如何，扬州览众建设工程咨询服务有限公司(以下简称代理机构)在任何情况下均无义务和责任承担这些费用。</w:t>
      </w:r>
      <w:r/>
    </w:p>
    <w:p>
      <w:pPr>
        <w:pStyle w:val="907"/>
        <w:ind w:firstLine="420"/>
        <w:jc w:val="left"/>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4.2</w:t>
      </w:r>
      <w:r>
        <w:rPr>
          <w:rFonts w:hint="default" w:ascii="Times New Roman" w:hAnsi="Times New Roman" w:cs="Times New Roman"/>
          <w:b/>
          <w:bCs/>
          <w:color w:val="000000" w:themeColor="text1"/>
          <w:szCs w:val="21"/>
          <w:highlight w:val="none"/>
          <w14:textFill>
            <w14:solidFill>
              <w14:schemeClr w14:val="tx1"/>
            </w14:solidFill>
          </w14:textFill>
        </w:rPr>
        <w:t xml:space="preserve">本次采购由成交人在领取成交通知书前根据国家计委印发的《招标代理服务收费管理暂行办法》(计价格【2002】1980号文)服务类标准</w:t>
      </w:r>
      <w:r>
        <w:rPr>
          <w:rFonts w:hint="eastAsia" w:cs="Times New Roman"/>
          <w:b/>
          <w:bCs/>
          <w:color w:val="000000" w:themeColor="text1"/>
          <w:szCs w:val="21"/>
          <w:highlight w:val="none"/>
          <w:lang w:val="en-US" w:eastAsia="zh-CN"/>
          <w14:textFill>
            <w14:solidFill>
              <w14:schemeClr w14:val="tx1"/>
            </w14:solidFill>
          </w14:textFill>
        </w:rPr>
        <w:t xml:space="preserve">*50%</w:t>
      </w:r>
      <w:r>
        <w:rPr>
          <w:rFonts w:hint="default" w:ascii="Times New Roman" w:hAnsi="Times New Roman" w:cs="Times New Roman"/>
          <w:b/>
          <w:bCs/>
          <w:color w:val="000000" w:themeColor="text1"/>
          <w:szCs w:val="21"/>
          <w:highlight w:val="none"/>
          <w14:textFill>
            <w14:solidFill>
              <w14:schemeClr w14:val="tx1"/>
            </w14:solidFill>
          </w14:textFill>
        </w:rPr>
        <w:t xml:space="preserve">一次性支付给代理机构代理服务费。</w:t>
      </w:r>
      <w:r/>
    </w:p>
    <w:p>
      <w:pPr>
        <w:pStyle w:val="906"/>
        <w:ind w:firstLine="420"/>
        <w:pageBreakBefore w:val="0"/>
        <w:spacing w:line="440" w:lineRule="exact"/>
        <w:widowControl w:val="off"/>
        <w:rPr>
          <w:rFonts w:hint="default" w:ascii="Times New Roman" w:hAnsi="Times New Roman" w:cs="Times New Roman"/>
          <w:color w:val="000000" w:themeColor="text1"/>
          <w:sz w:val="21"/>
          <w:szCs w:val="22"/>
          <w:highlight w:val="none"/>
          <w14:textFill>
            <w14:solidFill>
              <w14:schemeClr w14:val="tx1"/>
            </w14:solidFill>
          </w14:textFill>
        </w:rPr>
      </w:pPr>
      <w:r>
        <w:rPr>
          <w:rFonts w:hint="default" w:ascii="Times New Roman" w:hAnsi="Times New Roman" w:cs="Times New Roman"/>
          <w:color w:val="000000" w:themeColor="text1"/>
          <w:sz w:val="21"/>
          <w:szCs w:val="22"/>
          <w:highlight w:val="none"/>
          <w14:textFill>
            <w14:solidFill>
              <w14:schemeClr w14:val="tx1"/>
            </w14:solidFill>
          </w14:textFill>
        </w:rPr>
        <w:t xml:space="preserve">（1）代理服务费以人民币支付；</w:t>
      </w:r>
      <w:r/>
    </w:p>
    <w:p>
      <w:pPr>
        <w:pStyle w:val="906"/>
        <w:ind w:firstLine="420"/>
        <w:pageBreakBefore w:val="0"/>
        <w:spacing w:line="440" w:lineRule="exact"/>
        <w:widowControl w:val="off"/>
        <w:rPr>
          <w:rFonts w:hint="default" w:ascii="Times New Roman" w:hAnsi="Times New Roman" w:cs="Times New Roman"/>
          <w:color w:val="000000" w:themeColor="text1"/>
          <w:sz w:val="21"/>
          <w:szCs w:val="22"/>
          <w:highlight w:val="none"/>
          <w14:textFill>
            <w14:solidFill>
              <w14:schemeClr w14:val="tx1"/>
            </w14:solidFill>
          </w14:textFill>
        </w:rPr>
      </w:pPr>
      <w:r>
        <w:rPr>
          <w:rFonts w:hint="default" w:ascii="Times New Roman" w:hAnsi="Times New Roman" w:cs="Times New Roman"/>
          <w:color w:val="000000" w:themeColor="text1"/>
          <w:sz w:val="21"/>
          <w:szCs w:val="22"/>
          <w:highlight w:val="none"/>
          <w14:textFill>
            <w14:solidFill>
              <w14:schemeClr w14:val="tx1"/>
            </w14:solidFill>
          </w14:textFill>
        </w:rPr>
        <w:t xml:space="preserve">（2）代理服务费一次性以电汇、转账等非现金形式支付；</w:t>
      </w:r>
      <w:r/>
    </w:p>
    <w:p>
      <w:pPr>
        <w:pStyle w:val="906"/>
        <w:ind w:firstLine="420"/>
        <w:pageBreakBefore w:val="0"/>
        <w:spacing w:line="440" w:lineRule="exact"/>
        <w:widowControl w:val="off"/>
        <w:rPr>
          <w:rFonts w:hint="default" w:ascii="Times New Roman" w:hAnsi="Times New Roman" w:cs="Times New Roman"/>
          <w:color w:val="000000" w:themeColor="text1"/>
          <w:sz w:val="21"/>
          <w:szCs w:val="22"/>
          <w:highlight w:val="none"/>
          <w14:textFill>
            <w14:solidFill>
              <w14:schemeClr w14:val="tx1"/>
            </w14:solidFill>
          </w14:textFill>
        </w:rPr>
      </w:pPr>
      <w:r>
        <w:rPr>
          <w:rFonts w:hint="default" w:ascii="Times New Roman" w:hAnsi="Times New Roman" w:cs="Times New Roman"/>
          <w:color w:val="000000" w:themeColor="text1"/>
          <w:sz w:val="21"/>
          <w:szCs w:val="22"/>
          <w:highlight w:val="none"/>
          <w14:textFill>
            <w14:solidFill>
              <w14:schemeClr w14:val="tx1"/>
            </w14:solidFill>
          </w14:textFill>
        </w:rPr>
        <w:t xml:space="preserve">（3）招标代理服务费不在投标报价中单列，包含在投标总价中，由成交单位支付给代理机构。</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bookmarkStart w:id="17" w:name="_Hlk115095815"/>
      <w:r>
        <w:rPr>
          <w:rFonts w:hint="default" w:ascii="Times New Roman" w:hAnsi="Times New Roman" w:cs="Times New Roman"/>
          <w:color w:val="000000" w:themeColor="text1"/>
          <w:highlight w:val="none"/>
          <w14:textFill>
            <w14:solidFill>
              <w14:schemeClr w14:val="tx1"/>
            </w14:solidFill>
          </w14:textFill>
        </w:rPr>
        <w:t xml:space="preserve">4.3专家评审费按扬财购【2020】40 号文《关于进一步规范扬州市政府采购专家评审费标准的通知》执行。</w:t>
      </w:r>
      <w:bookmarkEnd w:id="17"/>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5、采购文件的约束力</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5.1 供应商一旦参加本项目采购活动，即被认为接受了本采购文件的规定和约束。</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6、采购文件构成</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6.1 采购文件有以下部分组成：</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（1）采购公告</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（2）磋商须知</w:t>
      </w:r>
      <w:r>
        <w:rPr>
          <w:rFonts w:hint="default" w:ascii="Times New Roman" w:hAnsi="Times New Roman" w:cs="Times New Roman"/>
          <w:color w:val="000000" w:themeColor="text1"/>
          <w:highlight w:val="none"/>
          <w14:textFill>
            <w14:solidFill>
              <w14:schemeClr w14:val="tx1"/>
            </w14:solidFill>
          </w14:textFill>
        </w:rPr>
        <w:tab/>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（3）合同条款及格式</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（4）项目需求</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（5）评审方法与评审标准</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（6）竞争性磋商响应文件格式</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请仔细检查采购文件是否齐全，如有缺漏请立即与代理机构联系解决。</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6.3 采购文件如果要求供应商提交备选响应方案的，供应商可以提交备选方案；否则，备选方案将被拒绝。</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7</w:t>
      </w:r>
      <w:r>
        <w:rPr>
          <w:rFonts w:hint="default" w:ascii="Times New Roman" w:hAnsi="Times New Roman" w:cs="Times New Roman"/>
          <w:b/>
          <w:bCs/>
          <w:color w:val="000000" w:themeColor="text1"/>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采购文件的澄清</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8</w:t>
      </w:r>
      <w:r>
        <w:rPr>
          <w:rFonts w:hint="default" w:ascii="Times New Roman" w:hAnsi="Times New Roman" w:cs="Times New Roman"/>
          <w:b/>
          <w:bCs/>
          <w:color w:val="000000" w:themeColor="text1"/>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采购文件的修改</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8.2采购文件的修改将在</w:t>
      </w:r>
      <w:r>
        <w:rPr>
          <w:rFonts w:hint="eastAsia" w:cs="Times New Roman"/>
          <w:color w:val="000000" w:themeColor="text1"/>
          <w:highlight w:val="none"/>
          <w:lang w:eastAsia="zh-CN"/>
          <w14:textFill>
            <w14:solidFill>
              <w14:schemeClr w14:val="tx1"/>
            </w14:solidFill>
          </w14:textFill>
        </w:rPr>
        <w:t xml:space="preserve">“扬州市广陵区政府采购网”、“扬州市政府采购网”、“江苏省政府采购网”、“中国政府采购网”</w:t>
      </w:r>
      <w:r>
        <w:rPr>
          <w:rFonts w:hint="default" w:ascii="Times New Roman" w:hAnsi="Times New Roman" w:cs="Times New Roman"/>
          <w:color w:val="000000" w:themeColor="text1"/>
          <w:highlight w:val="none"/>
          <w14:textFill>
            <w14:solidFill>
              <w14:schemeClr w14:val="tx1"/>
            </w14:solidFill>
          </w14:textFill>
        </w:rPr>
        <w:t xml:space="preserve">公布，补充文件将作为采购文件的组成部分，并对供应商具有约束力。</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9、采购文件的语言、度量衡单位、货币</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9.1供应商提交的响应文件以及供应商与代理机构就有关磋商的所有来往通知、函件和文件均应使用简体中文。</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9.2 除技术性能另有规定外，采购文件所使用的度量衡单位，均须采用国家法定计量单位。</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9.3采购文件中的服务单价和总价无特殊规定的采用人民币报价，以元为单位标注。采购文件中另有规定的按规定执行。</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10、响应文件构成</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10.1磋商文件由以下部分组成</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（1）资格审查响应对照表</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（2）符合性审查响应对照表</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（3）非实质性响应对照表</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（4）磋商响应报价表 </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（5）技术参数响应及偏离表 </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（6）商务条款响应及偏离表 </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（7）其他 （供应商认为有必要提供的声明和文件，如有自拟并自行添加）</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11、证明供应商资格及符合采购文件规定的文件</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11.1供应商应按要求提交资格证明文件及符合采购文件规定的文件。</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11.2供应商应提交证明其有资格参加磋商和成交后有能力独立履行合同的文件。</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11.3供应商除必须具有履行合同所需提供的产品或服务的能力外，还必须具备相应的财务、技术方面的能力。</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11.4供应商应提交根据合同要求提供的证明服务质量合格以及符合采购文件规定的证明文件。</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11.5证明供应商所提供服务与采购文件的要求相一致的文件可以是手册、图纸、文字资料和数据。</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12、磋商响应报价表</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12.1 供应商应按照采购文件规定格式填报磋商响应报价表，每项服务只允许有一个报价，任何有选择的报价将不予接受。</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12.2 标的物</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采购人需求的服务供应、安装，调试及有关技术服务等。</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12.3其它费用处理</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采购文件未列明，而供应商认为必需的费用也需列入报价。</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13、技术参数响应及偏离表、商务条款响应及偏离表及磋商服务说明</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13.1 对采购文件中的技术与商务条款要求逐项作出响应或偏离，并说明原因；</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13.2 提供参加本项目类似案例简介；</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13.3 详细阐述所投服务的主要组成部分、功能设计、实现思路及关键技术；</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13.4 供应商认为需要的其他技术文件或说明。</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14、服务承诺及售后服务机构、人员的情况介绍</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14.1供应商的服务承诺应按不低于采购文件中商务要求的标准。</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14.2提供供应商有关售后服务的管理制度、售后服务机构的分布情况、售后服务人员的数量、素质、技术水平及售后服务的反应能力。</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15、磋商响应函</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15.1 供应商应按照扬州市政府采购交易管理系统提供的格式完整、正确填写磋商响应函。</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16、磋商响应有效期</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16.1 磋商响应有效期为代理机构规定的响应文件接收截止时间后</w:t>
      </w:r>
      <w:r>
        <w:rPr>
          <w:rFonts w:hint="default" w:ascii="Times New Roman" w:hAnsi="Times New Roman" w:cs="Times New Roman"/>
          <w:b/>
          <w:bCs/>
          <w:color w:val="000000" w:themeColor="text1"/>
          <w:highlight w:val="none"/>
          <w:u w:val="single"/>
          <w14:textFill>
            <w14:solidFill>
              <w14:schemeClr w14:val="tx1"/>
            </w14:solidFill>
          </w14:textFill>
        </w:rPr>
        <w:t xml:space="preserve">六十（60）天</w:t>
      </w:r>
      <w:r>
        <w:rPr>
          <w:rFonts w:hint="default" w:ascii="Times New Roman" w:hAnsi="Times New Roman" w:cs="Times New Roman"/>
          <w:color w:val="000000" w:themeColor="text1"/>
          <w:highlight w:val="none"/>
          <w14:textFill>
            <w14:solidFill>
              <w14:schemeClr w14:val="tx1"/>
            </w14:solidFill>
          </w14:textFill>
        </w:rPr>
        <w:t xml:space="preserve">。磋商响应有效期比规定短的将被视为非实质性响应性而予以拒绝。</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bookmarkStart w:id="18" w:name="_Toc16938541"/>
      <w:r/>
      <w:bookmarkStart w:id="19" w:name="_Toc20823297"/>
      <w:r>
        <w:rPr>
          <w:rFonts w:hint="default" w:ascii="Times New Roman" w:hAnsi="Times New Roman" w:cs="Times New Roman"/>
          <w:color w:val="000000" w:themeColor="text1"/>
          <w:highlight w:val="none"/>
          <w14:textFill>
            <w14:solidFill>
              <w14:schemeClr w14:val="tx1"/>
            </w14:solidFill>
          </w14:textFill>
        </w:rPr>
        <w:t xml:space="preserve">17、响应文件</w:t>
      </w:r>
      <w:bookmarkEnd w:id="18"/>
      <w:r/>
      <w:bookmarkEnd w:id="19"/>
      <w:r>
        <w:rPr>
          <w:rFonts w:hint="default" w:ascii="Times New Roman" w:hAnsi="Times New Roman" w:cs="Times New Roman"/>
          <w:color w:val="000000" w:themeColor="text1"/>
          <w:highlight w:val="none"/>
          <w14:textFill>
            <w14:solidFill>
              <w14:schemeClr w14:val="tx1"/>
            </w14:solidFill>
          </w14:textFill>
        </w:rPr>
        <w:t xml:space="preserve">的递交</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17.1 电子响应文件的递交供应商应当按照《操作手册》规定，在磋商响应截止时间前制作并上传电子响应文件。</w:t>
      </w:r>
      <w:bookmarkStart w:id="20" w:name="_Toc20823298"/>
      <w:r/>
      <w:bookmarkStart w:id="21" w:name="_Toc16938542"/>
      <w:r/>
      <w:r/>
    </w:p>
    <w:p>
      <w:pPr>
        <w:pStyle w:val="907"/>
        <w:ind w:firstLine="422"/>
        <w:pageBreakBefore w:val="0"/>
        <w:spacing w:line="440" w:lineRule="exact"/>
        <w:widowControl w:val="off"/>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17.2</w:t>
      </w:r>
      <w:r>
        <w:rPr>
          <w:rFonts w:hint="default" w:ascii="Times New Roman" w:hAnsi="Times New Roman" w:cs="Times New Roman"/>
          <w:b/>
          <w:bCs/>
          <w:color w:val="000000" w:themeColor="text1"/>
          <w:szCs w:val="21"/>
          <w:highlight w:val="none"/>
          <w14:textFill>
            <w14:solidFill>
              <w14:schemeClr w14:val="tx1"/>
            </w14:solidFill>
          </w14:textFill>
        </w:rPr>
        <w:t xml:space="preserve">政府采购管理交易系统（苏采云）</w:t>
      </w:r>
      <w:r>
        <w:rPr>
          <w:rFonts w:hint="default" w:ascii="Times New Roman" w:hAnsi="Times New Roman" w:cs="Times New Roman"/>
          <w:b/>
          <w:color w:val="000000" w:themeColor="text1"/>
          <w:szCs w:val="21"/>
          <w:highlight w:val="none"/>
          <w14:textFill>
            <w14:solidFill>
              <w14:schemeClr w14:val="tx1"/>
            </w14:solidFill>
          </w14:textFill>
        </w:rPr>
        <w:t xml:space="preserve">相关要求是本采购文件的组成部分。</w:t>
      </w:r>
      <w:r/>
    </w:p>
    <w:p>
      <w:pPr>
        <w:pStyle w:val="907"/>
        <w:ind w:firstLine="422"/>
        <w:pageBreakBefore w:val="0"/>
        <w:spacing w:line="440" w:lineRule="exact"/>
        <w:widowControl w:val="off"/>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17.3供应商应对 CA 证书妥善保管，如被他人盗用投标，因此带来的结果均由供应商自行承担。</w:t>
      </w:r>
      <w:r/>
    </w:p>
    <w:p>
      <w:pPr>
        <w:pStyle w:val="907"/>
        <w:ind w:firstLine="422"/>
        <w:pageBreakBefore w:val="0"/>
        <w:spacing w:line="440" w:lineRule="exact"/>
        <w:widowControl w:val="off"/>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17.4供应商应当对采购文件提出的要求和条件作出实质性响应，并在电子投标系统逐条应答。</w:t>
      </w:r>
      <w:r/>
    </w:p>
    <w:p>
      <w:pPr>
        <w:pStyle w:val="907"/>
        <w:ind w:firstLine="422"/>
        <w:pageBreakBefore w:val="0"/>
        <w:spacing w:line="440" w:lineRule="exact"/>
        <w:widowControl w:val="off"/>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17.5供应商应对要求提供的资格证明文件（如资质证书、资格证书）、技术资料（如白皮书、彩页、手册、检测报告等）扫描上传至投标系统。</w:t>
      </w:r>
      <w:r/>
    </w:p>
    <w:p>
      <w:pPr>
        <w:pStyle w:val="907"/>
        <w:ind w:firstLine="422"/>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17.6各供应商应在规定时间内凭CA证书进行网上解密。</w:t>
      </w:r>
      <w:r/>
    </w:p>
    <w:p>
      <w:pPr>
        <w:pStyle w:val="907"/>
        <w:ind w:firstLine="422"/>
        <w:pageBreakBefore w:val="0"/>
        <w:spacing w:line="440" w:lineRule="exact"/>
        <w:widowControl w:val="off"/>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18、磋商响应截止日期</w:t>
      </w:r>
      <w:bookmarkEnd w:id="20"/>
      <w:r/>
      <w:bookmarkEnd w:id="21"/>
      <w:r/>
      <w:r/>
    </w:p>
    <w:p>
      <w:pPr>
        <w:pStyle w:val="907"/>
        <w:ind w:firstLine="420"/>
        <w:pageBreakBefore w:val="0"/>
        <w:spacing w:line="440" w:lineRule="exact"/>
        <w:widowControl w:val="off"/>
        <w:rPr>
          <w:rFonts w:hint="default" w:ascii="Times New Roman" w:hAnsi="Times New Roman" w:cs="Times New Roman"/>
          <w:bCs/>
          <w:i/>
          <w:color w:val="000000" w:themeColor="text1"/>
          <w:highlight w:val="none"/>
          <w:u w:val="single"/>
          <w14:textFill>
            <w14:solidFill>
              <w14:schemeClr w14:val="tx1"/>
            </w14:solidFill>
          </w14:textFill>
        </w:rPr>
      </w:pPr>
      <w:r>
        <w:rPr>
          <w:rFonts w:hint="default" w:ascii="Times New Roman" w:hAnsi="Times New Roman" w:cs="Times New Roman"/>
          <w:i/>
          <w:color w:val="000000" w:themeColor="text1"/>
          <w:highlight w:val="none"/>
          <w:u w:val="single"/>
          <w14:textFill>
            <w14:solidFill>
              <w14:schemeClr w14:val="tx1"/>
            </w14:solidFill>
          </w14:textFill>
        </w:rPr>
        <w:t xml:space="preserve">18.1</w:t>
      </w:r>
      <w:r>
        <w:rPr>
          <w:rFonts w:hint="default" w:ascii="Times New Roman" w:hAnsi="Times New Roman" w:cs="Times New Roman"/>
          <w:bCs/>
          <w:i/>
          <w:color w:val="000000" w:themeColor="text1"/>
          <w:highlight w:val="none"/>
          <w:u w:val="single"/>
          <w14:textFill>
            <w14:solidFill>
              <w14:schemeClr w14:val="tx1"/>
            </w14:solidFill>
          </w14:textFill>
        </w:rPr>
        <w:t xml:space="preserve"> 供应商上传电子响应文件的时间不得迟于采购公告中规定的磋商响应截止时间。</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18.2 代理机构可以按照规定，通过修改采购文件延长磋商截止日期，在此情况下，供应商的所有权利和义务以及供应商受制的截止日期均应以延长后新的截止日期为准。</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bookmarkStart w:id="22" w:name="_Toc16938543"/>
      <w:r/>
      <w:bookmarkStart w:id="23" w:name="_Toc20823299"/>
      <w:r>
        <w:rPr>
          <w:rFonts w:hint="default" w:ascii="Times New Roman" w:hAnsi="Times New Roman" w:cs="Times New Roman"/>
          <w:color w:val="000000" w:themeColor="text1"/>
          <w:highlight w:val="none"/>
          <w14:textFill>
            <w14:solidFill>
              <w14:schemeClr w14:val="tx1"/>
            </w14:solidFill>
          </w14:textFill>
        </w:rPr>
        <w:t xml:space="preserve">19、响应文件</w:t>
      </w:r>
      <w:bookmarkEnd w:id="22"/>
      <w:r/>
      <w:bookmarkEnd w:id="23"/>
      <w:r>
        <w:rPr>
          <w:rFonts w:hint="default" w:ascii="Times New Roman" w:hAnsi="Times New Roman" w:cs="Times New Roman"/>
          <w:color w:val="000000" w:themeColor="text1"/>
          <w:highlight w:val="none"/>
          <w14:textFill>
            <w14:solidFill>
              <w14:schemeClr w14:val="tx1"/>
            </w14:solidFill>
          </w14:textFill>
        </w:rPr>
        <w:t xml:space="preserve">的拒收</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19.1代理机构拒绝接收在其规定的磋商截止时间后上传的任何响应文件。</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bookmarkStart w:id="24" w:name="_Toc16938544"/>
      <w:r/>
      <w:bookmarkStart w:id="25" w:name="_Toc20823300"/>
      <w:r>
        <w:rPr>
          <w:rFonts w:hint="default" w:ascii="Times New Roman" w:hAnsi="Times New Roman" w:cs="Times New Roman"/>
          <w:color w:val="000000" w:themeColor="text1"/>
          <w:highlight w:val="none"/>
          <w14:textFill>
            <w14:solidFill>
              <w14:schemeClr w14:val="tx1"/>
            </w14:solidFill>
          </w14:textFill>
        </w:rPr>
        <w:t xml:space="preserve">20、响应文件的撤回和修改</w:t>
      </w:r>
      <w:bookmarkEnd w:id="24"/>
      <w:r/>
      <w:bookmarkEnd w:id="25"/>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20.1 响应文件的撤回</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20.1.1 电子响应文件的撤回</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供应商可在磋商截止时间前，撤回其电子响应文件，具体操作方法见《操作手册》。</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20.1.2 供应商撤回电子响应文件，则认为其不再参与本项目磋商谈判。</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20.2 响应文件的修改</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供应商可在磋商截止时间前，对其电子响应文件进行修改，具体操作方法见《操作手册》。</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20.3 在磋商截止时间之后，供应商不得对其电子响应文件作任何修改。</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20.4 在磋商截止时间至采购文件中规定的磋商有效期满之间的这段时间内，供应商不得撤回其响应文件。</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21、磋商</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21.1 代理机构将在采购公告中规定的时间和地点组织磋商开始仪式。供应商应当按照《操作手册》规定，参加磋商活动。</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21.2供应商在磋商过程中涉及到的响应文件解密等工作，应按照《操作手册》规定执行。</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22、磋商小组</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22.1</w:t>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磋商开始后，代理机构将立即组织磋商小组进行评审。</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22.2磋商小组由采购人代表和有关技术、经济等方面的专家组成，且人员构成符合政府采购有关规定。</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22.3磋商小组独立工作，负责评审有效响应文件并确定成交候选供应商。</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23、评审过程的保密与公正</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23.1评审专家应当遵守评审工作纪律，不得泄露评审情况和评审中获悉的商业秘密。</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23.2在评审过程中，供应商不得以任何行为影响评审过程，否则其响应文件将被作为无效响应文件。</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23.3 在评审期间，代理机构将设专门工作人员与供应商联系。</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23.4 代理机构和磋商小组不向未成交的供应商解释未成交原因，也不公布评审过程中的相关细节。</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24、磋商的澄清</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24.1评审期间，磋商小组要求供应商澄清、说明或者更正响应文件以电子函件形式提交但并非对每个供应商都作澄清要求。</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24.2接到磋商小组澄清要求的供应商应按磋商小组规定的时间和格式在</w:t>
      </w:r>
      <w:r>
        <w:rPr>
          <w:rFonts w:hint="default" w:ascii="Times New Roman" w:hAnsi="Times New Roman" w:cs="Times New Roman"/>
          <w:b/>
          <w:bCs/>
          <w:color w:val="000000" w:themeColor="text1"/>
          <w:highlight w:val="none"/>
          <w14:textFill>
            <w14:solidFill>
              <w14:schemeClr w14:val="tx1"/>
            </w14:solidFill>
          </w14:textFill>
        </w:rPr>
        <w:t xml:space="preserve">“政府采购管理交易系统（苏采云）”</w:t>
      </w:r>
      <w:r>
        <w:rPr>
          <w:rFonts w:hint="default" w:ascii="Times New Roman" w:hAnsi="Times New Roman" w:cs="Times New Roman"/>
          <w:color w:val="000000" w:themeColor="text1"/>
          <w:highlight w:val="none"/>
          <w14:textFill>
            <w14:solidFill>
              <w14:schemeClr w14:val="tx1"/>
            </w14:solidFill>
          </w14:textFill>
        </w:rPr>
        <w:t xml:space="preserve">中做出澄清，澄清的内容作为响应文件的补充部分。具体操作方式见</w:t>
      </w:r>
      <w:r>
        <w:rPr>
          <w:rFonts w:hint="default" w:ascii="Times New Roman" w:hAnsi="Times New Roman" w:cs="Times New Roman"/>
          <w:bCs/>
          <w:color w:val="000000" w:themeColor="text1"/>
          <w:highlight w:val="none"/>
          <w14:textFill>
            <w14:solidFill>
              <w14:schemeClr w14:val="tx1"/>
            </w14:solidFill>
          </w14:textFill>
        </w:rPr>
        <w:t xml:space="preserve">《操作手册》</w:t>
      </w:r>
      <w:r>
        <w:rPr>
          <w:rFonts w:hint="default" w:ascii="Times New Roman" w:hAnsi="Times New Roman" w:cs="Times New Roman"/>
          <w:color w:val="000000" w:themeColor="text1"/>
          <w:highlight w:val="none"/>
          <w14:textFill>
            <w14:solidFill>
              <w14:schemeClr w14:val="tx1"/>
            </w14:solidFill>
          </w14:textFill>
        </w:rPr>
        <w:t xml:space="preserve">。</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24.3 接到磋商小组澄清要求的供应商如未按规定做出澄清，其风险由供应商自行承担。</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25、对响应文件的初审</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25.1响应文件初审分为资格审查和符合性审查。</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25.1.1资格审查：依据法律法规和采购文件的规定，对响应文件中的资格证明文件进行审查。以确定供应商是否具备参加磋商的资格。</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25.1.2符合性检查：依据采购文件的规定，由磋商小组从响应文件的有效性、完整性和对采购文件的响应程度进行审查，以确定是否对采购文件的实质性要求作出响应。</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25.1.3 未通过资格审查或符合性审查的供应商，代理机构将在</w:t>
      </w:r>
      <w:r>
        <w:rPr>
          <w:rFonts w:hint="default" w:ascii="Times New Roman" w:hAnsi="Times New Roman" w:cs="Times New Roman"/>
          <w:b/>
          <w:bCs/>
          <w:color w:val="000000" w:themeColor="text1"/>
          <w:highlight w:val="none"/>
          <w14:textFill>
            <w14:solidFill>
              <w14:schemeClr w14:val="tx1"/>
            </w14:solidFill>
          </w14:textFill>
        </w:rPr>
        <w:t xml:space="preserve">“政府采购管理交易系统（苏采云）”</w:t>
      </w:r>
      <w:r>
        <w:rPr>
          <w:rFonts w:hint="default" w:ascii="Times New Roman" w:hAnsi="Times New Roman" w:cs="Times New Roman"/>
          <w:color w:val="000000" w:themeColor="text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25.3如果响应文件实质上没有响应采购文件的要求，磋商小组将予以拒绝，供应商不得通过修改或撤销不合要求的偏离或保留而使其响应文件成为实质性响应的文件。</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25.4 供应商在开、评标全过程中应保持通讯畅通，并安排专人与代理机构及磋商小组联系。</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26、磋商程序及评审方法和标准</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26.1磋商程序</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26.1.1 对于通过资格性和符合性审查的供应商，磋商小组所有成员将集中与单一供应商在“政府采购管理交易系统（苏采云）”中分别进行磋商。</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 26.1.2 采购文件能够详细列明采购标的的技术、服务要求的，磋商结束后，磋商小组将要求所有实质性响应的供应商在规定时间内提交最后报价。</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26.2 评审方法和标准</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26.2.2评审标准</w:t>
      </w:r>
      <w:r/>
    </w:p>
    <w:p>
      <w:pPr>
        <w:pStyle w:val="907"/>
        <w:ind w:firstLine="422"/>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见本采购文件第五章规定。</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27、无效响应及采购活动终止的情况</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27.1无效响应条款</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27.1.1 供应商未按照采购文件要求上传电子磋商响应文件的。</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27.1.2 供应商未成功解密电子磋商响应文件的。</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27.1.3 供应商不具备采购文件中规定资格要求的。</w:t>
      </w:r>
      <w:r/>
    </w:p>
    <w:p>
      <w:pPr>
        <w:pStyle w:val="907"/>
        <w:ind w:firstLine="420"/>
        <w:pageBreakBefore w:val="0"/>
        <w:spacing w:line="440" w:lineRule="exact"/>
        <w:widowControl w:val="off"/>
        <w:rPr>
          <w:rFonts w:hint="default" w:ascii="Times New Roman" w:hAnsi="Times New Roman" w:cs="Times New Roman"/>
          <w:bCs/>
          <w:i/>
          <w:color w:val="000000" w:themeColor="text1"/>
          <w:highlight w:val="none"/>
          <w:u w:val="singl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27.1.4 未通过符合性审查的。</w:t>
      </w:r>
      <w:r/>
    </w:p>
    <w:p>
      <w:pPr>
        <w:pStyle w:val="907"/>
        <w:ind w:firstLine="420"/>
        <w:pageBreakBefore w:val="0"/>
        <w:spacing w:line="440" w:lineRule="exact"/>
        <w:widowControl w:val="off"/>
        <w:rPr>
          <w:rFonts w:hint="default" w:ascii="Times New Roman" w:hAnsi="Times New Roman" w:cs="Times New Roman"/>
          <w:bCs/>
          <w:i/>
          <w:color w:val="000000" w:themeColor="text1"/>
          <w:highlight w:val="none"/>
          <w:u w:val="singl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27.1.5 不符合采购文件中规定的其他实质性要求和条件的（</w:t>
      </w:r>
      <w:r>
        <w:rPr>
          <w:rFonts w:hint="default" w:ascii="Times New Roman" w:hAnsi="Times New Roman" w:cs="Times New Roman"/>
          <w:bCs/>
          <w:i/>
          <w:color w:val="000000" w:themeColor="text1"/>
          <w:highlight w:val="none"/>
          <w:u w:val="single"/>
          <w14:textFill>
            <w14:solidFill>
              <w14:schemeClr w14:val="tx1"/>
            </w14:solidFill>
          </w14:textFill>
        </w:rPr>
        <w:t xml:space="preserve">本采购文件中斜体且有下划线部分为实质性要求和条件）。</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27.1.6 </w:t>
      </w:r>
      <w:r>
        <w:rPr>
          <w:rFonts w:hint="default" w:ascii="Times New Roman" w:hAnsi="Times New Roman" w:cs="Times New Roman"/>
          <w:color w:val="000000" w:themeColor="text1"/>
          <w:highlight w:val="none"/>
          <w14:textFill>
            <w14:solidFill>
              <w14:schemeClr w14:val="tx1"/>
            </w14:solidFill>
          </w14:textFill>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27.1.7 本项目采购产品被财政部、国家发改委、生态环境部等列入“节能产品品目清单”、“环境标志产品品目清单”强制采购范围，而供应商所磋商产品不在强制采购范围内的。</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27.1.8 响应文件未按照采购文件要求加盖电子签章。</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27.1.9 其他法律、法规及本采购文件规定的属无效响应的情形。</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27.2 </w:t>
      </w:r>
      <w:r>
        <w:rPr>
          <w:rFonts w:hint="default" w:ascii="Times New Roman" w:hAnsi="Times New Roman" w:cs="Times New Roman"/>
          <w:color w:val="000000" w:themeColor="text1"/>
          <w:highlight w:val="none"/>
          <w14:textFill>
            <w14:solidFill>
              <w14:schemeClr w14:val="tx1"/>
            </w14:solidFill>
          </w14:textFill>
        </w:rPr>
        <w:t xml:space="preserve">采购活动终止的情况</w:t>
      </w:r>
      <w:r>
        <w:rPr>
          <w:rFonts w:hint="default" w:ascii="Times New Roman" w:hAnsi="Times New Roman" w:cs="Times New Roman"/>
          <w:bCs/>
          <w:color w:val="000000" w:themeColor="text1"/>
          <w:highlight w:val="none"/>
          <w14:textFill>
            <w14:solidFill>
              <w14:schemeClr w14:val="tx1"/>
            </w14:solidFill>
          </w14:textFill>
        </w:rPr>
        <w:t xml:space="preserve">：</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27.2.1 因情况变化，不再符合规定的竞争性磋商采购方式适用情形的；</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27.2.2 出现影响采购公正的违法、违规行为的；</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27.2.3 </w:t>
      </w:r>
      <w:r>
        <w:rPr>
          <w:rFonts w:hint="default" w:ascii="Times New Roman" w:hAnsi="Times New Roman" w:cs="Times New Roman"/>
          <w:color w:val="000000" w:themeColor="text1"/>
          <w:highlight w:val="none"/>
          <w14:textFill>
            <w14:solidFill>
              <w14:schemeClr w14:val="tx1"/>
            </w14:solidFill>
          </w14:textFill>
        </w:rPr>
        <w:t xml:space="preserve">除本磋商文件第26.1.2条第三款规定的情形外，在采购过程中符合要求的供应商或者报价未超过采购预算的供应商不足3家的。</w:t>
      </w:r>
      <w:r/>
    </w:p>
    <w:p>
      <w:pPr>
        <w:pStyle w:val="907"/>
        <w:ind w:firstLine="420"/>
        <w:pageBreakBefore w:val="0"/>
        <w:spacing w:line="440" w:lineRule="exact"/>
        <w:widowControl w:val="off"/>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27.2.4 因重大变故，采购任务取消的。</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28、确定成交单位</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28.2 采购人应根据磋商推荐的成交候选人，按照排序由高到低的原件确定成交供应商。</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28.3 代理机构将在</w:t>
      </w:r>
      <w:r>
        <w:rPr>
          <w:rFonts w:hint="eastAsia" w:cs="Times New Roman"/>
          <w:color w:val="000000" w:themeColor="text1"/>
          <w:highlight w:val="none"/>
          <w:lang w:eastAsia="zh-CN"/>
          <w14:textFill>
            <w14:solidFill>
              <w14:schemeClr w14:val="tx1"/>
            </w14:solidFill>
          </w14:textFill>
        </w:rPr>
        <w:t xml:space="preserve">“扬州市广陵区政府采购网”、“扬州市政府采购网”、“江苏省政府采购网”、“中国政府采购网”</w:t>
      </w:r>
      <w:r>
        <w:rPr>
          <w:rFonts w:hint="default" w:ascii="Times New Roman" w:hAnsi="Times New Roman" w:cs="Times New Roman"/>
          <w:color w:val="000000" w:themeColor="text1"/>
          <w:highlight w:val="none"/>
          <w14:textFill>
            <w14:solidFill>
              <w14:schemeClr w14:val="tx1"/>
            </w14:solidFill>
          </w14:textFill>
        </w:rPr>
        <w:t xml:space="preserve">发布成交公告，公告期限为1个工作日。</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28.4 若有充分证据证明，成交供应商出现下列情况之一的，一经查实，将被取消成交资格：</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28.4.1 提供虚假材料谋取成交的；</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28.4.2 向采购人、代理机构行贿或者提供其他不正当利益的；</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28.4.3 恶意竞争，最终总报价明显低于其自身合理成本且又无法提供证明的；</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28.4.4 属于本文件规定的无效条件，但在评审过程中又未被磋商小组发现的；</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28.4.5 与采购人或者其他供应商恶意串通的；</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28.4.6 采取不正当手段诋毁、排挤其他供应商的；</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28.4.7 不符合法律、法规的规定的。</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29、质疑处理</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对项目需求部分的质疑，潜在供应商应向采购人提出，由采购人负责答复。</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29.2供应商认为采购文件、采购过程和</w:t>
      </w:r>
      <w:r>
        <w:rPr>
          <w:rFonts w:hint="default" w:ascii="Times New Roman" w:hAnsi="Times New Roman" w:cs="Times New Roman"/>
          <w:color w:val="000000" w:themeColor="text1"/>
          <w:highlight w:val="none"/>
          <w:lang w:eastAsia="zh-CN"/>
          <w14:textFill>
            <w14:solidFill>
              <w14:schemeClr w14:val="tx1"/>
            </w14:solidFill>
          </w14:textFill>
        </w:rPr>
        <w:t xml:space="preserve">成交</w:t>
      </w:r>
      <w:r>
        <w:rPr>
          <w:rFonts w:hint="default" w:ascii="Times New Roman" w:hAnsi="Times New Roman" w:cs="Times New Roman"/>
          <w:color w:val="000000" w:themeColor="text1"/>
          <w:highlight w:val="none"/>
          <w14:textFill>
            <w14:solidFill>
              <w14:schemeClr w14:val="tx1"/>
            </w14:solidFill>
          </w14:textFill>
        </w:rPr>
        <w:t xml:space="preserve">或成交结果使自己的权益受到损害的，可以在知道或应知其权益受到损害之日起7个工作日内，以书面形式向采购人或代理机构提出质疑。</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29.2.1对采购文件提出质疑的，应当在获取采购文件之日或者采购文件公告期限届满之日起7个工作日内提出。</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29.2.2对采购过程提出质疑的，为各采购程序环节结束之日起7个工作日内提出。</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29.2.3对成交结果提出质疑的，为成交结果公告期限届满之日起7个工作日内提出。</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29.5 代理机构及采购人只接收以纸质原件形式送达的质疑。</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采购人质疑接收人及联系方式见采购文件第一章。</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29.7质疑人应当在法定质疑期限内进行补正并重新提交质疑函。</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29.8 以下情形的质疑不予受理</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29.8.1 内容不符合《政府采购质疑和投诉办法》第十二条规定的质疑。</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29.8.2 超出政府采购法定期限的质疑。</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29.8.3 以传真、电子邮件等方式递交的非原件形式的质疑。</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29.8.4 未参加磋商活动的供应商或在磋商活动中自身权益未受到损害的供应商所提出的质疑。</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29.8.5供应商组成联合体参加磋商，联合体中任何一方或多方未按要求签字、盖章、加盖公章的质疑。</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pStyle w:val="907"/>
        <w:ind w:firstLine="420"/>
        <w:pageBreakBefore w:val="0"/>
        <w:spacing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30、成交通知书</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30.l</w:t>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成交结果确定后，代理机构将向成交供应商发出成通知书。</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30.2 成交供应商可在”扬州市政府采购交易管理系统（苏采云）”成交通知书下载模块中自行下载成交通知书。</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31、签订合同</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31.l成交供应商应在成交通知书发出之日起</w:t>
      </w:r>
      <w:r>
        <w:rPr>
          <w:rFonts w:hint="default" w:ascii="Times New Roman" w:hAnsi="Times New Roman" w:cs="Times New Roman"/>
          <w:color w:val="000000" w:themeColor="text1"/>
          <w:highlight w:val="none"/>
          <w:lang w:val="en-US" w:eastAsia="zh-CN"/>
          <w14:textFill>
            <w14:solidFill>
              <w14:schemeClr w14:val="tx1"/>
            </w14:solidFill>
          </w14:textFill>
        </w:rPr>
        <w:t xml:space="preserve">三十</w:t>
      </w:r>
      <w:r>
        <w:rPr>
          <w:rFonts w:hint="default" w:ascii="Times New Roman" w:hAnsi="Times New Roman" w:cs="Times New Roman"/>
          <w:color w:val="000000" w:themeColor="text1"/>
          <w:highlight w:val="none"/>
          <w14:textFill>
            <w14:solidFill>
              <w14:schemeClr w14:val="tx1"/>
            </w14:solidFill>
          </w14:textFill>
        </w:rPr>
        <w:t xml:space="preserve">日内，按照采购文件确定的事项与采购人签订政府采购合同。</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31.2</w:t>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采购文件、成交供应商的响应文件及磋商过程中有关澄清、承诺文件均应作为合同附件。</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31.3 合同在“政府采购管理交易系统（苏采云）”中签订，签订合同后，</w:t>
      </w:r>
      <w:r>
        <w:rPr>
          <w:rFonts w:hint="default" w:ascii="Times New Roman" w:hAnsi="Times New Roman" w:cs="Times New Roman"/>
          <w:bCs/>
          <w:i/>
          <w:iCs/>
          <w:color w:val="000000" w:themeColor="text1"/>
          <w:szCs w:val="21"/>
          <w:highlight w:val="none"/>
          <w:u w:val="single"/>
          <w14:textFill>
            <w14:solidFill>
              <w14:schemeClr w14:val="tx1"/>
            </w14:solidFill>
          </w14:textFill>
        </w:rPr>
        <w:t xml:space="preserve">成交供应商不得将货物或服务及其他服务进行转包</w:t>
      </w:r>
      <w:r>
        <w:rPr>
          <w:rFonts w:hint="default" w:ascii="Times New Roman" w:hAnsi="Times New Roman" w:cs="Times New Roman"/>
          <w:bCs/>
          <w:color w:val="000000" w:themeColor="text1"/>
          <w:szCs w:val="21"/>
          <w:highlight w:val="none"/>
          <w14:textFill>
            <w14:solidFill>
              <w14:schemeClr w14:val="tx1"/>
            </w14:solidFill>
          </w14:textFill>
        </w:rPr>
        <w:t xml:space="preserve">。否则采购人有权终止合同，成交供应商的履约保证金将不予退还。转包或分包造成采购人损失的，成交供应商应承担赔偿责任。</w:t>
      </w:r>
      <w:r/>
    </w:p>
    <w:p>
      <w:pPr>
        <w:pStyle w:val="907"/>
        <w:ind w:firstLine="420"/>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907"/>
        <w:numPr>
          <w:ilvl w:val="0"/>
          <w:numId w:val="7"/>
        </w:numPr>
        <w:ind w:firstLine="422"/>
        <w:pageBreakBefore w:val="0"/>
        <w:spacing w:line="4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其他</w:t>
      </w:r>
      <w:r/>
    </w:p>
    <w:p>
      <w:pPr>
        <w:pStyle w:val="907"/>
        <w:numPr>
          <w:ilvl w:val="0"/>
          <w:numId w:val="0"/>
        </w:numPr>
        <w:ind w:firstLine="420"/>
        <w:pageBreakBefore w:val="0"/>
        <w:spacing w:line="440" w:lineRule="exact"/>
        <w:widowControl w:val="off"/>
        <w:rPr>
          <w:rFonts w:hint="default" w:ascii="Times New Roman" w:hAnsi="Times New Roman" w:cs="Times New Roman"/>
          <w:color w:val="000000" w:themeColor="text1"/>
          <w:sz w:val="36"/>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32.1 依据《政府采购促进中小企业发展管理办法》享受享受扶持政策获得政府采购合同的，小微企业不得将合同分包给大中型企业，中型企业不得将合同分包给大型企业。</w:t>
      </w:r>
      <w:bookmarkStart w:id="26" w:name="_Toc2861"/>
      <w:r/>
      <w:bookmarkStart w:id="27" w:name="_Toc20711"/>
      <w:r/>
      <w:bookmarkStart w:id="28" w:name="_Toc14237"/>
      <w:r/>
      <w:r/>
    </w:p>
    <w:p>
      <w:pPr>
        <w:rPr>
          <w:rFonts w:hint="default" w:ascii="Times New Roman" w:hAnsi="Times New Roman" w:cs="Times New Roman"/>
          <w:color w:val="000000" w:themeColor="text1"/>
          <w:sz w:val="36"/>
          <w:highlight w:val="none"/>
          <w14:textFill>
            <w14:solidFill>
              <w14:schemeClr w14:val="tx1"/>
            </w14:solidFill>
          </w14:textFill>
        </w:rPr>
      </w:pPr>
      <w:r>
        <w:rPr>
          <w:rFonts w:hint="default" w:ascii="Times New Roman" w:hAnsi="Times New Roman" w:cs="Times New Roman"/>
          <w:color w:val="000000" w:themeColor="text1"/>
          <w:sz w:val="36"/>
          <w:highlight w:val="none"/>
          <w14:textFill>
            <w14:solidFill>
              <w14:schemeClr w14:val="tx1"/>
            </w14:solidFill>
          </w14:textFill>
        </w:rPr>
        <w:br w:type="page" w:clear="all"/>
      </w:r>
      <w:r/>
    </w:p>
    <w:p>
      <w:pPr>
        <w:pStyle w:val="853"/>
        <w:jc w:val="center"/>
        <w:spacing w:before="0" w:after="0" w:line="360" w:lineRule="auto"/>
        <w:rPr>
          <w:rFonts w:hint="default" w:ascii="Times New Roman" w:hAnsi="Times New Roman" w:cs="Times New Roman"/>
          <w:color w:val="000000" w:themeColor="text1"/>
          <w:sz w:val="36"/>
          <w:highlight w:val="none"/>
          <w14:textFill>
            <w14:solidFill>
              <w14:schemeClr w14:val="tx1"/>
            </w14:solidFill>
          </w14:textFill>
        </w:rPr>
        <w:outlineLvl w:val="0"/>
      </w:pPr>
      <w:r>
        <w:rPr>
          <w:rFonts w:hint="default" w:ascii="Times New Roman" w:hAnsi="Times New Roman" w:cs="Times New Roman"/>
          <w:color w:val="000000" w:themeColor="text1"/>
          <w:sz w:val="36"/>
          <w:highlight w:val="none"/>
          <w14:textFill>
            <w14:solidFill>
              <w14:schemeClr w14:val="tx1"/>
            </w14:solidFill>
          </w14:textFill>
        </w:rPr>
        <w:t xml:space="preserve">第三章 合同条款及格式</w:t>
      </w:r>
      <w:bookmarkEnd w:id="15"/>
      <w:r/>
      <w:bookmarkEnd w:id="26"/>
      <w:r/>
      <w:bookmarkEnd w:id="27"/>
      <w:r/>
      <w:bookmarkEnd w:id="28"/>
      <w:r/>
      <w:r/>
    </w:p>
    <w:p>
      <w:pPr>
        <w:ind w:firstLine="420"/>
        <w:jc w:val="left"/>
        <w:spacing w:line="360" w:lineRule="auto"/>
        <w:widowControl/>
        <w:rPr>
          <w:rFonts w:hint="default" w:ascii="Times New Roman" w:hAnsi="Times New Roman" w:cs="Times New Roman" w:eastAsiaTheme="minorEastAsia"/>
          <w:color w:val="000000" w:themeColor="text1"/>
          <w:szCs w:val="21"/>
          <w:highlight w:val="none"/>
          <w14:textFill>
            <w14:solidFill>
              <w14:schemeClr w14:val="tx1"/>
            </w14:solidFill>
          </w14:textFill>
        </w:rPr>
      </w:pPr>
      <w:r>
        <w:rPr>
          <w:rFonts w:hint="default" w:ascii="Times New Roman" w:hAnsi="Times New Roman" w:cs="Times New Roman" w:eastAsiaTheme="minorEastAsia"/>
          <w:color w:val="000000" w:themeColor="text1"/>
          <w:szCs w:val="21"/>
          <w:highlight w:val="none"/>
          <w14:textFill>
            <w14:solidFill>
              <w14:schemeClr w14:val="tx1"/>
            </w14:solidFill>
          </w14:textFill>
        </w:rPr>
      </w:r>
      <w:r/>
    </w:p>
    <w:p>
      <w:pPr>
        <w:ind w:firstLine="420"/>
        <w:jc w:val="left"/>
        <w:spacing w:line="360" w:lineRule="auto"/>
        <w:widowControl/>
        <w:rPr>
          <w:rFonts w:hint="default" w:ascii="Times New Roman" w:hAnsi="Times New Roman" w:cs="Times New Roman" w:eastAsiaTheme="minorEastAsia"/>
          <w:color w:val="000000" w:themeColor="text1"/>
          <w:szCs w:val="21"/>
          <w:highlight w:val="none"/>
          <w14:textFill>
            <w14:solidFill>
              <w14:schemeClr w14:val="tx1"/>
            </w14:solidFill>
          </w14:textFill>
        </w:rPr>
      </w:pPr>
      <w:r>
        <w:rPr>
          <w:rFonts w:hint="default" w:ascii="Times New Roman" w:hAnsi="Times New Roman" w:cs="Times New Roman" w:eastAsiaTheme="minorEastAsia"/>
          <w:color w:val="000000" w:themeColor="text1"/>
          <w:szCs w:val="21"/>
          <w:highlight w:val="none"/>
          <w14:textFill>
            <w14:solidFill>
              <w14:schemeClr w14:val="tx1"/>
            </w14:solidFill>
          </w14:textFill>
        </w:rPr>
        <w:t xml:space="preserve">以下为成交后签定本项目合同的通用条款，成交供应商不得提出实质性的修改。关于专用条款将由采购人与成交供应商结合本项目具体情况协商后补充，但补充内容对磋商文件和磋商响应文件以及通用条款，不得作实质性修改。 </w:t>
      </w:r>
      <w:r/>
    </w:p>
    <w:p>
      <w:pPr>
        <w:jc w:val="center"/>
        <w:spacing w:line="360" w:lineRule="auto"/>
        <w:rPr>
          <w:rFonts w:hint="default" w:ascii="Times New Roman" w:hAnsi="Times New Roman" w:cs="Times New Roman"/>
          <w:b/>
          <w:color w:val="000000" w:themeColor="text1"/>
          <w:sz w:val="28"/>
          <w:szCs w:val="28"/>
          <w:highlight w:val="none"/>
          <w14:textFill>
            <w14:solidFill>
              <w14:schemeClr w14:val="tx1"/>
            </w14:solidFill>
          </w14:textFill>
        </w:rPr>
        <w:outlineLvl w:val="9"/>
      </w:pPr>
      <w:r/>
      <w:bookmarkStart w:id="29" w:name="_Toc22931"/>
      <w:r/>
      <w:bookmarkStart w:id="30" w:name="_Toc4991"/>
      <w:r/>
      <w:r/>
    </w:p>
    <w:p>
      <w:pPr>
        <w:jc w:val="center"/>
        <w:spacing w:line="360" w:lineRule="auto"/>
        <w:rPr>
          <w:rFonts w:hint="default" w:ascii="Times New Roman" w:hAnsi="Times New Roman" w:cs="Times New Roman"/>
          <w:b/>
          <w:color w:val="000000" w:themeColor="text1"/>
          <w:sz w:val="28"/>
          <w:szCs w:val="28"/>
          <w:highlight w:val="none"/>
          <w14:textFill>
            <w14:solidFill>
              <w14:schemeClr w14:val="tx1"/>
            </w14:solidFill>
          </w14:textFill>
        </w:rPr>
        <w:outlineLvl w:val="9"/>
      </w:pPr>
      <w:r>
        <w:rPr>
          <w:rFonts w:hint="default" w:ascii="Times New Roman" w:hAnsi="Times New Roman" w:cs="Times New Roman"/>
          <w:b/>
          <w:color w:val="000000" w:themeColor="text1"/>
          <w:sz w:val="28"/>
          <w:szCs w:val="28"/>
          <w:highlight w:val="none"/>
          <w14:textFill>
            <w14:solidFill>
              <w14:schemeClr w14:val="tx1"/>
            </w14:solidFill>
          </w14:textFill>
        </w:rPr>
        <w:t xml:space="preserve">政府采购合同</w:t>
      </w:r>
      <w:bookmarkEnd w:id="29"/>
      <w:r/>
      <w:bookmarkEnd w:id="30"/>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项目名称：</w:t>
      </w:r>
      <w:r>
        <w:rPr>
          <w:rFonts w:hint="eastAsia" w:ascii="Times New Roman" w:hAnsi="Times New Roman" w:cs="Times New Roman"/>
          <w:color w:val="000000" w:themeColor="text1"/>
          <w:sz w:val="21"/>
          <w:highlight w:val="none"/>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1"/>
          <w:highlight w:val="none"/>
          <w14:textFill>
            <w14:solidFill>
              <w14:schemeClr w14:val="tx1"/>
            </w14:solidFill>
          </w14:textFill>
        </w:rPr>
        <w:t xml:space="preserve">                                 </w:t>
      </w:r>
      <w:r/>
    </w:p>
    <w:p>
      <w:pPr>
        <w:pStyle w:val="877"/>
        <w:ind w:firstLine="420"/>
        <w:keepLines w:val="0"/>
        <w:keepNext w:val="0"/>
        <w:pageBreakBefore w:val="0"/>
        <w:spacing w:line="440" w:lineRule="exact"/>
        <w:rPr>
          <w:rFonts w:hint="default" w:ascii="Times New Roman" w:hAnsi="Times New Roman" w:eastAsia="宋体" w:cs="Times New Roman"/>
          <w:color w:val="000000" w:themeColor="text1"/>
          <w:sz w:val="21"/>
          <w:highlight w:val="none"/>
          <w:u w:val="single"/>
          <w:lang w:val="en-US" w:eastAsia="zh-CN"/>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项目编号：</w:t>
      </w:r>
      <w:r>
        <w:rPr>
          <w:rFonts w:hint="eastAsia" w:ascii="Times New Roman" w:hAnsi="Times New Roman" w:cs="Times New Roman"/>
          <w:color w:val="000000" w:themeColor="text1"/>
          <w:sz w:val="21"/>
          <w:highlight w:val="none"/>
          <w:u w:val="single"/>
          <w:lang w:val="en-US" w:eastAsia="zh-CN"/>
          <w14:textFill>
            <w14:solidFill>
              <w14:schemeClr w14:val="tx1"/>
            </w14:solidFill>
          </w14:textFill>
        </w:rPr>
        <w:t xml:space="preserve">                     </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u w:val="singl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甲方：（买方）</w:t>
      </w:r>
      <w:r>
        <w:rPr>
          <w:rFonts w:hint="default" w:ascii="Times New Roman" w:hAnsi="Times New Roman" w:cs="Times New Roman"/>
          <w:color w:val="000000" w:themeColor="text1"/>
          <w:sz w:val="21"/>
          <w:highlight w:val="none"/>
          <w:u w:val="single"/>
          <w14:textFill>
            <w14:solidFill>
              <w14:schemeClr w14:val="tx1"/>
            </w14:solidFill>
          </w14:textFill>
        </w:rPr>
        <w:t xml:space="preserve">扬州市广陵区人民政府曲江街道办事处</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u w:val="singl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乙方：（卖方）</w:t>
      </w:r>
      <w:r>
        <w:rPr>
          <w:rFonts w:hint="default" w:ascii="Times New Roman" w:hAnsi="Times New Roman" w:cs="Times New Roman"/>
          <w:color w:val="000000" w:themeColor="text1"/>
          <w:sz w:val="21"/>
          <w:highlight w:val="none"/>
          <w:u w:val="single"/>
          <w14:textFill>
            <w14:solidFill>
              <w14:schemeClr w14:val="tx1"/>
            </w14:solidFill>
          </w14:textFill>
        </w:rPr>
        <w:t xml:space="preserve">                               </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u w:val="singl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见证方：</w:t>
      </w:r>
      <w:r>
        <w:rPr>
          <w:rFonts w:hint="default" w:ascii="Times New Roman" w:hAnsi="Times New Roman" w:cs="Times New Roman"/>
          <w:color w:val="000000" w:themeColor="text1"/>
          <w:sz w:val="21"/>
          <w:highlight w:val="none"/>
          <w:u w:val="single"/>
          <w14:textFill>
            <w14:solidFill>
              <w14:schemeClr w14:val="tx1"/>
            </w14:solidFill>
          </w14:textFill>
        </w:rPr>
        <w:t xml:space="preserve">扬州览众建设工程咨询服务有限公司</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甲乙双方根据《中华人民共和国民法典》、《中华人民共和国政府采购法》等相关法律法规，遵循平等、自愿、公平、诚实信用的原则，就</w:t>
      </w:r>
      <w:r>
        <w:rPr>
          <w:rFonts w:hint="eastAsia" w:ascii="Times New Roman" w:hAnsi="Times New Roman" w:cs="Times New Roman"/>
          <w:color w:val="000000" w:themeColor="text1"/>
          <w:sz w:val="21"/>
          <w:highlight w:val="none"/>
          <w:lang w:val="en-US" w:eastAsia="zh-CN"/>
          <w14:textFill>
            <w14:solidFill>
              <w14:schemeClr w14:val="tx1"/>
            </w14:solidFill>
          </w14:textFill>
        </w:rPr>
        <w:t xml:space="preserve">,</w:t>
      </w:r>
      <w:r>
        <w:rPr>
          <w:rFonts w:hint="eastAsia" w:ascii="Times New Roman" w:hAnsi="Times New Roman" w:cs="Times New Roman"/>
          <w:color w:val="000000" w:themeColor="text1"/>
          <w:sz w:val="21"/>
          <w:highlight w:val="none"/>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1"/>
          <w:highlight w:val="none"/>
          <w14:textFill>
            <w14:solidFill>
              <w14:schemeClr w14:val="tx1"/>
            </w14:solidFill>
          </w14:textFill>
        </w:rPr>
        <w:t xml:space="preserve">，经甲乙双方友好协商签订以下合同：</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一、合同内容</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1.1 项目（产品）名称：                              </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1.2 项目服务内容：                                   </w:t>
      </w:r>
      <w:r/>
    </w:p>
    <w:p>
      <w:pPr>
        <w:pStyle w:val="877"/>
        <w:ind w:firstLine="420"/>
        <w:keepLines w:val="0"/>
        <w:keepNext w:val="0"/>
        <w:pageBreakBefore w:val="0"/>
        <w:spacing w:line="440" w:lineRule="exact"/>
        <w:rPr>
          <w:rFonts w:hint="eastAsia" w:ascii="Times New Roman" w:hAnsi="Times New Roman" w:eastAsia="宋体" w:cs="Times New Roman"/>
          <w:color w:val="000000" w:themeColor="text1"/>
          <w:sz w:val="21"/>
          <w:highlight w:val="none"/>
          <w:lang w:eastAsia="zh-CN"/>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1.3 服务期：</w:t>
      </w:r>
      <w:r>
        <w:rPr>
          <w:rFonts w:hint="eastAsia" w:ascii="Times New Roman" w:hAnsi="Times New Roman" w:cs="Times New Roman"/>
          <w:color w:val="000000" w:themeColor="text1"/>
          <w:sz w:val="21"/>
          <w:highlight w:val="none"/>
          <w:u w:val="single"/>
          <w:lang w:eastAsia="zh-CN"/>
          <w14:textFill>
            <w14:solidFill>
              <w14:schemeClr w14:val="tx1"/>
            </w14:solidFill>
          </w14:textFill>
        </w:rPr>
        <w:t xml:space="preserve">本</w:t>
      </w:r>
      <w:r>
        <w:rPr>
          <w:rFonts w:hint="eastAsia" w:ascii="Times New Roman" w:hAnsi="Times New Roman" w:cs="Times New Roman"/>
          <w:color w:val="000000" w:themeColor="text1"/>
          <w:sz w:val="21"/>
          <w:highlight w:val="none"/>
          <w:u w:val="single"/>
          <w:lang w:val="en-US" w:eastAsia="zh-CN"/>
          <w14:textFill>
            <w14:solidFill>
              <w14:schemeClr w14:val="tx1"/>
            </w14:solidFill>
          </w14:textFill>
        </w:rPr>
        <w:t xml:space="preserve">项目</w:t>
      </w:r>
      <w:r>
        <w:rPr>
          <w:rFonts w:hint="eastAsia" w:ascii="Times New Roman" w:hAnsi="Times New Roman" w:cs="Times New Roman"/>
          <w:color w:val="000000" w:themeColor="text1"/>
          <w:sz w:val="21"/>
          <w:highlight w:val="none"/>
          <w:u w:val="single"/>
          <w:lang w:eastAsia="zh-CN"/>
          <w14:textFill>
            <w14:solidFill>
              <w14:schemeClr w14:val="tx1"/>
            </w14:solidFill>
          </w14:textFill>
        </w:rPr>
        <w:t xml:space="preserve">履行期限为</w:t>
      </w:r>
      <w:r>
        <w:rPr>
          <w:rFonts w:hint="eastAsia" w:ascii="Times New Roman" w:hAnsi="Times New Roman" w:cs="Times New Roman"/>
          <w:color w:val="000000" w:themeColor="text1"/>
          <w:sz w:val="21"/>
          <w:highlight w:val="none"/>
          <w:u w:val="single"/>
          <w:lang w:val="en-US" w:eastAsia="zh-CN"/>
          <w14:textFill>
            <w14:solidFill>
              <w14:schemeClr w14:val="tx1"/>
            </w14:solidFill>
          </w14:textFill>
        </w:rPr>
        <w:t xml:space="preserve">二</w:t>
      </w:r>
      <w:r>
        <w:rPr>
          <w:rFonts w:hint="eastAsia" w:ascii="Times New Roman" w:hAnsi="Times New Roman" w:cs="Times New Roman"/>
          <w:color w:val="000000" w:themeColor="text1"/>
          <w:sz w:val="21"/>
          <w:highlight w:val="none"/>
          <w:u w:val="single"/>
          <w:lang w:eastAsia="zh-CN"/>
          <w14:textFill>
            <w14:solidFill>
              <w14:schemeClr w14:val="tx1"/>
            </w14:solidFill>
          </w14:textFill>
        </w:rPr>
        <w:t xml:space="preserve">年，采用一年一签模式。每期合同服务期满，乙方服务质量符合甲方考核标准的，双方可协商续签一年。</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二、合同金额</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2.1本合同金额为（大写）：____________圆（_______________元）人民币。</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三、技术资料</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3.1乙方应按磋商文件规定的时间向甲方提供与合同标的有关的技术资料。</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四、知识产权</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4.1乙方应保证甲方在使用、接受本合同标的或其任何一部分时不受第三方提出侵犯其专利权、版权、商标权和工业设计权等知识产权的起诉。一旦出现侵权，由乙方负全部责任。</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五、产权担保</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5.1 乙方保证所交付的合同标的的所有权完全属于乙方且无任何抵押、查封等产权瑕疵。</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六、履约保证金</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无</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七、合同转包或分包</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7.1乙方不得将合同标的转包给他人履行。</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7.2乙方不得将合同标的分包给他人履行。</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7.3乙方如有转包或未经甲方同意的分包行为，甲方有权解除合同。</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八、合同款项支付</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8.1 本合同项下所有款项均以人民币支付。 </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8.2 本合同项下的采购资金由甲方支付，付款前乙方向甲方开具发票。</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u w:val="singl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8.3 甲方付款方式：</w:t>
      </w:r>
      <w:r>
        <w:rPr>
          <w:rFonts w:hint="default" w:ascii="Times New Roman" w:hAnsi="Times New Roman" w:cs="Times New Roman"/>
          <w:color w:val="000000" w:themeColor="text1"/>
          <w:sz w:val="21"/>
          <w:highlight w:val="none"/>
          <w:u w:val="single"/>
          <w14:textFill>
            <w14:solidFill>
              <w14:schemeClr w14:val="tx1"/>
            </w14:solidFill>
          </w14:textFill>
        </w:rPr>
        <w:t xml:space="preserve">成交价即合同价，合同签订后且乙方向甲方出具正式发票，甲方收到发票后10个工作日内预付合同价</w:t>
      </w:r>
      <w:r>
        <w:rPr>
          <w:rFonts w:hint="eastAsia" w:ascii="Times New Roman" w:hAnsi="Times New Roman" w:cs="Times New Roman"/>
          <w:color w:val="000000" w:themeColor="text1"/>
          <w:sz w:val="21"/>
          <w:highlight w:val="none"/>
          <w:u w:val="single"/>
          <w:lang w:val="en-US" w:eastAsia="zh-CN"/>
          <w14:textFill>
            <w14:solidFill>
              <w14:schemeClr w14:val="tx1"/>
            </w14:solidFill>
          </w14:textFill>
        </w:rPr>
        <w:t xml:space="preserve">3</w:t>
      </w:r>
      <w:r>
        <w:rPr>
          <w:rFonts w:hint="default" w:ascii="Times New Roman" w:hAnsi="Times New Roman" w:cs="Times New Roman"/>
          <w:color w:val="000000" w:themeColor="text1"/>
          <w:sz w:val="21"/>
          <w:highlight w:val="none"/>
          <w:u w:val="single"/>
          <w14:textFill>
            <w14:solidFill>
              <w14:schemeClr w14:val="tx1"/>
            </w14:solidFill>
          </w14:textFill>
        </w:rPr>
        <w:t xml:space="preserve">0%；剩余部分每季度经甲方考核后，根据考核结果次月8日前开具正式发票，甲方收到发票后以转帐方式支付。</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九、税费</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9.1本合同执行中相关的一切税费均由乙方负担。</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十、项目验收</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10.1 甲方依法组织履约验收工作。</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10.3 对于实际使用人和甲方分离的项目，甲方邀请实际使用人参与验收。</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十一、保密责任</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11.1 乙方及其参与本合同的有关人员应对在合同履行过程中甲方提供的文件资料以及其他尚未公开的有关信息承担保密义务，并采取相应的保密措施。</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11.2 本合同所约定的保密内容为永久性保密，项目结束，乙方仍负有保密义务。保密条款不随本合同终止而终止，一直有效。</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11.3 乙方违反保密义务的，应承担一切法律责任并赔偿甲方因此遭受的全部损失，包括但不限于律师费、诉讼费等。</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十二、违约责任</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12.1甲方无正当理由拒绝接受乙方提供的合同标的的，甲方向乙方偿付拒绝接受合同价款总值    的违约金。</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12.2 甲方无故逾期验收和办理合同款项支付手续的,甲方应按逾期付款总额    每日向乙方支付违约金。</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12.3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     的违约金，如造成甲方损失超过违约金的，超出部分由乙方继续承担赔偿责任。 </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12.4 乙方交付合同标的的标准不符合合同规定及磋商文件规定标准的，甲方有权拒绝接受合同标的，并可单方面解除合同。</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十三、不可抗力事件处理</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13.1 在合同有效期内，任何一方因不可抗力事件导致不能履行合同，则合同履行期可延长，其延长期与不可抗力影响 期相同。</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13.2 不可抗力事件发生后，应立即通知对方，并寄送有关权威机构出具的证明。</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13.3 不可抗力事件延续120天以上，双方应通过友好协商，确定是否继续履行合同。</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十四、解决争议的方法</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14.1双方在签订、履行合同中所发生的一切争议，应通过友好协商解决。如协商不成，由甲方住所地人民法院管辖。</w:t>
      </w:r>
      <w:r/>
    </w:p>
    <w:p>
      <w:pPr>
        <w:pStyle w:val="877"/>
        <w:ind w:firstLine="420"/>
        <w:keepLines w:val="0"/>
        <w:keepNext w:val="0"/>
        <w:pageBreakBefore w:val="0"/>
        <w:spacing w:line="440" w:lineRule="exact"/>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十五、合同生效及其它</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15.1 合同经双方法定代表人或授权委托代表人签字并加盖单位公章后生效。</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15.2本合同未尽事宜，遵照《民法典》、《政府采购法》有关条文执行。</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15.3 本合同正本一式四份，具有同等法律效力，甲方、乙方、见证方及财政监管部门各执一份。</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甲方：</w:t>
      </w:r>
      <w:r>
        <w:rPr>
          <w:rFonts w:hint="default" w:ascii="Times New Roman" w:hAnsi="Times New Roman" w:cs="Times New Roman"/>
          <w:color w:val="000000" w:themeColor="text1"/>
          <w:sz w:val="21"/>
          <w:highlight w:val="none"/>
          <w14:textFill>
            <w14:solidFill>
              <w14:schemeClr w14:val="tx1"/>
            </w14:solidFill>
          </w14:textFill>
        </w:rPr>
        <w:tab/>
      </w:r>
      <w:r>
        <w:rPr>
          <w:rFonts w:hint="default" w:ascii="Times New Roman" w:hAnsi="Times New Roman" w:cs="Times New Roman"/>
          <w:color w:val="000000" w:themeColor="text1"/>
          <w:sz w:val="21"/>
          <w:highlight w:val="none"/>
          <w14:textFill>
            <w14:solidFill>
              <w14:schemeClr w14:val="tx1"/>
            </w14:solidFill>
          </w14:textFill>
        </w:rPr>
        <w:t xml:space="preserve">                                    乙方： </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法定代表人或授权代表：                      法定代表人或授权代表：</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日期：      年    月    日                  日期：      年    月    日</w:t>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p>
      <w:pPr>
        <w:pStyle w:val="877"/>
        <w:ind w:firstLine="420"/>
        <w:keepLines w:val="0"/>
        <w:keepNext w:val="0"/>
        <w:pageBreakBefore w:val="0"/>
        <w:spacing w:line="440" w:lineRule="exac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见证方：扬州览众建设工程咨询服务有限公司</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日期：     年    月    日</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keepLines w:val="0"/>
        <w:keepNext w:val="0"/>
        <w:pageBreakBefore w:val="0"/>
        <w:spacing w:line="440" w:lineRule="exact"/>
        <w:rPr>
          <w:rFonts w:hint="default" w:ascii="Times New Roman" w:hAnsi="Times New Roman" w:cs="Times New Roman"/>
          <w:b/>
          <w:bCs/>
          <w:color w:val="000000" w:themeColor="text1"/>
          <w:highlight w:val="none"/>
          <w14:textFill>
            <w14:solidFill>
              <w14:schemeClr w14:val="tx1"/>
            </w14:solidFill>
          </w14:textFill>
        </w:rPr>
      </w:pPr>
      <w:r>
        <w:rPr>
          <w:rFonts w:hint="eastAsia" w:cs="Times New Roman"/>
          <w:b/>
          <w:bCs/>
          <w:color w:val="000000" w:themeColor="text1"/>
          <w:highlight w:val="none"/>
          <w:lang w:val="en-US" w:eastAsia="zh-CN"/>
          <w14:textFill>
            <w14:solidFill>
              <w14:schemeClr w14:val="tx1"/>
            </w14:solidFill>
          </w14:textFill>
        </w:rPr>
        <w:t xml:space="preserve">附件：</w:t>
      </w:r>
      <w:r>
        <w:rPr>
          <w:rFonts w:hint="default" w:ascii="Times New Roman" w:hAnsi="Times New Roman" w:cs="Times New Roman"/>
          <w:b/>
          <w:bCs/>
          <w:color w:val="000000" w:themeColor="text1"/>
          <w:highlight w:val="none"/>
          <w14:textFill>
            <w14:solidFill>
              <w14:schemeClr w14:val="tx1"/>
            </w14:solidFill>
          </w14:textFill>
        </w:rPr>
        <w:t xml:space="preserve">考核办法</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为进一步规范摩托化机动队伍及专职巡逻防范队伍管理，确保成交供应商及所配备队员认真履行职责，保证工作质量，提高管理水平，决定对成交供应商及所配备队员工作情况进行考核。具体方法如下：</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（一）考核实施方式：采用实地检查、</w:t>
      </w:r>
      <w:r>
        <w:rPr>
          <w:rFonts w:hint="eastAsia" w:cs="Times New Roman"/>
          <w:color w:val="000000" w:themeColor="text1"/>
          <w:highlight w:val="none"/>
          <w:lang w:val="en-US" w:eastAsia="zh-CN"/>
          <w14:textFill>
            <w14:solidFill>
              <w14:schemeClr w14:val="tx1"/>
            </w14:solidFill>
          </w14:textFill>
        </w:rPr>
        <w:t xml:space="preserve">图文汇报</w:t>
      </w:r>
      <w:r>
        <w:rPr>
          <w:rFonts w:hint="default" w:ascii="Times New Roman" w:hAnsi="Times New Roman" w:cs="Times New Roman"/>
          <w:color w:val="000000" w:themeColor="text1"/>
          <w:highlight w:val="none"/>
          <w14:textFill>
            <w14:solidFill>
              <w14:schemeClr w14:val="tx1"/>
            </w14:solidFill>
          </w14:textFill>
        </w:rPr>
        <w:t xml:space="preserve">和智能APP定位相结合</w:t>
      </w:r>
      <w:r>
        <w:rPr>
          <w:rFonts w:hint="eastAsia" w:cs="Times New Roman"/>
          <w:color w:val="000000" w:themeColor="text1"/>
          <w:highlight w:val="none"/>
          <w:lang w:val="en-US" w:eastAsia="zh-CN"/>
          <w14:textFill>
            <w14:solidFill>
              <w14:schemeClr w14:val="tx1"/>
            </w14:solidFill>
          </w14:textFill>
        </w:rPr>
        <w:t xml:space="preserve">等</w:t>
      </w:r>
      <w:r>
        <w:rPr>
          <w:rFonts w:hint="default" w:ascii="Times New Roman" w:hAnsi="Times New Roman" w:cs="Times New Roman"/>
          <w:color w:val="000000" w:themeColor="text1"/>
          <w:highlight w:val="none"/>
          <w14:textFill>
            <w14:solidFill>
              <w14:schemeClr w14:val="tx1"/>
            </w14:solidFill>
          </w14:textFill>
        </w:rPr>
        <w:t xml:space="preserve">方式</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（二）考核对象：成交供应商及所配备队员</w:t>
      </w:r>
      <w:r/>
    </w:p>
    <w:p>
      <w:pPr>
        <w:ind w:firstLine="420"/>
        <w:keepLines w:val="0"/>
        <w:keepNext w:val="0"/>
        <w:pageBreakBefore w:val="0"/>
        <w:spacing w:line="440" w:lineRule="exact"/>
        <w:rPr>
          <w:rFonts w:hint="default" w:ascii="Times New Roman" w:hAnsi="Times New Roman" w:cs="Times New Roman"/>
          <w:color w:val="000000" w:themeColor="text1"/>
          <w:highlight w:val="none"/>
          <w:lang w:val="en-US"/>
          <w14:textFill>
            <w14:solidFill>
              <w14:schemeClr w14:val="tx1"/>
            </w14:solidFill>
          </w14:textFill>
        </w:rPr>
      </w:pPr>
      <w:r>
        <w:rPr>
          <w:rFonts w:hint="eastAsia" w:cs="Times New Roman"/>
          <w:color w:val="000000" w:themeColor="text1"/>
          <w:highlight w:val="none"/>
          <w:lang w:eastAsia="zh-CN"/>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三</w:t>
      </w:r>
      <w:r>
        <w:rPr>
          <w:rFonts w:hint="eastAsia" w:cs="Times New Roman"/>
          <w:color w:val="000000" w:themeColor="text1"/>
          <w:highlight w:val="none"/>
          <w:lang w:eastAsia="zh-CN"/>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考核方式：考核分别由曲江派出所、东南新城派出所实施，经采购人审核后按照考核结果支付服务费</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四</w:t>
      </w:r>
      <w:r>
        <w:rPr>
          <w:rFonts w:hint="default" w:ascii="Times New Roman" w:hAnsi="Times New Roman" w:cs="Times New Roman"/>
          <w:color w:val="000000" w:themeColor="text1"/>
          <w:highlight w:val="none"/>
          <w14:textFill>
            <w14:solidFill>
              <w14:schemeClr w14:val="tx1"/>
            </w14:solidFill>
          </w14:textFill>
        </w:rPr>
        <w:t xml:space="preserve">）考核细则：见附表</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五</w:t>
      </w:r>
      <w:r>
        <w:rPr>
          <w:rFonts w:hint="default" w:ascii="Times New Roman" w:hAnsi="Times New Roman" w:cs="Times New Roman"/>
          <w:color w:val="000000" w:themeColor="text1"/>
          <w:highlight w:val="none"/>
          <w14:textFill>
            <w14:solidFill>
              <w14:schemeClr w14:val="tx1"/>
            </w14:solidFill>
          </w14:textFill>
        </w:rPr>
        <w:t xml:space="preserve">）考核办法：</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1、实行百分制季度考核制度，季度考核分数由综合考核组成和月度考核累计得分平均值组成。其中综合考核占30分；月度考核平均值占70分。</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2、综合考核（总分30分，扣完为止）：</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因管理不当，有下列情况发生的，须扣除相应的综合考核分数。</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①受到上级部门点名批评、情节严重的，扣除该季度综合考核分10分。</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②重大活动保障不力造成恶劣影响的，扣除该季度综合考核分10分。</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③经媒体曝光查实的，扣除该季度综合考核分10分。</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④群众举报查实的，造成负面影响的，扣除该季度综合考核分10分。</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⑤采购人在日常检查中发现问题，下发整改通知单责令中标人限期整改，中标人未在规定时限内完成整改任务，扣除该季度综合考核分10分。在次月检查中，发现已过整改期限仍未整改的同样问题，加倍扣分。</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3、月度考核（满分70分，按照细则百分满分制考核后，进行折算）。考核细则详见下表：</w:t>
      </w:r>
      <w:r/>
    </w:p>
    <w:p>
      <w:pPr>
        <w:jc w:val="center"/>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考核细则</w:t>
      </w:r>
      <w:r/>
    </w:p>
    <w:tbl>
      <w:tblPr>
        <w:tblStyle w:val="898"/>
        <w:tblW w:w="8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35"/>
        <w:gridCol w:w="3550"/>
        <w:gridCol w:w="1174"/>
      </w:tblGrid>
      <w:tr>
        <w:trPr>
          <w:jc w:val="center"/>
          <w:trHeight w:val="48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 xml:space="preserve">要求</w:t>
            </w:r>
            <w:r/>
          </w:p>
        </w:tc>
        <w:tc>
          <w:tcPr>
            <w:tcBorders>
              <w:left w:val="single" w:color="000000" w:sz="4" w:space="0"/>
            </w:tcBorders>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 xml:space="preserve">扣分标准</w:t>
            </w:r>
            <w:r/>
          </w:p>
        </w:tc>
        <w:tc>
          <w:tcPr>
            <w:tcMar>
              <w:left w:w="0" w:type="dxa"/>
              <w:top w:w="0" w:type="dxa"/>
              <w:right w:w="0" w:type="dxa"/>
              <w:bottom w:w="0" w:type="dxa"/>
            </w:tcMar>
            <w:tcW w:w="1174" w:type="dxa"/>
            <w:vAlign w:val="center"/>
            <w:textDirection w:val="lrTb"/>
            <w:noWrap w:val="false"/>
          </w:tcPr>
          <w:p>
            <w:pPr>
              <w:ind w:right="-2"/>
              <w:jc w:val="center"/>
              <w:spacing w:before="312" w:line="360" w:lineRule="auto"/>
              <w:rPr>
                <w:rFonts w:hint="eastAsia"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 xml:space="preserve">备注</w:t>
            </w:r>
            <w:r/>
          </w:p>
        </w:tc>
      </w:tr>
      <w:tr>
        <w:trPr>
          <w:jc w:val="center"/>
          <w:trHeight w:val="1301"/>
        </w:trPr>
        <w:tc>
          <w:tcPr>
            <w:tcBorders>
              <w:top w:val="single" w:color="000000" w:sz="4" w:space="0"/>
            </w:tcBorders>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认真贯彻落实国家法律法规。（特别是有关安全生产、劳动用工及保障、治安管理方面的法律法规）</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成交供应商未按国家相关法律规定用工的，发现违反1次的扣除</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w:t>
            </w:r>
            <w:r/>
          </w:p>
        </w:tc>
        <w:tc>
          <w:tcPr>
            <w:tcMar>
              <w:left w:w="0" w:type="dxa"/>
              <w:top w:w="0" w:type="dxa"/>
              <w:right w:w="0" w:type="dxa"/>
              <w:bottom w:w="0" w:type="dxa"/>
            </w:tcMar>
            <w:tcW w:w="1174" w:type="dxa"/>
            <w:vAlign w:val="center"/>
            <w:vMerge w:val="restart"/>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每月考核</w:t>
            </w:r>
            <w:r/>
          </w:p>
        </w:tc>
      </w:tr>
      <w:tr>
        <w:trPr>
          <w:jc w:val="center"/>
          <w:trHeight w:val="550"/>
        </w:trPr>
        <w:tc>
          <w:tcPr>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认真参加公安机关组织的各种训练</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未按要求参加的，少1人扣除成交供应商</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w:t>
            </w:r>
            <w:r/>
          </w:p>
        </w:tc>
        <w:tc>
          <w:tcPr>
            <w:tcW w:w="1174" w:type="dxa"/>
            <w:vAlign w:val="center"/>
            <w:vMerge w:val="continue"/>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r>
            <w:r/>
          </w:p>
        </w:tc>
      </w:tr>
      <w:tr>
        <w:trPr>
          <w:jc w:val="center"/>
          <w:trHeight w:val="1093"/>
        </w:trPr>
        <w:tc>
          <w:tcPr>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成交供应商应根据公安机关勤务安排每</w:t>
            </w:r>
            <w:r>
              <w:rPr>
                <w:rFonts w:hint="eastAsia" w:cs="Times New Roman"/>
                <w:color w:val="000000" w:themeColor="text1"/>
                <w:szCs w:val="21"/>
                <w:highlight w:val="none"/>
                <w:lang w:val="en-US" w:eastAsia="zh-CN"/>
                <w14:textFill>
                  <w14:solidFill>
                    <w14:schemeClr w14:val="tx1"/>
                  </w14:solidFill>
                </w14:textFill>
              </w:rPr>
              <w:t xml:space="preserve">周</w:t>
            </w:r>
            <w:r>
              <w:rPr>
                <w:rFonts w:hint="eastAsia" w:ascii="Times New Roman" w:hAnsi="Times New Roman" w:cs="Times New Roman"/>
                <w:color w:val="000000" w:themeColor="text1"/>
                <w:szCs w:val="21"/>
                <w:highlight w:val="none"/>
                <w14:textFill>
                  <w14:solidFill>
                    <w14:schemeClr w14:val="tx1"/>
                  </w14:solidFill>
                </w14:textFill>
              </w:rPr>
              <w:t xml:space="preserve">安排专人对所属人员工作情况进行登记、督查、考核，并将登记、督查、考核情况，如实抄报辖区派出所。</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未及时如实抄报的，每次扣除</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w:t>
            </w:r>
            <w:r/>
          </w:p>
        </w:tc>
        <w:tc>
          <w:tcPr>
            <w:tcW w:w="1174" w:type="dxa"/>
            <w:vAlign w:val="center"/>
            <w:vMerge w:val="continue"/>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r>
            <w:r/>
          </w:p>
        </w:tc>
      </w:tr>
      <w:tr>
        <w:trPr>
          <w:jc w:val="center"/>
          <w:trHeight w:val="923"/>
        </w:trPr>
        <w:tc>
          <w:tcPr>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成交供应商服从工作安排积极配合工作，完成任务的。</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不服从工作安排的，一次扣除</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分，不积极配合工作的，一次扣除</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分，不能完成任务的，一次扣除</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w:t>
            </w:r>
            <w:r/>
          </w:p>
        </w:tc>
        <w:tc>
          <w:tcPr>
            <w:tcW w:w="1174" w:type="dxa"/>
            <w:vAlign w:val="center"/>
            <w:vMerge w:val="continue"/>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r>
            <w:r/>
          </w:p>
        </w:tc>
      </w:tr>
      <w:tr>
        <w:trPr>
          <w:jc w:val="center"/>
          <w:trHeight w:val="1094"/>
        </w:trPr>
        <w:tc>
          <w:tcPr>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按照服务质量承诺可行性实施方案要求落实具体工作</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未按服务质量承诺可行性实施方案要求落实具体工作的，纳入公司诚信记录，发现一次扣除2分，超过二次的（含），取消该公司今后同类项目投标资格。</w:t>
            </w:r>
            <w:r/>
          </w:p>
        </w:tc>
        <w:tc>
          <w:tcPr>
            <w:tcW w:w="1174" w:type="dxa"/>
            <w:vAlign w:val="center"/>
            <w:vMerge w:val="continue"/>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r>
            <w:r/>
          </w:p>
        </w:tc>
      </w:tr>
      <w:tr>
        <w:trPr>
          <w:jc w:val="center"/>
          <w:trHeight w:val="620"/>
        </w:trPr>
        <w:tc>
          <w:tcPr>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每</w:t>
            </w:r>
            <w:r>
              <w:rPr>
                <w:rFonts w:hint="eastAsia" w:cs="Times New Roman"/>
                <w:color w:val="000000" w:themeColor="text1"/>
                <w:szCs w:val="21"/>
                <w:highlight w:val="none"/>
                <w:lang w:val="en-US" w:eastAsia="zh-CN"/>
                <w14:textFill>
                  <w14:solidFill>
                    <w14:schemeClr w14:val="tx1"/>
                  </w14:solidFill>
                </w14:textFill>
              </w:rPr>
              <w:t xml:space="preserve">周</w:t>
            </w:r>
            <w:r>
              <w:rPr>
                <w:rFonts w:hint="eastAsia" w:ascii="Times New Roman" w:hAnsi="Times New Roman" w:cs="Times New Roman"/>
                <w:color w:val="000000" w:themeColor="text1"/>
                <w:szCs w:val="21"/>
                <w:highlight w:val="none"/>
                <w14:textFill>
                  <w14:solidFill>
                    <w14:schemeClr w14:val="tx1"/>
                  </w14:solidFill>
                </w14:textFill>
              </w:rPr>
              <w:t xml:space="preserve">工作应按要求开展岗前训示和岗后归整</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未按要求开展岗前训示和岗后归整的，发现一次扣除</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w:t>
            </w:r>
            <w:r/>
          </w:p>
        </w:tc>
        <w:tc>
          <w:tcPr>
            <w:tcMar>
              <w:left w:w="0" w:type="dxa"/>
              <w:top w:w="0" w:type="dxa"/>
              <w:right w:w="0" w:type="dxa"/>
              <w:bottom w:w="0" w:type="dxa"/>
            </w:tcMar>
            <w:tcW w:w="1174" w:type="dxa"/>
            <w:vAlign w:val="center"/>
            <w:vMerge w:val="restart"/>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每</w:t>
            </w:r>
            <w:r>
              <w:rPr>
                <w:rFonts w:hint="eastAsia" w:cs="Times New Roman"/>
                <w:color w:val="000000" w:themeColor="text1"/>
                <w:szCs w:val="21"/>
                <w:highlight w:val="none"/>
                <w:lang w:val="en-US" w:eastAsia="zh-CN"/>
                <w14:textFill>
                  <w14:solidFill>
                    <w14:schemeClr w14:val="tx1"/>
                  </w14:solidFill>
                </w14:textFill>
              </w:rPr>
              <w:t xml:space="preserve">周</w:t>
            </w:r>
            <w:r>
              <w:rPr>
                <w:rFonts w:hint="eastAsia" w:ascii="Times New Roman" w:hAnsi="Times New Roman" w:cs="Times New Roman"/>
                <w:color w:val="000000" w:themeColor="text1"/>
                <w:szCs w:val="21"/>
                <w:highlight w:val="none"/>
                <w14:textFill>
                  <w14:solidFill>
                    <w14:schemeClr w14:val="tx1"/>
                  </w14:solidFill>
                </w14:textFill>
              </w:rPr>
              <w:t xml:space="preserve">考核</w:t>
            </w:r>
            <w:r/>
          </w:p>
        </w:tc>
      </w:tr>
      <w:tr>
        <w:trPr>
          <w:jc w:val="center"/>
          <w:trHeight w:val="822"/>
        </w:trPr>
        <w:tc>
          <w:tcPr>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自觉维护社会形象</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造成不良影响的每发现一起扣除</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分/人；造成重大社会不良影响的予以辞退，并同时扣除成交供应商</w:t>
            </w:r>
            <w:r>
              <w:rPr>
                <w:rFonts w:hint="eastAsia" w:cs="Times New Roman"/>
                <w:color w:val="000000" w:themeColor="text1"/>
                <w:szCs w:val="21"/>
                <w:highlight w:val="none"/>
                <w:lang w:val="en-US" w:eastAsia="zh-CN"/>
                <w14:textFill>
                  <w14:solidFill>
                    <w14:schemeClr w14:val="tx1"/>
                  </w14:solidFill>
                </w14:textFill>
              </w:rPr>
              <w:t xml:space="preserve">2</w:t>
            </w:r>
            <w:r>
              <w:rPr>
                <w:rFonts w:hint="eastAsia" w:ascii="Times New Roman" w:hAnsi="Times New Roman" w:cs="Times New Roman"/>
                <w:color w:val="000000" w:themeColor="text1"/>
                <w:szCs w:val="21"/>
                <w:highlight w:val="none"/>
                <w14:textFill>
                  <w14:solidFill>
                    <w14:schemeClr w14:val="tx1"/>
                  </w14:solidFill>
                </w14:textFill>
              </w:rPr>
              <w:t xml:space="preserve">分。</w:t>
            </w:r>
            <w:r/>
          </w:p>
        </w:tc>
        <w:tc>
          <w:tcPr>
            <w:tcW w:w="1174" w:type="dxa"/>
            <w:vAlign w:val="center"/>
            <w:vMerge w:val="continue"/>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r>
            <w:r/>
          </w:p>
        </w:tc>
      </w:tr>
      <w:tr>
        <w:trPr>
          <w:jc w:val="center"/>
          <w:trHeight w:val="662"/>
        </w:trPr>
        <w:tc>
          <w:tcPr>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统一着装，工作期间仪容仪表良好，工作中不得背手、袖手、插口袋</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违反的每发现一次扣除</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分，造成不良社会 影响的责令成交供应商予以辞退，并同时扣除成交供应商</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w:t>
            </w:r>
            <w:r/>
          </w:p>
        </w:tc>
        <w:tc>
          <w:tcPr>
            <w:tcW w:w="1174" w:type="dxa"/>
            <w:vAlign w:val="center"/>
            <w:vMerge w:val="continue"/>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r>
            <w:r/>
          </w:p>
        </w:tc>
      </w:tr>
      <w:tr>
        <w:trPr>
          <w:jc w:val="center"/>
          <w:trHeight w:val="822"/>
        </w:trPr>
        <w:tc>
          <w:tcPr>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工作时间不得干私活，工作期间不得饮酒，工作中不得抽烟，玩手机，在岗不履职</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违反的每发现一次扣除</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分，造成不良社会影响的责令成交供应商予以辞退，并同时扣除成交供应商</w:t>
            </w:r>
            <w:r>
              <w:rPr>
                <w:rFonts w:hint="eastAsia" w:cs="Times New Roman"/>
                <w:color w:val="000000" w:themeColor="text1"/>
                <w:szCs w:val="21"/>
                <w:highlight w:val="none"/>
                <w:lang w:val="en-US" w:eastAsia="zh-CN"/>
                <w14:textFill>
                  <w14:solidFill>
                    <w14:schemeClr w14:val="tx1"/>
                  </w14:solidFill>
                </w14:textFill>
              </w:rPr>
              <w:t xml:space="preserve">2</w:t>
            </w:r>
            <w:r>
              <w:rPr>
                <w:rFonts w:hint="eastAsia" w:ascii="Times New Roman" w:hAnsi="Times New Roman" w:cs="Times New Roman"/>
                <w:color w:val="000000" w:themeColor="text1"/>
                <w:szCs w:val="21"/>
                <w:highlight w:val="none"/>
                <w14:textFill>
                  <w14:solidFill>
                    <w14:schemeClr w14:val="tx1"/>
                  </w14:solidFill>
                </w14:textFill>
              </w:rPr>
              <w:t xml:space="preserve">分。</w:t>
            </w:r>
            <w:r/>
          </w:p>
        </w:tc>
        <w:tc>
          <w:tcPr>
            <w:tcW w:w="1174" w:type="dxa"/>
            <w:vAlign w:val="center"/>
            <w:vMerge w:val="continue"/>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r>
            <w:r/>
          </w:p>
        </w:tc>
      </w:tr>
      <w:tr>
        <w:trPr>
          <w:jc w:val="center"/>
          <w:trHeight w:val="318"/>
        </w:trPr>
        <w:tc>
          <w:tcPr>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坚守岗位，不得离岗、脱岗、串岗</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离岗、脱岗、串岗每发现一次扣除</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w:t>
            </w:r>
            <w:r/>
          </w:p>
        </w:tc>
        <w:tc>
          <w:tcPr>
            <w:tcW w:w="1174" w:type="dxa"/>
            <w:vAlign w:val="center"/>
            <w:vMerge w:val="continue"/>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r>
            <w:r/>
          </w:p>
        </w:tc>
      </w:tr>
      <w:tr>
        <w:trPr>
          <w:jc w:val="center"/>
          <w:trHeight w:val="1096"/>
        </w:trPr>
        <w:tc>
          <w:tcPr>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工作中不得迟到、早退</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迟到、早退10分钟以内扣除0.1分；迟到、早退10分钟至30分钟视为脱岗扣除0.2分；迟到、早退30分钟以上视为旷工，扣除0.5分。</w:t>
            </w:r>
            <w:r/>
          </w:p>
        </w:tc>
        <w:tc>
          <w:tcPr>
            <w:tcW w:w="1174" w:type="dxa"/>
            <w:vAlign w:val="center"/>
            <w:vMerge w:val="continue"/>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r>
            <w:r/>
          </w:p>
        </w:tc>
      </w:tr>
      <w:tr>
        <w:trPr>
          <w:jc w:val="center"/>
          <w:trHeight w:val="244"/>
        </w:trPr>
        <w:tc>
          <w:tcPr>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有效发现和制止违法犯罪活动，有效预防入室盗窃、盗窃机动车、盗窃电动自行车和盗窃电动自行车电瓶等可防性案件，有效预防街头路面违法犯罪活动，每月前述可防性案件发案数同比不超过去年。</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 xml:space="preserve">超出的，一起案件扣除</w:t>
            </w:r>
            <w:r>
              <w:rPr>
                <w:rFonts w:hint="eastAsia" w:cs="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Cs w:val="21"/>
                <w:highlight w:val="none"/>
                <w14:textFill>
                  <w14:solidFill>
                    <w14:schemeClr w14:val="tx1"/>
                  </w14:solidFill>
                </w14:textFill>
              </w:rPr>
              <w:t xml:space="preserve">分。</w:t>
            </w:r>
            <w:r/>
          </w:p>
        </w:tc>
        <w:tc>
          <w:tcPr>
            <w:tcMar>
              <w:left w:w="0" w:type="dxa"/>
              <w:top w:w="0" w:type="dxa"/>
              <w:right w:w="0" w:type="dxa"/>
              <w:bottom w:w="0" w:type="dxa"/>
            </w:tcMar>
            <w:tcW w:w="1174"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r>
            <w:r/>
          </w:p>
        </w:tc>
      </w:tr>
      <w:tr>
        <w:trPr>
          <w:jc w:val="center"/>
          <w:trHeight w:val="623"/>
        </w:trPr>
        <w:tc>
          <w:tcPr>
            <w:tcMar>
              <w:left w:w="0" w:type="dxa"/>
              <w:top w:w="0" w:type="dxa"/>
              <w:right w:w="0" w:type="dxa"/>
              <w:bottom w:w="0" w:type="dxa"/>
            </w:tcMar>
            <w:tcW w:w="4035" w:type="dxa"/>
            <w:vAlign w:val="center"/>
            <w:textDirection w:val="lrTb"/>
            <w:noWrap w:val="false"/>
          </w:tcPr>
          <w:p>
            <w:pPr>
              <w:ind w:right="-2"/>
              <w:jc w:val="center"/>
              <w:spacing w:before="312" w:line="360" w:lineRule="auto"/>
              <w:rPr>
                <w:rFonts w:hint="eastAsia"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 xml:space="preserve">通过巡逻直接抓获违法犯罪嫌疑人的</w:t>
            </w:r>
            <w:r/>
          </w:p>
        </w:tc>
        <w:tc>
          <w:tcPr>
            <w:tcMar>
              <w:left w:w="0" w:type="dxa"/>
              <w:top w:w="0" w:type="dxa"/>
              <w:right w:w="0" w:type="dxa"/>
              <w:bottom w:w="0" w:type="dxa"/>
            </w:tcMar>
            <w:tcW w:w="3550" w:type="dxa"/>
            <w:vAlign w:val="center"/>
            <w:textDirection w:val="lrTb"/>
            <w:noWrap w:val="false"/>
          </w:tcPr>
          <w:p>
            <w:pPr>
              <w:ind w:right="-2"/>
              <w:jc w:val="center"/>
              <w:spacing w:before="312" w:line="360" w:lineRule="auto"/>
              <w:rPr>
                <w:rFonts w:hint="eastAsia"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 xml:space="preserve">按扬州市见义勇为奖励相关规定执行</w:t>
            </w:r>
            <w:r/>
          </w:p>
        </w:tc>
        <w:tc>
          <w:tcPr>
            <w:tcMar>
              <w:left w:w="0" w:type="dxa"/>
              <w:top w:w="0" w:type="dxa"/>
              <w:right w:w="0" w:type="dxa"/>
              <w:bottom w:w="0" w:type="dxa"/>
            </w:tcMar>
            <w:tcW w:w="1174" w:type="dxa"/>
            <w:vAlign w:val="center"/>
            <w:textDirection w:val="lrTb"/>
            <w:noWrap w:val="false"/>
          </w:tcPr>
          <w:p>
            <w:pPr>
              <w:ind w:right="-2"/>
              <w:jc w:val="center"/>
              <w:spacing w:before="312" w:line="360" w:lineRule="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r>
            <w:r/>
          </w:p>
        </w:tc>
      </w:tr>
    </w:tbl>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4、季度考核综合得分≥90分，且各项工作达到投标书承诺要求的，全额支付费用；80分≤季度考核得分＜90分，扣除当季度费用5%作为罚款；70分≤季度考核得分＜80分，扣除当季度费用10%作为罚款。</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5、如有两季度及以上得分低于80分，采购人并有权终止合同，造成的损失由中标人承担。</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6、对于考核中发现的问题，必须及时整改到位。如不及时整改，可重复扣分，直至扣除该大项全部分数。本办法在执行过程中，采购人有权根据实际情况作出修改。</w:t>
      </w:r>
      <w:r/>
    </w:p>
    <w:p>
      <w:pPr>
        <w:ind w:firstLine="420"/>
        <w:keepLines w:val="0"/>
        <w:keepNext w:val="0"/>
        <w:pageBreakBefore w:val="0"/>
        <w:spacing w:line="440" w:lineRule="exact"/>
        <w:rPr>
          <w:rFonts w:hint="default" w:ascii="Times New Roman" w:hAnsi="Times New Roman" w:cs="Times New Roman"/>
          <w:color w:val="000000" w:themeColor="text1"/>
          <w:highlight w:val="none"/>
          <w14:textFill>
            <w14:solidFill>
              <w14:schemeClr w14:val="tx1"/>
            </w14:solidFill>
          </w14:textFill>
        </w:rPr>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color w:val="000000" w:themeColor="text1"/>
          <w:highlight w:val="none"/>
          <w14:textFill>
            <w14:solidFill>
              <w14:schemeClr w14:val="tx1"/>
            </w14:solidFill>
          </w14:textFill>
        </w:rPr>
        <w:t xml:space="preserve">                 </w:t>
      </w:r>
      <w:r/>
    </w:p>
    <w:p>
      <w:pPr>
        <w:pStyle w:val="853"/>
        <w:jc w:val="center"/>
        <w:spacing w:before="0" w:after="0" w:line="360" w:lineRule="auto"/>
        <w:rPr>
          <w:rFonts w:hint="default" w:ascii="Times New Roman" w:hAnsi="Times New Roman" w:cs="Times New Roman"/>
          <w:color w:val="000000" w:themeColor="text1"/>
          <w:sz w:val="21"/>
          <w:szCs w:val="21"/>
          <w:highlight w:val="none"/>
          <w:lang w:eastAsia="zh-CN"/>
          <w14:textFill>
            <w14:solidFill>
              <w14:schemeClr w14:val="tx1"/>
            </w14:solidFill>
          </w14:textFill>
        </w:rPr>
      </w:pPr>
      <w:r/>
      <w:bookmarkStart w:id="31" w:name="_Toc19587"/>
      <w:r/>
      <w:bookmarkStart w:id="32" w:name="_Toc25006"/>
      <w:r/>
      <w:bookmarkStart w:id="33" w:name="_Toc12580"/>
      <w:r>
        <w:rPr>
          <w:rFonts w:hint="default" w:ascii="Times New Roman" w:hAnsi="Times New Roman" w:cs="Times New Roman"/>
          <w:color w:val="000000" w:themeColor="text1"/>
          <w:sz w:val="36"/>
          <w:highlight w:val="none"/>
          <w14:textFill>
            <w14:solidFill>
              <w14:schemeClr w14:val="tx1"/>
            </w14:solidFill>
          </w14:textFill>
        </w:rPr>
        <w:t xml:space="preserve">第四章 项目需求</w:t>
      </w:r>
      <w:bookmarkEnd w:id="16"/>
      <w:r/>
      <w:bookmarkEnd w:id="31"/>
      <w:r/>
      <w:bookmarkEnd w:id="32"/>
      <w:r/>
      <w:bookmarkEnd w:id="33"/>
      <w:r/>
      <w:bookmarkStart w:id="34" w:name="_Toc497468126"/>
      <w:r/>
      <w:r/>
    </w:p>
    <w:p>
      <w:pPr>
        <w:pStyle w:val="894"/>
        <w:jc w:val="both"/>
        <w:spacing w:before="0" w:beforeAutospacing="0" w:after="0" w:afterAutospacing="0" w:line="360" w:lineRule="auto"/>
        <w:shd w:val="clear" w:color="auto" w:fill="ffffff"/>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项目属性：服务类项目</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一、项目概况</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w:t>
      </w:r>
      <w:bookmarkStart w:id="58" w:name="_GoBack"/>
      <w:r/>
      <w:bookmarkEnd w:id="58"/>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招聘铁骑队员</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12</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名，参与辖区日常道路交通安全巡查，应急处置任务。</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2、最高限价：</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114</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万元</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/年，两年228万元。</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（报价时，人员工资低于扬州市最低工资标准及未依规全员测算缴纳社会保险的作无效报价处理。）</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3、项目服务时间：本项目履行期限为二年，采用一年一签模式。每期合同服务期满，乙方服务质量符合甲方考核标准的，双方可协商续签一年。</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二、招标项目的技术要求</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1、根据甲方要求，组建一支</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12</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人的铁骑队伍（含项目负责人</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2名，其中：曲江派出所、东南新城派出所各拟派1名</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），加强社会面治安巡逻防范，预防和协助制止违法犯罪活动及处理社会面突发应急情况，提升社会面安全感。</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2、所有人员要求年龄40周岁以内（含40周岁），男性，身高172cm以上，双眼裸视1.0以上，五官端正，举止大方，身体健康，政治思想品德好，具有高中及以上文化以及符合岗位要求工作能力和专业技能。退役（伍）军人及中共党员身份者优先，队员对治安、火灾等事故应急处置能力强，能掌握一定急救相关知识。</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3、下列人员不得聘为铁骑队伍队员：</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3.1 被依法追究刑事责任或者涉嫌犯罪尚未查清的；</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3.2 曾受过行政拘留、劳动教养或者有吸毒史的；</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3.3 因违法违纪被开除、辞退或者解聘的；</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3.4 被依法列入失信联合惩戒对象的；</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3.5 依照国家规定不适宜从事铁骑队伍队员工作的其他情形。</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4、铁骑队伍队员具有下列情形之一的，应当解除合同或退回提供服务单位：</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4.1不符合聘用条件的；</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4.2考核不合格的；</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4.3旷工或者无正当理由逾期不归连续超过3天，或者一年内累计超过7天的；</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4.4多次违反工作纪律或不履行工作职责，经教育不悔改的；</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4.5利用铁骑队伍队员身份或工作便利从事非法活动，或从事有损公安机关及铁骑队伍队员形象造成社会不良影响的；</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4.6发现违法犯罪嫌疑行为或人员未及时制止或报告的；</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4.7违反保密规定，泄露警务工作秘密的；</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4.8因工作失误导致发生严重刑事、治安案件以及其他重大事故的；</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4.9其他违反《中华人民共和国劳动合同法》应当解除合同的情形。</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5、作业范围</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5.1根据采购人提要求，在辖区指定范围内、指定线路上开展巡逻防范，预防和协助制止违法犯罪活动及处理社会面突发应急情况，及时准确报告违法犯罪情形，协助有关部门和人员扭送违法犯罪人员。</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5.2向公安机关及时报告巡逻过程中发现的可疑人员、车辆及物品，并协助辖区公安机关开展核查。</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5.3服从采购人统一调度，协助采购人及有关部门处置突发事件。</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5.4开展安全宣传防范工作，提示和指导安全防范措施的落实。</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5.5及时将巡逻中发现的不安全苗头和问题向辖区公安机关报告并提出处理意见，积极参与处置。</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5.6参加公安机关安排的其他勤务。</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6、作业方式、时间</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6.1采购人根据勤务需要，为巡组设定巡逻时间、巡逻范围、巡逻线路及设置检查点，成交供应商应根据采购人勤务安排每天安排专人对所配备队员工作情况进行登记、督查、考核，并将登记、督查、考核情况如实抄报辖区派出所。</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6.2项目服务时间为自合同签订之日起</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年，项目履行期间成交供应商所配备队员每天工作和休息时间由采购人根据实际需求安排，原则上每人每天工作时间不超过8小时、每周不超过44小时、每月确保休息不少于4天。采购人根据警情、案情、治安形势变化的需要，有权调整工作、休息时间，成交供应商及所配备队员需无条件服从。</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6.3因不可抗力的原因或其他重大变故，采购人有权提前终止合同且不承担法律责任和后果。</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7、服务标准</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7.1成交供应商必须提供队员的管理、督查、考核可行性实施方案，必须提供相关预算，预算需符合国家相关规定，禁止恶性竞争。</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7.2成交供应商成交后，由成交供应商自行组织实施，严禁转包、分包，否则采购人有权取消其成交资格。</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7.3成交供应商自收到成交通知书后在采购文件规定时间内应与采购人签订合同，在合同要求时间内按合同规定的范围、要求、时间开展工作，逾期视为放弃。</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7.4成交供应商每天应根据公安机关要求，对巡逻工作进行集中岗前训示和岗后归整。</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7.5有效发现和制止违法犯罪活动，扭送现场群众抓获的违法犯罪嫌疑人，及时救助需要帮助的群众。</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7.6服从采购人统一调度，协助处置辖区突发事件。</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7.7发现并记录治安防范中存在的问题，及时报告公安机关。</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三、成交供应商要求</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承担铁骑队伍队员的整套人力资源管理服务工作，包括招聘录用、劳动合同管理、绩效管理、工资管理、保险福利管理等。为采购方提供劳动人事、社会保障各项政策咨询，解答和协调处理用人单位提出的各种问题，及时传达最新政策法规和动态信息。</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2、按照采购人用人需求提供招聘服务人数、人员基本要求等方面符合采购人的要求。采购人全程参与、监督。</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3、对铁骑队伍队员进行入职前的健康体检和岗前培训，经采购人确认合格后赴采购人指定地点工作，在5个工作日内办理好相关手续。 </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4、按时为被铁骑队伍队员发放工资以及绩效考核，缴纳五险一金。且需具备监督、激励机制。</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5、负责铁骑队伍队员的劳动合同签订、解除或终止、办理社保及公积金手续、处理劳动纠纷等事务，做好铁骑队伍队员的人事档案管理。</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6、采购人足额支付成交供应商铁骑队伍队员服务的工资、社保及公积金等费用，成交供应商足额发放工资，确保每名铁骑队伍队员按时足额接收到工资，并代为铁骑队伍队员按时足额缴纳社保及公积金等费用。如因成交供应商没有及时办理各项社保及公积金，所造成的一切后果由成交供应商负责。</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7、成交供应商应告知铁骑队伍队员的工作要求和劳动报酬，提供与工作岗位相关的福利待遇。</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8、成交供应商在合同期内负责铁骑队伍队员制服的配备。</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9、体检及培训要求</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9.1成交供应商对铁骑队伍队员应进行健康体检，体检费用由成交供应商承担。</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9.2成交供应商应对在岗铁骑队伍队员进行工作岗位所必须的培训，培训内容主要有各项规章制度培训、在岗基本职业技能与素质的培训等内容。</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10、铁骑队伍队员的日常管理</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10.1 铁骑队伍队员由采购人和成交供应商进行双重领导与管理，日常工作按辖区派出所的相关制度执行，人事管理、后勤保障由成交供应商负责。</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10.2 如铁骑队伍队员出现违法违规行为，采购人有辞退的权利，同时成交供应商有及时补充派遣人员的义务，保证新的派遣铁骑队伍队员按采购人要求在规定时间内到岗。</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i/>
          <w:iCs/>
          <w:color w:val="000000" w:themeColor="text1"/>
          <w:sz w:val="21"/>
          <w:szCs w:val="21"/>
          <w:highlight w:val="none"/>
          <w:u w:val="single"/>
          <w:lang w:val="en-US" w:eastAsia="zh-CN"/>
          <w14:textFill>
            <w14:solidFill>
              <w14:schemeClr w14:val="tx1"/>
            </w14:solidFill>
          </w14:textFill>
        </w:rPr>
      </w:pPr>
      <w:r>
        <w:rPr>
          <w:rFonts w:hint="default" w:ascii="Times New Roman" w:hAnsi="Times New Roman" w:cs="Times New Roman"/>
          <w:b/>
          <w:bCs/>
          <w:i/>
          <w:iCs/>
          <w:color w:val="000000" w:themeColor="text1"/>
          <w:sz w:val="21"/>
          <w:szCs w:val="21"/>
          <w:highlight w:val="none"/>
          <w:u w:val="single"/>
          <w:lang w:val="en-US" w:eastAsia="zh-CN"/>
          <w14:textFill>
            <w14:solidFill>
              <w14:schemeClr w14:val="tx1"/>
            </w14:solidFill>
          </w14:textFill>
        </w:rPr>
        <w:t xml:space="preserve">10.3 服务过程中，成交供应商需保证铁骑队伍队员人数达到采购人要求且均在岗工作，若提供的铁骑队伍队员数量不够或服务管理水平低劣，经书面函告仍未能限期整改到位的，采购人有权解除合同。（提供承诺函，格式自拟）</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11、相关事故处理</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11.1 铁骑队伍队员在为采购人工作期间发生工伤、职业病、死亡等事故的，由成交供应商负责处理，采购人负责协助。采购人和成交供应商双方均有负责及时救助、保障员工依法享有各项工伤保险及相关合法待遇落实的连带义务。</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11.2 铁骑队伍队员在工作中因故意或重大过失给采购人造成经济损失的，由铁骑队伍队员负责赔偿，采购人应将按其规章制度与铁骑队伍队员协商的赔偿额书面通知成交供应商，由成交供应商从铁骑队伍队员工资中依法代扣或由铁骑队伍队员与采购人自行协调处理。</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12、考核及管理</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12.1 铁骑队伍队员的日常考勤登记、工作任务安排及工作绩效考核由采购人负责，绩效考核发放由成交供应商按规定落实执行。</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12.2 铁骑队伍队员实行绩效考核评价制度。由采购人对铁骑队伍队员完成工作任务情况进行综合考核评定后，将考核结果通报成交供应商，并作为工资发放及劳动合同满后续聘的重要依据。</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13、其他未尽事宜由采购人和成交供应商双方在采购合同中详细约定。</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四、费用支付要求</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1、铁骑队伍队员的工资、社保、各类津贴、绩效、福利等费用，由采购人按实际的铁骑队伍队员数量核定标准后，据实支付给成交供应商，由成交供应商发放和代缴代管理。</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2、成交供应商的服务费需开具正式税务发票进行结算。</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3、采购人如因法律法规、政策等原因，致使提前终止合同，采购人不承担任保违约责任和任何赔偿损失。</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五、违约责任</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1、成交供应商如需提前终止合同、或者铁骑队伍队员要提前辞职，必须提前30天与采购人协商并达成一致，否则由成交供应商承担违约责任。</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2、成交供应商擅自转让铁骑队伍队员、泄露铁骑队伍队员档案信息，所引起的一切后果由成交供应商承担责任。</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i/>
          <w:iCs/>
          <w:color w:val="000000" w:themeColor="text1"/>
          <w:sz w:val="21"/>
          <w:szCs w:val="21"/>
          <w:highlight w:val="none"/>
          <w:u w:val="single"/>
          <w:lang w:val="en-US" w:eastAsia="zh-CN"/>
          <w14:textFill>
            <w14:solidFill>
              <w14:schemeClr w14:val="tx1"/>
            </w14:solidFill>
          </w14:textFill>
        </w:rPr>
      </w:pPr>
      <w:r>
        <w:rPr>
          <w:rFonts w:hint="default" w:ascii="Times New Roman" w:hAnsi="Times New Roman" w:cs="Times New Roman"/>
          <w:b/>
          <w:bCs/>
          <w:i/>
          <w:iCs/>
          <w:color w:val="000000" w:themeColor="text1"/>
          <w:sz w:val="21"/>
          <w:szCs w:val="21"/>
          <w:highlight w:val="none"/>
          <w:u w:val="single"/>
          <w:lang w:val="en-US" w:eastAsia="zh-CN"/>
          <w14:textFill>
            <w14:solidFill>
              <w14:schemeClr w14:val="tx1"/>
            </w14:solidFill>
          </w14:textFill>
        </w:rPr>
        <w:t xml:space="preserve">3、由于成交供应商原因未为铁骑队伍队员办妥各项社保及公积金手续、或者未及时缴清相关费用，所引起的一切纠纷和责任由成交供应商承担。（提供承诺函，格式自拟）</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4、铁骑队伍队员在采购人单位违法违纪、破坏公物、泄露机密，采购人有权将其开除，成交供应商必须协助采购人追究铁骑队伍队员的法律责任、经济责任。如成交供应商串通、纵容派遣铁骑队伍队员从事上述违法行为，或者事先知情没有制止，之后包庇铁骑队伍队员违法行为，采购人将追究成交供应商连带责任。</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5、对以上四款的违约行为，采购人将视违约情节轻重，相应扣减成交供应商服务费用，并追究成交供应商赔偿损失的责任。</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六、报价要求</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1、本项目报价应包含人员工资、法定社保、公积金、福利费、加班费、高温费、服装工具费、培训费、法定税费、管理费利润等为完成本项目所有服务内容所涉及的一切费用；报价时，人员工资低于现行扬州市最低工资标准及未依规全员测算缴纳社会保险、公积金、加班费、高温费的作无效响应处理。投标报价应包括所有的费用且不考虑任何享受优惠政策及退休人员的情况。</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2、各</w:t>
      </w: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 xml:space="preserve">供应商</w:t>
      </w: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的税费应结合自身按照国家规定进行核算法定税金（如：一般纳税人*6%，小规模纳税人*3%）；若有享受国家相关税收减免政策的请结合项目合同服务周期进行合理测算并提供政策支持文件证明材料。不得以漏税，抵扣税费等形式降低成本。（提供测算依据）</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i/>
          <w:iCs/>
          <w:color w:val="000000" w:themeColor="text1"/>
          <w:sz w:val="21"/>
          <w:szCs w:val="21"/>
          <w:highlight w:val="none"/>
          <w:u w:val="single"/>
          <w:lang w:val="en-US" w:eastAsia="zh-CN"/>
          <w14:textFill>
            <w14:solidFill>
              <w14:schemeClr w14:val="tx1"/>
            </w14:solidFill>
          </w14:textFill>
        </w:rPr>
      </w:pPr>
      <w:r>
        <w:rPr>
          <w:rFonts w:hint="default" w:ascii="Times New Roman" w:hAnsi="Times New Roman" w:cs="Times New Roman"/>
          <w:b/>
          <w:bCs/>
          <w:i/>
          <w:iCs/>
          <w:color w:val="000000" w:themeColor="text1"/>
          <w:sz w:val="21"/>
          <w:szCs w:val="21"/>
          <w:highlight w:val="none"/>
          <w:u w:val="single"/>
          <w:lang w:val="en-US" w:eastAsia="zh-CN"/>
          <w14:textFill>
            <w14:solidFill>
              <w14:schemeClr w14:val="tx1"/>
            </w14:solidFill>
          </w14:textFill>
        </w:rPr>
        <w:t xml:space="preserve">3、如遇国家政策调整最低工资标准及社会保险金，成交供应商必须按政策规定执行。（提供承诺函，格式自拟）</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i/>
          <w:iCs/>
          <w:color w:val="000000" w:themeColor="text1"/>
          <w:sz w:val="21"/>
          <w:szCs w:val="21"/>
          <w:highlight w:val="none"/>
          <w:u w:val="single"/>
          <w:lang w:val="en-US" w:eastAsia="zh-CN"/>
          <w14:textFill>
            <w14:solidFill>
              <w14:schemeClr w14:val="tx1"/>
            </w14:solidFill>
          </w14:textFill>
        </w:rPr>
      </w:pPr>
      <w:r>
        <w:rPr>
          <w:rFonts w:hint="default" w:ascii="Times New Roman" w:hAnsi="Times New Roman" w:cs="Times New Roman"/>
          <w:b/>
          <w:bCs/>
          <w:i/>
          <w:iCs/>
          <w:color w:val="000000" w:themeColor="text1"/>
          <w:sz w:val="21"/>
          <w:szCs w:val="21"/>
          <w:highlight w:val="none"/>
          <w:u w:val="single"/>
          <w:lang w:val="en-US" w:eastAsia="zh-CN"/>
          <w14:textFill>
            <w14:solidFill>
              <w14:schemeClr w14:val="tx1"/>
            </w14:solidFill>
          </w14:textFill>
        </w:rPr>
        <w:t xml:space="preserve">4、成交供应商在签订合同时应按照本项目人员岗位配备要求提供派入服务人员花名册及人员相应的资质条件</w:t>
      </w:r>
      <w:r>
        <w:rPr>
          <w:rFonts w:hint="eastAsia" w:ascii="Times New Roman" w:hAnsi="Times New Roman" w:cs="Times New Roman"/>
          <w:b/>
          <w:bCs/>
          <w:i/>
          <w:iCs/>
          <w:color w:val="000000" w:themeColor="text1"/>
          <w:sz w:val="21"/>
          <w:szCs w:val="21"/>
          <w:highlight w:val="none"/>
          <w:u w:val="single"/>
          <w:lang w:val="en-US" w:eastAsia="zh-CN"/>
          <w14:textFill>
            <w14:solidFill>
              <w14:schemeClr w14:val="tx1"/>
            </w14:solidFill>
          </w14:textFill>
        </w:rPr>
        <w:t xml:space="preserve">（全部服务人员均需提供有效的并适用于本项目的摩托车驾驶证）</w:t>
      </w:r>
      <w:r>
        <w:rPr>
          <w:rFonts w:hint="default" w:ascii="Times New Roman" w:hAnsi="Times New Roman" w:cs="Times New Roman"/>
          <w:b/>
          <w:bCs/>
          <w:i/>
          <w:iCs/>
          <w:color w:val="000000" w:themeColor="text1"/>
          <w:sz w:val="21"/>
          <w:szCs w:val="21"/>
          <w:highlight w:val="none"/>
          <w:u w:val="single"/>
          <w:lang w:val="en-US" w:eastAsia="zh-CN"/>
          <w14:textFill>
            <w14:solidFill>
              <w14:schemeClr w14:val="tx1"/>
            </w14:solidFill>
          </w14:textFill>
        </w:rPr>
        <w:t xml:space="preserve">供采购人审查、验收,如不符合上述要求,采购人有权取消其中标资格。（提供承诺函，格式自拟）</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七、违约责任及处罚</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1、成交供应商进场前应制定详细服务细则，并经采购人审核同意，作为双方考评细则及奖罚依据。</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2、采购人对成交供应商所用人员工资发放和各项保险缴纳情况有监督权，如成交供应商未按</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竞争性磋商文件</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精神履行义务，采购人有权监督整改。</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3、如因成交供应商原因造成的责任事故,应赔偿采购人相应的经济损失。</w:t>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r>
      <w:r/>
    </w:p>
    <w:p>
      <w:pPr>
        <w:pStyle w:val="894"/>
        <w:ind w:firstLine="420"/>
        <w:jc w:val="both"/>
        <w:spacing w:before="0" w:beforeAutospacing="0" w:after="0" w:afterAutospacing="0" w:line="360" w:lineRule="auto"/>
        <w:shd w:val="clear" w:color="auto" w:fill="ffffff"/>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r>
      <w:r/>
    </w:p>
    <w:p>
      <w:pPr>
        <w:numPr>
          <w:ilvl w:val="0"/>
          <w:numId w:val="8"/>
        </w:numPr>
        <w:ind w:firstLine="723"/>
        <w:jc w:val="center"/>
        <w:spacing w:line="360" w:lineRule="auto"/>
        <w:widowControl/>
        <w:rPr>
          <w:rFonts w:hint="default" w:ascii="Times New Roman" w:hAnsi="Times New Roman" w:cs="Times New Roman"/>
          <w:b/>
          <w:bCs/>
          <w:color w:val="000000" w:themeColor="text1"/>
          <w:sz w:val="36"/>
          <w:highlight w:val="none"/>
          <w14:textFill>
            <w14:solidFill>
              <w14:schemeClr w14:val="tx1"/>
            </w14:solidFill>
          </w14:textFill>
        </w:rPr>
        <w:outlineLvl w:val="0"/>
      </w:pPr>
      <w:r/>
      <w:bookmarkStart w:id="35" w:name="_Toc5502"/>
      <w:r/>
      <w:bookmarkStart w:id="36" w:name="_Toc497145843"/>
      <w:r/>
      <w:bookmarkStart w:id="37" w:name="_Toc21855"/>
      <w:r>
        <w:rPr>
          <w:rFonts w:hint="default" w:ascii="Times New Roman" w:hAnsi="Times New Roman" w:cs="Times New Roman"/>
          <w:b/>
          <w:bCs/>
          <w:color w:val="000000" w:themeColor="text1"/>
          <w:sz w:val="36"/>
          <w:highlight w:val="none"/>
          <w14:textFill>
            <w14:solidFill>
              <w14:schemeClr w14:val="tx1"/>
            </w14:solidFill>
          </w14:textFill>
        </w:rPr>
        <w:t xml:space="preserve">评审方法和评审标准</w:t>
      </w:r>
      <w:bookmarkEnd w:id="35"/>
      <w:r/>
      <w:bookmarkEnd w:id="36"/>
      <w:r/>
      <w:bookmarkEnd w:id="37"/>
      <w:r/>
      <w:r/>
    </w:p>
    <w:p>
      <w:pPr>
        <w:pStyle w:val="1085"/>
        <w:ind w:firstLine="422"/>
        <w:spacing w:before="0" w:after="0" w:line="360" w:lineRule="auto"/>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 xml:space="preserve">一、评标方法</w:t>
      </w:r>
      <w:r/>
    </w:p>
    <w:p>
      <w:pPr>
        <w:ind w:firstLine="420"/>
        <w:spacing w:line="360" w:lineRule="auto"/>
        <w:rPr>
          <w:rFonts w:hint="default" w:ascii="Times New Roman" w:hAnsi="Times New Roman" w:eastAsia="Segoe UI" w:cs="Times New Roman"/>
          <w:color w:val="000000" w:themeColor="text1"/>
          <w:szCs w:val="21"/>
          <w:highlight w:val="none"/>
          <w:shd w:val="clear" w:color="auto" w:fill="ffffff"/>
          <w14:textFill>
            <w14:solidFill>
              <w14:schemeClr w14:val="tx1"/>
            </w14:solidFill>
          </w14:textFill>
        </w:rPr>
      </w:pPr>
      <w:r/>
      <w:bookmarkStart w:id="38" w:name="_Toc449017024"/>
      <w:r/>
      <w:bookmarkStart w:id="39" w:name="_Toc449016388"/>
      <w:r>
        <w:rPr>
          <w:rFonts w:hint="default" w:ascii="Times New Roman" w:hAnsi="Times New Roman" w:eastAsia="Segoe UI" w:cs="Times New Roman"/>
          <w:color w:val="000000" w:themeColor="text1"/>
          <w:szCs w:val="21"/>
          <w:highlight w:val="none"/>
          <w:shd w:val="clear" w:color="auto" w:fill="ffffff"/>
          <w14:textFill>
            <w14:solidFill>
              <w14:schemeClr w14:val="tx1"/>
            </w14:solidFill>
          </w14:textFill>
        </w:rPr>
        <w:t xml:space="preserve">采用综合评分法的，评标结果按评审得分由高到低顺序排列。得分相同的，按投标报价由低到高顺序排列，得分和投标报价均相同的并列，投标文件满足</w:t>
      </w:r>
      <w:r>
        <w:rPr>
          <w:rFonts w:hint="eastAsia" w:eastAsia="宋体" w:cs="Times New Roman"/>
          <w:color w:val="000000" w:themeColor="text1"/>
          <w:szCs w:val="21"/>
          <w:highlight w:val="none"/>
          <w:shd w:val="clear" w:color="auto" w:fill="ffffff"/>
          <w:lang w:eastAsia="zh-CN"/>
          <w14:textFill>
            <w14:solidFill>
              <w14:schemeClr w14:val="tx1"/>
            </w14:solidFill>
          </w14:textFill>
        </w:rPr>
        <w:t xml:space="preserve">竞争性磋商文件</w:t>
      </w:r>
      <w:r>
        <w:rPr>
          <w:rFonts w:hint="default" w:ascii="Times New Roman" w:hAnsi="Times New Roman" w:eastAsia="Segoe UI" w:cs="Times New Roman"/>
          <w:color w:val="000000" w:themeColor="text1"/>
          <w:szCs w:val="21"/>
          <w:highlight w:val="none"/>
          <w:shd w:val="clear" w:color="auto" w:fill="ffffff"/>
          <w14:textFill>
            <w14:solidFill>
              <w14:schemeClr w14:val="tx1"/>
            </w14:solidFill>
          </w14:textFill>
        </w:rPr>
        <w:t xml:space="preserve">全部实质性要求，且按照评审因素的量化指标评审得分最高的</w:t>
      </w:r>
      <w:r>
        <w:rPr>
          <w:rFonts w:hint="default" w:ascii="Times New Roman" w:hAnsi="Times New Roman" w:cs="Times New Roman"/>
          <w:color w:val="000000" w:themeColor="text1"/>
          <w:szCs w:val="21"/>
          <w:highlight w:val="none"/>
          <w:shd w:val="clear" w:color="auto" w:fill="ffffff"/>
          <w14:textFill>
            <w14:solidFill>
              <w14:schemeClr w14:val="tx1"/>
            </w14:solidFill>
          </w14:textFill>
        </w:rPr>
        <w:t xml:space="preserve">供应商</w:t>
      </w:r>
      <w:r>
        <w:rPr>
          <w:rFonts w:hint="default" w:ascii="Times New Roman" w:hAnsi="Times New Roman" w:eastAsia="Segoe UI" w:cs="Times New Roman"/>
          <w:color w:val="000000" w:themeColor="text1"/>
          <w:szCs w:val="21"/>
          <w:highlight w:val="none"/>
          <w:shd w:val="clear" w:color="auto" w:fill="ffffff"/>
          <w14:textFill>
            <w14:solidFill>
              <w14:schemeClr w14:val="tx1"/>
            </w14:solidFill>
          </w14:textFill>
        </w:rPr>
        <w:t xml:space="preserve">为</w:t>
      </w:r>
      <w:r>
        <w:rPr>
          <w:rFonts w:hint="default" w:ascii="Times New Roman" w:hAnsi="Times New Roman" w:eastAsia="宋体" w:cs="Times New Roman"/>
          <w:color w:val="000000" w:themeColor="text1"/>
          <w:szCs w:val="21"/>
          <w:highlight w:val="none"/>
          <w:shd w:val="clear" w:color="auto" w:fill="ffffff"/>
          <w:lang w:eastAsia="zh-CN"/>
          <w14:textFill>
            <w14:solidFill>
              <w14:schemeClr w14:val="tx1"/>
            </w14:solidFill>
          </w14:textFill>
        </w:rPr>
        <w:t xml:space="preserve">成交</w:t>
      </w:r>
      <w:r>
        <w:rPr>
          <w:rFonts w:hint="default" w:ascii="Times New Roman" w:hAnsi="Times New Roman" w:eastAsia="Segoe UI" w:cs="Times New Roman"/>
          <w:color w:val="000000" w:themeColor="text1"/>
          <w:szCs w:val="21"/>
          <w:highlight w:val="none"/>
          <w:shd w:val="clear" w:color="auto" w:fill="ffffff"/>
          <w14:textFill>
            <w14:solidFill>
              <w14:schemeClr w14:val="tx1"/>
            </w14:solidFill>
          </w14:textFill>
        </w:rPr>
        <w:t xml:space="preserve">候选人。本项目选取1家</w:t>
      </w:r>
      <w:r>
        <w:rPr>
          <w:rFonts w:hint="default" w:ascii="Times New Roman" w:hAnsi="Times New Roman" w:eastAsia="宋体" w:cs="Times New Roman"/>
          <w:color w:val="000000" w:themeColor="text1"/>
          <w:szCs w:val="21"/>
          <w:highlight w:val="none"/>
          <w:shd w:val="clear" w:color="auto" w:fill="ffffff"/>
          <w:lang w:eastAsia="zh-CN"/>
          <w14:textFill>
            <w14:solidFill>
              <w14:schemeClr w14:val="tx1"/>
            </w14:solidFill>
          </w14:textFill>
        </w:rPr>
        <w:t xml:space="preserve">成交</w:t>
      </w:r>
      <w:r>
        <w:rPr>
          <w:rFonts w:hint="default" w:ascii="Times New Roman" w:hAnsi="Times New Roman" w:eastAsia="Segoe UI" w:cs="Times New Roman"/>
          <w:color w:val="000000" w:themeColor="text1"/>
          <w:szCs w:val="21"/>
          <w:highlight w:val="none"/>
          <w:shd w:val="clear" w:color="auto" w:fill="ffffff"/>
          <w14:textFill>
            <w14:solidFill>
              <w14:schemeClr w14:val="tx1"/>
            </w14:solidFill>
          </w14:textFill>
        </w:rPr>
        <w:t xml:space="preserve">候选人。</w:t>
      </w:r>
      <w:r/>
    </w:p>
    <w:p>
      <w:pPr>
        <w:ind w:firstLine="422"/>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二、小型和微型企业服务价格扣除及政府采购不诚信记录扣分评审</w:t>
      </w:r>
      <w:bookmarkEnd w:id="38"/>
      <w:r/>
      <w:bookmarkEnd w:id="39"/>
      <w:r/>
      <w:r/>
    </w:p>
    <w:p>
      <w:pPr>
        <w:ind w:firstLine="42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1、小微型企业价格扣除</w:t>
      </w:r>
      <w:r/>
    </w:p>
    <w:p>
      <w:pPr>
        <w:ind w:firstLine="42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（1）本项目对小型和微型企业服务给予20%扣除价格，用扣除后的价格参与评审。</w:t>
      </w:r>
      <w:r/>
    </w:p>
    <w:p>
      <w:pPr>
        <w:ind w:firstLine="21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（2）供应商需按照采购文件的要求提供相应的《企业声明函》。</w:t>
      </w:r>
      <w:r/>
    </w:p>
    <w:p>
      <w:pPr>
        <w:ind w:firstLine="21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（3）企业标准请参照《关于印发中小企业划型标准规定的通知》（工信部联企业[2011]300号）文件规定自行填写。</w:t>
      </w:r>
      <w:r/>
    </w:p>
    <w:p>
      <w:pPr>
        <w:ind w:firstLine="21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2、残疾人福利单位价格扣除</w:t>
      </w:r>
      <w:r/>
    </w:p>
    <w:p>
      <w:pPr>
        <w:ind w:firstLine="21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（1）本项目对残疾人福利性单位视同小型、微型企业，给予20%价格扣除，用扣除后</w:t>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的价格参与评审。</w:t>
      </w:r>
      <w:r/>
    </w:p>
    <w:p>
      <w:pPr>
        <w:ind w:firstLine="21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（2）残疾人福利单位需按照采购文件的要求提供《残疾人福利性单位声明函》。</w:t>
      </w:r>
      <w:r/>
    </w:p>
    <w:p>
      <w:pPr>
        <w:ind w:firstLine="21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（3）残疾人福利单位标准请参照《关于促进残疾人就业政府采购政策的通知》（财〔2017〕141号）。</w:t>
      </w:r>
      <w:r/>
    </w:p>
    <w:p>
      <w:pPr>
        <w:ind w:firstLine="21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3、监狱和戒毒企业价格扣除</w:t>
      </w:r>
      <w:r/>
    </w:p>
    <w:p>
      <w:pPr>
        <w:ind w:firstLine="21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（1）本项目对监狱和戒毒企业（简称监狱企业）视同小型、微型企业，给予20%价格扣除，用扣除后的价格参与评审。</w:t>
      </w:r>
      <w:r/>
    </w:p>
    <w:p>
      <w:pPr>
        <w:ind w:firstLine="21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（2）监狱企业参加政府采购活动时，需提供由省级以上监狱管理局、戒毒管理局(含新疆生产建设兵团)出具的属于监狱企业的证明文件。供应商如不提供上述证明文件，价格将不做相应扣除。</w:t>
      </w:r>
      <w:r/>
    </w:p>
    <w:p>
      <w:pPr>
        <w:ind w:firstLine="21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（3）监狱企业标准请参照《关于政府采购支持监狱企业发展有关问题的通知》（财库[2014]68号）。</w:t>
      </w:r>
      <w:r/>
    </w:p>
    <w:p>
      <w:pPr>
        <w:ind w:firstLine="21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4、残疾人福利单位、监狱企业属于小型、微型企业的，不重复享受政策。</w:t>
      </w:r>
      <w:r/>
    </w:p>
    <w:p>
      <w:pPr>
        <w:ind w:firstLine="210"/>
        <w:spacing w:line="360" w:lineRule="auto"/>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21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6、联合体各方均为小型、微型企业（残疾人福利单位、监狱企业）的，联合体享受20%价格扣除，用扣除后的价格参与评审。</w:t>
      </w:r>
      <w:r/>
    </w:p>
    <w:p>
      <w:pPr>
        <w:ind w:firstLine="210"/>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7、根据《江苏省政府采购供应商监督管理暂行办法》的规定，诚信记录分每减10分，给予本项目总分值2%的扣分，扣分最多不超过本项目总分值6%。</w:t>
      </w:r>
      <w:r/>
    </w:p>
    <w:p>
      <w:pPr>
        <w:ind w:firstLine="420"/>
        <w:spacing w:line="360" w:lineRule="auto"/>
        <w:rPr>
          <w:rFonts w:hint="default" w:ascii="Times New Roman" w:hAnsi="Times New Roman" w:cs="Times New Roman"/>
          <w:b/>
          <w:bCs/>
          <w:color w:val="000000" w:themeColor="text1"/>
          <w:highlight w:val="none"/>
          <w14:textFill>
            <w14:solidFill>
              <w14:schemeClr w14:val="tx1"/>
            </w14:solidFill>
          </w14:textFill>
        </w:rPr>
        <w:outlineLvl w:val="9"/>
      </w:pPr>
      <w:r>
        <w:rPr>
          <w:rFonts w:hint="default" w:ascii="Times New Roman" w:hAnsi="Times New Roman" w:cs="Times New Roman"/>
          <w:b/>
          <w:bCs/>
          <w:color w:val="000000" w:themeColor="text1"/>
          <w:highlight w:val="none"/>
          <w14:textFill>
            <w14:solidFill>
              <w14:schemeClr w14:val="tx1"/>
            </w14:solidFill>
          </w14:textFill>
        </w:rPr>
        <w:t xml:space="preserve">三、评分标准</w:t>
      </w:r>
      <w:r/>
    </w:p>
    <w:tbl>
      <w:tblPr>
        <w:tblStyle w:val="898"/>
        <w:tblW w:w="0" w:type="auto"/>
        <w:tblInd w:w="-4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1182"/>
        <w:gridCol w:w="6748"/>
      </w:tblGrid>
      <w:tr>
        <w:trPr>
          <w:trHeight w:val="551"/>
        </w:trPr>
        <w:tc>
          <w:tcPr>
            <w:tcMar>
              <w:left w:w="108" w:type="dxa"/>
              <w:top w:w="0" w:type="dxa"/>
              <w:right w:w="108" w:type="dxa"/>
              <w:bottom w:w="0" w:type="dxa"/>
            </w:tcMar>
            <w:tcW w:w="1018" w:type="dxa"/>
            <w:vAlign w:val="center"/>
            <w:textDirection w:val="lrTb"/>
            <w:noWrap w:val="false"/>
          </w:tcPr>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序号</w:t>
            </w:r>
            <w:r/>
          </w:p>
        </w:tc>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项目</w:t>
            </w:r>
            <w:r/>
          </w:p>
        </w:tc>
        <w:tc>
          <w:tcPr>
            <w:tcMar>
              <w:left w:w="108" w:type="dxa"/>
              <w:top w:w="0" w:type="dxa"/>
              <w:right w:w="108" w:type="dxa"/>
              <w:bottom w:w="0" w:type="dxa"/>
            </w:tcMar>
            <w:tcW w:w="6748" w:type="dxa"/>
            <w:vAlign w:val="center"/>
            <w:textDirection w:val="lrTb"/>
            <w:noWrap w:val="false"/>
          </w:tcPr>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评  分  标  准</w:t>
            </w:r>
            <w:r/>
          </w:p>
        </w:tc>
      </w:tr>
      <w:tr>
        <w:trPr>
          <w:trHeight w:val="1651"/>
        </w:trPr>
        <w:tc>
          <w:tcPr>
            <w:tcMar>
              <w:left w:w="108" w:type="dxa"/>
              <w:top w:w="0" w:type="dxa"/>
              <w:right w:w="108" w:type="dxa"/>
              <w:bottom w:w="0" w:type="dxa"/>
            </w:tcMar>
            <w:tcW w:w="1018" w:type="dxa"/>
            <w:vAlign w:val="center"/>
            <w:textDirection w:val="lrTb"/>
            <w:noWrap w:val="false"/>
          </w:tcPr>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1</w:t>
            </w:r>
            <w:r/>
          </w:p>
        </w:tc>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报价</w:t>
            </w:r>
            <w:r/>
          </w:p>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（1</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0</w:t>
            </w:r>
            <w:r>
              <w:rPr>
                <w:rFonts w:ascii="宋体" w:hAnsi="宋体" w:eastAsia="宋体" w:cs="宋体"/>
                <w:color w:val="000000" w:themeColor="text1"/>
                <w:sz w:val="22"/>
                <w:highlight w:val="none"/>
                <w14:textFill>
                  <w14:solidFill>
                    <w14:schemeClr w14:val="tx1"/>
                  </w14:solidFill>
                </w14:textFill>
              </w:rPr>
              <w:t xml:space="preserve">分）</w:t>
            </w:r>
            <w:r/>
          </w:p>
        </w:tc>
        <w:tc>
          <w:tcPr>
            <w:tcMar>
              <w:left w:w="108" w:type="dxa"/>
              <w:top w:w="0" w:type="dxa"/>
              <w:right w:w="108" w:type="dxa"/>
              <w:bottom w:w="0" w:type="dxa"/>
            </w:tcMar>
            <w:tcW w:w="6748" w:type="dxa"/>
            <w:vAlign w:val="center"/>
            <w:textDirection w:val="lrTb"/>
            <w:noWrap w:val="false"/>
          </w:tcPr>
          <w:p>
            <w:pPr>
              <w:ind w:left="80" w:right="0" w:firstLine="0"/>
              <w:jc w:val="both"/>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以满足</w:t>
            </w:r>
            <w:r>
              <w:rPr>
                <w:rFonts w:hint="eastAsia" w:ascii="宋体" w:hAnsi="宋体" w:eastAsia="宋体" w:cs="宋体"/>
                <w:color w:val="000000" w:themeColor="text1"/>
                <w:sz w:val="22"/>
                <w:highlight w:val="none"/>
                <w:lang w:eastAsia="zh-CN"/>
                <w14:textFill>
                  <w14:solidFill>
                    <w14:schemeClr w14:val="tx1"/>
                  </w14:solidFill>
                </w14:textFill>
              </w:rPr>
              <w:t xml:space="preserve">竞争性磋商文件</w:t>
            </w:r>
            <w:r>
              <w:rPr>
                <w:rFonts w:ascii="宋体" w:hAnsi="宋体" w:eastAsia="宋体" w:cs="宋体"/>
                <w:color w:val="000000" w:themeColor="text1"/>
                <w:sz w:val="22"/>
                <w:highlight w:val="none"/>
                <w14:textFill>
                  <w14:solidFill>
                    <w14:schemeClr w14:val="tx1"/>
                  </w14:solidFill>
                </w14:textFill>
              </w:rPr>
              <w:t xml:space="preserve">要求的最终最低报价为基准价，得1</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0</w:t>
            </w:r>
            <w:r>
              <w:rPr>
                <w:rFonts w:ascii="宋体" w:hAnsi="宋体" w:eastAsia="宋体" w:cs="宋体"/>
                <w:color w:val="000000" w:themeColor="text1"/>
                <w:sz w:val="22"/>
                <w:highlight w:val="none"/>
                <w14:textFill>
                  <w14:solidFill>
                    <w14:schemeClr w14:val="tx1"/>
                  </w14:solidFill>
                </w14:textFill>
              </w:rPr>
              <w:t xml:space="preserve">分，其他报价得分＝（基准价/其他最终报价）×1</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0</w:t>
            </w:r>
            <w:r>
              <w:rPr>
                <w:rFonts w:ascii="宋体" w:hAnsi="宋体" w:eastAsia="宋体" w:cs="宋体"/>
                <w:color w:val="000000" w:themeColor="text1"/>
                <w:sz w:val="22"/>
                <w:highlight w:val="none"/>
                <w14:textFill>
                  <w14:solidFill>
                    <w14:schemeClr w14:val="tx1"/>
                  </w14:solidFill>
                </w14:textFill>
              </w:rPr>
              <w:t xml:space="preserve">，保留二位有效小数。注：评标委员会认为供应商的报价明显过低，有可能影响服务质量或者不能诚信履约的，且供应商不能在评标现场合理的时间内证明其报价合理性的，评标委员会有权将其作为无效响应处理。</w:t>
            </w:r>
            <w:r/>
          </w:p>
        </w:tc>
      </w:tr>
      <w:tr>
        <w:trPr>
          <w:trHeight w:val="9308"/>
        </w:trPr>
        <w:tc>
          <w:tcPr>
            <w:tcMar>
              <w:left w:w="108" w:type="dxa"/>
              <w:top w:w="0" w:type="dxa"/>
              <w:right w:w="108" w:type="dxa"/>
              <w:bottom w:w="0" w:type="dxa"/>
            </w:tcMar>
            <w:tcW w:w="1018" w:type="dxa"/>
            <w:vAlign w:val="center"/>
            <w:textDirection w:val="lrTb"/>
            <w:noWrap w:val="false"/>
          </w:tcPr>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2</w:t>
            </w:r>
            <w:r/>
          </w:p>
        </w:tc>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项目实施方案</w:t>
            </w:r>
            <w:r/>
          </w:p>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60</w:t>
            </w:r>
            <w:r>
              <w:rPr>
                <w:rFonts w:ascii="宋体" w:hAnsi="宋体" w:eastAsia="宋体" w:cs="宋体"/>
                <w:color w:val="000000" w:themeColor="text1"/>
                <w:sz w:val="22"/>
                <w:highlight w:val="none"/>
                <w14:textFill>
                  <w14:solidFill>
                    <w14:schemeClr w14:val="tx1"/>
                  </w14:solidFill>
                </w14:textFill>
              </w:rPr>
              <w:t xml:space="preserve">分）</w:t>
            </w:r>
            <w:r/>
          </w:p>
        </w:tc>
        <w:tc>
          <w:tcPr>
            <w:tcMar>
              <w:left w:w="108" w:type="dxa"/>
              <w:top w:w="0" w:type="dxa"/>
              <w:right w:w="108" w:type="dxa"/>
              <w:bottom w:w="0" w:type="dxa"/>
            </w:tcMar>
            <w:tcW w:w="6748" w:type="dxa"/>
            <w:vAlign w:val="center"/>
            <w:textDirection w:val="lrTb"/>
            <w:noWrap w:val="false"/>
          </w:tcPr>
          <w:p>
            <w:pPr>
              <w:ind w:right="0"/>
              <w:jc w:val="both"/>
              <w:keepLines w:val="0"/>
              <w:keepNext w:val="0"/>
              <w:pageBreakBefore w:val="0"/>
              <w:spacing w:before="0" w:after="120" w:line="240" w:lineRule="auto"/>
              <w:widowControl w:val="off"/>
              <w:tabs>
                <w:tab w:val="left" w:pos="993" w:leader="none"/>
                <w:tab w:val="left" w:pos="1134"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1、项目总体实施方案（10分）：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ind w:right="0"/>
              <w:jc w:val="both"/>
              <w:keepLines w:val="0"/>
              <w:keepNext w:val="0"/>
              <w:pageBreakBefore w:val="0"/>
              <w:spacing w:before="0" w:after="120" w:line="240" w:lineRule="auto"/>
              <w:widowControl w:val="off"/>
              <w:tabs>
                <w:tab w:val="left" w:pos="993" w:leader="none"/>
                <w:tab w:val="left" w:pos="1134"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2、组织机构及人员方案（10分）：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ind w:right="0"/>
              <w:jc w:val="both"/>
              <w:keepLines w:val="0"/>
              <w:keepNext w:val="0"/>
              <w:pageBreakBefore w:val="0"/>
              <w:spacing w:before="0" w:after="120" w:line="240" w:lineRule="auto"/>
              <w:widowControl w:val="off"/>
              <w:tabs>
                <w:tab w:val="left" w:pos="993" w:leader="none"/>
                <w:tab w:val="left" w:pos="1134"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3、内部日常管理考核方案（</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10</w:t>
            </w:r>
            <w:r>
              <w:rPr>
                <w:rFonts w:ascii="宋体" w:hAnsi="宋体" w:eastAsia="宋体" w:cs="宋体"/>
                <w:color w:val="000000" w:themeColor="text1"/>
                <w:sz w:val="22"/>
                <w:highlight w:val="none"/>
                <w14:textFill>
                  <w14:solidFill>
                    <w14:schemeClr w14:val="tx1"/>
                  </w14:solidFill>
                </w14:textFill>
              </w:rPr>
              <w:t xml:space="preserve">分）：考核方案严密、可行、描述详细、涵盖全面、操作性强得</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10</w:t>
            </w:r>
            <w:r>
              <w:rPr>
                <w:rFonts w:ascii="宋体" w:hAnsi="宋体" w:eastAsia="宋体" w:cs="宋体"/>
                <w:color w:val="000000" w:themeColor="text1"/>
                <w:sz w:val="22"/>
                <w:highlight w:val="none"/>
                <w14:textFill>
                  <w14:solidFill>
                    <w14:schemeClr w14:val="tx1"/>
                  </w14:solidFill>
                </w14:textFill>
              </w:rPr>
              <w:t xml:space="preserve">分；考核方案较合理、严密、描述较为详细，不存在实施难度的得</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8</w:t>
            </w:r>
            <w:r>
              <w:rPr>
                <w:rFonts w:ascii="宋体" w:hAnsi="宋体" w:eastAsia="宋体" w:cs="宋体"/>
                <w:color w:val="000000" w:themeColor="text1"/>
                <w:sz w:val="22"/>
                <w:highlight w:val="none"/>
                <w14:textFill>
                  <w14:solidFill>
                    <w14:schemeClr w14:val="tx1"/>
                  </w14:solidFill>
                </w14:textFill>
              </w:rPr>
              <w:t xml:space="preserve">分；考核方案合理性、严密性一般，描述详细性、全面性一般，操作性一般的得</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6</w:t>
            </w:r>
            <w:r>
              <w:rPr>
                <w:rFonts w:ascii="宋体" w:hAnsi="宋体" w:eastAsia="宋体" w:cs="宋体"/>
                <w:color w:val="000000" w:themeColor="text1"/>
                <w:sz w:val="22"/>
                <w:highlight w:val="none"/>
                <w14:textFill>
                  <w14:solidFill>
                    <w14:schemeClr w14:val="tx1"/>
                  </w14:solidFill>
                </w14:textFill>
              </w:rPr>
              <w:t xml:space="preserve">分；考核方案合理性、严密性较差，描述详细性、全面性较差，操作性较差的得</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4</w:t>
            </w:r>
            <w:r>
              <w:rPr>
                <w:rFonts w:ascii="宋体" w:hAnsi="宋体" w:eastAsia="宋体" w:cs="宋体"/>
                <w:color w:val="000000" w:themeColor="text1"/>
                <w:sz w:val="22"/>
                <w:highlight w:val="none"/>
                <w14:textFill>
                  <w14:solidFill>
                    <w14:schemeClr w14:val="tx1"/>
                  </w14:solidFill>
                </w14:textFill>
              </w:rPr>
              <w:t xml:space="preserve">分；不提供不得分。</w:t>
            </w:r>
            <w:r/>
          </w:p>
          <w:p>
            <w:pPr>
              <w:ind w:right="0"/>
              <w:jc w:val="both"/>
              <w:keepLines w:val="0"/>
              <w:keepNext w:val="0"/>
              <w:pageBreakBefore w:val="0"/>
              <w:spacing w:before="0" w:after="120" w:line="240" w:lineRule="auto"/>
              <w:widowControl w:val="off"/>
              <w:tabs>
                <w:tab w:val="left" w:pos="993" w:leader="none"/>
                <w:tab w:val="left" w:pos="1134"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4、突发事件应急预案（10分）：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ind w:right="0"/>
              <w:jc w:val="both"/>
              <w:keepLines w:val="0"/>
              <w:keepNext w:val="0"/>
              <w:pageBreakBefore w:val="0"/>
              <w:spacing w:before="0" w:after="120" w:line="240" w:lineRule="auto"/>
              <w:widowControl w:val="off"/>
              <w:tabs>
                <w:tab w:val="left" w:pos="993" w:leader="none"/>
                <w:tab w:val="left" w:pos="1134"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5、业务培训方案（10分）：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ind w:right="0"/>
              <w:jc w:val="both"/>
              <w:keepLines w:val="0"/>
              <w:keepNext w:val="0"/>
              <w:pageBreakBefore w:val="0"/>
              <w:spacing w:before="0" w:after="120" w:line="240" w:lineRule="auto"/>
              <w:widowControl w:val="off"/>
              <w:tabs>
                <w:tab w:val="left" w:pos="993" w:leader="none"/>
                <w:tab w:val="left" w:pos="1134"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6、监督、激励机制方案（</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10</w:t>
            </w:r>
            <w:r>
              <w:rPr>
                <w:rFonts w:ascii="宋体" w:hAnsi="宋体" w:eastAsia="宋体" w:cs="宋体"/>
                <w:color w:val="000000" w:themeColor="text1"/>
                <w:sz w:val="22"/>
                <w:highlight w:val="none"/>
                <w14:textFill>
                  <w14:solidFill>
                    <w14:schemeClr w14:val="tx1"/>
                  </w14:solidFill>
                </w14:textFill>
              </w:rPr>
              <w:t xml:space="preserve">分）：方案全面、细致、合理且可行性强得</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10</w:t>
            </w:r>
            <w:r>
              <w:rPr>
                <w:rFonts w:ascii="宋体" w:hAnsi="宋体" w:eastAsia="宋体" w:cs="宋体"/>
                <w:color w:val="000000" w:themeColor="text1"/>
                <w:sz w:val="22"/>
                <w:highlight w:val="none"/>
                <w14:textFill>
                  <w14:solidFill>
                    <w14:schemeClr w14:val="tx1"/>
                  </w14:solidFill>
                </w14:textFill>
              </w:rPr>
              <w:t xml:space="preserve">分；方案基本合理，可行性较强的得</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8</w:t>
            </w:r>
            <w:r>
              <w:rPr>
                <w:rFonts w:ascii="宋体" w:hAnsi="宋体" w:eastAsia="宋体" w:cs="宋体"/>
                <w:color w:val="000000" w:themeColor="text1"/>
                <w:sz w:val="22"/>
                <w:highlight w:val="none"/>
                <w14:textFill>
                  <w14:solidFill>
                    <w14:schemeClr w14:val="tx1"/>
                  </w14:solidFill>
                </w14:textFill>
              </w:rPr>
              <w:t xml:space="preserve">分；方案全面性、细致性、合理性一般的，可行性一般的得</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6</w:t>
            </w:r>
            <w:r>
              <w:rPr>
                <w:rFonts w:ascii="宋体" w:hAnsi="宋体" w:eastAsia="宋体" w:cs="宋体"/>
                <w:color w:val="000000" w:themeColor="text1"/>
                <w:sz w:val="22"/>
                <w:highlight w:val="none"/>
                <w14:textFill>
                  <w14:solidFill>
                    <w14:schemeClr w14:val="tx1"/>
                  </w14:solidFill>
                </w14:textFill>
              </w:rPr>
              <w:t xml:space="preserve">分；方案全面性、细致性、合理性较差的，可行性较差的得</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4</w:t>
            </w:r>
            <w:r>
              <w:rPr>
                <w:rFonts w:ascii="宋体" w:hAnsi="宋体" w:eastAsia="宋体" w:cs="宋体"/>
                <w:color w:val="000000" w:themeColor="text1"/>
                <w:sz w:val="22"/>
                <w:highlight w:val="none"/>
                <w14:textFill>
                  <w14:solidFill>
                    <w14:schemeClr w14:val="tx1"/>
                  </w14:solidFill>
                </w14:textFill>
              </w:rPr>
              <w:t xml:space="preserve">分，不提供不得分。</w:t>
            </w:r>
            <w:r/>
          </w:p>
        </w:tc>
      </w:tr>
      <w:tr>
        <w:trPr>
          <w:trHeight w:val="1725"/>
        </w:trPr>
        <w:tc>
          <w:tcPr>
            <w:tcMar>
              <w:left w:w="108" w:type="dxa"/>
              <w:top w:w="0" w:type="dxa"/>
              <w:right w:w="108" w:type="dxa"/>
              <w:bottom w:w="0" w:type="dxa"/>
            </w:tcMar>
            <w:tcW w:w="1018" w:type="dxa"/>
            <w:vAlign w:val="center"/>
            <w:textDirection w:val="lrTb"/>
            <w:noWrap w:val="false"/>
          </w:tcPr>
          <w:p>
            <w:pPr>
              <w:ind w:left="0" w:right="0" w:firstLine="0"/>
              <w:jc w:val="center"/>
              <w:keepLines w:val="0"/>
              <w:keepNext w:val="0"/>
              <w:pageBreakBefore w:val="0"/>
              <w:spacing w:before="0" w:after="0" w:line="240" w:lineRule="auto"/>
              <w:widowControl w:val="off"/>
              <w:rPr>
                <w:rFonts w:hint="default" w:ascii="宋体" w:hAnsi="宋体" w:eastAsia="宋体" w:cs="宋体"/>
                <w:color w:val="000000" w:themeColor="text1"/>
                <w:sz w:val="22"/>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14:textFill>
                  <w14:solidFill>
                    <w14:schemeClr w14:val="tx1"/>
                  </w14:solidFill>
                </w14:textFill>
              </w:rPr>
              <w:t xml:space="preserve">3</w:t>
            </w:r>
            <w:r/>
          </w:p>
        </w:tc>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综合实力</w:t>
            </w:r>
            <w:r/>
          </w:p>
          <w:p>
            <w:pPr>
              <w:ind w:left="0" w:right="0" w:firstLine="0"/>
              <w:jc w:val="center"/>
              <w:keepLines w:val="0"/>
              <w:keepNext w:val="0"/>
              <w:pageBreakBefore w:val="0"/>
              <w:spacing w:before="0" w:after="0" w:line="240" w:lineRule="auto"/>
              <w:widowControl w:val="off"/>
              <w:rPr>
                <w:rFonts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lang w:val="en-US" w:eastAsia="zh-CN"/>
                <w14:textFill>
                  <w14:solidFill>
                    <w14:schemeClr w14:val="tx1"/>
                  </w14:solidFill>
                </w14:textFill>
              </w:rPr>
              <w:t xml:space="preserve">18</w:t>
            </w:r>
            <w:r>
              <w:rPr>
                <w:rFonts w:ascii="宋体" w:hAnsi="宋体" w:eastAsia="宋体" w:cs="宋体"/>
                <w:color w:val="000000" w:themeColor="text1"/>
                <w:sz w:val="22"/>
                <w:highlight w:val="none"/>
                <w14:textFill>
                  <w14:solidFill>
                    <w14:schemeClr w14:val="tx1"/>
                  </w14:solidFill>
                </w14:textFill>
              </w:rPr>
              <w:t xml:space="preserve">分）</w:t>
            </w:r>
            <w:r/>
          </w:p>
        </w:tc>
        <w:tc>
          <w:tcPr>
            <w:tcMar>
              <w:left w:w="108" w:type="dxa"/>
              <w:top w:w="0" w:type="dxa"/>
              <w:right w:w="108" w:type="dxa"/>
              <w:bottom w:w="0" w:type="dxa"/>
            </w:tcMar>
            <w:tcW w:w="6748"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1</w:t>
            </w:r>
            <w:r>
              <w:rPr>
                <w:rFonts w:ascii="宋体" w:hAnsi="宋体" w:eastAsia="宋体" w:cs="宋体"/>
                <w:color w:val="000000" w:themeColor="text1"/>
                <w:sz w:val="22"/>
                <w:highlight w:val="none"/>
                <w14:textFill>
                  <w14:solidFill>
                    <w14:schemeClr w14:val="tx1"/>
                  </w14:solidFill>
                </w14:textFill>
              </w:rPr>
              <w:t xml:space="preserve">、</w:t>
            </w:r>
            <w:r>
              <w:rPr>
                <w:rFonts w:hint="eastAsia" w:ascii="宋体" w:hAnsi="宋体" w:eastAsia="宋体" w:cs="宋体"/>
                <w:color w:val="000000" w:themeColor="text1"/>
                <w:sz w:val="22"/>
                <w:highlight w:val="none"/>
                <w14:textFill>
                  <w14:solidFill>
                    <w14:schemeClr w14:val="tx1"/>
                  </w14:solidFill>
                </w14:textFill>
              </w:rPr>
              <w:t xml:space="preserve">项目负责人</w:t>
            </w:r>
            <w:r>
              <w:rPr>
                <w:rFonts w:hint="eastAsia" w:ascii="宋体" w:hAnsi="宋体" w:cs="宋体"/>
                <w:color w:val="000000" w:themeColor="text1"/>
                <w:sz w:val="22"/>
                <w:highlight w:val="none"/>
                <w:lang w:eastAsia="zh-CN"/>
                <w14:textFill>
                  <w14:solidFill>
                    <w14:schemeClr w14:val="tx1"/>
                  </w14:solidFill>
                </w14:textFill>
              </w:rPr>
              <w:t xml:space="preserve">（</w:t>
            </w:r>
            <w:r>
              <w:rPr>
                <w:rFonts w:hint="eastAsia" w:ascii="宋体" w:hAnsi="宋体" w:cs="宋体"/>
                <w:color w:val="000000" w:themeColor="text1"/>
                <w:sz w:val="22"/>
                <w:highlight w:val="none"/>
                <w:lang w:val="en-US" w:eastAsia="zh-CN"/>
                <w14:textFill>
                  <w14:solidFill>
                    <w14:schemeClr w14:val="tx1"/>
                  </w14:solidFill>
                </w14:textFill>
              </w:rPr>
              <w:t xml:space="preserve">2名</w:t>
            </w:r>
            <w:r>
              <w:rPr>
                <w:rFonts w:hint="eastAsia" w:ascii="宋体" w:hAnsi="宋体" w:cs="宋体"/>
                <w:color w:val="000000" w:themeColor="text1"/>
                <w:sz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highlight w:val="none"/>
                <w14:textFill>
                  <w14:solidFill>
                    <w14:schemeClr w14:val="tx1"/>
                  </w14:solidFill>
                </w14:textFill>
              </w:rPr>
              <w:t xml:space="preserve">（本项满分</w:t>
            </w:r>
            <w:r>
              <w:rPr>
                <w:rFonts w:hint="eastAsia" w:ascii="宋体" w:hAnsi="宋体" w:cs="宋体"/>
                <w:color w:val="000000" w:themeColor="text1"/>
                <w:sz w:val="22"/>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2"/>
                <w:highlight w:val="none"/>
                <w14:textFill>
                  <w14:solidFill>
                    <w14:schemeClr w14:val="tx1"/>
                  </w14:solidFill>
                </w14:textFill>
              </w:rPr>
              <w:t xml:space="preserve">分）：</w:t>
            </w:r>
            <w:r/>
          </w:p>
          <w:p>
            <w:pPr>
              <w:ind w:left="0" w:right="0" w:firstLine="0"/>
              <w:jc w:val="both"/>
              <w:keepLines w:val="0"/>
              <w:keepNext w:val="0"/>
              <w:pageBreakBefore w:val="0"/>
              <w:spacing w:before="0" w:after="0" w:line="240" w:lineRule="auto"/>
              <w:widowControl w:val="off"/>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（1）具有退伍军人证书的得</w:t>
            </w:r>
            <w:r>
              <w:rPr>
                <w:rFonts w:hint="eastAsia" w:ascii="宋体" w:hAnsi="宋体" w:cs="宋体"/>
                <w:color w:val="000000" w:themeColor="text1"/>
                <w:sz w:val="22"/>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2"/>
                <w:highlight w:val="none"/>
                <w14:textFill>
                  <w14:solidFill>
                    <w14:schemeClr w14:val="tx1"/>
                  </w14:solidFill>
                </w14:textFill>
              </w:rPr>
              <w:t xml:space="preserve">分；</w:t>
            </w:r>
            <w:r/>
          </w:p>
          <w:p>
            <w:pPr>
              <w:ind w:left="0" w:right="0" w:firstLine="0"/>
              <w:jc w:val="both"/>
              <w:keepLines w:val="0"/>
              <w:keepNext w:val="0"/>
              <w:pageBreakBefore w:val="0"/>
              <w:spacing w:before="0" w:after="0" w:line="240" w:lineRule="auto"/>
              <w:widowControl w:val="off"/>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（2）具有高级保安员证书的得</w:t>
            </w:r>
            <w:r>
              <w:rPr>
                <w:rFonts w:hint="eastAsia" w:ascii="宋体" w:hAnsi="宋体" w:cs="宋体"/>
                <w:color w:val="000000" w:themeColor="text1"/>
                <w:sz w:val="22"/>
                <w:highlight w:val="none"/>
                <w:lang w:val="en-US" w:eastAsia="zh-CN"/>
                <w14:textFill>
                  <w14:solidFill>
                    <w14:schemeClr w14:val="tx1"/>
                  </w14:solidFill>
                </w14:textFill>
              </w:rPr>
              <w:t xml:space="preserve">0.5分</w:t>
            </w:r>
            <w:r>
              <w:rPr>
                <w:rFonts w:hint="eastAsia" w:ascii="宋体" w:hAnsi="宋体" w:eastAsia="宋体" w:cs="宋体"/>
                <w:color w:val="000000" w:themeColor="text1"/>
                <w:sz w:val="22"/>
                <w:highlight w:val="none"/>
                <w14:textFill>
                  <w14:solidFill>
                    <w14:schemeClr w14:val="tx1"/>
                  </w14:solidFill>
                </w14:textFill>
              </w:rPr>
              <w:t xml:space="preserve">；</w:t>
            </w:r>
            <w:r/>
          </w:p>
          <w:p>
            <w:pPr>
              <w:ind w:left="0" w:right="0" w:firstLine="0"/>
              <w:jc w:val="both"/>
              <w:keepLines w:val="0"/>
              <w:keepNext w:val="0"/>
              <w:pageBreakBefore w:val="0"/>
              <w:spacing w:before="0" w:after="0" w:line="240" w:lineRule="auto"/>
              <w:widowControl w:val="off"/>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（3）具有</w:t>
            </w:r>
            <w:r>
              <w:rPr>
                <w:rFonts w:hint="eastAsia" w:ascii="宋体" w:hAnsi="宋体" w:cs="宋体"/>
                <w:color w:val="000000" w:themeColor="text1"/>
                <w:sz w:val="22"/>
                <w:highlight w:val="none"/>
                <w:lang w:val="en-US" w:eastAsia="zh-CN"/>
                <w14:textFill>
                  <w14:solidFill>
                    <w14:schemeClr w14:val="tx1"/>
                  </w14:solidFill>
                </w14:textFill>
              </w:rPr>
              <w:t xml:space="preserve">本科及</w:t>
            </w:r>
            <w:r>
              <w:rPr>
                <w:rFonts w:hint="eastAsia" w:ascii="宋体" w:hAnsi="宋体" w:eastAsia="宋体" w:cs="宋体"/>
                <w:color w:val="000000" w:themeColor="text1"/>
                <w:sz w:val="22"/>
                <w:highlight w:val="none"/>
                <w14:textFill>
                  <w14:solidFill>
                    <w14:schemeClr w14:val="tx1"/>
                  </w14:solidFill>
                </w14:textFill>
              </w:rPr>
              <w:t xml:space="preserve">以上学历的得</w:t>
            </w:r>
            <w:r>
              <w:rPr>
                <w:rFonts w:hint="eastAsia" w:ascii="宋体" w:hAnsi="宋体" w:cs="宋体"/>
                <w:color w:val="000000" w:themeColor="text1"/>
                <w:sz w:val="22"/>
                <w:highlight w:val="none"/>
                <w:lang w:val="en-US" w:eastAsia="zh-CN"/>
                <w14:textFill>
                  <w14:solidFill>
                    <w14:schemeClr w14:val="tx1"/>
                  </w14:solidFill>
                </w14:textFill>
              </w:rPr>
              <w:t xml:space="preserve">0.5分</w:t>
            </w:r>
            <w:r>
              <w:rPr>
                <w:rFonts w:hint="eastAsia" w:ascii="宋体" w:hAnsi="宋体" w:eastAsia="宋体" w:cs="宋体"/>
                <w:color w:val="000000" w:themeColor="text1"/>
                <w:sz w:val="22"/>
                <w:highlight w:val="none"/>
                <w14:textFill>
                  <w14:solidFill>
                    <w14:schemeClr w14:val="tx1"/>
                  </w14:solidFill>
                </w14:textFill>
              </w:rPr>
              <w:t xml:space="preserve">；</w:t>
            </w:r>
            <w:r/>
          </w:p>
          <w:p>
            <w:pPr>
              <w:ind w:left="0" w:right="0" w:firstLine="0"/>
              <w:jc w:val="both"/>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（4）</w:t>
            </w:r>
            <w:r>
              <w:rPr>
                <w:rFonts w:hint="eastAsia" w:ascii="宋体" w:hAnsi="宋体" w:cs="宋体"/>
                <w:color w:val="000000" w:themeColor="text1"/>
                <w:sz w:val="22"/>
                <w:highlight w:val="none"/>
                <w:lang w:val="en-US" w:eastAsia="zh-CN"/>
                <w14:textFill>
                  <w14:solidFill>
                    <w14:schemeClr w14:val="tx1"/>
                  </w14:solidFill>
                </w14:textFill>
              </w:rPr>
              <w:t xml:space="preserve">具有</w:t>
            </w:r>
            <w:r>
              <w:rPr>
                <w:rFonts w:hint="eastAsia" w:ascii="宋体" w:hAnsi="宋体" w:eastAsia="宋体" w:cs="宋体"/>
                <w:color w:val="000000" w:themeColor="text1"/>
                <w:sz w:val="22"/>
                <w:highlight w:val="none"/>
                <w14:textFill>
                  <w14:solidFill>
                    <w14:schemeClr w14:val="tx1"/>
                  </w14:solidFill>
                </w14:textFill>
              </w:rPr>
              <w:t xml:space="preserve">自202</w:t>
            </w:r>
            <w:r>
              <w:rPr>
                <w:rFonts w:hint="eastAsia" w:ascii="宋体" w:hAnsi="宋体" w:cs="宋体"/>
                <w:color w:val="000000" w:themeColor="text1"/>
                <w:sz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highlight w:val="none"/>
                <w14:textFill>
                  <w14:solidFill>
                    <w14:schemeClr w14:val="tx1"/>
                  </w14:solidFill>
                </w14:textFill>
              </w:rPr>
              <w:t xml:space="preserve">年1月1日（以证书或文件颁发时间为准）以来获得过</w:t>
            </w:r>
            <w:r>
              <w:rPr>
                <w:rFonts w:hint="eastAsia" w:ascii="宋体" w:hAnsi="宋体" w:cs="宋体"/>
                <w:color w:val="000000" w:themeColor="text1"/>
                <w:sz w:val="22"/>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22"/>
                <w:highlight w:val="none"/>
                <w14:textFill>
                  <w14:solidFill>
                    <w14:schemeClr w14:val="tx1"/>
                  </w14:solidFill>
                </w14:textFill>
              </w:rPr>
              <w:t xml:space="preserve">部门颁发的个人荣誉或表彰的得</w:t>
            </w:r>
            <w:r>
              <w:rPr>
                <w:rFonts w:hint="eastAsia" w:ascii="宋体" w:hAnsi="宋体" w:cs="宋体"/>
                <w:color w:val="000000" w:themeColor="text1"/>
                <w:sz w:val="22"/>
                <w:highlight w:val="none"/>
                <w:lang w:val="en-US" w:eastAsia="zh-CN"/>
                <w14:textFill>
                  <w14:solidFill>
                    <w14:schemeClr w14:val="tx1"/>
                  </w14:solidFill>
                </w14:textFill>
              </w:rPr>
              <w:t xml:space="preserve">0.5分</w:t>
            </w:r>
            <w:r>
              <w:rPr>
                <w:rFonts w:hint="eastAsia" w:ascii="宋体" w:hAnsi="宋体" w:eastAsia="宋体" w:cs="宋体"/>
                <w:color w:val="000000" w:themeColor="text1"/>
                <w:sz w:val="22"/>
                <w:highlight w:val="none"/>
                <w14:textFill>
                  <w14:solidFill>
                    <w14:schemeClr w14:val="tx1"/>
                  </w14:solidFill>
                </w14:textFill>
              </w:rPr>
              <w:t xml:space="preserve">。</w:t>
            </w:r>
            <w:r>
              <w:rPr>
                <w:rFonts w:ascii="宋体" w:hAnsi="宋体" w:eastAsia="宋体" w:cs="宋体"/>
                <w:b/>
                <w:color w:val="000000" w:themeColor="text1"/>
                <w:sz w:val="22"/>
                <w:highlight w:val="none"/>
                <w14:textFill>
                  <w14:solidFill>
                    <w14:schemeClr w14:val="tx1"/>
                  </w14:solidFill>
                </w14:textFill>
              </w:rPr>
              <w:t xml:space="preserve">（提供相关证明材料及</w:t>
            </w:r>
            <w:r>
              <w:rPr>
                <w:rFonts w:hint="eastAsia" w:ascii="宋体" w:hAnsi="宋体" w:cs="宋体"/>
                <w:b/>
                <w:color w:val="000000" w:themeColor="text1"/>
                <w:sz w:val="22"/>
                <w:highlight w:val="none"/>
                <w:lang w:eastAsia="zh-CN"/>
                <w14:textFill>
                  <w14:solidFill>
                    <w14:schemeClr w14:val="tx1"/>
                  </w14:solidFill>
                </w14:textFill>
              </w:rPr>
              <w:t xml:space="preserve">供应商</w:t>
            </w:r>
            <w:r>
              <w:rPr>
                <w:rFonts w:ascii="宋体" w:hAnsi="宋体" w:eastAsia="宋体" w:cs="宋体"/>
                <w:b/>
                <w:color w:val="000000" w:themeColor="text1"/>
                <w:sz w:val="22"/>
                <w:highlight w:val="none"/>
                <w14:textFill>
                  <w14:solidFill>
                    <w14:schemeClr w14:val="tx1"/>
                  </w14:solidFill>
                </w14:textFill>
              </w:rPr>
              <w:t xml:space="preserve">为其缴纳的</w:t>
            </w:r>
            <w:r>
              <w:rPr>
                <w:rFonts w:hint="eastAsia" w:ascii="宋体" w:hAnsi="宋体" w:eastAsia="宋体" w:cs="宋体"/>
                <w:b/>
                <w:color w:val="000000" w:themeColor="text1"/>
                <w:sz w:val="22"/>
                <w:highlight w:val="none"/>
                <w:lang w:val="en-US" w:eastAsia="zh-CN"/>
                <w14:textFill>
                  <w14:solidFill>
                    <w14:schemeClr w14:val="tx1"/>
                  </w14:solidFill>
                </w14:textFill>
              </w:rPr>
              <w:t xml:space="preserve">近1年</w:t>
            </w:r>
            <w:r>
              <w:rPr>
                <w:rFonts w:ascii="宋体" w:hAnsi="宋体" w:eastAsia="宋体" w:cs="宋体"/>
                <w:b/>
                <w:color w:val="000000" w:themeColor="text1"/>
                <w:sz w:val="22"/>
                <w:highlight w:val="none"/>
                <w14:textFill>
                  <w14:solidFill>
                    <w14:schemeClr w14:val="tx1"/>
                  </w14:solidFill>
                </w14:textFill>
              </w:rPr>
              <w:t xml:space="preserve">内任意一个月的社保证明，原件扫描上传）</w:t>
            </w:r>
            <w:r/>
          </w:p>
          <w:p>
            <w:pPr>
              <w:numPr>
                <w:ilvl w:val="0"/>
                <w:numId w:val="0"/>
              </w:numPr>
              <w:ind w:right="0"/>
              <w:jc w:val="both"/>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2、</w:t>
            </w:r>
            <w:r>
              <w:rPr>
                <w:rFonts w:hint="eastAsia" w:ascii="宋体" w:hAnsi="宋体" w:eastAsia="宋体" w:cs="宋体"/>
                <w:color w:val="000000" w:themeColor="text1"/>
                <w:sz w:val="22"/>
                <w:highlight w:val="none"/>
                <w:lang w:eastAsia="zh-CN"/>
                <w14:textFill>
                  <w14:solidFill>
                    <w14:schemeClr w14:val="tx1"/>
                  </w14:solidFill>
                </w14:textFill>
              </w:rPr>
              <w:t xml:space="preserve">供应商</w:t>
            </w:r>
            <w:r>
              <w:rPr>
                <w:rFonts w:ascii="宋体" w:hAnsi="宋体" w:eastAsia="宋体" w:cs="宋体"/>
                <w:color w:val="000000" w:themeColor="text1"/>
                <w:sz w:val="22"/>
                <w:highlight w:val="none"/>
                <w14:textFill>
                  <w14:solidFill>
                    <w14:schemeClr w14:val="tx1"/>
                  </w14:solidFill>
                </w14:textFill>
              </w:rPr>
              <w:t xml:space="preserve">投入的人员中（除项目负责人以外）具有大专及以上学历，持有救护员证书，且为退役（伍）军人的，每有一人得</w:t>
            </w:r>
            <w:r>
              <w:rPr>
                <w:rFonts w:hint="eastAsia" w:ascii="宋体" w:hAnsi="宋体" w:cs="宋体"/>
                <w:color w:val="000000" w:themeColor="text1"/>
                <w:sz w:val="22"/>
                <w:highlight w:val="none"/>
                <w:lang w:val="en-US" w:eastAsia="zh-CN"/>
                <w14:textFill>
                  <w14:solidFill>
                    <w14:schemeClr w14:val="tx1"/>
                  </w14:solidFill>
                </w14:textFill>
              </w:rPr>
              <w:t xml:space="preserve">2</w:t>
            </w:r>
            <w:r>
              <w:rPr>
                <w:rFonts w:ascii="宋体" w:hAnsi="宋体" w:eastAsia="宋体" w:cs="宋体"/>
                <w:color w:val="000000" w:themeColor="text1"/>
                <w:sz w:val="22"/>
                <w:highlight w:val="none"/>
                <w14:textFill>
                  <w14:solidFill>
                    <w14:schemeClr w14:val="tx1"/>
                  </w14:solidFill>
                </w14:textFill>
              </w:rPr>
              <w:t xml:space="preserve">分，</w:t>
            </w:r>
            <w:r>
              <w:rPr>
                <w:rFonts w:hint="eastAsia" w:ascii="宋体" w:hAnsi="宋体" w:cs="宋体"/>
                <w:color w:val="000000" w:themeColor="text1"/>
                <w:sz w:val="22"/>
                <w:highlight w:val="none"/>
                <w:lang w:val="en-US" w:eastAsia="zh-CN"/>
                <w14:textFill>
                  <w14:solidFill>
                    <w14:schemeClr w14:val="tx1"/>
                  </w14:solidFill>
                </w14:textFill>
              </w:rPr>
              <w:t xml:space="preserve">本项</w:t>
            </w:r>
            <w:r>
              <w:rPr>
                <w:rFonts w:ascii="宋体" w:hAnsi="宋体" w:eastAsia="宋体" w:cs="宋体"/>
                <w:color w:val="000000" w:themeColor="text1"/>
                <w:sz w:val="22"/>
                <w:highlight w:val="none"/>
                <w14:textFill>
                  <w14:solidFill>
                    <w14:schemeClr w14:val="tx1"/>
                  </w14:solidFill>
                </w14:textFill>
              </w:rPr>
              <w:t xml:space="preserve">满分</w:t>
            </w:r>
            <w:r>
              <w:rPr>
                <w:rFonts w:hint="eastAsia" w:ascii="宋体" w:hAnsi="宋体" w:cs="宋体"/>
                <w:color w:val="000000" w:themeColor="text1"/>
                <w:sz w:val="22"/>
                <w:highlight w:val="none"/>
                <w:lang w:val="en-US" w:eastAsia="zh-CN"/>
                <w14:textFill>
                  <w14:solidFill>
                    <w14:schemeClr w14:val="tx1"/>
                  </w14:solidFill>
                </w14:textFill>
              </w:rPr>
              <w:t xml:space="preserve">6</w:t>
            </w:r>
            <w:r>
              <w:rPr>
                <w:rFonts w:ascii="宋体" w:hAnsi="宋体" w:eastAsia="宋体" w:cs="宋体"/>
                <w:color w:val="000000" w:themeColor="text1"/>
                <w:sz w:val="22"/>
                <w:highlight w:val="none"/>
                <w14:textFill>
                  <w14:solidFill>
                    <w14:schemeClr w14:val="tx1"/>
                  </w14:solidFill>
                </w14:textFill>
              </w:rPr>
              <w:t xml:space="preserve">分。</w:t>
            </w:r>
            <w:r>
              <w:rPr>
                <w:rFonts w:ascii="宋体" w:hAnsi="宋体" w:eastAsia="宋体" w:cs="宋体"/>
                <w:b/>
                <w:color w:val="000000" w:themeColor="text1"/>
                <w:sz w:val="22"/>
                <w:highlight w:val="none"/>
                <w14:textFill>
                  <w14:solidFill>
                    <w14:schemeClr w14:val="tx1"/>
                  </w14:solidFill>
                </w14:textFill>
              </w:rPr>
              <w:t xml:space="preserve">（提供相关证明材料及</w:t>
            </w:r>
            <w:r>
              <w:rPr>
                <w:rFonts w:hint="eastAsia" w:ascii="宋体" w:hAnsi="宋体" w:cs="宋体"/>
                <w:b/>
                <w:color w:val="000000" w:themeColor="text1"/>
                <w:sz w:val="22"/>
                <w:highlight w:val="none"/>
                <w:lang w:eastAsia="zh-CN"/>
                <w14:textFill>
                  <w14:solidFill>
                    <w14:schemeClr w14:val="tx1"/>
                  </w14:solidFill>
                </w14:textFill>
              </w:rPr>
              <w:t xml:space="preserve">供应商</w:t>
            </w:r>
            <w:r>
              <w:rPr>
                <w:rFonts w:ascii="宋体" w:hAnsi="宋体" w:eastAsia="宋体" w:cs="宋体"/>
                <w:b/>
                <w:color w:val="000000" w:themeColor="text1"/>
                <w:sz w:val="22"/>
                <w:highlight w:val="none"/>
                <w14:textFill>
                  <w14:solidFill>
                    <w14:schemeClr w14:val="tx1"/>
                  </w14:solidFill>
                </w14:textFill>
              </w:rPr>
              <w:t xml:space="preserve">为其缴纳的</w:t>
            </w:r>
            <w:r>
              <w:rPr>
                <w:rFonts w:hint="eastAsia" w:ascii="宋体" w:hAnsi="宋体" w:eastAsia="宋体" w:cs="宋体"/>
                <w:b/>
                <w:color w:val="000000" w:themeColor="text1"/>
                <w:sz w:val="22"/>
                <w:highlight w:val="none"/>
                <w:lang w:val="en-US" w:eastAsia="zh-CN"/>
                <w14:textFill>
                  <w14:solidFill>
                    <w14:schemeClr w14:val="tx1"/>
                  </w14:solidFill>
                </w14:textFill>
              </w:rPr>
              <w:t xml:space="preserve">近1年</w:t>
            </w:r>
            <w:r>
              <w:rPr>
                <w:rFonts w:ascii="宋体" w:hAnsi="宋体" w:eastAsia="宋体" w:cs="宋体"/>
                <w:b/>
                <w:color w:val="000000" w:themeColor="text1"/>
                <w:sz w:val="22"/>
                <w:highlight w:val="none"/>
                <w14:textFill>
                  <w14:solidFill>
                    <w14:schemeClr w14:val="tx1"/>
                  </w14:solidFill>
                </w14:textFill>
              </w:rPr>
              <w:t xml:space="preserve">内任意一个月的社保证明，原件扫描上传）</w:t>
            </w:r>
            <w:r/>
          </w:p>
          <w:p>
            <w:pPr>
              <w:ind w:right="0"/>
              <w:jc w:val="both"/>
              <w:keepLines w:val="0"/>
              <w:keepNext w:val="0"/>
              <w:pageBreakBefore w:val="0"/>
              <w:spacing w:before="0" w:after="120" w:line="240" w:lineRule="auto"/>
              <w:widowControl w:val="off"/>
              <w:tabs>
                <w:tab w:val="left" w:pos="993" w:leader="none"/>
                <w:tab w:val="left" w:pos="1134"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3、</w:t>
            </w:r>
            <w:r>
              <w:rPr>
                <w:rFonts w:hint="eastAsia" w:ascii="宋体" w:hAnsi="宋体" w:cs="宋体"/>
                <w:color w:val="000000" w:themeColor="text1"/>
                <w:sz w:val="22"/>
                <w:highlight w:val="none"/>
                <w:lang w:val="en-US" w:eastAsia="zh-CN"/>
                <w14:textFill>
                  <w14:solidFill>
                    <w14:schemeClr w14:val="tx1"/>
                  </w14:solidFill>
                </w14:textFill>
              </w:rPr>
              <w:t xml:space="preserve">供应商</w:t>
            </w:r>
            <w:r>
              <w:rPr>
                <w:rFonts w:ascii="宋体" w:hAnsi="宋体" w:eastAsia="宋体" w:cs="宋体"/>
                <w:color w:val="000000" w:themeColor="text1"/>
                <w:sz w:val="22"/>
                <w:highlight w:val="none"/>
                <w14:textFill>
                  <w14:solidFill>
                    <w14:schemeClr w14:val="tx1"/>
                  </w14:solidFill>
                </w14:textFill>
              </w:rPr>
              <w:t xml:space="preserve">202</w:t>
            </w:r>
            <w:r>
              <w:rPr>
                <w:rFonts w:hint="eastAsia" w:ascii="宋体" w:hAnsi="宋体" w:cs="宋体"/>
                <w:color w:val="000000" w:themeColor="text1"/>
                <w:sz w:val="22"/>
                <w:highlight w:val="none"/>
                <w:lang w:val="en-US" w:eastAsia="zh-CN"/>
                <w14:textFill>
                  <w14:solidFill>
                    <w14:schemeClr w14:val="tx1"/>
                  </w14:solidFill>
                </w14:textFill>
              </w:rPr>
              <w:t xml:space="preserve">3</w:t>
            </w:r>
            <w:r>
              <w:rPr>
                <w:rFonts w:ascii="宋体" w:hAnsi="宋体" w:eastAsia="宋体" w:cs="宋体"/>
                <w:color w:val="000000" w:themeColor="text1"/>
                <w:sz w:val="22"/>
                <w:highlight w:val="none"/>
                <w14:textFill>
                  <w14:solidFill>
                    <w14:schemeClr w14:val="tx1"/>
                  </w14:solidFill>
                </w14:textFill>
              </w:rPr>
              <w:t xml:space="preserve">年1月1日至今获得过与本项目相关的</w:t>
            </w:r>
            <w:r>
              <w:rPr>
                <w:rFonts w:hint="eastAsia" w:ascii="宋体" w:hAnsi="宋体" w:cs="宋体"/>
                <w:color w:val="000000" w:themeColor="text1"/>
                <w:sz w:val="22"/>
                <w:highlight w:val="none"/>
                <w:lang w:val="en-US" w:eastAsia="zh-CN"/>
                <w14:textFill>
                  <w14:solidFill>
                    <w14:schemeClr w14:val="tx1"/>
                  </w14:solidFill>
                </w14:textFill>
              </w:rPr>
              <w:t xml:space="preserve">市</w:t>
            </w:r>
            <w:r>
              <w:rPr>
                <w:rFonts w:ascii="宋体" w:hAnsi="宋体" w:eastAsia="宋体" w:cs="宋体"/>
                <w:color w:val="000000" w:themeColor="text1"/>
                <w:sz w:val="22"/>
                <w:highlight w:val="none"/>
                <w14:textFill>
                  <w14:solidFill>
                    <w14:schemeClr w14:val="tx1"/>
                  </w14:solidFill>
                </w14:textFill>
              </w:rPr>
              <w:t xml:space="preserve">级及以上行政主管部门颁发的企业荣誉或企业表彰，每有一项得3分，获得过与本项目相关的</w:t>
            </w:r>
            <w:r>
              <w:rPr>
                <w:rFonts w:hint="eastAsia" w:ascii="宋体" w:hAnsi="宋体" w:cs="宋体"/>
                <w:color w:val="000000" w:themeColor="text1"/>
                <w:sz w:val="22"/>
                <w:highlight w:val="none"/>
                <w:lang w:val="en-US" w:eastAsia="zh-CN"/>
                <w14:textFill>
                  <w14:solidFill>
                    <w14:schemeClr w14:val="tx1"/>
                  </w14:solidFill>
                </w14:textFill>
              </w:rPr>
              <w:t xml:space="preserve">区</w:t>
            </w:r>
            <w:r>
              <w:rPr>
                <w:rFonts w:ascii="宋体" w:hAnsi="宋体" w:eastAsia="宋体" w:cs="宋体"/>
                <w:color w:val="000000" w:themeColor="text1"/>
                <w:sz w:val="22"/>
                <w:highlight w:val="none"/>
                <w14:textFill>
                  <w14:solidFill>
                    <w14:schemeClr w14:val="tx1"/>
                  </w14:solidFill>
                </w14:textFill>
              </w:rPr>
              <w:t xml:space="preserve">级行政主管部门颁发的企业荣誉或企业表彰，每有一项得1分，本项满分</w:t>
            </w:r>
            <w:r>
              <w:rPr>
                <w:rFonts w:hint="eastAsia" w:ascii="宋体" w:hAnsi="宋体" w:cs="宋体"/>
                <w:color w:val="000000" w:themeColor="text1"/>
                <w:sz w:val="22"/>
                <w:highlight w:val="none"/>
                <w:lang w:val="en-US" w:eastAsia="zh-CN"/>
                <w14:textFill>
                  <w14:solidFill>
                    <w14:schemeClr w14:val="tx1"/>
                  </w14:solidFill>
                </w14:textFill>
              </w:rPr>
              <w:t xml:space="preserve">8</w:t>
            </w:r>
            <w:r>
              <w:rPr>
                <w:rFonts w:ascii="宋体" w:hAnsi="宋体" w:eastAsia="宋体" w:cs="宋体"/>
                <w:color w:val="000000" w:themeColor="text1"/>
                <w:sz w:val="22"/>
                <w:highlight w:val="none"/>
                <w14:textFill>
                  <w14:solidFill>
                    <w14:schemeClr w14:val="tx1"/>
                  </w14:solidFill>
                </w14:textFill>
              </w:rPr>
              <w:t xml:space="preserve">分。</w:t>
            </w:r>
            <w:r>
              <w:rPr>
                <w:rFonts w:ascii="宋体" w:hAnsi="宋体" w:eastAsia="宋体" w:cs="宋体"/>
                <w:b/>
                <w:color w:val="000000" w:themeColor="text1"/>
                <w:sz w:val="22"/>
                <w:highlight w:val="none"/>
                <w14:textFill>
                  <w14:solidFill>
                    <w14:schemeClr w14:val="tx1"/>
                  </w14:solidFill>
                </w14:textFill>
              </w:rPr>
              <w:t xml:space="preserve">（</w:t>
            </w:r>
            <w:r>
              <w:rPr>
                <w:rFonts w:hint="eastAsia" w:ascii="宋体" w:hAnsi="宋体" w:eastAsia="宋体" w:cs="宋体"/>
                <w:b/>
                <w:color w:val="000000" w:themeColor="text1"/>
                <w:sz w:val="22"/>
                <w:highlight w:val="none"/>
                <w14:textFill>
                  <w14:solidFill>
                    <w14:schemeClr w14:val="tx1"/>
                  </w14:solidFill>
                </w14:textFill>
              </w:rPr>
              <w:t xml:space="preserve">以荣誉证书或文件颁发时间为准，提供相关证明资料，原件扫描上传）</w:t>
            </w:r>
            <w:r/>
          </w:p>
        </w:tc>
      </w:tr>
      <w:tr>
        <w:trPr>
          <w:trHeight w:val="1134"/>
        </w:trPr>
        <w:tc>
          <w:tcPr>
            <w:tcMar>
              <w:left w:w="108" w:type="dxa"/>
              <w:top w:w="0" w:type="dxa"/>
              <w:right w:w="108" w:type="dxa"/>
              <w:bottom w:w="0" w:type="dxa"/>
            </w:tcMar>
            <w:tcW w:w="1018"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none"/>
                <w:lang w:val="en-US" w:eastAsia="zh-CN"/>
                <w14:textFill>
                  <w14:solidFill>
                    <w14:schemeClr w14:val="tx1"/>
                  </w14:solidFill>
                </w14:textFill>
              </w:rPr>
              <w:t xml:space="preserve">4</w:t>
            </w:r>
            <w:r/>
          </w:p>
        </w:tc>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类似业绩</w:t>
            </w:r>
            <w:r/>
          </w:p>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lang w:val="en-US" w:eastAsia="zh-CN"/>
                <w14:textFill>
                  <w14:solidFill>
                    <w14:schemeClr w14:val="tx1"/>
                  </w14:solidFill>
                </w14:textFill>
              </w:rPr>
              <w:t xml:space="preserve">2</w:t>
            </w:r>
            <w:r>
              <w:rPr>
                <w:rFonts w:ascii="宋体" w:hAnsi="宋体" w:eastAsia="宋体" w:cs="宋体"/>
                <w:color w:val="000000" w:themeColor="text1"/>
                <w:sz w:val="22"/>
                <w:highlight w:val="none"/>
                <w14:textFill>
                  <w14:solidFill>
                    <w14:schemeClr w14:val="tx1"/>
                  </w14:solidFill>
                </w14:textFill>
              </w:rPr>
              <w:t xml:space="preserve">分）</w:t>
            </w:r>
            <w:r/>
          </w:p>
        </w:tc>
        <w:tc>
          <w:tcPr>
            <w:tcMar>
              <w:left w:w="108" w:type="dxa"/>
              <w:top w:w="0" w:type="dxa"/>
              <w:right w:w="108" w:type="dxa"/>
              <w:bottom w:w="0" w:type="dxa"/>
            </w:tcMar>
            <w:tcW w:w="6748" w:type="dxa"/>
            <w:vAlign w:val="center"/>
            <w:textDirection w:val="lrTb"/>
            <w:noWrap w:val="false"/>
          </w:tcPr>
          <w:p>
            <w:pPr>
              <w:ind w:left="0" w:right="0" w:firstLine="0"/>
              <w:jc w:val="both"/>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eastAsia="zh-CN"/>
                <w14:textFill>
                  <w14:solidFill>
                    <w14:schemeClr w14:val="tx1"/>
                  </w14:solidFill>
                </w14:textFill>
              </w:rPr>
              <w:t xml:space="preserve">供应商</w:t>
            </w:r>
            <w:r>
              <w:rPr>
                <w:rFonts w:ascii="宋体" w:hAnsi="宋体" w:eastAsia="宋体" w:cs="宋体"/>
                <w:color w:val="000000" w:themeColor="text1"/>
                <w:sz w:val="22"/>
                <w:highlight w:val="none"/>
                <w14:textFill>
                  <w14:solidFill>
                    <w14:schemeClr w14:val="tx1"/>
                  </w14:solidFill>
                </w14:textFill>
              </w:rPr>
              <w:t xml:space="preserve">202</w:t>
            </w:r>
            <w:r>
              <w:rPr>
                <w:rFonts w:hint="eastAsia" w:ascii="宋体" w:hAnsi="宋体" w:cs="宋体"/>
                <w:color w:val="000000" w:themeColor="text1"/>
                <w:sz w:val="22"/>
                <w:highlight w:val="none"/>
                <w:lang w:val="en-US" w:eastAsia="zh-CN"/>
                <w14:textFill>
                  <w14:solidFill>
                    <w14:schemeClr w14:val="tx1"/>
                  </w14:solidFill>
                </w14:textFill>
              </w:rPr>
              <w:t xml:space="preserve">3</w:t>
            </w:r>
            <w:r>
              <w:rPr>
                <w:rFonts w:ascii="宋体" w:hAnsi="宋体" w:eastAsia="宋体" w:cs="宋体"/>
                <w:color w:val="000000" w:themeColor="text1"/>
                <w:sz w:val="22"/>
                <w:highlight w:val="none"/>
                <w14:textFill>
                  <w14:solidFill>
                    <w14:schemeClr w14:val="tx1"/>
                  </w14:solidFill>
                </w14:textFill>
              </w:rPr>
              <w:t xml:space="preserve">年1月1日至今承担过类似项目业绩，每有一份合同得</w:t>
            </w:r>
            <w:r>
              <w:rPr>
                <w:rFonts w:hint="eastAsia" w:ascii="宋体" w:hAnsi="宋体" w:cs="宋体"/>
                <w:color w:val="000000" w:themeColor="text1"/>
                <w:sz w:val="22"/>
                <w:highlight w:val="none"/>
                <w:lang w:val="en-US" w:eastAsia="zh-CN"/>
                <w14:textFill>
                  <w14:solidFill>
                    <w14:schemeClr w14:val="tx1"/>
                  </w14:solidFill>
                </w14:textFill>
              </w:rPr>
              <w:t xml:space="preserve">2</w:t>
            </w:r>
            <w:r>
              <w:rPr>
                <w:rFonts w:ascii="宋体" w:hAnsi="宋体" w:eastAsia="宋体" w:cs="宋体"/>
                <w:color w:val="000000" w:themeColor="text1"/>
                <w:sz w:val="22"/>
                <w:highlight w:val="none"/>
                <w14:textFill>
                  <w14:solidFill>
                    <w14:schemeClr w14:val="tx1"/>
                  </w14:solidFill>
                </w14:textFill>
              </w:rPr>
              <w:t xml:space="preserve">分，满分1</w:t>
            </w:r>
            <w:r>
              <w:rPr>
                <w:rFonts w:hint="eastAsia" w:ascii="宋体" w:hAnsi="宋体" w:cs="宋体"/>
                <w:color w:val="000000" w:themeColor="text1"/>
                <w:sz w:val="22"/>
                <w:highlight w:val="none"/>
                <w:lang w:val="en-US" w:eastAsia="zh-CN"/>
                <w14:textFill>
                  <w14:solidFill>
                    <w14:schemeClr w14:val="tx1"/>
                  </w14:solidFill>
                </w14:textFill>
              </w:rPr>
              <w:t xml:space="preserve">2</w:t>
            </w:r>
            <w:r>
              <w:rPr>
                <w:rFonts w:ascii="宋体" w:hAnsi="宋体" w:eastAsia="宋体" w:cs="宋体"/>
                <w:color w:val="000000" w:themeColor="text1"/>
                <w:sz w:val="22"/>
                <w:highlight w:val="none"/>
                <w14:textFill>
                  <w14:solidFill>
                    <w14:schemeClr w14:val="tx1"/>
                  </w14:solidFill>
                </w14:textFill>
              </w:rPr>
              <w:t xml:space="preserve">分。</w:t>
            </w:r>
            <w:r>
              <w:rPr>
                <w:rFonts w:ascii="宋体" w:hAnsi="宋体" w:eastAsia="宋体" w:cs="宋体"/>
                <w:b/>
                <w:color w:val="000000" w:themeColor="text1"/>
                <w:sz w:val="22"/>
                <w:highlight w:val="none"/>
                <w14:textFill>
                  <w14:solidFill>
                    <w14:schemeClr w14:val="tx1"/>
                  </w14:solidFill>
                </w14:textFill>
              </w:rPr>
              <w:t xml:space="preserve">（</w:t>
            </w:r>
            <w:r>
              <w:rPr>
                <w:rFonts w:hint="eastAsia" w:ascii="宋体" w:hAnsi="宋体" w:eastAsia="宋体" w:cs="宋体"/>
                <w:b/>
                <w:color w:val="000000" w:themeColor="text1"/>
                <w:sz w:val="22"/>
                <w:highlight w:val="none"/>
                <w14:textFill>
                  <w14:solidFill>
                    <w14:schemeClr w14:val="tx1"/>
                  </w14:solidFill>
                </w14:textFill>
              </w:rPr>
              <w:t xml:space="preserve">以合同签订日期为准，合同原件扫描上传，同一项目不同合同期限不重复计分</w:t>
            </w:r>
            <w:r>
              <w:rPr>
                <w:rFonts w:ascii="宋体" w:hAnsi="宋体" w:eastAsia="宋体" w:cs="宋体"/>
                <w:b/>
                <w:color w:val="000000" w:themeColor="text1"/>
                <w:sz w:val="22"/>
                <w:highlight w:val="none"/>
                <w14:textFill>
                  <w14:solidFill>
                    <w14:schemeClr w14:val="tx1"/>
                  </w14:solidFill>
                </w14:textFill>
              </w:rPr>
              <w:t xml:space="preserve">）</w:t>
            </w:r>
            <w:r/>
          </w:p>
        </w:tc>
      </w:tr>
      <w:tr>
        <w:trPr>
          <w:trHeight w:val="571"/>
        </w:trPr>
        <w:tc>
          <w:tcPr>
            <w:gridSpan w:val="3"/>
            <w:tcMar>
              <w:left w:w="108" w:type="dxa"/>
              <w:top w:w="0" w:type="dxa"/>
              <w:right w:w="108" w:type="dxa"/>
              <w:bottom w:w="0" w:type="dxa"/>
            </w:tcMar>
            <w:tcW w:w="8948" w:type="dxa"/>
            <w:vAlign w:val="center"/>
            <w:textDirection w:val="lrTb"/>
            <w:noWrap w:val="false"/>
          </w:tcPr>
          <w:p>
            <w:pPr>
              <w:ind w:left="0" w:right="0" w:firstLine="0"/>
              <w:jc w:val="center"/>
              <w:keepLines w:val="0"/>
              <w:keepNext w:val="0"/>
              <w:pageBreakBefore w:val="0"/>
              <w:spacing w:before="0" w:after="0" w:line="240"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满分：100分</w:t>
            </w:r>
            <w:r/>
          </w:p>
        </w:tc>
      </w:tr>
    </w:tbl>
    <w:p>
      <w:pPr>
        <w:pStyle w:val="1085"/>
        <w:ind w:firstLine="422"/>
        <w:rPr>
          <w:rFonts w:hint="default" w:ascii="Times New Roman" w:hAnsi="Times New Roman" w:eastAsia="宋体"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注：政府采购评审中出现下列情形之一的，评审委员会应当启动异常低价投标（响应）审查程序：</w:t>
      </w:r>
      <w:r/>
    </w:p>
    <w:p>
      <w:pPr>
        <w:pStyle w:val="1085"/>
        <w:ind w:firstLine="422"/>
        <w:rPr>
          <w:rFonts w:hint="default" w:ascii="Times New Roman" w:hAnsi="Times New Roman" w:eastAsia="宋体"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85"/>
        <w:ind w:firstLine="422"/>
        <w:rPr>
          <w:rFonts w:hint="default" w:ascii="Times New Roman" w:hAnsi="Times New Roman" w:eastAsia="宋体"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85"/>
        <w:ind w:firstLine="422"/>
        <w:rPr>
          <w:rFonts w:hint="default" w:ascii="Times New Roman" w:hAnsi="Times New Roman" w:eastAsia="宋体"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3.投标（响应）报价低于采购项目最高限价45%的，即投标（响应）报价&lt;采购项目最高限价×45%；</w:t>
      </w:r>
      <w:r/>
    </w:p>
    <w:p>
      <w:pPr>
        <w:pStyle w:val="1085"/>
        <w:ind w:firstLine="422"/>
        <w:rPr>
          <w:rFonts w:hint="default" w:ascii="Times New Roman" w:hAnsi="Times New Roman" w:eastAsia="宋体"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085"/>
        <w:ind w:firstLine="422"/>
        <w:rPr>
          <w:rFonts w:hint="default" w:ascii="Times New Roman" w:hAnsi="Times New Roman" w:eastAsia="宋体"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85"/>
        <w:ind w:firstLine="422"/>
        <w:rPr>
          <w:rFonts w:hint="default" w:ascii="Times New Roman" w:hAnsi="Times New Roman" w:eastAsia="宋体"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85"/>
        <w:ind w:firstLine="422"/>
        <w:rPr>
          <w:rFonts w:hint="default" w:ascii="Times New Roman" w:hAnsi="Times New Roman" w:cs="Times New Roman"/>
          <w:color w:val="000000" w:themeColor="text1"/>
          <w:sz w:val="36"/>
          <w:highlight w:val="none"/>
          <w14:textFill>
            <w14:solidFill>
              <w14:schemeClr w14:val="tx1"/>
            </w14:solidFill>
          </w14:textFill>
        </w:rPr>
      </w:pP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bookmarkEnd w:id="34"/>
      <w:r/>
      <w:r/>
    </w:p>
    <w:p>
      <w:pPr>
        <w:pStyle w:val="1106"/>
        <w:jc w:val="both"/>
        <w:spacing w:line="360" w:lineRule="auto"/>
        <w:rPr>
          <w:rFonts w:hint="default" w:ascii="Times New Roman" w:hAnsi="Times New Roman" w:cs="Times New Roman"/>
          <w:color w:val="000000" w:themeColor="text1"/>
          <w:highlight w:val="none"/>
          <w:lang w:eastAsia="zh-CN"/>
          <w14:textFill>
            <w14:solidFill>
              <w14:schemeClr w14:val="tx1"/>
            </w14:solidFill>
          </w14:textFill>
        </w:rPr>
        <w:outlineLvl w:val="9"/>
      </w:pPr>
      <w:r/>
      <w:bookmarkStart w:id="40" w:name="_Toc12681"/>
      <w:r/>
      <w:bookmarkStart w:id="41" w:name="_Toc109304976"/>
      <w:r/>
      <w:bookmarkStart w:id="42" w:name="_Toc10463"/>
      <w:r/>
      <w:bookmarkStart w:id="43" w:name="_Toc24729"/>
      <w:r/>
      <w:r/>
    </w:p>
    <w:p>
      <w:pPr>
        <w:rPr>
          <w:rFonts w:hint="default" w:ascii="Times New Roman" w:hAnsi="Times New Roman" w:cs="Times New Roman"/>
          <w:color w:val="000000" w:themeColor="text1"/>
          <w:highlight w:val="none"/>
          <w:lang w:eastAsia="zh-CN"/>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br w:type="page" w:clear="all"/>
      </w:r>
      <w:r/>
    </w:p>
    <w:p>
      <w:pPr>
        <w:pStyle w:val="1106"/>
        <w:jc w:val="center"/>
        <w:spacing w:line="360" w:lineRule="auto"/>
        <w:rPr>
          <w:rFonts w:hint="default" w:ascii="Times New Roman" w:hAnsi="Times New Roman" w:cs="Times New Roman"/>
          <w:color w:val="000000" w:themeColor="text1"/>
          <w:sz w:val="52"/>
          <w:highlight w:val="none"/>
          <w:lang w:eastAsia="zh-CN"/>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第六章 竞争性磋商响应文件格式</w:t>
      </w:r>
      <w:bookmarkEnd w:id="40"/>
      <w:r/>
      <w:bookmarkEnd w:id="41"/>
      <w:r/>
      <w:bookmarkEnd w:id="42"/>
      <w:r/>
      <w:bookmarkEnd w:id="43"/>
      <w:r/>
      <w:r/>
    </w:p>
    <w:p>
      <w:pPr>
        <w:jc w:val="center"/>
        <w:spacing w:line="360" w:lineRule="auto"/>
        <w:rPr>
          <w:rFonts w:hint="default" w:ascii="Times New Roman" w:hAnsi="Times New Roman" w:cs="Times New Roman"/>
          <w:b/>
          <w:color w:val="000000" w:themeColor="text1"/>
          <w:sz w:val="22"/>
          <w:highlight w:val="none"/>
          <w14:textFill>
            <w14:solidFill>
              <w14:schemeClr w14:val="tx1"/>
            </w14:solidFill>
          </w14:textFill>
        </w:rPr>
      </w:pPr>
      <w:r>
        <w:rPr>
          <w:rFonts w:hint="default" w:ascii="Times New Roman" w:hAnsi="Times New Roman" w:cs="Times New Roman"/>
          <w:b/>
          <w:color w:val="000000" w:themeColor="text1"/>
          <w:sz w:val="22"/>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sz w:val="72"/>
          <w:szCs w:val="72"/>
          <w:highlight w:val="none"/>
          <w14:textFill>
            <w14:solidFill>
              <w14:schemeClr w14:val="tx1"/>
            </w14:solidFill>
          </w14:textFill>
        </w:rPr>
      </w:pPr>
      <w:r>
        <w:rPr>
          <w:rFonts w:hint="default" w:ascii="Times New Roman" w:hAnsi="Times New Roman" w:cs="Times New Roman"/>
          <w:b/>
          <w:bCs/>
          <w:color w:val="000000" w:themeColor="text1"/>
          <w:sz w:val="72"/>
          <w:szCs w:val="72"/>
          <w:highlight w:val="none"/>
          <w14:textFill>
            <w14:solidFill>
              <w14:schemeClr w14:val="tx1"/>
            </w14:solidFill>
          </w14:textFill>
        </w:rPr>
        <w:t xml:space="preserve">竞争性磋商</w:t>
      </w:r>
      <w:r/>
    </w:p>
    <w:p>
      <w:pPr>
        <w:jc w:val="center"/>
        <w:spacing w:line="360" w:lineRule="auto"/>
        <w:rPr>
          <w:rFonts w:hint="default" w:ascii="Times New Roman" w:hAnsi="Times New Roman" w:cs="Times New Roman"/>
          <w:b/>
          <w:bCs/>
          <w:color w:val="000000" w:themeColor="text1"/>
          <w:sz w:val="72"/>
          <w:szCs w:val="72"/>
          <w:highlight w:val="none"/>
          <w14:textFill>
            <w14:solidFill>
              <w14:schemeClr w14:val="tx1"/>
            </w14:solidFill>
          </w14:textFill>
        </w:rPr>
      </w:pPr>
      <w:r>
        <w:rPr>
          <w:rFonts w:hint="default" w:ascii="Times New Roman" w:hAnsi="Times New Roman" w:cs="Times New Roman"/>
          <w:b/>
          <w:bCs/>
          <w:color w:val="000000" w:themeColor="text1"/>
          <w:sz w:val="72"/>
          <w:szCs w:val="72"/>
          <w:highlight w:val="none"/>
          <w14:textFill>
            <w14:solidFill>
              <w14:schemeClr w14:val="tx1"/>
            </w14:solidFill>
          </w14:textFill>
        </w:rPr>
        <w:t xml:space="preserve">响应文件</w:t>
      </w:r>
      <w:r/>
    </w:p>
    <w:p>
      <w:pPr>
        <w:jc w:val="both"/>
        <w:spacing w:line="360" w:lineRule="auto"/>
        <w:rPr>
          <w:rFonts w:hint="default" w:ascii="Times New Roman" w:hAnsi="Times New Roman" w:cs="Times New Roman"/>
          <w:b/>
          <w:color w:val="000000" w:themeColor="text1"/>
          <w:sz w:val="36"/>
          <w:szCs w:val="21"/>
          <w:highlight w:val="none"/>
          <w14:textFill>
            <w14:solidFill>
              <w14:schemeClr w14:val="tx1"/>
            </w14:solidFill>
          </w14:textFill>
        </w:rPr>
      </w:pPr>
      <w:r>
        <w:rPr>
          <w:rFonts w:hint="default" w:ascii="Times New Roman" w:hAnsi="Times New Roman" w:cs="Times New Roman"/>
          <w:b/>
          <w:color w:val="000000" w:themeColor="text1"/>
          <w:sz w:val="36"/>
          <w:szCs w:val="21"/>
          <w:highlight w:val="none"/>
          <w14:textFill>
            <w14:solidFill>
              <w14:schemeClr w14:val="tx1"/>
            </w14:solidFill>
          </w14:textFill>
        </w:rPr>
      </w:r>
      <w:r/>
    </w:p>
    <w:p>
      <w:pPr>
        <w:jc w:val="both"/>
        <w:spacing w:line="360" w:lineRule="auto"/>
        <w:rPr>
          <w:rFonts w:hint="default" w:ascii="Times New Roman" w:hAnsi="Times New Roman" w:cs="Times New Roman"/>
          <w:b/>
          <w:color w:val="000000" w:themeColor="text1"/>
          <w:sz w:val="36"/>
          <w:szCs w:val="21"/>
          <w:highlight w:val="none"/>
          <w14:textFill>
            <w14:solidFill>
              <w14:schemeClr w14:val="tx1"/>
            </w14:solidFill>
          </w14:textFill>
        </w:rPr>
      </w:pPr>
      <w:r>
        <w:rPr>
          <w:rFonts w:hint="default" w:ascii="Times New Roman" w:hAnsi="Times New Roman" w:cs="Times New Roman"/>
          <w:b/>
          <w:color w:val="000000" w:themeColor="text1"/>
          <w:sz w:val="36"/>
          <w:szCs w:val="21"/>
          <w:highlight w:val="none"/>
          <w14:textFill>
            <w14:solidFill>
              <w14:schemeClr w14:val="tx1"/>
            </w14:solidFill>
          </w14:textFill>
        </w:rPr>
      </w:r>
      <w:r/>
    </w:p>
    <w:p>
      <w:pPr>
        <w:jc w:val="center"/>
        <w:spacing w:line="360" w:lineRule="auto"/>
        <w:rPr>
          <w:rFonts w:hint="default" w:ascii="Times New Roman" w:hAnsi="Times New Roman" w:cs="Times New Roman"/>
          <w:b/>
          <w:color w:val="000000" w:themeColor="text1"/>
          <w:sz w:val="36"/>
          <w:szCs w:val="21"/>
          <w:highlight w:val="none"/>
          <w14:textFill>
            <w14:solidFill>
              <w14:schemeClr w14:val="tx1"/>
            </w14:solidFill>
          </w14:textFill>
        </w:rPr>
      </w:pPr>
      <w:r>
        <w:rPr>
          <w:rFonts w:hint="default" w:ascii="Times New Roman" w:hAnsi="Times New Roman" w:cs="Times New Roman"/>
          <w:b/>
          <w:color w:val="000000" w:themeColor="text1"/>
          <w:sz w:val="36"/>
          <w:szCs w:val="21"/>
          <w:highlight w:val="none"/>
          <w14:textFill>
            <w14:solidFill>
              <w14:schemeClr w14:val="tx1"/>
            </w14:solidFill>
          </w14:textFill>
        </w:rPr>
      </w:r>
      <w:r/>
    </w:p>
    <w:p>
      <w:pPr>
        <w:jc w:val="both"/>
        <w:spacing w:line="360" w:lineRule="auto"/>
        <w:rPr>
          <w:rFonts w:hint="default" w:ascii="Times New Roman" w:hAnsi="Times New Roman" w:cs="Times New Roman"/>
          <w:b/>
          <w:color w:val="000000" w:themeColor="text1"/>
          <w:sz w:val="36"/>
          <w:szCs w:val="21"/>
          <w:highlight w:val="none"/>
          <w14:textFill>
            <w14:solidFill>
              <w14:schemeClr w14:val="tx1"/>
            </w14:solidFill>
          </w14:textFill>
        </w:rPr>
      </w:pPr>
      <w:r>
        <w:rPr>
          <w:rFonts w:hint="default" w:ascii="Times New Roman" w:hAnsi="Times New Roman" w:cs="Times New Roman"/>
          <w:b/>
          <w:color w:val="000000" w:themeColor="text1"/>
          <w:sz w:val="36"/>
          <w:szCs w:val="21"/>
          <w:highlight w:val="none"/>
          <w14:textFill>
            <w14:solidFill>
              <w14:schemeClr w14:val="tx1"/>
            </w14:solidFill>
          </w14:textFill>
        </w:rPr>
      </w:r>
      <w:r/>
    </w:p>
    <w:p>
      <w:pPr>
        <w:spacing w:line="360" w:lineRule="auto"/>
        <w:rPr>
          <w:rFonts w:hint="default" w:ascii="Times New Roman" w:hAnsi="Times New Roman" w:cs="Times New Roman"/>
          <w:b/>
          <w:color w:val="000000" w:themeColor="text1"/>
          <w:sz w:val="36"/>
          <w:highlight w:val="none"/>
          <w14:textFill>
            <w14:solidFill>
              <w14:schemeClr w14:val="tx1"/>
            </w14:solidFill>
          </w14:textFill>
        </w:rPr>
      </w:pPr>
      <w:r>
        <w:rPr>
          <w:rFonts w:hint="default" w:ascii="Times New Roman" w:hAnsi="Times New Roman" w:cs="Times New Roman"/>
          <w:b/>
          <w:color w:val="000000" w:themeColor="text1"/>
          <w:sz w:val="36"/>
          <w:highlight w:val="none"/>
          <w14:textFill>
            <w14:solidFill>
              <w14:schemeClr w14:val="tx1"/>
            </w14:solidFill>
          </w14:textFill>
        </w:rPr>
      </w:r>
      <w:r/>
    </w:p>
    <w:p>
      <w:pPr>
        <w:ind w:firstLine="1084"/>
        <w:spacing w:line="360" w:lineRule="auto"/>
        <w:rPr>
          <w:rFonts w:hint="default" w:ascii="Times New Roman" w:hAnsi="Times New Roman" w:cs="Times New Roman"/>
          <w:b/>
          <w:color w:val="000000" w:themeColor="text1"/>
          <w:sz w:val="36"/>
          <w:highlight w:val="none"/>
          <w14:textFill>
            <w14:solidFill>
              <w14:schemeClr w14:val="tx1"/>
            </w14:solidFill>
          </w14:textFill>
        </w:rPr>
      </w:pPr>
      <w:r>
        <w:rPr>
          <w:rFonts w:hint="default" w:ascii="Times New Roman" w:hAnsi="Times New Roman" w:cs="Times New Roman"/>
          <w:b/>
          <w:color w:val="000000" w:themeColor="text1"/>
          <w:sz w:val="36"/>
          <w:highlight w:val="none"/>
          <w14:textFill>
            <w14:solidFill>
              <w14:schemeClr w14:val="tx1"/>
            </w14:solidFill>
          </w14:textFill>
        </w:rPr>
        <w:t xml:space="preserve">项 目 名 称：</w:t>
      </w:r>
      <w:r>
        <w:rPr>
          <w:rFonts w:hint="default" w:ascii="Times New Roman" w:hAnsi="Times New Roman" w:cs="Times New Roman"/>
          <w:b/>
          <w:color w:val="000000" w:themeColor="text1"/>
          <w:sz w:val="36"/>
          <w:highlight w:val="none"/>
          <w:u w:val="single"/>
          <w14:textFill>
            <w14:solidFill>
              <w14:schemeClr w14:val="tx1"/>
            </w14:solidFill>
          </w14:textFill>
        </w:rPr>
        <w:t xml:space="preserve">                   </w:t>
      </w:r>
      <w:r/>
    </w:p>
    <w:p>
      <w:pPr>
        <w:ind w:firstLine="1084"/>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pPr>
      <w:r>
        <w:rPr>
          <w:rFonts w:hint="default" w:ascii="Times New Roman" w:hAnsi="Times New Roman" w:cs="Times New Roman"/>
          <w:b/>
          <w:color w:val="000000" w:themeColor="text1"/>
          <w:sz w:val="36"/>
          <w:highlight w:val="none"/>
          <w14:textFill>
            <w14:solidFill>
              <w14:schemeClr w14:val="tx1"/>
            </w14:solidFill>
          </w14:textFill>
        </w:rPr>
        <w:t xml:space="preserve">项 目 编 号：</w:t>
      </w:r>
      <w:r>
        <w:rPr>
          <w:rFonts w:hint="default" w:ascii="Times New Roman" w:hAnsi="Times New Roman" w:cs="Times New Roman"/>
          <w:b/>
          <w:color w:val="000000" w:themeColor="text1"/>
          <w:sz w:val="36"/>
          <w:highlight w:val="none"/>
          <w:u w:val="single"/>
          <w14:textFill>
            <w14:solidFill>
              <w14:schemeClr w14:val="tx1"/>
            </w14:solidFill>
          </w14:textFill>
        </w:rPr>
        <w:t xml:space="preserve">                   </w:t>
      </w:r>
      <w:r/>
    </w:p>
    <w:p>
      <w:pPr>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pPr>
      <w:r>
        <w:rPr>
          <w:rFonts w:hint="default" w:ascii="Times New Roman" w:hAnsi="Times New Roman" w:cs="Times New Roman"/>
          <w:b/>
          <w:color w:val="000000" w:themeColor="text1"/>
          <w:sz w:val="36"/>
          <w:highlight w:val="none"/>
          <w14:textFill>
            <w14:solidFill>
              <w14:schemeClr w14:val="tx1"/>
            </w14:solidFill>
          </w14:textFill>
        </w:rPr>
        <w:t xml:space="preserve">      磋商供应商名称 ：</w:t>
      </w:r>
      <w:r>
        <w:rPr>
          <w:rFonts w:hint="default" w:ascii="Times New Roman" w:hAnsi="Times New Roman" w:cs="Times New Roman"/>
          <w:b/>
          <w:color w:val="000000" w:themeColor="text1"/>
          <w:sz w:val="36"/>
          <w:highlight w:val="none"/>
          <w:u w:val="single"/>
          <w14:textFill>
            <w14:solidFill>
              <w14:schemeClr w14:val="tx1"/>
            </w14:solidFill>
          </w14:textFill>
        </w:rPr>
        <w:t xml:space="preserve">               </w:t>
      </w:r>
      <w:r/>
    </w:p>
    <w:p>
      <w:pPr>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pPr>
      <w:r>
        <w:rPr>
          <w:rFonts w:hint="default" w:ascii="Times New Roman" w:hAnsi="Times New Roman" w:cs="Times New Roman"/>
          <w:b/>
          <w:color w:val="000000" w:themeColor="text1"/>
          <w:sz w:val="36"/>
          <w:highlight w:val="none"/>
          <w14:textFill>
            <w14:solidFill>
              <w14:schemeClr w14:val="tx1"/>
            </w14:solidFill>
          </w14:textFill>
        </w:rPr>
        <w:t xml:space="preserve">      日      期 ：</w:t>
      </w:r>
      <w:r>
        <w:rPr>
          <w:rFonts w:hint="default" w:ascii="Times New Roman" w:hAnsi="Times New Roman" w:cs="Times New Roman"/>
          <w:b/>
          <w:color w:val="000000" w:themeColor="text1"/>
          <w:sz w:val="36"/>
          <w:highlight w:val="none"/>
          <w:u w:val="single"/>
          <w14:textFill>
            <w14:solidFill>
              <w14:schemeClr w14:val="tx1"/>
            </w14:solidFill>
          </w14:textFill>
        </w:rPr>
        <w:t xml:space="preserve">                   </w:t>
      </w:r>
      <w:r/>
    </w:p>
    <w:p>
      <w:pPr>
        <w:ind w:firstLine="1084"/>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color w:val="000000" w:themeColor="text1"/>
          <w:sz w:val="36"/>
          <w:highlight w:val="none"/>
          <w14:textFill>
            <w14:solidFill>
              <w14:schemeClr w14:val="tx1"/>
            </w14:solidFill>
          </w14:textFill>
        </w:rPr>
        <w:t xml:space="preserve">供  应  商：</w:t>
      </w:r>
      <w:r>
        <w:rPr>
          <w:rFonts w:hint="default" w:ascii="Times New Roman" w:hAnsi="Times New Roman" w:cs="Times New Roman"/>
          <w:b/>
          <w:color w:val="000000" w:themeColor="text1"/>
          <w:sz w:val="36"/>
          <w:highlight w:val="none"/>
          <w:u w:val="single"/>
          <w14:textFill>
            <w14:solidFill>
              <w14:schemeClr w14:val="tx1"/>
            </w14:solidFill>
          </w14:textFill>
        </w:rPr>
        <w:t xml:space="preserve">         </w:t>
      </w:r>
      <w:r>
        <w:rPr>
          <w:rFonts w:hint="default" w:ascii="Times New Roman" w:hAnsi="Times New Roman" w:cs="Times New Roman"/>
          <w:b/>
          <w:color w:val="000000" w:themeColor="text1"/>
          <w:sz w:val="36"/>
          <w:highlight w:val="none"/>
          <w14:textFill>
            <w14:solidFill>
              <w14:schemeClr w14:val="tx1"/>
            </w14:solidFill>
          </w14:textFill>
        </w:rPr>
        <w:t xml:space="preserve">（电子签章）</w:t>
      </w:r>
      <w:r/>
    </w:p>
    <w:p>
      <w:pPr>
        <w:jc w:val="center"/>
        <w:spacing w:line="360" w:lineRule="auto"/>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r>
      <w:r/>
    </w:p>
    <w:p>
      <w:pPr>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br w:type="page" w:clear="all"/>
      </w:r>
      <w:r/>
    </w:p>
    <w:p>
      <w:pPr>
        <w:jc w:val="center"/>
        <w:spacing w:line="360" w:lineRule="auto"/>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t xml:space="preserve">磋商主要文件目录</w:t>
      </w:r>
      <w:r/>
    </w:p>
    <w:p>
      <w:pPr>
        <w:jc w:val="center"/>
        <w:spacing w:line="360" w:lineRule="auto"/>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r>
      <w:r/>
    </w:p>
    <w:p>
      <w:pPr>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一、资格审查响应对照表</w:t>
      </w:r>
      <w:r/>
    </w:p>
    <w:p>
      <w:pPr>
        <w:ind w:left="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二、符合性审查响应对照表</w:t>
      </w:r>
      <w:r/>
    </w:p>
    <w:p>
      <w:pPr>
        <w:ind w:left="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三、非实质性响应对照表</w:t>
      </w:r>
      <w:r/>
    </w:p>
    <w:p>
      <w:pPr>
        <w:ind w:firstLine="480"/>
        <w:spacing w:line="360" w:lineRule="auto"/>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四</w:t>
      </w:r>
      <w:r>
        <w:rPr>
          <w:rFonts w:hint="default" w:ascii="Times New Roman" w:hAnsi="Times New Roman" w:cs="Times New Roman"/>
          <w:b/>
          <w:bCs/>
          <w:color w:val="000000" w:themeColor="text1"/>
          <w:sz w:val="24"/>
          <w:highlight w:val="none"/>
          <w14:textFill>
            <w14:solidFill>
              <w14:schemeClr w14:val="tx1"/>
            </w14:solidFill>
          </w14:textFill>
        </w:rPr>
        <w:t xml:space="preserve">、</w:t>
      </w:r>
      <w:r>
        <w:rPr>
          <w:rFonts w:hint="default" w:ascii="Times New Roman" w:hAnsi="Times New Roman" w:cs="Times New Roman"/>
          <w:i/>
          <w:color w:val="000000" w:themeColor="text1"/>
          <w:sz w:val="24"/>
          <w:highlight w:val="none"/>
          <w:u w:val="single"/>
          <w14:textFill>
            <w14:solidFill>
              <w14:schemeClr w14:val="tx1"/>
            </w14:solidFill>
          </w14:textFill>
        </w:rPr>
        <w:t xml:space="preserve">磋商响应报价表</w:t>
      </w:r>
      <w:r/>
    </w:p>
    <w:p>
      <w:pPr>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五、</w:t>
      </w:r>
      <w:r>
        <w:rPr>
          <w:rFonts w:hint="default" w:ascii="Times New Roman" w:hAnsi="Times New Roman" w:cs="Times New Roman"/>
          <w:color w:val="000000" w:themeColor="text1"/>
          <w:sz w:val="24"/>
          <w:szCs w:val="24"/>
          <w:highlight w:val="none"/>
          <w14:textFill>
            <w14:solidFill>
              <w14:schemeClr w14:val="tx1"/>
            </w14:solidFill>
          </w14:textFill>
        </w:rPr>
        <w:t xml:space="preserve">技术参数响应及偏离表</w:t>
      </w:r>
      <w:r/>
    </w:p>
    <w:p>
      <w:pPr>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六</w:t>
      </w:r>
      <w:r>
        <w:rPr>
          <w:rFonts w:hint="default" w:ascii="Times New Roman" w:hAnsi="Times New Roman" w:cs="Times New Roman"/>
          <w:color w:val="000000" w:themeColor="text1"/>
          <w:sz w:val="24"/>
          <w:szCs w:val="24"/>
          <w:highlight w:val="none"/>
          <w14:textFill>
            <w14:solidFill>
              <w14:schemeClr w14:val="tx1"/>
            </w14:solidFill>
          </w14:textFill>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商务条款响应及偏离表</w:t>
      </w:r>
      <w:r/>
    </w:p>
    <w:p>
      <w:pPr>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七、拟投入人员一览表</w:t>
      </w:r>
      <w:r/>
    </w:p>
    <w:p>
      <w:pPr>
        <w:ind w:firstLine="48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八、其他 （供应商认为有必要提供的声明和文件，如有自拟并自行添加）</w:t>
      </w:r>
      <w:r/>
    </w:p>
    <w:p>
      <w:pPr>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pPr>
      <w:r>
        <w:rPr>
          <w:rFonts w:hint="default" w:ascii="Times New Roman" w:hAnsi="Times New Roman" w:cs="Times New Roman"/>
          <w:b/>
          <w:color w:val="000000" w:themeColor="text1"/>
          <w:sz w:val="36"/>
          <w:highlight w:val="none"/>
          <w:u w:val="single"/>
          <w14:textFill>
            <w14:solidFill>
              <w14:schemeClr w14:val="tx1"/>
            </w14:solidFill>
          </w14:textFill>
        </w:rPr>
      </w:r>
      <w:r/>
    </w:p>
    <w:p>
      <w:pPr>
        <w:pStyle w:val="906"/>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pPr>
      <w:r>
        <w:rPr>
          <w:rFonts w:hint="default" w:ascii="Times New Roman" w:hAnsi="Times New Roman" w:cs="Times New Roman"/>
          <w:b/>
          <w:color w:val="000000" w:themeColor="text1"/>
          <w:sz w:val="36"/>
          <w:highlight w:val="none"/>
          <w:u w:val="single"/>
          <w14:textFill>
            <w14:solidFill>
              <w14:schemeClr w14:val="tx1"/>
            </w14:solidFill>
          </w14:textFill>
        </w:rPr>
      </w:r>
      <w:r/>
    </w:p>
    <w:p>
      <w:pPr>
        <w:pStyle w:val="911"/>
        <w:spacing w:line="360" w:lineRule="auto"/>
        <w:rPr>
          <w:rFonts w:hint="default" w:ascii="Times New Roman" w:hAnsi="Times New Roman" w:cs="Times New Roman"/>
          <w:b/>
          <w:color w:val="000000" w:themeColor="text1"/>
          <w:sz w:val="36"/>
          <w:highlight w:val="none"/>
          <w:u w:val="single"/>
          <w:lang w:eastAsia="zh-CN"/>
          <w14:textFill>
            <w14:solidFill>
              <w14:schemeClr w14:val="tx1"/>
            </w14:solidFill>
          </w14:textFill>
        </w:rPr>
      </w:pPr>
      <w:r>
        <w:rPr>
          <w:rFonts w:hint="default" w:ascii="Times New Roman" w:hAnsi="Times New Roman" w:cs="Times New Roman"/>
          <w:b/>
          <w:color w:val="000000" w:themeColor="text1"/>
          <w:sz w:val="36"/>
          <w:highlight w:val="none"/>
          <w:u w:val="single"/>
          <w:lang w:eastAsia="zh-CN"/>
          <w14:textFill>
            <w14:solidFill>
              <w14:schemeClr w14:val="tx1"/>
            </w14:solidFill>
          </w14:textFill>
        </w:rPr>
      </w:r>
      <w:r/>
    </w:p>
    <w:p>
      <w:pPr>
        <w:pStyle w:val="912"/>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outlineLvl w:val="9"/>
      </w:pPr>
      <w:r>
        <w:rPr>
          <w:rFonts w:hint="default" w:ascii="Times New Roman" w:hAnsi="Times New Roman" w:cs="Times New Roman"/>
          <w:b/>
          <w:color w:val="000000" w:themeColor="text1"/>
          <w:sz w:val="36"/>
          <w:highlight w:val="none"/>
          <w:u w:val="single"/>
          <w14:textFill>
            <w14:solidFill>
              <w14:schemeClr w14:val="tx1"/>
            </w14:solidFill>
          </w14:textFill>
        </w:rPr>
      </w:r>
      <w:r/>
    </w:p>
    <w:p>
      <w:pPr>
        <w:pStyle w:val="914"/>
        <w:ind w:firstLine="723"/>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pPr>
      <w:r>
        <w:rPr>
          <w:rFonts w:hint="default" w:ascii="Times New Roman" w:hAnsi="Times New Roman" w:cs="Times New Roman"/>
          <w:b/>
          <w:color w:val="000000" w:themeColor="text1"/>
          <w:sz w:val="36"/>
          <w:highlight w:val="none"/>
          <w:u w:val="single"/>
          <w14:textFill>
            <w14:solidFill>
              <w14:schemeClr w14:val="tx1"/>
            </w14:solidFill>
          </w14:textFill>
        </w:rPr>
      </w:r>
      <w:r/>
    </w:p>
    <w:p>
      <w:pPr>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pPr>
      <w:r>
        <w:rPr>
          <w:rFonts w:hint="default" w:ascii="Times New Roman" w:hAnsi="Times New Roman" w:cs="Times New Roman"/>
          <w:b/>
          <w:color w:val="000000" w:themeColor="text1"/>
          <w:sz w:val="36"/>
          <w:highlight w:val="none"/>
          <w:u w:val="single"/>
          <w14:textFill>
            <w14:solidFill>
              <w14:schemeClr w14:val="tx1"/>
            </w14:solidFill>
          </w14:textFill>
        </w:rPr>
      </w:r>
      <w:r/>
    </w:p>
    <w:p>
      <w:pPr>
        <w:pStyle w:val="906"/>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pPr>
      <w:r>
        <w:rPr>
          <w:rFonts w:hint="default" w:ascii="Times New Roman" w:hAnsi="Times New Roman" w:cs="Times New Roman"/>
          <w:b/>
          <w:color w:val="000000" w:themeColor="text1"/>
          <w:sz w:val="36"/>
          <w:highlight w:val="none"/>
          <w:u w:val="single"/>
          <w14:textFill>
            <w14:solidFill>
              <w14:schemeClr w14:val="tx1"/>
            </w14:solidFill>
          </w14:textFill>
        </w:rPr>
      </w:r>
      <w:r/>
    </w:p>
    <w:p>
      <w:pPr>
        <w:pStyle w:val="911"/>
        <w:spacing w:line="360" w:lineRule="auto"/>
        <w:rPr>
          <w:rFonts w:hint="default" w:ascii="Times New Roman" w:hAnsi="Times New Roman" w:cs="Times New Roman"/>
          <w:b/>
          <w:color w:val="000000" w:themeColor="text1"/>
          <w:sz w:val="36"/>
          <w:highlight w:val="none"/>
          <w:u w:val="single"/>
          <w:lang w:eastAsia="zh-CN"/>
          <w14:textFill>
            <w14:solidFill>
              <w14:schemeClr w14:val="tx1"/>
            </w14:solidFill>
          </w14:textFill>
        </w:rPr>
      </w:pPr>
      <w:r>
        <w:rPr>
          <w:rFonts w:hint="default" w:ascii="Times New Roman" w:hAnsi="Times New Roman" w:cs="Times New Roman"/>
          <w:b/>
          <w:color w:val="000000" w:themeColor="text1"/>
          <w:sz w:val="36"/>
          <w:highlight w:val="none"/>
          <w:u w:val="single"/>
          <w:lang w:eastAsia="zh-CN"/>
          <w14:textFill>
            <w14:solidFill>
              <w14:schemeClr w14:val="tx1"/>
            </w14:solidFill>
          </w14:textFill>
        </w:rPr>
      </w:r>
      <w:r/>
    </w:p>
    <w:p>
      <w:pPr>
        <w:pStyle w:val="912"/>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outlineLvl w:val="9"/>
      </w:pPr>
      <w:r>
        <w:rPr>
          <w:rFonts w:hint="default" w:ascii="Times New Roman" w:hAnsi="Times New Roman" w:cs="Times New Roman"/>
          <w:b/>
          <w:color w:val="000000" w:themeColor="text1"/>
          <w:sz w:val="36"/>
          <w:highlight w:val="none"/>
          <w:u w:val="single"/>
          <w14:textFill>
            <w14:solidFill>
              <w14:schemeClr w14:val="tx1"/>
            </w14:solidFill>
          </w14:textFill>
        </w:rPr>
      </w:r>
      <w:r/>
    </w:p>
    <w:p>
      <w:pPr>
        <w:pStyle w:val="914"/>
        <w:ind w:firstLine="723"/>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pPr>
      <w:r>
        <w:rPr>
          <w:rFonts w:hint="default" w:ascii="Times New Roman" w:hAnsi="Times New Roman" w:cs="Times New Roman"/>
          <w:b/>
          <w:color w:val="000000" w:themeColor="text1"/>
          <w:sz w:val="36"/>
          <w:highlight w:val="none"/>
          <w:u w:val="single"/>
          <w14:textFill>
            <w14:solidFill>
              <w14:schemeClr w14:val="tx1"/>
            </w14:solidFill>
          </w14:textFill>
        </w:rPr>
      </w:r>
      <w:r/>
    </w:p>
    <w:p>
      <w:pPr>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pPr>
      <w:r>
        <w:rPr>
          <w:rFonts w:hint="default" w:ascii="Times New Roman" w:hAnsi="Times New Roman" w:cs="Times New Roman"/>
          <w:b/>
          <w:color w:val="000000" w:themeColor="text1"/>
          <w:sz w:val="36"/>
          <w:highlight w:val="none"/>
          <w:u w:val="single"/>
          <w14:textFill>
            <w14:solidFill>
              <w14:schemeClr w14:val="tx1"/>
            </w14:solidFill>
          </w14:textFill>
        </w:rPr>
      </w:r>
      <w:r/>
    </w:p>
    <w:p>
      <w:pPr>
        <w:spacing w:line="360" w:lineRule="auto"/>
        <w:rPr>
          <w:rFonts w:hint="default" w:ascii="Times New Roman" w:hAnsi="Times New Roman" w:cs="Times New Roman"/>
          <w:b/>
          <w:color w:val="000000" w:themeColor="text1"/>
          <w:sz w:val="36"/>
          <w:highlight w:val="none"/>
          <w:u w:val="single"/>
          <w14:textFill>
            <w14:solidFill>
              <w14:schemeClr w14:val="tx1"/>
            </w14:solidFill>
          </w14:textFill>
        </w:rPr>
      </w:pPr>
      <w:r>
        <w:rPr>
          <w:rFonts w:hint="default" w:ascii="Times New Roman" w:hAnsi="Times New Roman" w:cs="Times New Roman"/>
          <w:b/>
          <w:color w:val="000000" w:themeColor="text1"/>
          <w:sz w:val="36"/>
          <w:highlight w:val="none"/>
          <w:u w:val="single"/>
          <w14:textFill>
            <w14:solidFill>
              <w14:schemeClr w14:val="tx1"/>
            </w14:solidFill>
          </w14:textFill>
        </w:rPr>
      </w:r>
      <w:r/>
    </w:p>
    <w:p>
      <w:pPr>
        <w:pStyle w:val="911"/>
        <w:spacing w:line="360" w:lineRule="auto"/>
        <w:rPr>
          <w:rFonts w:hint="default" w:ascii="Times New Roman" w:hAnsi="Times New Roman" w:cs="Times New Roman"/>
          <w:color w:val="000000" w:themeColor="text1"/>
          <w:highlight w:val="none"/>
          <w:lang w:eastAsia="zh-CN"/>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r>
      <w:r/>
    </w:p>
    <w:p>
      <w:pPr>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r>
      <w:r/>
    </w:p>
    <w:p>
      <w:pPr>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一、资格审查响应对照表</w:t>
      </w:r>
      <w:r/>
    </w:p>
    <w:tbl>
      <w:tblPr>
        <w:tblStyle w:val="8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793"/>
        <w:gridCol w:w="1812"/>
      </w:tblGrid>
      <w:tr>
        <w:trPr>
          <w:trHeight w:val="647"/>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序号</w:t>
            </w:r>
            <w:r/>
          </w:p>
        </w:tc>
        <w:tc>
          <w:tcPr>
            <w:tcW w:w="579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资格审查响应内容</w:t>
            </w:r>
            <w:r/>
          </w:p>
        </w:tc>
        <w:tc>
          <w:tcPr>
            <w:tcW w:w="1812"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是否响应</w:t>
            </w:r>
            <w:r/>
          </w:p>
          <w:p>
            <w:pPr>
              <w:jc w:val="center"/>
              <w:keepLines w:val="0"/>
              <w:keepNext w:val="0"/>
              <w:pageBreakBefore w:val="0"/>
              <w:spacing w:line="360" w:lineRule="exact"/>
              <w:widowControl w:val="off"/>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（填是或者否）</w:t>
            </w:r>
            <w:r/>
          </w:p>
        </w:tc>
      </w:tr>
      <w:tr>
        <w:trPr>
          <w:trHeight w:val="335"/>
        </w:trPr>
        <w:tc>
          <w:tcPr>
            <w:gridSpan w:val="3"/>
            <w:tcW w:w="8251"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法人或者其他组织的营业执照等证明文件，自然人的身份证明（身份证为正、反面）</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依法缴纳税收和社会保障资金的相关材料（提供提交投标文件截止时间前一年内至少一个月依法缴纳税收及缴纳社会保障资金的证明材料。供应商依法享受缓缴、免缴税收、社会保障资金的提供。）</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trHeight w:val="515"/>
        </w:trPr>
        <w:tc>
          <w:tcPr>
            <w:tcW w:w="64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3</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b w:val="0"/>
                <w:bCs w:val="0"/>
                <w:iCs/>
                <w:color w:val="000000" w:themeColor="text1"/>
                <w:szCs w:val="21"/>
                <w:highlight w:val="none"/>
                <w14:textFill>
                  <w14:solidFill>
                    <w14:schemeClr w14:val="tx1"/>
                  </w14:solidFill>
                </w14:textFill>
              </w:rPr>
            </w:pPr>
            <w:r>
              <w:rPr>
                <w:rFonts w:hint="default" w:ascii="Times New Roman" w:hAnsi="Times New Roman" w:cs="Times New Roman"/>
                <w:b w:val="0"/>
                <w:bCs w:val="0"/>
                <w:color w:val="000000" w:themeColor="text1"/>
                <w:szCs w:val="21"/>
                <w:highlight w:val="none"/>
                <w14:textFill>
                  <w14:solidFill>
                    <w14:schemeClr w14:val="tx1"/>
                  </w14:solidFill>
                </w14:textFill>
              </w:rPr>
              <w:t xml:space="preserve">上一年度的财务报告情况（成立不满一年不需提供）</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b w:val="0"/>
                <w:bCs w:val="0"/>
                <w:color w:val="000000" w:themeColor="text1"/>
                <w:szCs w:val="21"/>
                <w:highlight w:val="none"/>
                <w14:textFill>
                  <w14:solidFill>
                    <w14:schemeClr w14:val="tx1"/>
                  </w14:solidFill>
                </w14:textFill>
              </w:rPr>
            </w:pPr>
            <w:r>
              <w:rPr>
                <w:rFonts w:hint="default" w:ascii="Times New Roman" w:hAnsi="Times New Roman" w:cs="Times New Roman"/>
                <w:b w:val="0"/>
                <w:bCs w:val="0"/>
                <w:color w:val="000000" w:themeColor="text1"/>
                <w:szCs w:val="21"/>
                <w:highlight w:val="none"/>
                <w14:textFill>
                  <w14:solidFill>
                    <w14:schemeClr w14:val="tx1"/>
                  </w14:solidFill>
                </w14:textFill>
              </w:rPr>
            </w:r>
            <w:r/>
          </w:p>
        </w:tc>
      </w:tr>
      <w:tr>
        <w:trPr>
          <w:trHeight w:val="662"/>
        </w:trPr>
        <w:tc>
          <w:tcPr>
            <w:tcW w:w="64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4</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i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具备履行合同所必需的设备和专业技术能力的证明材料</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5</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i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参加本次政府采购活动前3年内在经营活动中没有重大违法记录的书面声明</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6</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7</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供应商信用承诺</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书</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trHeight w:val="90"/>
        </w:trPr>
        <w:tc>
          <w:tcPr>
            <w:gridSpan w:val="3"/>
            <w:tcW w:w="8251"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落实政府采购政策需满足的资格要求</w:t>
            </w:r>
            <w:r/>
          </w:p>
        </w:tc>
      </w:tr>
      <w:tr>
        <w:trPr>
          <w:trHeight w:val="400"/>
        </w:trPr>
        <w:tc>
          <w:tcPr>
            <w:tcW w:w="64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8</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i/>
                <w:iCs/>
                <w:color w:val="000000" w:themeColor="text1"/>
                <w:szCs w:val="21"/>
                <w:highlight w:val="none"/>
                <w:u w:val="single"/>
                <w14:textFill>
                  <w14:solidFill>
                    <w14:schemeClr w14:val="tx1"/>
                  </w14:solidFill>
                </w14:textFill>
              </w:rPr>
              <w:t xml:space="preserve">根据《政府采购促进中小企业发展管理办法》的规定，本项目专门面向中小企业采购，供应商投标时须提供《中小企业声明函》，《中小企业声明函》不符合要求或未提供的，响应文件无效。</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9</w:t>
            </w:r>
            <w:r/>
          </w:p>
        </w:tc>
        <w:tc>
          <w:tcPr>
            <w:tcW w:w="5793"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b w:val="0"/>
                <w:bCs w:val="0"/>
                <w:i/>
                <w:iCs/>
                <w:color w:val="000000" w:themeColor="text1"/>
                <w:szCs w:val="21"/>
                <w:highlight w:val="none"/>
                <w:u w:val="single"/>
                <w:lang w:val="en-US" w:eastAsia="zh-CN"/>
                <w14:textFill>
                  <w14:solidFill>
                    <w14:schemeClr w14:val="tx1"/>
                  </w14:solidFill>
                </w14:textFill>
              </w:rPr>
            </w:pPr>
            <w:r>
              <w:rPr>
                <w:rFonts w:hint="eastAsia" w:cs="Times New Roman"/>
                <w:b w:val="0"/>
                <w:bCs w:val="0"/>
                <w:color w:val="000000" w:themeColor="text1"/>
                <w:highlight w:val="none"/>
                <w:lang w:val="en-US" w:eastAsia="zh-CN"/>
                <w14:textFill>
                  <w14:solidFill>
                    <w14:schemeClr w14:val="tx1"/>
                  </w14:solidFill>
                </w14:textFill>
              </w:rPr>
              <w:t xml:space="preserve">无</w:t>
            </w:r>
            <w:r>
              <w:rPr>
                <w:rFonts w:hint="default" w:ascii="Times New Roman" w:hAnsi="Times New Roman" w:cs="Times New Roman"/>
                <w:b w:val="0"/>
                <w:bCs w:val="0"/>
                <w:color w:val="000000" w:themeColor="text1"/>
                <w:highlight w:val="none"/>
                <w14:textFill>
                  <w14:solidFill>
                    <w14:schemeClr w14:val="tx1"/>
                  </w14:solidFill>
                </w14:textFill>
              </w:rPr>
              <w:t xml:space="preserve">。</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b w:val="0"/>
                <w:bCs w:val="0"/>
                <w:i/>
                <w:iCs/>
                <w:color w:val="000000" w:themeColor="text1"/>
                <w:szCs w:val="21"/>
                <w:highlight w:val="none"/>
                <w:u w:val="single"/>
                <w14:textFill>
                  <w14:solidFill>
                    <w14:schemeClr w14:val="tx1"/>
                  </w14:solidFill>
                </w14:textFill>
              </w:rPr>
            </w:pPr>
            <w:r>
              <w:rPr>
                <w:rFonts w:hint="default" w:ascii="Times New Roman" w:hAnsi="Times New Roman" w:eastAsia="宋体" w:cs="Times New Roman"/>
                <w:b w:val="0"/>
                <w:bCs w:val="0"/>
                <w:i/>
                <w:iCs/>
                <w:color w:val="000000" w:themeColor="text1"/>
                <w:szCs w:val="21"/>
                <w:highlight w:val="none"/>
                <w:u w:val="single"/>
                <w14:textFill>
                  <w14:solidFill>
                    <w14:schemeClr w14:val="tx1"/>
                  </w14:solidFill>
                </w14:textFill>
              </w:rPr>
            </w:r>
            <w:r/>
          </w:p>
        </w:tc>
      </w:tr>
      <w:tr>
        <w:trPr>
          <w:trHeight w:val="400"/>
        </w:trPr>
        <w:tc>
          <w:tcPr>
            <w:gridSpan w:val="3"/>
            <w:tcW w:w="8251"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10</w:t>
            </w:r>
            <w:r/>
          </w:p>
        </w:tc>
        <w:tc>
          <w:tcPr>
            <w:tcW w:w="5793"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cs="Times New Roman"/>
                <w:iCs/>
                <w:color w:val="000000" w:themeColor="text1"/>
                <w:szCs w:val="21"/>
                <w:highlight w:val="none"/>
                <w14:textFill>
                  <w14:solidFill>
                    <w14:schemeClr w14:val="tx1"/>
                  </w14:solidFill>
                </w14:textFill>
              </w:rPr>
            </w:pPr>
            <w:r>
              <w:rPr>
                <w:rFonts w:hint="default" w:ascii="Times New Roman" w:hAnsi="Times New Roman" w:cs="Times New Roman"/>
                <w:iCs/>
                <w:color w:val="000000" w:themeColor="text1"/>
                <w:szCs w:val="21"/>
                <w:highlight w:val="none"/>
                <w14:textFill>
                  <w14:solidFill>
                    <w14:schemeClr w14:val="tx1"/>
                  </w14:solidFill>
                </w14:textFill>
              </w:rPr>
              <w:t xml:space="preserve">磋商响应函</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11</w:t>
            </w:r>
            <w:r/>
          </w:p>
        </w:tc>
        <w:tc>
          <w:tcPr>
            <w:tcW w:w="5793"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cs="Times New Roman"/>
                <w:iCs/>
                <w:color w:val="000000" w:themeColor="text1"/>
                <w:szCs w:val="21"/>
                <w:highlight w:val="none"/>
                <w14:textFill>
                  <w14:solidFill>
                    <w14:schemeClr w14:val="tx1"/>
                  </w14:solidFill>
                </w14:textFill>
              </w:rPr>
            </w:pPr>
            <w:r>
              <w:rPr>
                <w:rFonts w:hint="default" w:ascii="Times New Roman" w:hAnsi="Times New Roman" w:cs="Times New Roman"/>
                <w:iCs/>
                <w:color w:val="000000" w:themeColor="text1"/>
                <w:szCs w:val="21"/>
                <w:highlight w:val="none"/>
                <w14:textFill>
                  <w14:solidFill>
                    <w14:schemeClr w14:val="tx1"/>
                  </w14:solidFill>
                </w14:textFill>
              </w:rPr>
              <w:t xml:space="preserve">法人授权书</w:t>
            </w:r>
            <w:r/>
          </w:p>
        </w:tc>
        <w:tc>
          <w:tcPr>
            <w:tcW w:w="1812"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bl>
    <w:p>
      <w:pPr>
        <w:pStyle w:val="911"/>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912"/>
        <w:spacing w:line="360" w:lineRule="auto"/>
        <w:rPr>
          <w:rFonts w:hint="default" w:ascii="Times New Roman" w:hAnsi="Times New Roman" w:cs="Times New Roman"/>
          <w:color w:val="000000" w:themeColor="text1"/>
          <w:highlight w:val="none"/>
          <w14:textFill>
            <w14:solidFill>
              <w14:schemeClr w14:val="tx1"/>
            </w14:solidFill>
          </w14:textFill>
        </w:rPr>
        <w:outlineLvl w:val="9"/>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br w:type="page" w:clear="all"/>
      </w:r>
      <w:r/>
    </w:p>
    <w:p>
      <w:pPr>
        <w:jc w:val="center"/>
        <w:spacing w:before="156" w:after="156"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具备履行合同所必需的设备和专业技术能力的书面声明</w:t>
      </w:r>
      <w:r/>
    </w:p>
    <w:p>
      <w:pPr>
        <w:ind w:firstLine="492"/>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主要设备有：</w:t>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bCs/>
          <w:color w:val="000000" w:themeColor="text1"/>
          <w:szCs w:val="21"/>
          <w:highlight w:val="none"/>
          <w14:textFill>
            <w14:solidFill>
              <w14:schemeClr w14:val="tx1"/>
            </w14:solidFill>
          </w14:textFill>
        </w:rPr>
        <w:t xml:space="preserve">。</w:t>
      </w:r>
      <w:r/>
    </w:p>
    <w:p>
      <w:pPr>
        <w:ind w:firstLine="492"/>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主要专业技术能力有：</w:t>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bCs/>
          <w:color w:val="000000" w:themeColor="text1"/>
          <w:szCs w:val="21"/>
          <w:highlight w:val="none"/>
          <w14:textFill>
            <w14:solidFill>
              <w14:schemeClr w14:val="tx1"/>
            </w14:solidFill>
          </w14:textFill>
        </w:rPr>
        <w:t xml:space="preserve">。</w:t>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br w:type="page" w:clear="all"/>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参加本次政府采购活动前 3 年内在经营活动中没有重大违法记录的书面声明</w:t>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jc w:val="center"/>
        <w:spacing w:after="312"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声  明</w:t>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default" w:ascii="Times New Roman" w:hAnsi="Times New Roman" w:cs="Times New Roman"/>
          <w:bCs/>
          <w:color w:val="000000" w:themeColor="text1"/>
          <w:highlight w:val="none"/>
          <w:u w:val="singl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供应商名称（公章）：</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p>
    <w:p>
      <w:pPr>
        <w:spacing w:line="360" w:lineRule="auto"/>
        <w:rPr>
          <w:rFonts w:hint="default" w:ascii="Times New Roman" w:hAnsi="Times New Roman" w:cs="Times New Roman"/>
          <w:bCs/>
          <w:color w:val="000000" w:themeColor="text1"/>
          <w:highlight w:val="none"/>
          <w:u w:val="singl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法定代表人签章：</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供应商信用承诺书</w:t>
      </w:r>
      <w:r/>
    </w:p>
    <w:p>
      <w:pPr>
        <w:spacing w:line="360" w:lineRule="auto"/>
        <w:rPr>
          <w:rFonts w:hint="default" w:ascii="Times New Roman" w:hAnsi="Times New Roman" w:cs="Times New Roman"/>
          <w:color w:val="000000" w:themeColor="text1"/>
          <w:szCs w:val="32"/>
          <w:highlight w:val="none"/>
          <w14:textFill>
            <w14:solidFill>
              <w14:schemeClr w14:val="tx1"/>
            </w14:solidFill>
          </w14:textFill>
        </w:rPr>
      </w:pPr>
      <w:r>
        <w:rPr>
          <w:rFonts w:hint="default" w:ascii="Times New Roman" w:hAnsi="Times New Roman" w:cs="Times New Roman"/>
          <w:color w:val="000000" w:themeColor="text1"/>
          <w:szCs w:val="32"/>
          <w:highlight w:val="none"/>
          <w14:textFill>
            <w14:solidFill>
              <w14:schemeClr w14:val="tx1"/>
            </w14:solidFill>
          </w14:textFill>
        </w:rPr>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承诺主体名称：</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统一社会信用代码：</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七、严格遵守信用信息公示相关规定，向社会公示信用信息；</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十、本承诺书自签订之日起生效。</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（注：法定代表人或负责人、主体名称发生变更的应当重新做出承诺。）</w:t>
      </w:r>
      <w:r/>
    </w:p>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　　　　　　　　　　                    </w:t>
      </w:r>
      <w:r/>
    </w:p>
    <w:p>
      <w:pPr>
        <w:jc w:val="righ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承诺单位（签章）： </w:t>
      </w:r>
      <w:r/>
    </w:p>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　　　　　　　　　   　  法定代表人（负责人）：</w:t>
      </w:r>
      <w:r/>
    </w:p>
    <w:p>
      <w:pPr>
        <w:jc w:val="righ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　　　　　　　　　      　年 月 日</w:t>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磋商响应函</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致：扬州览众建设工程咨询服务有限公司</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根据贵方的</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 w:val="21"/>
          <w:szCs w:val="21"/>
          <w:highlight w:val="none"/>
          <w14:textFill>
            <w14:solidFill>
              <w14:schemeClr w14:val="tx1"/>
            </w14:solidFill>
          </w14:textFill>
        </w:rPr>
        <w:t xml:space="preserve">号磋商文件，正式授权下述签字人_________ (姓名和职务)代表我方______________（供应商的名称），全权处理本次项目磋商采购的有关事宜。</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据此函，__________（签字人）兹宣布同意如下：</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1.按磋商文件规定的各项要求，向买方提供所需服务。</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2.我们已详细审核全部磋商文件及其有效补充文件，我们知道必须放弃提出含糊不清或误解问题的权利。</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3.我们同意从规定的响应文件接收截止时间起遵循本响应文件，并在规定的磋商有效期期满之前均具有约束力。</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6.遵守磋商文件中要求的收费项目和标准。</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7.与本磋商采购有关的正式通讯地址为：</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地 址：                         邮 编：</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电 话：                         传 真：</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供应商开户行：                  账 户： </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法定代表人姓名（签章）：         联系电话：</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供应商名称（公章）：            </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日 期：_____年____月____日</w:t>
      </w:r>
      <w:r/>
    </w:p>
    <w:p>
      <w:pPr>
        <w:pStyle w:val="1095"/>
        <w:ind w:firstLine="422"/>
        <w:jc w:val="center"/>
        <w:spacing w:after="312" w:line="360" w:lineRule="auto"/>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br w:type="page" w:clear="all"/>
      </w:r>
      <w:r>
        <w:rPr>
          <w:rFonts w:hint="default" w:ascii="Times New Roman" w:hAnsi="Times New Roman" w:cs="Times New Roman"/>
          <w:b/>
          <w:color w:val="000000" w:themeColor="text1"/>
          <w:sz w:val="21"/>
          <w:szCs w:val="21"/>
          <w:highlight w:val="none"/>
          <w14:textFill>
            <w14:solidFill>
              <w14:schemeClr w14:val="tx1"/>
            </w14:solidFill>
          </w14:textFill>
        </w:rPr>
        <w:t xml:space="preserve">法人授权书</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本授权书声明：________________（供应商名称）授权__________（被授权人的姓名）为我方就</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         号</w:t>
      </w:r>
      <w:r>
        <w:rPr>
          <w:rFonts w:hint="default" w:ascii="Times New Roman" w:hAnsi="Times New Roman" w:cs="Times New Roman"/>
          <w:color w:val="000000" w:themeColor="text1"/>
          <w:sz w:val="21"/>
          <w:szCs w:val="21"/>
          <w:highlight w:val="none"/>
          <w14:textFill>
            <w14:solidFill>
              <w14:schemeClr w14:val="tx1"/>
            </w14:solidFill>
          </w14:textFill>
        </w:rPr>
        <w:t xml:space="preserve">（项目编号）</w:t>
      </w:r>
      <w:r>
        <w:rPr>
          <w:rFonts w:hint="eastAsia" w:cs="Times New Roman"/>
          <w:color w:val="000000" w:themeColor="text1"/>
          <w:sz w:val="21"/>
          <w:szCs w:val="21"/>
          <w:highlight w:val="none"/>
          <w:u w:val="single"/>
          <w:lang w:val="en-US" w:eastAsia="zh-CN"/>
          <w14:textFill>
            <w14:solidFill>
              <w14:schemeClr w14:val="tx1"/>
            </w14:solidFill>
          </w14:textFill>
        </w:rPr>
        <w:t xml:space="preserve">                    （项目名称）</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采购活动的合法代理人，以本公司名义全权处理一切与该项目采购有关的事务。</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本授权书于______年____月____日起生效，特此声明。</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被授权人姓名：____________________   </w:t>
      </w:r>
      <w:r/>
    </w:p>
    <w:p>
      <w:pPr>
        <w:pStyle w:val="1095"/>
        <w:ind w:firstLine="420"/>
        <w:spacing w:line="360" w:lineRule="auto"/>
        <w:rPr>
          <w:rFonts w:hint="default" w:ascii="Times New Roman" w:hAnsi="Times New Roman" w:cs="Times New Roman"/>
          <w:color w:val="000000" w:themeColor="text1"/>
          <w:sz w:val="21"/>
          <w:szCs w:val="21"/>
          <w:highlight w:val="none"/>
          <w:u w:val="singl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联系电话（手机）：</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                </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单位名称（公章）：________________</w:t>
      </w:r>
      <w:r/>
    </w:p>
    <w:p>
      <w:pPr>
        <w:pStyle w:val="1095"/>
        <w:ind w:firstLine="420"/>
        <w:spacing w:line="360" w:lineRule="auto"/>
        <w:rPr>
          <w:rFonts w:hint="default" w:ascii="Times New Roman" w:hAnsi="Times New Roman" w:cs="Times New Roman"/>
          <w:color w:val="000000" w:themeColor="text1"/>
          <w:sz w:val="21"/>
          <w:szCs w:val="21"/>
          <w:highlight w:val="none"/>
          <w:u w:val="singl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单位地址：</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                        </w:t>
      </w:r>
      <w:r/>
    </w:p>
    <w:p>
      <w:pPr>
        <w:pStyle w:val="1095"/>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日期：</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                          </w:t>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bCs/>
          <w:color w:val="000000" w:themeColor="text1"/>
          <w:highlight w:val="none"/>
          <w14:textFill>
            <w14:solidFill>
              <w14:schemeClr w14:val="tx1"/>
            </w14:solidFill>
          </w14:textFill>
        </w:rPr>
        <w:t xml:space="preserve">被授权人身份证复印件</w:t>
      </w:r>
      <w:r/>
    </w:p>
    <w:p>
      <w:pPr>
        <w:numPr>
          <w:ilvl w:val="0"/>
          <w:numId w:val="9"/>
        </w:numPr>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符合性审查响应对照表</w:t>
      </w:r>
      <w:r/>
    </w:p>
    <w:tbl>
      <w:tblPr>
        <w:tblStyle w:val="863"/>
        <w:tblW w:w="87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序号</w:t>
            </w:r>
            <w:r/>
          </w:p>
        </w:tc>
        <w:tc>
          <w:tcPr>
            <w:tcW w:w="4792" w:type="dxa"/>
            <w:vAlign w:val="center"/>
            <w:textDirection w:val="lrTb"/>
            <w:noWrap w:val="false"/>
          </w:tcPr>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符合性审查响应内容</w:t>
            </w:r>
            <w:r/>
          </w:p>
        </w:tc>
        <w:tc>
          <w:tcPr>
            <w:tcW w:w="2006" w:type="dxa"/>
            <w:vAlign w:val="center"/>
            <w:textDirection w:val="lrTb"/>
            <w:noWrap w:val="false"/>
          </w:tcPr>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是否响应</w:t>
            </w:r>
            <w:r/>
          </w:p>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（填是或者否）</w:t>
            </w:r>
            <w:r/>
          </w:p>
        </w:tc>
        <w:tc>
          <w:tcPr>
            <w:tcW w:w="1348" w:type="dxa"/>
            <w:vAlign w:val="center"/>
            <w:textDirection w:val="lrTb"/>
            <w:noWrap w:val="false"/>
          </w:tcPr>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w:t>
            </w:r>
            <w:r/>
          </w:p>
        </w:tc>
        <w:tc>
          <w:tcPr>
            <w:tcW w:w="4792" w:type="dxa"/>
            <w:vAlign w:val="center"/>
            <w:textDirection w:val="lrTb"/>
            <w:noWrap w:val="false"/>
          </w:tcPr>
          <w:p>
            <w:pPr>
              <w:spacing w:line="360" w:lineRule="auto"/>
              <w:rPr>
                <w:rFonts w:hint="default" w:ascii="Times New Roman" w:hAnsi="Times New Roman" w:cs="Times New Roman"/>
                <w:iCs/>
                <w:color w:val="000000" w:themeColor="text1"/>
                <w:szCs w:val="21"/>
                <w:highlight w:val="none"/>
                <w14:textFill>
                  <w14:solidFill>
                    <w14:schemeClr w14:val="tx1"/>
                  </w14:solidFill>
                </w14:textFill>
              </w:rPr>
            </w:pPr>
            <w:r>
              <w:rPr>
                <w:rFonts w:hint="default" w:ascii="Times New Roman" w:hAnsi="Times New Roman" w:cs="Times New Roman"/>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r>
            <w:r/>
          </w:p>
        </w:tc>
        <w:tc>
          <w:tcPr>
            <w:tcW w:w="1348" w:type="dxa"/>
            <w:vAlign w:val="center"/>
            <w:textDirection w:val="lrTb"/>
            <w:noWrap w:val="false"/>
          </w:tcPr>
          <w:p>
            <w:pP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w:t>
            </w:r>
            <w:r/>
          </w:p>
        </w:tc>
        <w:tc>
          <w:tcPr>
            <w:tcW w:w="4792" w:type="dxa"/>
            <w:vAlign w:val="center"/>
            <w:textDirection w:val="lrTb"/>
            <w:noWrap w:val="false"/>
          </w:tcPr>
          <w:p>
            <w:pPr>
              <w:spacing w:line="360" w:lineRule="auto"/>
              <w:rPr>
                <w:rFonts w:hint="default" w:ascii="Times New Roman" w:hAnsi="Times New Roman" w:cs="Times New Roman"/>
                <w:iCs/>
                <w:color w:val="000000" w:themeColor="text1"/>
                <w:szCs w:val="21"/>
                <w:highlight w:val="none"/>
                <w14:textFill>
                  <w14:solidFill>
                    <w14:schemeClr w14:val="tx1"/>
                  </w14:solidFill>
                </w14:textFill>
              </w:rPr>
            </w:pPr>
            <w:r>
              <w:rPr>
                <w:rFonts w:hint="default" w:ascii="Times New Roman" w:hAnsi="Times New Roman" w:cs="Times New Roman"/>
                <w:iCs/>
                <w:color w:val="000000" w:themeColor="text1"/>
                <w:szCs w:val="21"/>
                <w:highlight w:val="none"/>
                <w14:textFill>
                  <w14:solidFill>
                    <w14:schemeClr w14:val="tx1"/>
                  </w14:solidFill>
                </w14:textFill>
              </w:rPr>
            </w:r>
            <w:r/>
          </w:p>
        </w:tc>
        <w:tc>
          <w:tcPr>
            <w:tcW w:w="2006" w:type="dxa"/>
            <w:vAlign w:val="center"/>
            <w:textDirection w:val="lrTb"/>
            <w:noWrap w:val="false"/>
          </w:tcPr>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348" w:type="dxa"/>
            <w:vAlign w:val="center"/>
            <w:textDirection w:val="lrTb"/>
            <w:noWrap w:val="false"/>
          </w:tcPr>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w:t>
            </w:r>
            <w:r/>
          </w:p>
        </w:tc>
        <w:tc>
          <w:tcPr>
            <w:tcW w:w="4792" w:type="dxa"/>
            <w:vAlign w:val="center"/>
            <w:textDirection w:val="lrTb"/>
            <w:noWrap w:val="false"/>
          </w:tcPr>
          <w:p>
            <w:pPr>
              <w:spacing w:line="360" w:lineRule="auto"/>
              <w:rPr>
                <w:rFonts w:hint="default" w:ascii="Times New Roman" w:hAnsi="Times New Roman" w:cs="Times New Roman"/>
                <w:iCs/>
                <w:color w:val="000000" w:themeColor="text1"/>
                <w:szCs w:val="21"/>
                <w:highlight w:val="none"/>
                <w14:textFill>
                  <w14:solidFill>
                    <w14:schemeClr w14:val="tx1"/>
                  </w14:solidFill>
                </w14:textFill>
              </w:rPr>
            </w:pPr>
            <w:r>
              <w:rPr>
                <w:rFonts w:hint="default" w:ascii="Times New Roman" w:hAnsi="Times New Roman" w:cs="Times New Roman"/>
                <w:iCs/>
                <w:color w:val="000000" w:themeColor="text1"/>
                <w:szCs w:val="21"/>
                <w:highlight w:val="none"/>
                <w14:textFill>
                  <w14:solidFill>
                    <w14:schemeClr w14:val="tx1"/>
                  </w14:solidFill>
                </w14:textFill>
              </w:rPr>
            </w:r>
            <w:r/>
          </w:p>
        </w:tc>
        <w:tc>
          <w:tcPr>
            <w:tcW w:w="2006" w:type="dxa"/>
            <w:vAlign w:val="center"/>
            <w:textDirection w:val="lrTb"/>
            <w:noWrap w:val="false"/>
          </w:tcPr>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348" w:type="dxa"/>
            <w:vAlign w:val="center"/>
            <w:textDirection w:val="lrTb"/>
            <w:noWrap w:val="false"/>
          </w:tcPr>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w:t>
            </w:r>
            <w:r/>
          </w:p>
        </w:tc>
        <w:tc>
          <w:tcPr>
            <w:tcW w:w="4792" w:type="dxa"/>
            <w:vAlign w:val="center"/>
            <w:textDirection w:val="lrTb"/>
            <w:noWrap w:val="false"/>
          </w:tcPr>
          <w:p>
            <w:pPr>
              <w:spacing w:line="360" w:lineRule="auto"/>
              <w:rPr>
                <w:rFonts w:hint="default" w:ascii="Times New Roman" w:hAnsi="Times New Roman" w:cs="Times New Roman"/>
                <w:iCs/>
                <w:color w:val="000000" w:themeColor="text1"/>
                <w:szCs w:val="21"/>
                <w:highlight w:val="none"/>
                <w14:textFill>
                  <w14:solidFill>
                    <w14:schemeClr w14:val="tx1"/>
                  </w14:solidFill>
                </w14:textFill>
              </w:rPr>
            </w:pPr>
            <w:r>
              <w:rPr>
                <w:rFonts w:hint="default" w:ascii="Times New Roman" w:hAnsi="Times New Roman" w:cs="Times New Roman"/>
                <w:iCs/>
                <w:color w:val="000000" w:themeColor="text1"/>
                <w:szCs w:val="21"/>
                <w:highlight w:val="none"/>
                <w14:textFill>
                  <w14:solidFill>
                    <w14:schemeClr w14:val="tx1"/>
                  </w14:solidFill>
                </w14:textFill>
              </w:rPr>
            </w:r>
            <w:r/>
          </w:p>
        </w:tc>
        <w:tc>
          <w:tcPr>
            <w:tcW w:w="2006" w:type="dxa"/>
            <w:vAlign w:val="center"/>
            <w:textDirection w:val="lrTb"/>
            <w:noWrap w:val="false"/>
          </w:tcPr>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348" w:type="dxa"/>
            <w:vAlign w:val="center"/>
            <w:textDirection w:val="lrTb"/>
            <w:noWrap w:val="false"/>
          </w:tcPr>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w:t>
            </w:r>
            <w:r/>
          </w:p>
        </w:tc>
        <w:tc>
          <w:tcPr>
            <w:tcW w:w="4792" w:type="dxa"/>
            <w:vAlign w:val="center"/>
            <w:textDirection w:val="lrTb"/>
            <w:noWrap w:val="false"/>
          </w:tcPr>
          <w:p>
            <w:pPr>
              <w:spacing w:line="360" w:lineRule="auto"/>
              <w:rPr>
                <w:rFonts w:hint="default" w:ascii="Times New Roman" w:hAnsi="Times New Roman" w:cs="Times New Roman"/>
                <w:iCs/>
                <w:color w:val="000000" w:themeColor="text1"/>
                <w:szCs w:val="21"/>
                <w:highlight w:val="none"/>
                <w14:textFill>
                  <w14:solidFill>
                    <w14:schemeClr w14:val="tx1"/>
                  </w14:solidFill>
                </w14:textFill>
              </w:rPr>
            </w:pPr>
            <w:r>
              <w:rPr>
                <w:rFonts w:hint="default" w:ascii="Times New Roman" w:hAnsi="Times New Roman" w:cs="Times New Roman"/>
                <w:iCs/>
                <w:color w:val="000000" w:themeColor="text1"/>
                <w:szCs w:val="21"/>
                <w:highlight w:val="none"/>
                <w14:textFill>
                  <w14:solidFill>
                    <w14:schemeClr w14:val="tx1"/>
                  </w14:solidFill>
                </w14:textFill>
              </w:rPr>
              <w:t xml:space="preserve">……</w:t>
            </w:r>
            <w:r/>
          </w:p>
        </w:tc>
        <w:tc>
          <w:tcPr>
            <w:tcW w:w="2006" w:type="dxa"/>
            <w:vAlign w:val="center"/>
            <w:textDirection w:val="lrTb"/>
            <w:noWrap w:val="false"/>
          </w:tcPr>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348" w:type="dxa"/>
            <w:vAlign w:val="center"/>
            <w:textDirection w:val="lrTb"/>
            <w:noWrap w:val="false"/>
          </w:tcPr>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bl>
    <w:p>
      <w:pPr>
        <w:contextualSpacing/>
        <w:jc w:val="center"/>
        <w:spacing w:line="360" w:lineRule="auto"/>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br w:type="page" w:clear="all"/>
      </w:r>
      <w:r/>
    </w:p>
    <w:p>
      <w:pPr>
        <w:numPr>
          <w:ilvl w:val="0"/>
          <w:numId w:val="9"/>
        </w:numPr>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非实质性响应对照表</w:t>
      </w:r>
      <w:r/>
    </w:p>
    <w:p>
      <w:pP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r>
      <w:r/>
    </w:p>
    <w:tbl>
      <w:tblPr>
        <w:tblStyle w:val="863"/>
        <w:tblW w:w="86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序号</w:t>
            </w:r>
            <w:r/>
          </w:p>
        </w:tc>
        <w:tc>
          <w:tcPr>
            <w:tcW w:w="4572" w:type="dxa"/>
            <w:vAlign w:val="center"/>
            <w:textDirection w:val="lrTb"/>
            <w:noWrap w:val="false"/>
          </w:tcPr>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非实质性响应内容</w:t>
            </w:r>
            <w:r/>
          </w:p>
        </w:tc>
        <w:tc>
          <w:tcPr>
            <w:tcW w:w="1968" w:type="dxa"/>
            <w:vAlign w:val="center"/>
            <w:textDirection w:val="lrTb"/>
            <w:noWrap w:val="false"/>
          </w:tcPr>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是否响应</w:t>
            </w:r>
            <w:r/>
          </w:p>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（填是或者否）</w:t>
            </w:r>
            <w:r/>
          </w:p>
        </w:tc>
        <w:tc>
          <w:tcPr>
            <w:tcW w:w="1491" w:type="dxa"/>
            <w:vAlign w:val="center"/>
            <w:textDirection w:val="lrTb"/>
            <w:noWrap w:val="false"/>
          </w:tcPr>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w:t>
            </w:r>
            <w:r/>
          </w:p>
        </w:tc>
        <w:tc>
          <w:tcPr>
            <w:tcW w:w="4572" w:type="dxa"/>
            <w:vAlign w:val="center"/>
            <w:textDirection w:val="lrTb"/>
            <w:noWrap w:val="false"/>
          </w:tcPr>
          <w:p>
            <w:pPr>
              <w:spacing w:line="360" w:lineRule="auto"/>
              <w:rPr>
                <w:rFonts w:hint="default" w:ascii="Times New Roman" w:hAnsi="Times New Roman" w:cs="Times New Roman"/>
                <w:i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《企业声明函》</w:t>
            </w:r>
            <w:r/>
          </w:p>
        </w:tc>
        <w:tc>
          <w:tcPr>
            <w:tcW w:w="1968" w:type="dxa"/>
            <w:vAlign w:val="center"/>
            <w:textDirection w:val="lrTb"/>
            <w:noWrap w:val="false"/>
          </w:tcPr>
          <w:p>
            <w:pP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r>
            <w:r/>
          </w:p>
        </w:tc>
        <w:tc>
          <w:tcPr>
            <w:tcW w:w="1491" w:type="dxa"/>
            <w:vAlign w:val="center"/>
            <w:textDirection w:val="lrTb"/>
            <w:noWrap w:val="false"/>
          </w:tcPr>
          <w:p>
            <w:pPr>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w:t>
            </w:r>
            <w:r/>
          </w:p>
        </w:tc>
        <w:tc>
          <w:tcPr>
            <w:tcW w:w="4572" w:type="dxa"/>
            <w:vAlign w:val="center"/>
            <w:textDirection w:val="lrTb"/>
            <w:noWrap w:val="false"/>
          </w:tcPr>
          <w:p>
            <w:pPr>
              <w:spacing w:line="360" w:lineRule="auto"/>
              <w:rPr>
                <w:rFonts w:hint="default" w:ascii="Times New Roman" w:hAnsi="Times New Roman" w:cs="Times New Roman"/>
                <w:i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《残疾人福利性单位声明函》</w:t>
            </w:r>
            <w:r/>
          </w:p>
        </w:tc>
        <w:tc>
          <w:tcPr>
            <w:tcW w:w="1968" w:type="dxa"/>
            <w:vAlign w:val="center"/>
            <w:textDirection w:val="lrTb"/>
            <w:noWrap w:val="false"/>
          </w:tcPr>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491" w:type="dxa"/>
            <w:vAlign w:val="center"/>
            <w:textDirection w:val="lrTb"/>
            <w:noWrap w:val="false"/>
          </w:tcPr>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w:t>
            </w:r>
            <w:r/>
          </w:p>
        </w:tc>
        <w:tc>
          <w:tcPr>
            <w:tcW w:w="4572" w:type="dxa"/>
            <w:vAlign w:val="center"/>
            <w:textDirection w:val="lrTb"/>
            <w:noWrap w:val="false"/>
          </w:tcPr>
          <w:p>
            <w:pPr>
              <w:spacing w:line="360" w:lineRule="auto"/>
              <w:rPr>
                <w:rFonts w:hint="default" w:ascii="Times New Roman" w:hAnsi="Times New Roman" w:cs="Times New Roman"/>
                <w:iCs/>
                <w:color w:val="000000" w:themeColor="text1"/>
                <w:szCs w:val="21"/>
                <w:highlight w:val="none"/>
                <w14:textFill>
                  <w14:solidFill>
                    <w14:schemeClr w14:val="tx1"/>
                  </w14:solidFill>
                </w14:textFill>
              </w:rPr>
            </w:pPr>
            <w:r>
              <w:rPr>
                <w:rFonts w:hint="default" w:ascii="Times New Roman" w:hAnsi="Times New Roman" w:cs="Times New Roman"/>
                <w:iCs/>
                <w:color w:val="000000" w:themeColor="text1"/>
                <w:szCs w:val="21"/>
                <w:highlight w:val="none"/>
                <w14:textFill>
                  <w14:solidFill>
                    <w14:schemeClr w14:val="tx1"/>
                  </w14:solidFill>
                </w14:textFill>
              </w:rPr>
              <w:t xml:space="preserve">……</w:t>
            </w:r>
            <w:r/>
          </w:p>
        </w:tc>
        <w:tc>
          <w:tcPr>
            <w:tcW w:w="1968" w:type="dxa"/>
            <w:vAlign w:val="center"/>
            <w:textDirection w:val="lrTb"/>
            <w:noWrap w:val="false"/>
          </w:tcPr>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491" w:type="dxa"/>
            <w:vAlign w:val="center"/>
            <w:textDirection w:val="lrTb"/>
            <w:noWrap w:val="false"/>
          </w:tcPr>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bl>
    <w:p>
      <w:pPr>
        <w:jc w:val="left"/>
        <w:spacing w:line="360" w:lineRule="auto"/>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pStyle w:val="907"/>
        <w:jc w:val="center"/>
        <w:keepLines w:val="0"/>
        <w:keepNext w:val="0"/>
        <w:pageBreakBefore w:val="0"/>
        <w:spacing w:before="312" w:after="312" w:line="440" w:lineRule="exact"/>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br w:type="page" w:clear="all"/>
      </w:r>
      <w:r>
        <w:rPr>
          <w:rFonts w:hint="default" w:ascii="Times New Roman" w:hAnsi="Times New Roman" w:cs="Times New Roman"/>
          <w:b/>
          <w:bCs/>
          <w:color w:val="000000" w:themeColor="text1"/>
          <w:highlight w:val="none"/>
          <w14:textFill>
            <w14:solidFill>
              <w14:schemeClr w14:val="tx1"/>
            </w14:solidFill>
          </w14:textFill>
        </w:rPr>
        <w:t xml:space="preserve">中小企业声明函（工程、服务）</w:t>
      </w:r>
      <w:r/>
    </w:p>
    <w:p>
      <w:pPr>
        <w:pStyle w:val="907"/>
        <w:ind w:firstLine="420"/>
        <w:jc w:val="left"/>
        <w:keepLines w:val="0"/>
        <w:keepNext w:val="0"/>
        <w:pageBreakBefore w:val="0"/>
        <w:spacing w:line="42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default" w:ascii="Times New Roman" w:hAnsi="Times New Roman" w:cs="Times New Roman"/>
          <w:color w:val="000000" w:themeColor="text1"/>
          <w:highlight w:val="none"/>
          <w:u w:val="single"/>
          <w14:textFill>
            <w14:solidFill>
              <w14:schemeClr w14:val="tx1"/>
            </w14:solidFill>
          </w14:textFill>
        </w:rPr>
        <w:t xml:space="preserve">         （单位名称）</w:t>
      </w:r>
      <w:r>
        <w:rPr>
          <w:rFonts w:hint="default" w:ascii="Times New Roman" w:hAnsi="Times New Roman" w:cs="Times New Roman"/>
          <w:color w:val="000000" w:themeColor="text1"/>
          <w:highlight w:val="none"/>
          <w14:textFill>
            <w14:solidFill>
              <w14:schemeClr w14:val="tx1"/>
            </w14:solidFill>
          </w14:textFill>
        </w:rPr>
        <w:t xml:space="preserve">的</w:t>
      </w:r>
      <w:r>
        <w:rPr>
          <w:rFonts w:hint="default" w:ascii="Times New Roman" w:hAnsi="Times New Roman" w:cs="Times New Roman"/>
          <w:color w:val="000000" w:themeColor="text1"/>
          <w:highlight w:val="none"/>
          <w:u w:val="single"/>
          <w14:textFill>
            <w14:solidFill>
              <w14:schemeClr w14:val="tx1"/>
            </w14:solidFill>
          </w14:textFill>
        </w:rPr>
        <w:t xml:space="preserve">      （项目名称）</w:t>
      </w:r>
      <w:r>
        <w:rPr>
          <w:rFonts w:hint="default" w:ascii="Times New Roman" w:hAnsi="Times New Roman" w:cs="Times New Roman"/>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07"/>
        <w:ind w:firstLine="420"/>
        <w:jc w:val="left"/>
        <w:keepLines w:val="0"/>
        <w:keepNext w:val="0"/>
        <w:pageBreakBefore w:val="0"/>
        <w:spacing w:line="420" w:lineRule="exact"/>
        <w:widowControl w:val="off"/>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 </w:t>
      </w:r>
      <w:r>
        <w:rPr>
          <w:rFonts w:hint="default" w:ascii="Times New Roman" w:hAnsi="Times New Roman" w:cs="Times New Roman"/>
          <w:color w:val="000000" w:themeColor="text1"/>
          <w:highlight w:val="none"/>
          <w:u w:val="single"/>
          <w14:textFill>
            <w14:solidFill>
              <w14:schemeClr w14:val="tx1"/>
            </w14:solidFill>
          </w14:textFill>
        </w:rPr>
        <w:t xml:space="preserve">（标的名称） </w:t>
      </w:r>
      <w:r>
        <w:rPr>
          <w:rFonts w:hint="default" w:ascii="Times New Roman" w:hAnsi="Times New Roman" w:cs="Times New Roman"/>
          <w:color w:val="000000" w:themeColor="text1"/>
          <w:highlight w:val="none"/>
          <w14:textFill>
            <w14:solidFill>
              <w14:schemeClr w14:val="tx1"/>
            </w14:solidFill>
          </w14:textFill>
        </w:rPr>
        <w:t xml:space="preserve">，属于</w:t>
      </w:r>
      <w:r>
        <w:rPr>
          <w:rFonts w:hint="default" w:ascii="Times New Roman" w:hAnsi="Times New Roman" w:cs="Times New Roman"/>
          <w:b/>
          <w:bCs/>
          <w:color w:val="000000" w:themeColor="text1"/>
          <w:highlight w:val="none"/>
          <w:u w:val="single"/>
          <w14:textFill>
            <w14:solidFill>
              <w14:schemeClr w14:val="tx1"/>
            </w14:solidFill>
          </w14:textFill>
        </w:rPr>
        <w:t xml:space="preserve">（</w:t>
      </w:r>
      <w:r>
        <w:rPr>
          <w:rFonts w:hint="eastAsia" w:cs="Times New Roman"/>
          <w:color w:val="000000" w:themeColor="text1"/>
          <w:highlight w:val="none"/>
          <w:u w:val="single"/>
          <w:lang w:eastAsia="zh-CN"/>
          <w14:textFill>
            <w14:solidFill>
              <w14:schemeClr w14:val="tx1"/>
            </w14:solidFill>
          </w14:textFill>
        </w:rPr>
        <w:t xml:space="preserve">租赁和商务服务业</w:t>
      </w:r>
      <w:r>
        <w:rPr>
          <w:rFonts w:hint="default" w:ascii="Times New Roman" w:hAnsi="Times New Roman" w:cs="Times New Roman"/>
          <w:b/>
          <w:bCs/>
          <w:color w:val="000000" w:themeColor="text1"/>
          <w:highlight w:val="none"/>
          <w:u w:val="single"/>
          <w14:textFill>
            <w14:solidFill>
              <w14:schemeClr w14:val="tx1"/>
            </w14:solidFill>
          </w14:textFill>
        </w:rPr>
        <w:t xml:space="preserve">）</w:t>
      </w:r>
      <w:r>
        <w:rPr>
          <w:rFonts w:hint="default" w:ascii="Times New Roman" w:hAnsi="Times New Roman" w:cs="Times New Roman"/>
          <w:color w:val="000000" w:themeColor="text1"/>
          <w:highlight w:val="none"/>
          <w:u w:val="single"/>
          <w14:textFill>
            <w14:solidFill>
              <w14:schemeClr w14:val="tx1"/>
            </w14:solidFill>
          </w14:textFill>
        </w:rPr>
        <w:t xml:space="preserve">（该行业类别不可修改）</w:t>
      </w:r>
      <w:r>
        <w:rPr>
          <w:rFonts w:hint="default" w:ascii="Times New Roman" w:hAnsi="Times New Roman" w:cs="Times New Roman"/>
          <w:color w:val="000000" w:themeColor="text1"/>
          <w:highlight w:val="none"/>
          <w14:textFill>
            <w14:solidFill>
              <w14:schemeClr w14:val="tx1"/>
            </w14:solidFill>
          </w14:textFill>
        </w:rPr>
        <w:t xml:space="preserve">；承建（承接）企业为</w:t>
      </w:r>
      <w:r>
        <w:rPr>
          <w:rFonts w:hint="default" w:ascii="Times New Roman" w:hAnsi="Times New Roman" w:cs="Times New Roman"/>
          <w:color w:val="000000" w:themeColor="text1"/>
          <w:highlight w:val="none"/>
          <w:u w:val="single"/>
          <w14:textFill>
            <w14:solidFill>
              <w14:schemeClr w14:val="tx1"/>
            </w14:solidFill>
          </w14:textFill>
        </w:rPr>
        <w:t xml:space="preserve">（企业名称）</w:t>
      </w:r>
      <w:r>
        <w:rPr>
          <w:rFonts w:hint="default" w:ascii="Times New Roman" w:hAnsi="Times New Roman" w:cs="Times New Roman"/>
          <w:color w:val="000000" w:themeColor="text1"/>
          <w:highlight w:val="none"/>
          <w14:textFill>
            <w14:solidFill>
              <w14:schemeClr w14:val="tx1"/>
            </w14:solidFill>
          </w14:textFill>
        </w:rPr>
        <w:t xml:space="preserve">，从业人员</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人，营业收入为</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万元，资产总额为</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万元</w:t>
      </w: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"br1"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Times New Roman" w:cs="Times New Roman"/>
          <w:color w:val="000000" w:themeColor="text1"/>
          <w:spacing w:val="-1"/>
          <w:highlight w:val="none"/>
          <w:vertAlign w:val="superscript"/>
          <w14:textFill>
            <w14:solidFill>
              <w14:schemeClr w14:val="tx1"/>
            </w14:solidFill>
          </w14:textFill>
        </w:rPr>
        <w:t xml:space="preserve">1</w:t>
      </w:r>
      <w:r>
        <w:rPr>
          <w:rFonts w:hint="default" w:ascii="Times New Roman" w:hAnsi="Times New Roman" w:eastAsia="Times New Roman" w:cs="Times New Roman"/>
          <w:color w:val="000000" w:themeColor="text1"/>
          <w:spacing w:val="-1"/>
          <w:highlight w:val="none"/>
          <w:vertAlign w:val="superscript"/>
          <w14:textFill>
            <w14:solidFill>
              <w14:schemeClr w14:val="tx1"/>
            </w14:solidFill>
          </w14:textFill>
        </w:rPr>
        <w:fldChar w:fldCharType="end"/>
      </w:r>
      <w:r>
        <w:rPr>
          <w:rFonts w:hint="default" w:ascii="Times New Roman" w:hAnsi="Times New Roman" w:cs="Times New Roman"/>
          <w:color w:val="000000" w:themeColor="text1"/>
          <w:highlight w:val="none"/>
          <w14:textFill>
            <w14:solidFill>
              <w14:schemeClr w14:val="tx1"/>
            </w14:solidFill>
          </w14:textFill>
        </w:rPr>
        <w:t xml:space="preserve">，属于</w:t>
      </w:r>
      <w:r>
        <w:rPr>
          <w:rFonts w:hint="default" w:ascii="Times New Roman" w:hAnsi="Times New Roman" w:cs="Times New Roman"/>
          <w:color w:val="000000" w:themeColor="text1"/>
          <w:highlight w:val="none"/>
          <w:u w:val="single"/>
          <w14:textFill>
            <w14:solidFill>
              <w14:schemeClr w14:val="tx1"/>
            </w14:solidFill>
          </w14:textFill>
        </w:rPr>
        <w:t xml:space="preserve">（中型企业、小型企业、微型企业）；</w:t>
      </w:r>
      <w:r/>
    </w:p>
    <w:p>
      <w:pPr>
        <w:pStyle w:val="907"/>
        <w:ind w:firstLine="420"/>
        <w:jc w:val="left"/>
        <w:keepLines w:val="0"/>
        <w:keepNext w:val="0"/>
        <w:pageBreakBefore w:val="0"/>
        <w:spacing w:line="420" w:lineRule="exact"/>
        <w:widowControl w:val="off"/>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 </w:t>
      </w:r>
      <w:r>
        <w:rPr>
          <w:rFonts w:hint="default" w:ascii="Times New Roman" w:hAnsi="Times New Roman" w:cs="Times New Roman"/>
          <w:color w:val="000000" w:themeColor="text1"/>
          <w:highlight w:val="none"/>
          <w:u w:val="single"/>
          <w14:textFill>
            <w14:solidFill>
              <w14:schemeClr w14:val="tx1"/>
            </w14:solidFill>
          </w14:textFill>
        </w:rPr>
        <w:t xml:space="preserve">（标的名称）</w:t>
      </w:r>
      <w:r>
        <w:rPr>
          <w:rFonts w:hint="default" w:ascii="Times New Roman" w:hAnsi="Times New Roman" w:cs="Times New Roman"/>
          <w:color w:val="000000" w:themeColor="text1"/>
          <w:highlight w:val="none"/>
          <w14:textFill>
            <w14:solidFill>
              <w14:schemeClr w14:val="tx1"/>
            </w14:solidFill>
          </w14:textFill>
        </w:rPr>
        <w:t xml:space="preserve"> ，属于</w:t>
      </w:r>
      <w:r>
        <w:rPr>
          <w:rFonts w:hint="default" w:ascii="Times New Roman" w:hAnsi="Times New Roman" w:cs="Times New Roman"/>
          <w:b/>
          <w:bCs/>
          <w:color w:val="000000" w:themeColor="text1"/>
          <w:highlight w:val="none"/>
          <w:u w:val="single"/>
          <w14:textFill>
            <w14:solidFill>
              <w14:schemeClr w14:val="tx1"/>
            </w14:solidFill>
          </w14:textFill>
        </w:rPr>
        <w:t xml:space="preserve">（</w:t>
      </w:r>
      <w:r>
        <w:rPr>
          <w:rFonts w:hint="eastAsia" w:cs="Times New Roman"/>
          <w:color w:val="000000" w:themeColor="text1"/>
          <w:highlight w:val="none"/>
          <w:u w:val="single"/>
          <w:lang w:eastAsia="zh-CN"/>
          <w14:textFill>
            <w14:solidFill>
              <w14:schemeClr w14:val="tx1"/>
            </w14:solidFill>
          </w14:textFill>
        </w:rPr>
        <w:t xml:space="preserve">租赁和商务服务业</w:t>
      </w:r>
      <w:r>
        <w:rPr>
          <w:rFonts w:hint="default" w:ascii="Times New Roman" w:hAnsi="Times New Roman" w:cs="Times New Roman"/>
          <w:b/>
          <w:bCs/>
          <w:color w:val="000000" w:themeColor="text1"/>
          <w:highlight w:val="none"/>
          <w:u w:val="single"/>
          <w14:textFill>
            <w14:solidFill>
              <w14:schemeClr w14:val="tx1"/>
            </w14:solidFill>
          </w14:textFill>
        </w:rPr>
        <w:t xml:space="preserve">）</w:t>
      </w:r>
      <w:r>
        <w:rPr>
          <w:rFonts w:hint="default" w:ascii="Times New Roman" w:hAnsi="Times New Roman" w:cs="Times New Roman"/>
          <w:color w:val="000000" w:themeColor="text1"/>
          <w:highlight w:val="none"/>
          <w:u w:val="single"/>
          <w14:textFill>
            <w14:solidFill>
              <w14:schemeClr w14:val="tx1"/>
            </w14:solidFill>
          </w14:textFill>
        </w:rPr>
        <w:t xml:space="preserve">（该行业类别不可修改）</w:t>
      </w:r>
      <w:r>
        <w:rPr>
          <w:rFonts w:hint="default" w:ascii="Times New Roman" w:hAnsi="Times New Roman" w:cs="Times New Roman"/>
          <w:color w:val="000000" w:themeColor="text1"/>
          <w:highlight w:val="none"/>
          <w14:textFill>
            <w14:solidFill>
              <w14:schemeClr w14:val="tx1"/>
            </w14:solidFill>
          </w14:textFill>
        </w:rPr>
        <w:t xml:space="preserve">；承建（承接）企业为</w:t>
      </w:r>
      <w:r>
        <w:rPr>
          <w:rFonts w:hint="default" w:ascii="Times New Roman" w:hAnsi="Times New Roman" w:cs="Times New Roman"/>
          <w:color w:val="000000" w:themeColor="text1"/>
          <w:highlight w:val="none"/>
          <w:u w:val="single"/>
          <w14:textFill>
            <w14:solidFill>
              <w14:schemeClr w14:val="tx1"/>
            </w14:solidFill>
          </w14:textFill>
        </w:rPr>
        <w:t xml:space="preserve">（企业名称）</w:t>
      </w:r>
      <w:r>
        <w:rPr>
          <w:rFonts w:hint="default" w:ascii="Times New Roman" w:hAnsi="Times New Roman" w:cs="Times New Roman"/>
          <w:color w:val="000000" w:themeColor="text1"/>
          <w:highlight w:val="none"/>
          <w14:textFill>
            <w14:solidFill>
              <w14:schemeClr w14:val="tx1"/>
            </w14:solidFill>
          </w14:textFill>
        </w:rPr>
        <w:t xml:space="preserve">，从业人员</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人，营业收入为</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万元，资产总额为</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万元，属于</w:t>
      </w:r>
      <w:r>
        <w:rPr>
          <w:rFonts w:hint="default" w:ascii="Times New Roman" w:hAnsi="Times New Roman" w:cs="Times New Roman"/>
          <w:color w:val="000000" w:themeColor="text1"/>
          <w:highlight w:val="none"/>
          <w:u w:val="single"/>
          <w14:textFill>
            <w14:solidFill>
              <w14:schemeClr w14:val="tx1"/>
            </w14:solidFill>
          </w14:textFill>
        </w:rPr>
        <w:t xml:space="preserve">（中型企业、小型企业、微型企业）；</w:t>
      </w:r>
      <w:r/>
    </w:p>
    <w:p>
      <w:pPr>
        <w:pStyle w:val="907"/>
        <w:ind w:firstLine="420"/>
        <w:jc w:val="left"/>
        <w:keepLines w:val="0"/>
        <w:keepNext w:val="0"/>
        <w:pageBreakBefore w:val="0"/>
        <w:spacing w:line="42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w:t>
      </w:r>
      <w:r/>
    </w:p>
    <w:p>
      <w:pPr>
        <w:pStyle w:val="907"/>
        <w:ind w:firstLine="420"/>
        <w:jc w:val="left"/>
        <w:keepLines w:val="0"/>
        <w:keepNext w:val="0"/>
        <w:pageBreakBefore w:val="0"/>
        <w:spacing w:line="42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907"/>
        <w:ind w:firstLine="420"/>
        <w:jc w:val="left"/>
        <w:keepLines w:val="0"/>
        <w:keepNext w:val="0"/>
        <w:pageBreakBefore w:val="0"/>
        <w:spacing w:line="42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本企业对上述声明内容的真实性负责。如有虚假，将依法承担相应责任。</w:t>
      </w:r>
      <w:r/>
    </w:p>
    <w:p>
      <w:pPr>
        <w:pStyle w:val="907"/>
        <w:keepLines w:val="0"/>
        <w:keepNext w:val="0"/>
        <w:pageBreakBefore w:val="0"/>
        <w:spacing w:line="42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w:t>
      </w:r>
      <w:r>
        <w:rPr>
          <w:rFonts w:hint="default" w:ascii="Times New Roman" w:hAnsi="Times New Roman" w:cs="Times New Roman"/>
          <w:color w:val="000000" w:themeColor="text1"/>
          <w:highlight w:val="none"/>
          <w14:textFill>
            <w14:solidFill>
              <w14:schemeClr w14:val="tx1"/>
            </w14:solidFill>
          </w14:textFill>
        </w:rPr>
        <w:t xml:space="preserve">：1、从业人员（不仅指在职职工）、营业收入、资产总额填报上一年度数据，无上一年度数据的新成立企业可不填报。</w:t>
      </w:r>
      <w:r/>
    </w:p>
    <w:p>
      <w:pPr>
        <w:pStyle w:val="907"/>
        <w:ind w:firstLine="420"/>
        <w:keepLines w:val="0"/>
        <w:keepNext w:val="0"/>
        <w:pageBreakBefore w:val="0"/>
        <w:spacing w:line="42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2、供应商如不提供此声明函，价格将不做相应扣除。</w:t>
      </w:r>
      <w:r/>
    </w:p>
    <w:p>
      <w:pPr>
        <w:pStyle w:val="907"/>
        <w:keepLines w:val="0"/>
        <w:keepNext w:val="0"/>
        <w:pageBreakBefore w:val="0"/>
        <w:spacing w:line="42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3、企业声明函请完整填写，</w:t>
      </w:r>
      <w:r>
        <w:rPr>
          <w:rFonts w:hint="default" w:ascii="Times New Roman" w:hAnsi="Times New Roman" w:cs="Times New Roman"/>
          <w:color w:val="000000" w:themeColor="text1"/>
          <w:highlight w:val="none"/>
          <w:lang w:eastAsia="zh-CN"/>
          <w14:textFill>
            <w14:solidFill>
              <w14:schemeClr w14:val="tx1"/>
            </w14:solidFill>
          </w14:textFill>
        </w:rPr>
        <w:t xml:space="preserve">成交</w:t>
      </w:r>
      <w:r>
        <w:rPr>
          <w:rFonts w:hint="default" w:ascii="Times New Roman" w:hAnsi="Times New Roman" w:cs="Times New Roman"/>
          <w:color w:val="000000" w:themeColor="text1"/>
          <w:highlight w:val="none"/>
          <w14:textFill>
            <w14:solidFill>
              <w14:schemeClr w14:val="tx1"/>
            </w14:solidFill>
          </w14:textFill>
        </w:rPr>
        <w:t xml:space="preserve">后将公示。</w:t>
      </w:r>
      <w:r/>
    </w:p>
    <w:p>
      <w:pPr>
        <w:pStyle w:val="907"/>
        <w:ind w:firstLine="420"/>
        <w:jc w:val="left"/>
        <w:keepLines w:val="0"/>
        <w:keepNext w:val="0"/>
        <w:pageBreakBefore w:val="0"/>
        <w:spacing w:line="42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4、供应商应当对其出具的《中小企业声明函》真实性负责，供应商出具的《中小企业声明函》内容不实的，属于提供虚假材料谋取</w:t>
      </w:r>
      <w:r>
        <w:rPr>
          <w:rFonts w:hint="default" w:ascii="Times New Roman" w:hAnsi="Times New Roman" w:cs="Times New Roman"/>
          <w:color w:val="000000" w:themeColor="text1"/>
          <w:highlight w:val="none"/>
          <w:lang w:eastAsia="zh-CN"/>
          <w14:textFill>
            <w14:solidFill>
              <w14:schemeClr w14:val="tx1"/>
            </w14:solidFill>
          </w14:textFill>
        </w:rPr>
        <w:t xml:space="preserve">成交</w:t>
      </w:r>
      <w:r>
        <w:rPr>
          <w:rFonts w:hint="default" w:ascii="Times New Roman" w:hAnsi="Times New Roman" w:cs="Times New Roman"/>
          <w:color w:val="000000" w:themeColor="text1"/>
          <w:highlight w:val="none"/>
          <w14:textFill>
            <w14:solidFill>
              <w14:schemeClr w14:val="tx1"/>
            </w14:solidFill>
          </w14:textFill>
        </w:rPr>
        <w:t xml:space="preserve">。对相关制造商信息了解不充分，或者不能确定相关信息真实、准确的，不建议出具《中小企业声明函》。</w:t>
      </w:r>
      <w:r/>
    </w:p>
    <w:p>
      <w:pPr>
        <w:pStyle w:val="907"/>
        <w:ind w:firstLine="420"/>
        <w:jc w:val="left"/>
        <w:keepLines w:val="0"/>
        <w:keepNext w:val="0"/>
        <w:pageBreakBefore w:val="0"/>
        <w:spacing w:line="42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pStyle w:val="907"/>
        <w:ind w:firstLine="420"/>
        <w:jc w:val="left"/>
        <w:keepLines w:val="0"/>
        <w:keepNext w:val="0"/>
        <w:pageBreakBefore w:val="0"/>
        <w:spacing w:line="42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6、《政府采购法》第七十七条第一款：提供虚假材料谋取</w:t>
      </w:r>
      <w:r>
        <w:rPr>
          <w:rFonts w:hint="default" w:ascii="Times New Roman" w:hAnsi="Times New Roman" w:cs="Times New Roman"/>
          <w:color w:val="000000" w:themeColor="text1"/>
          <w:highlight w:val="none"/>
          <w:lang w:eastAsia="zh-CN"/>
          <w14:textFill>
            <w14:solidFill>
              <w14:schemeClr w14:val="tx1"/>
            </w14:solidFill>
          </w14:textFill>
        </w:rPr>
        <w:t xml:space="preserve">成交</w:t>
      </w:r>
      <w:r>
        <w:rPr>
          <w:rFonts w:hint="default" w:ascii="Times New Roman" w:hAnsi="Times New Roman" w:cs="Times New Roman"/>
          <w:color w:val="000000" w:themeColor="text1"/>
          <w:highlight w:val="none"/>
          <w14:textFill>
            <w14:solidFill>
              <w14:schemeClr w14:val="tx1"/>
            </w14:solidFill>
          </w14:textFill>
        </w:rPr>
        <w:t xml:space="preserve">、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07"/>
        <w:ind w:firstLine="4620"/>
        <w:jc w:val="left"/>
        <w:keepLines w:val="0"/>
        <w:keepNext w:val="0"/>
        <w:pageBreakBefore w:val="0"/>
        <w:spacing w:line="42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企业名称（盖章）：</w:t>
      </w:r>
      <w:r/>
    </w:p>
    <w:p>
      <w:pPr>
        <w:pStyle w:val="907"/>
        <w:ind w:firstLine="4620"/>
        <w:jc w:val="left"/>
        <w:keepLines w:val="0"/>
        <w:keepNext w:val="0"/>
        <w:pageBreakBefore w:val="0"/>
        <w:spacing w:line="420" w:lineRule="exact"/>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日 期：</w:t>
      </w:r>
      <w:bookmarkStart w:id="44" w:name="_Toc109304977"/>
      <w:r/>
      <w:r/>
    </w:p>
    <w:p>
      <w:pPr>
        <w:pStyle w:val="1100"/>
        <w:jc w:val="center"/>
        <w:spacing w:before="300" w:after="300" w:line="360" w:lineRule="auto"/>
        <w:widowControl/>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outlineLvl w:val="9"/>
      </w:pPr>
      <w:r/>
      <w:bookmarkStart w:id="45" w:name="_Toc32128"/>
      <w:r>
        <w:rPr>
          <w:rFonts w:hint="default" w:ascii="Times New Roman" w:hAnsi="Times New Roman" w:cs="Times New Roman"/>
          <w:bCs w:val="0"/>
          <w:color w:val="000000" w:themeColor="text1"/>
          <w:sz w:val="21"/>
          <w:szCs w:val="21"/>
          <w:highlight w:val="none"/>
          <w14:textFill>
            <w14:solidFill>
              <w14:schemeClr w14:val="tx1"/>
            </w14:solidFill>
          </w14:textFill>
        </w:rPr>
        <w:t xml:space="preserve">中小微企业划型标准</w:t>
      </w:r>
      <w:bookmarkEnd w:id="44"/>
      <w:r/>
      <w:bookmarkEnd w:id="45"/>
      <w:r/>
      <w:r/>
    </w:p>
    <w:p>
      <w:pPr>
        <w:pStyle w:val="1107"/>
        <w:ind w:firstLine="420"/>
        <w:spacing w:before="300" w:after="452" w:line="360" w:lineRule="auto"/>
        <w:widowControl/>
        <w:rPr>
          <w:rStyle w:val="1108"/>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 </w:t>
      </w:r>
      <w:r>
        <w:rPr>
          <w:rStyle w:val="1108"/>
          <w:rFonts w:hint="default" w:ascii="Times New Roman" w:hAnsi="Times New Roman" w:cs="Times New Roman"/>
          <w:color w:val="000000" w:themeColor="text1"/>
          <w:szCs w:val="21"/>
          <w:highlight w:val="none"/>
          <w14:textFill>
            <w14:solidFill>
              <w14:schemeClr w14:val="tx1"/>
            </w14:solidFill>
          </w14:textFill>
        </w:rPr>
        <w:t xml:space="preserve">中小微企业划型标准如下：</w:t>
      </w:r>
      <w:r/>
    </w:p>
    <w:tbl>
      <w:tblPr>
        <w:tblStyle w:val="863"/>
        <w:tblpPr w:horzAnchor="text" w:tblpXSpec="center" w:vertAnchor="text" w:tblpY="1" w:leftFromText="180" w:topFromText="0" w:rightFromText="180" w:bottomFromText="0"/>
        <w:tblW w:w="9378" w:type="dxa"/>
        <w:jc w:val="center"/>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44"/>
        <w:gridCol w:w="1509"/>
        <w:gridCol w:w="1133"/>
        <w:gridCol w:w="1999"/>
        <w:gridCol w:w="1853"/>
        <w:gridCol w:w="1440"/>
      </w:tblGrid>
      <w:tr>
        <w:trPr>
          <w:jc w:val="center"/>
          <w:tblCellSpacing w:w="15" w:type="dxa"/>
          <w:trHeight w:val="285"/>
        </w:trPr>
        <w:tc>
          <w:tcPr>
            <w:tcMar>
              <w:left w:w="105" w:type="dxa"/>
              <w:top w:w="0" w:type="dxa"/>
              <w:right w:w="105" w:type="dxa"/>
              <w:bottom w:w="0" w:type="dxa"/>
            </w:tcMar>
            <w:tcW w:w="139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行业名称</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指标名称</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计量单位</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中型</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小型</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微型</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农、林、牧、渔</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500≤Y＜20000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50≤Y＜500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工业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300≤X＜1000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20≤X＜300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2000≤Y＜40000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300≤Y＜2000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建筑业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6000≤Y＜80000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300≤Y＜6000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Y＜300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资产总额（Z）</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5000≤Z＜80000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300≤Z＜5000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Z＜300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批发业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ind w:firstLine="420"/>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20≤X＜200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5≤X＜20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X＜5</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5000≤Y＜40000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1000≤Y＜5000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Y＜1000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零售业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50≤X＜300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10≤X＜50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500≤Y＜20000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100≤Y＜500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交通运输业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300≤X＜1000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20≤X＜300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3000≤Y＜30000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200≤Y＜3000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Y＜200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仓储业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100≤X＜200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20≤X＜100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1000≤Y＜30000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100≤Y＜1000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邮政业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300≤X＜1000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20≤X＜300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2000≤Y＜30000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100≤Y＜2000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住宿业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100≤X＜300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10≤X＜100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2000≤Y＜10000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100≤Y＜2000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餐饮业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100≤X＜300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10≤X＜100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2000≤Y＜10000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100≤Y＜2000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信息传输业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100≤X＜2000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10≤X＜100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1000≤Y＜100000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100≤Y＜1000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软件和信息技术服务业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100≤X＜300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10≤X＜100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1000≤Y＜10000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50≤Y＜1000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房地产开发经营</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1000≤Y＜200000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100≤X＜1000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资产总额（Z）</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5000≤Z＜10000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2000≤Y＜5000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Y＜2000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物业管理</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300≤X＜1000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100≤X＜300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营业收入（Y）</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1000≤Y＜5000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500≤Y＜1000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Y＜500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租赁和商务服务业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100≤X＜300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10≤X＜100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资产总额（Z）</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万元</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8000≤Z＜120000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100≤Z＜8000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其他未列明行业</w:t>
            </w:r>
            <w:r/>
          </w:p>
        </w:tc>
        <w:tc>
          <w:tcPr>
            <w:tcMar>
              <w:left w:w="105" w:type="dxa"/>
              <w:top w:w="0" w:type="dxa"/>
              <w:right w:w="105" w:type="dxa"/>
              <w:bottom w:w="0" w:type="dxa"/>
            </w:tcMar>
            <w:tcW w:w="147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从业人员（X）</w:t>
            </w:r>
            <w:r/>
          </w:p>
        </w:tc>
        <w:tc>
          <w:tcPr>
            <w:tcMar>
              <w:left w:w="105" w:type="dxa"/>
              <w:top w:w="0" w:type="dxa"/>
              <w:right w:w="105" w:type="dxa"/>
              <w:bottom w:w="0" w:type="dxa"/>
            </w:tcMar>
            <w:tcW w:w="110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人</w:t>
            </w:r>
            <w:r/>
          </w:p>
        </w:tc>
        <w:tc>
          <w:tcPr>
            <w:tcMar>
              <w:left w:w="105" w:type="dxa"/>
              <w:top w:w="0" w:type="dxa"/>
              <w:right w:w="105" w:type="dxa"/>
              <w:bottom w:w="0" w:type="dxa"/>
            </w:tcMar>
            <w:tcW w:w="1969"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100≤X＜300</w:t>
            </w:r>
            <w:r/>
          </w:p>
        </w:tc>
        <w:tc>
          <w:tcPr>
            <w:tcMar>
              <w:left w:w="105" w:type="dxa"/>
              <w:top w:w="0" w:type="dxa"/>
              <w:right w:w="105" w:type="dxa"/>
              <w:bottom w:w="0" w:type="dxa"/>
            </w:tcMar>
            <w:tcW w:w="1823"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10≤X＜100</w:t>
            </w:r>
            <w:r/>
          </w:p>
        </w:tc>
        <w:tc>
          <w:tcPr>
            <w:tcMar>
              <w:left w:w="105" w:type="dxa"/>
              <w:top w:w="0" w:type="dxa"/>
              <w:right w:w="105" w:type="dxa"/>
              <w:bottom w:w="0" w:type="dxa"/>
            </w:tcMar>
            <w:tcW w:w="1395" w:type="dxa"/>
            <w:vAlign w:val="center"/>
            <w:textDirection w:val="lrTb"/>
            <w:noWrap w:val="false"/>
          </w:tcPr>
          <w:p>
            <w:pPr>
              <w:jc w:val="center"/>
              <w:spacing w:after="150"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X＜10</w:t>
            </w:r>
            <w:r/>
          </w:p>
        </w:tc>
      </w:tr>
    </w:tbl>
    <w:p>
      <w:pPr>
        <w:pStyle w:val="1107"/>
        <w:ind w:firstLine="420"/>
        <w:spacing w:before="300" w:after="452" w:line="360" w:lineRule="auto"/>
        <w:widowControl/>
        <w:rPr>
          <w:rStyle w:val="1108"/>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pStyle w:val="1107"/>
        <w:spacing w:before="300" w:after="452" w:line="360" w:lineRule="auto"/>
        <w:widowControl/>
        <w:rPr>
          <w:rStyle w:val="1108"/>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pStyle w:val="1107"/>
        <w:ind w:firstLine="420"/>
        <w:spacing w:before="300" w:after="452" w:line="360" w:lineRule="auto"/>
        <w:widowControl/>
        <w:rPr>
          <w:rStyle w:val="1108"/>
          <w:rFonts w:hint="default" w:ascii="Times New Roman" w:hAnsi="Times New Roman" w:cs="Times New Roman"/>
          <w:color w:val="000000" w:themeColor="text1"/>
          <w:szCs w:val="21"/>
          <w:highlight w:val="none"/>
          <w14:textFill>
            <w14:solidFill>
              <w14:schemeClr w14:val="tx1"/>
            </w14:solidFill>
          </w14:textFill>
        </w:rPr>
      </w:pPr>
      <w:r>
        <w:rPr>
          <w:rStyle w:val="1108"/>
          <w:rFonts w:hint="default" w:ascii="Times New Roman" w:hAnsi="Times New Roman" w:cs="Times New Roman"/>
          <w:color w:val="000000" w:themeColor="text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107"/>
        <w:ind w:firstLine="420"/>
        <w:spacing w:before="300" w:after="452" w:line="360" w:lineRule="auto"/>
        <w:widowControl/>
        <w:rPr>
          <w:rStyle w:val="1108"/>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pStyle w:val="1107"/>
        <w:spacing w:before="300" w:after="452" w:line="360" w:lineRule="auto"/>
        <w:widowControl/>
        <w:rPr>
          <w:rStyle w:val="1108"/>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both"/>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残疾人福利性单位声明函</w:t>
      </w:r>
      <w:r/>
    </w:p>
    <w:p>
      <w:pPr>
        <w:ind w:firstLine="624"/>
        <w:spacing w:line="360" w:lineRule="auto"/>
        <w:rPr>
          <w:rFonts w:hint="default" w:ascii="Times New Roman" w:hAnsi="Times New Roman" w:eastAsia="仿宋_GB2312" w:cs="Times New Roman"/>
          <w:color w:val="000000" w:themeColor="text1"/>
          <w:spacing w:val="6"/>
          <w:sz w:val="30"/>
          <w:szCs w:val="30"/>
          <w:highlight w:val="none"/>
          <w14:textFill>
            <w14:solidFill>
              <w14:schemeClr w14:val="tx1"/>
            </w14:solidFill>
          </w14:textFill>
        </w:rPr>
      </w:pPr>
      <w:r>
        <w:rPr>
          <w:rFonts w:hint="default" w:ascii="Times New Roman" w:hAnsi="Times New Roman" w:eastAsia="仿宋_GB2312" w:cs="Times New Roman"/>
          <w:color w:val="000000" w:themeColor="text1"/>
          <w:spacing w:val="6"/>
          <w:sz w:val="30"/>
          <w:szCs w:val="30"/>
          <w:highlight w:val="none"/>
          <w14:textFill>
            <w14:solidFill>
              <w14:schemeClr w14:val="tx1"/>
            </w14:solidFill>
          </w14:textFill>
        </w:rPr>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单位的采购文件编号为</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本单位在本次政府采购活动中提供的残疾人福利单位产品报价合计为人民币（大写）</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圆整（￥：     ）。</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default" w:ascii="Times New Roman" w:hAnsi="Times New Roman" w:eastAsia="仿宋_GB2312" w:cs="Times New Roman"/>
          <w:color w:val="000000" w:themeColor="text1"/>
          <w:spacing w:val="6"/>
          <w:szCs w:val="21"/>
          <w:highlight w:val="none"/>
          <w14:textFill>
            <w14:solidFill>
              <w14:schemeClr w14:val="tx1"/>
            </w14:solidFill>
          </w14:textFill>
        </w:rPr>
      </w:pPr>
      <w:r>
        <w:rPr>
          <w:rFonts w:hint="default" w:ascii="Times New Roman" w:hAnsi="Times New Roman" w:eastAsia="仿宋_GB2312" w:cs="Times New Roman"/>
          <w:color w:val="000000" w:themeColor="text1"/>
          <w:spacing w:val="6"/>
          <w:szCs w:val="21"/>
          <w:highlight w:val="none"/>
          <w14:textFill>
            <w14:solidFill>
              <w14:schemeClr w14:val="tx1"/>
            </w14:solidFill>
          </w14:textFill>
        </w:rPr>
      </w:r>
      <w:r/>
    </w:p>
    <w:p>
      <w:pPr>
        <w:ind w:right="1560" w:firstLine="444"/>
        <w:jc w:val="center"/>
        <w:spacing w:line="360" w:lineRule="auto"/>
        <w:tabs>
          <w:tab w:val="left" w:pos="486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pacing w:val="6"/>
          <w:szCs w:val="21"/>
          <w:highlight w:val="non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               供应商全称（盖章）：</w:t>
      </w:r>
      <w:r/>
    </w:p>
    <w:p>
      <w:pPr>
        <w:ind w:right="1560" w:firstLine="420"/>
        <w:jc w:val="center"/>
        <w:spacing w:line="360" w:lineRule="auto"/>
        <w:tabs>
          <w:tab w:val="left" w:pos="486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                              日  期：</w:t>
      </w:r>
      <w:r/>
    </w:p>
    <w:p>
      <w:pPr>
        <w:pStyle w:val="855"/>
        <w:spacing w:line="360" w:lineRule="auto"/>
        <w:rPr>
          <w:rFonts w:hint="default" w:ascii="Times New Roman" w:hAnsi="Times New Roman" w:cs="Times New Roman"/>
          <w:color w:val="000000" w:themeColor="text1"/>
          <w:highlight w:val="none"/>
          <w14:textFill>
            <w14:solidFill>
              <w14:schemeClr w14:val="tx1"/>
            </w14:solidFill>
          </w14:textFill>
        </w:rPr>
        <w:outlineLvl w:val="9"/>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906"/>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911"/>
        <w:spacing w:line="360" w:lineRule="auto"/>
        <w:rPr>
          <w:rFonts w:hint="default" w:ascii="Times New Roman" w:hAnsi="Times New Roman" w:cs="Times New Roman"/>
          <w:color w:val="000000" w:themeColor="text1"/>
          <w:highlight w:val="none"/>
          <w:lang w:eastAsia="zh-CN"/>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r>
      <w:r/>
    </w:p>
    <w:p>
      <w:pPr>
        <w:pStyle w:val="912"/>
        <w:spacing w:line="360" w:lineRule="auto"/>
        <w:rPr>
          <w:rFonts w:hint="default" w:ascii="Times New Roman" w:hAnsi="Times New Roman" w:cs="Times New Roman"/>
          <w:color w:val="000000" w:themeColor="text1"/>
          <w:highlight w:val="none"/>
          <w14:textFill>
            <w14:solidFill>
              <w14:schemeClr w14:val="tx1"/>
            </w14:solidFill>
          </w14:textFill>
        </w:rPr>
        <w:outlineLvl w:val="9"/>
      </w:pPr>
      <w:r>
        <w:rPr>
          <w:rFonts w:hint="default" w:ascii="Times New Roman" w:hAnsi="Times New Roman" w:cs="Times New Roman"/>
          <w:color w:val="000000" w:themeColor="text1"/>
          <w:highlight w:val="none"/>
          <w14:textFill>
            <w14:solidFill>
              <w14:schemeClr w14:val="tx1"/>
            </w14:solidFill>
          </w14:textFill>
        </w:rPr>
      </w:r>
      <w:r/>
    </w:p>
    <w:p>
      <w:pPr>
        <w:pStyle w:val="914"/>
        <w:ind w:firstLine="42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906"/>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911"/>
        <w:spacing w:line="360" w:lineRule="auto"/>
        <w:rPr>
          <w:rFonts w:hint="default" w:ascii="Times New Roman" w:hAnsi="Times New Roman" w:cs="Times New Roman"/>
          <w:color w:val="000000" w:themeColor="text1"/>
          <w:highlight w:val="none"/>
          <w:lang w:eastAsia="zh-CN"/>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r>
      <w:r/>
    </w:p>
    <w:p>
      <w:pPr>
        <w:pStyle w:val="912"/>
        <w:spacing w:line="360" w:lineRule="auto"/>
        <w:rPr>
          <w:rFonts w:hint="default" w:ascii="Times New Roman" w:hAnsi="Times New Roman" w:cs="Times New Roman"/>
          <w:color w:val="000000" w:themeColor="text1"/>
          <w:highlight w:val="none"/>
          <w14:textFill>
            <w14:solidFill>
              <w14:schemeClr w14:val="tx1"/>
            </w14:solidFill>
          </w14:textFill>
        </w:rPr>
        <w:outlineLvl w:val="9"/>
      </w:pPr>
      <w:r>
        <w:rPr>
          <w:rFonts w:hint="default" w:ascii="Times New Roman" w:hAnsi="Times New Roman" w:cs="Times New Roman"/>
          <w:color w:val="000000" w:themeColor="text1"/>
          <w:highlight w:val="none"/>
          <w14:textFill>
            <w14:solidFill>
              <w14:schemeClr w14:val="tx1"/>
            </w14:solidFill>
          </w14:textFill>
        </w:rPr>
      </w:r>
      <w:r/>
    </w:p>
    <w:p>
      <w:pPr>
        <w:jc w:val="left"/>
        <w:spacing w:line="360" w:lineRule="auto"/>
        <w:widowControl/>
        <w:rPr>
          <w:rFonts w:hint="default" w:ascii="Times New Roman" w:hAnsi="Times New Roman" w:cs="Times New Roman"/>
          <w:b/>
          <w:bCs/>
          <w:color w:val="000000" w:themeColor="text1"/>
          <w:highlight w:val="none"/>
          <w14:textFill>
            <w14:solidFill>
              <w14:schemeClr w14:val="tx1"/>
            </w14:solidFill>
          </w14:textFill>
        </w:rPr>
      </w:pPr>
      <w:r/>
      <w:bookmarkStart w:id="46" w:name="_Toc120614284"/>
      <w:r/>
      <w:r/>
    </w:p>
    <w:p>
      <w:pPr>
        <w:jc w:val="center"/>
        <w:spacing w:line="360" w:lineRule="auto"/>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r>
      <w:r/>
    </w:p>
    <w:p>
      <w:pPr>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br w:type="page" w:clear="all"/>
      </w:r>
      <w:r/>
    </w:p>
    <w:p>
      <w:pPr>
        <w:jc w:val="center"/>
        <w:spacing w:line="360" w:lineRule="auto"/>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t xml:space="preserve">四、磋商响应报价表</w:t>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w:t>
      </w:r>
      <w:r/>
    </w:p>
    <w:p>
      <w:pPr>
        <w:pStyle w:val="1109"/>
        <w:spacing w:line="360" w:lineRule="auto"/>
        <w:rPr>
          <w:rFonts w:hint="default" w:ascii="Times New Roman" w:hAnsi="Times New Roman"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lang w:eastAsia="zh-CN"/>
          <w14:textFill>
            <w14:solidFill>
              <w14:schemeClr w14:val="tx1"/>
            </w14:solidFill>
          </w14:textFill>
        </w:rPr>
        <w:t xml:space="preserve">项目名称： </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项目编号：                                                   </w:t>
      </w:r>
      <w:r/>
    </w:p>
    <w:tbl>
      <w:tblPr>
        <w:tblStyle w:val="8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2600"/>
        <w:gridCol w:w="1200"/>
        <w:gridCol w:w="2627"/>
      </w:tblGrid>
      <w:tr>
        <w:trPr>
          <w:cantSplit/>
          <w:jc w:val="center"/>
          <w:trHeight w:val="581"/>
        </w:trPr>
        <w:tc>
          <w:tcPr>
            <w:tcW w:w="2093" w:type="dxa"/>
            <w:vAlign w:val="center"/>
            <w:textDirection w:val="lrTb"/>
            <w:noWrap w:val="false"/>
          </w:tcPr>
          <w:p>
            <w:pPr>
              <w:pStyle w:val="1104"/>
              <w:jc w:val="cente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服务名称</w:t>
            </w:r>
            <w:r/>
          </w:p>
        </w:tc>
        <w:tc>
          <w:tcPr>
            <w:gridSpan w:val="3"/>
            <w:tcW w:w="6427" w:type="dxa"/>
            <w:vAlign w:val="center"/>
            <w:textDirection w:val="lrTb"/>
            <w:noWrap w:val="false"/>
          </w:tcPr>
          <w:p>
            <w:pPr>
              <w:pStyle w:val="907"/>
              <w:jc w:val="center"/>
              <w:spacing w:after="200"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第一轮报价</w:t>
            </w:r>
            <w:r/>
          </w:p>
        </w:tc>
      </w:tr>
      <w:tr>
        <w:trPr>
          <w:cantSplit/>
          <w:jc w:val="center"/>
          <w:trHeight w:val="567"/>
        </w:trPr>
        <w:tc>
          <w:tcPr>
            <w:tcW w:w="2093" w:type="dxa"/>
            <w:vAlign w:val="center"/>
            <w:vMerge w:val="restart"/>
            <w:textDirection w:val="lrTb"/>
            <w:noWrap w:val="false"/>
          </w:tcPr>
          <w:p>
            <w:pPr>
              <w:jc w:val="center"/>
              <w:spacing w:line="360" w:lineRule="auto"/>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cs="Times New Roman"/>
                <w:color w:val="000000" w:themeColor="text1"/>
                <w:highlight w:val="none"/>
                <w:lang w:eastAsia="zh-CN"/>
                <w14:textFill>
                  <w14:solidFill>
                    <w14:schemeClr w14:val="tx1"/>
                  </w14:solidFill>
                </w14:textFill>
              </w:rPr>
              <w:t xml:space="preserve">曲江街道铁骑队伍服务采购项目</w:t>
            </w:r>
            <w:r/>
          </w:p>
        </w:tc>
        <w:tc>
          <w:tcPr>
            <w:tcW w:w="2600" w:type="dxa"/>
            <w:vAlign w:val="center"/>
            <w:textDirection w:val="lrTb"/>
            <w:noWrap w:val="false"/>
          </w:tcPr>
          <w:p>
            <w:pPr>
              <w:pStyle w:val="1085"/>
              <w:ind w:firstLine="0"/>
              <w:jc w:val="center"/>
              <w:spacing w:before="0" w:after="0" w:line="360" w:lineRule="auto"/>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每年</w:t>
            </w:r>
            <w:r/>
          </w:p>
        </w:tc>
        <w:tc>
          <w:tcPr>
            <w:tcW w:w="1200" w:type="dxa"/>
            <w:vAlign w:val="center"/>
            <w:textDirection w:val="lrTb"/>
            <w:noWrap w:val="false"/>
          </w:tcPr>
          <w:p>
            <w:pPr>
              <w:pStyle w:val="1085"/>
              <w:ind w:firstLine="0"/>
              <w:jc w:val="center"/>
              <w:spacing w:before="0" w:after="0" w:line="360" w:lineRule="auto"/>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服务期</w:t>
            </w:r>
            <w:r/>
          </w:p>
        </w:tc>
        <w:tc>
          <w:tcPr>
            <w:tcW w:w="2627" w:type="dxa"/>
            <w:vAlign w:val="center"/>
            <w:textDirection w:val="lrTb"/>
            <w:noWrap w:val="false"/>
          </w:tcPr>
          <w:p>
            <w:pPr>
              <w:pStyle w:val="1085"/>
              <w:ind w:firstLine="0"/>
              <w:jc w:val="center"/>
              <w:spacing w:before="0" w:after="0" w:line="360" w:lineRule="auto"/>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合计</w:t>
            </w:r>
            <w:r/>
          </w:p>
        </w:tc>
      </w:tr>
      <w:tr>
        <w:trPr>
          <w:cantSplit/>
          <w:jc w:val="center"/>
          <w:trHeight w:val="1964"/>
        </w:trPr>
        <w:tc>
          <w:tcPr>
            <w:tcW w:w="2093" w:type="dxa"/>
            <w:vAlign w:val="center"/>
            <w:vMerge w:val="continue"/>
            <w:textDirection w:val="lrTb"/>
            <w:noWrap w:val="false"/>
          </w:tcPr>
          <w:p>
            <w:pPr>
              <w:jc w:val="center"/>
              <w:spacing w:line="360" w:lineRule="auto"/>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r>
            <w:r/>
          </w:p>
        </w:tc>
        <w:tc>
          <w:tcPr>
            <w:tcW w:w="2600" w:type="dxa"/>
            <w:vAlign w:val="center"/>
            <w:textDirection w:val="lrTb"/>
            <w:noWrap w:val="false"/>
          </w:tcPr>
          <w:p>
            <w:pPr>
              <w:pStyle w:val="1104"/>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大写：</w:t>
            </w:r>
            <w:r/>
          </w:p>
          <w:p>
            <w:pPr>
              <w:pStyle w:val="1085"/>
              <w:ind w:firstLine="0"/>
              <w:jc w:val="both"/>
              <w:spacing w:before="0" w:after="0" w:line="360" w:lineRule="auto"/>
              <w:rPr>
                <w:rFonts w:hint="eastAsia"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小写：             </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/年</w:t>
            </w:r>
            <w:r/>
          </w:p>
          <w:p>
            <w:pPr>
              <w:pStyle w:val="1085"/>
              <w:ind w:firstLine="0"/>
              <w:jc w:val="both"/>
              <w:spacing w:before="0" w:after="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（人民币）</w:t>
            </w:r>
            <w:r/>
          </w:p>
        </w:tc>
        <w:tc>
          <w:tcPr>
            <w:tcW w:w="1200" w:type="dxa"/>
            <w:vAlign w:val="center"/>
            <w:textDirection w:val="lrTb"/>
            <w:noWrap w:val="false"/>
          </w:tcPr>
          <w:p>
            <w:pPr>
              <w:pStyle w:val="1085"/>
              <w:ind w:firstLine="0"/>
              <w:jc w:val="center"/>
              <w:spacing w:before="0" w:after="0"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2年</w:t>
            </w:r>
            <w:r/>
          </w:p>
        </w:tc>
        <w:tc>
          <w:tcPr>
            <w:tcW w:w="2627" w:type="dxa"/>
            <w:vAlign w:val="center"/>
            <w:textDirection w:val="lrTb"/>
            <w:noWrap w:val="false"/>
          </w:tcPr>
          <w:p>
            <w:pPr>
              <w:pStyle w:val="1104"/>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大写：</w:t>
            </w:r>
            <w:r/>
          </w:p>
          <w:p>
            <w:pPr>
              <w:pStyle w:val="1085"/>
              <w:ind w:firstLine="0"/>
              <w:jc w:val="both"/>
              <w:spacing w:before="0" w:after="0" w:line="360" w:lineRule="auto"/>
              <w:rPr>
                <w:rFonts w:hint="eastAsia"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小写：             </w:t>
            </w:r>
            <w:r/>
          </w:p>
          <w:p>
            <w:pPr>
              <w:pStyle w:val="1085"/>
              <w:ind w:firstLine="0"/>
              <w:jc w:val="both"/>
              <w:spacing w:before="0" w:after="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（人民币）</w:t>
            </w:r>
            <w:r/>
          </w:p>
        </w:tc>
      </w:tr>
      <w:tr>
        <w:trPr>
          <w:cantSplit/>
          <w:jc w:val="center"/>
          <w:trHeight w:val="1362"/>
        </w:trPr>
        <w:tc>
          <w:tcPr>
            <w:tcW w:w="2093" w:type="dxa"/>
            <w:vAlign w:val="center"/>
            <w:textDirection w:val="lrTb"/>
            <w:noWrap w:val="false"/>
          </w:tcPr>
          <w:p>
            <w:pPr>
              <w:pStyle w:val="869"/>
              <w:jc w:val="cente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是否小微企业</w:t>
            </w:r>
            <w:r/>
          </w:p>
        </w:tc>
        <w:tc>
          <w:tcPr>
            <w:gridSpan w:val="3"/>
            <w:tcW w:w="6427" w:type="dxa"/>
            <w:vAlign w:val="center"/>
            <w:textDirection w:val="lrTb"/>
            <w:noWrap w:val="false"/>
          </w:tcPr>
          <w:p>
            <w:pPr>
              <w:pStyle w:val="869"/>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□是             □否</w:t>
            </w:r>
            <w:r/>
          </w:p>
        </w:tc>
      </w:tr>
    </w:tbl>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w:t>
      </w:r>
      <w:r/>
    </w:p>
    <w:p>
      <w:pPr>
        <w:pStyle w:val="907"/>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法定代表人或者授权代表（签字或盖章）：                    </w:t>
      </w:r>
      <w:r/>
    </w:p>
    <w:p>
      <w:pPr>
        <w:pStyle w:val="907"/>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磋商供应商全称（盖章）：</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907"/>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                                               日期：    年   月    日</w:t>
      </w:r>
      <w:r/>
    </w:p>
    <w:p>
      <w:pPr>
        <w:pStyle w:val="907"/>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r>
      <w:r/>
    </w:p>
    <w:p>
      <w:pPr>
        <w:pStyle w:val="907"/>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填写说明：</w:t>
      </w:r>
      <w:r/>
    </w:p>
    <w:p>
      <w:pPr>
        <w:pStyle w:val="907"/>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1、</w:t>
      </w:r>
      <w:r>
        <w:rPr>
          <w:rFonts w:hint="default" w:ascii="Times New Roman" w:hAnsi="Times New Roman" w:cs="Times New Roman"/>
          <w:b/>
          <w:bCs/>
          <w:color w:val="000000" w:themeColor="text1"/>
          <w:highlight w:val="none"/>
          <w14:textFill>
            <w14:solidFill>
              <w14:schemeClr w14:val="tx1"/>
            </w14:solidFill>
          </w14:textFill>
        </w:rPr>
        <w:t xml:space="preserve">“苏采云”系统</w:t>
      </w:r>
      <w:r>
        <w:rPr>
          <w:rFonts w:hint="eastAsia" w:cs="Times New Roman"/>
          <w:b/>
          <w:bCs/>
          <w:color w:val="000000" w:themeColor="text1"/>
          <w:highlight w:val="none"/>
          <w:lang w:val="en-US" w:eastAsia="zh-CN"/>
          <w14:textFill>
            <w14:solidFill>
              <w14:schemeClr w14:val="tx1"/>
            </w14:solidFill>
          </w14:textFill>
        </w:rPr>
        <w:t xml:space="preserve">报价按照2年进行报价，与报价表中合计金额保持一致</w:t>
      </w:r>
      <w:r>
        <w:rPr>
          <w:rFonts w:hint="default" w:ascii="Times New Roman" w:hAnsi="Times New Roman" w:cs="Times New Roman"/>
          <w:b/>
          <w:bCs/>
          <w:color w:val="000000" w:themeColor="text1"/>
          <w:szCs w:val="21"/>
          <w:highlight w:val="none"/>
          <w14:textFill>
            <w14:solidFill>
              <w14:schemeClr w14:val="tx1"/>
            </w14:solidFill>
          </w14:textFill>
        </w:rPr>
        <w:t xml:space="preserve">。</w:t>
      </w:r>
      <w:r/>
    </w:p>
    <w:p>
      <w:pPr>
        <w:pStyle w:val="908"/>
      </w:pPr>
      <w:r/>
      <w:r/>
    </w:p>
    <w:p>
      <w:pPr>
        <w:pStyle w:val="908"/>
      </w:pPr>
      <w:r/>
      <w:r/>
    </w:p>
    <w:p>
      <w:pPr>
        <w:pStyle w:val="908"/>
      </w:pPr>
      <w:r/>
      <w:r/>
    </w:p>
    <w:p>
      <w:pPr>
        <w:pStyle w:val="908"/>
      </w:pPr>
      <w:r/>
      <w:r/>
    </w:p>
    <w:p>
      <w:pPr>
        <w:pStyle w:val="908"/>
      </w:pPr>
      <w:r/>
      <w:r/>
    </w:p>
    <w:p>
      <w:pPr>
        <w:pStyle w:val="908"/>
      </w:pPr>
      <w:r/>
      <w:r/>
    </w:p>
    <w:p>
      <w:pPr>
        <w:pStyle w:val="908"/>
      </w:pPr>
      <w:r/>
      <w:r/>
    </w:p>
    <w:p>
      <w:pPr>
        <w:pStyle w:val="908"/>
      </w:pPr>
      <w:r/>
      <w:r/>
    </w:p>
    <w:p>
      <w:pPr>
        <w:pStyle w:val="908"/>
      </w:pPr>
      <w:r/>
      <w:r/>
    </w:p>
    <w:p>
      <w:pPr>
        <w:pStyle w:val="908"/>
      </w:pPr>
      <w:r/>
      <w:r/>
    </w:p>
    <w:p>
      <w:pPr>
        <w:pStyle w:val="908"/>
      </w:pPr>
      <w:r/>
      <w:r/>
    </w:p>
    <w:p>
      <w:pPr>
        <w:pStyle w:val="908"/>
      </w:pPr>
      <w:r/>
      <w:r/>
    </w:p>
    <w:p>
      <w:pPr>
        <w:pStyle w:val="908"/>
        <w:jc w:val="center"/>
        <w:rPr>
          <w:b/>
          <w:bCs/>
          <w:sz w:val="32"/>
          <w:szCs w:val="32"/>
        </w:rPr>
      </w:pPr>
      <w:r>
        <w:rPr>
          <w:b/>
          <w:bCs/>
          <w:sz w:val="32"/>
          <w:szCs w:val="32"/>
        </w:rPr>
      </w:r>
      <w:r>
        <w:rPr>
          <w:b/>
          <w:bCs/>
          <w:sz w:val="32"/>
          <w:szCs w:val="32"/>
        </w:rPr>
      </w:r>
    </w:p>
    <w:p>
      <w:pPr>
        <w:pStyle w:val="908"/>
        <w:ind w:firstLine="0"/>
        <w:jc w:val="center"/>
        <w:rPr>
          <w:b/>
          <w:bCs/>
          <w:sz w:val="32"/>
          <w:szCs w:val="32"/>
        </w:rPr>
      </w:pPr>
      <w:r>
        <w:rPr>
          <w:b/>
          <w:bCs/>
          <w:sz w:val="32"/>
          <w:szCs w:val="32"/>
        </w:rPr>
        <w:t xml:space="preserve">分项报价表</w:t>
      </w:r>
      <w:r>
        <w:rPr>
          <w:b/>
          <w:bCs/>
          <w:sz w:val="32"/>
          <w:szCs w:val="32"/>
        </w:rPr>
      </w:r>
      <w:r>
        <w:rPr>
          <w:b/>
          <w:bCs/>
          <w:sz w:val="32"/>
          <w:szCs w:val="32"/>
        </w:rPr>
      </w:r>
    </w:p>
    <w:p>
      <w:pPr>
        <w:jc w:val="center"/>
        <w:rPr>
          <w:b/>
          <w:bCs/>
          <w:sz w:val="24"/>
          <w:szCs w:val="24"/>
        </w:rPr>
      </w:pPr>
      <w:r>
        <w:rPr>
          <w:b/>
          <w:bCs/>
          <w:sz w:val="24"/>
          <w:szCs w:val="24"/>
          <w:highlight w:val="none"/>
        </w:rPr>
      </w:r>
      <w:r>
        <w:rPr>
          <w:b/>
          <w:bCs/>
          <w:sz w:val="24"/>
          <w:szCs w:val="24"/>
          <w:highlight w:val="none"/>
        </w:rPr>
      </w:r>
    </w:p>
    <w:p>
      <w:pPr>
        <w:jc w:val="center"/>
        <w:rPr>
          <w:b/>
          <w:bCs/>
          <w:sz w:val="24"/>
          <w:szCs w:val="24"/>
          <w:highlight w:val="none"/>
        </w:rPr>
      </w:pPr>
      <w:r>
        <w:rPr>
          <w:b/>
          <w:bCs/>
          <w:sz w:val="24"/>
          <w:szCs w:val="24"/>
          <w:highlight w:val="none"/>
        </w:rPr>
      </w:r>
      <w:r>
        <w:rPr>
          <w:b/>
          <w:bCs/>
          <w:sz w:val="24"/>
          <w:szCs w:val="24"/>
          <w:highlight w:val="none"/>
        </w:rPr>
      </w:r>
    </w:p>
    <w:p>
      <w:pPr>
        <w:jc w:val="center"/>
        <w:rPr>
          <w:b/>
          <w:bCs/>
          <w:sz w:val="32"/>
          <w:szCs w:val="32"/>
          <w:highlight w:val="none"/>
        </w:rPr>
      </w:pPr>
      <w:r>
        <w:rPr>
          <w:b/>
          <w:bCs/>
          <w:sz w:val="24"/>
          <w:szCs w:val="24"/>
        </w:rPr>
        <w:t xml:space="preserve">格式自拟</w:t>
      </w:r>
      <w:r>
        <w:rPr>
          <w:b/>
          <w:bCs/>
          <w:sz w:val="24"/>
          <w:szCs w:val="24"/>
        </w:rPr>
      </w:r>
      <w:r>
        <w:rPr>
          <w:b/>
          <w:bCs/>
          <w:sz w:val="32"/>
          <w:szCs w:val="32"/>
        </w:rPr>
      </w:r>
    </w:p>
    <w:p>
      <w:pPr>
        <w:jc w:val="center"/>
        <w:rPr>
          <w:rFonts w:hint="default"/>
          <w:b/>
          <w:bCs/>
          <w:color w:val="000000" w:themeColor="text1"/>
          <w:sz w:val="32"/>
          <w:szCs w:val="32"/>
          <w:highlight w:val="none"/>
          <w14:textFill>
            <w14:solidFill>
              <w14:schemeClr w14:val="tx1"/>
            </w14:solidFill>
          </w14:textFill>
        </w:rPr>
      </w:pPr>
      <w:r>
        <w:rPr>
          <w:rFonts w:hint="default"/>
          <w:b/>
          <w:bCs/>
          <w:color w:val="000000" w:themeColor="text1"/>
          <w:sz w:val="32"/>
          <w:szCs w:val="32"/>
          <w:highlight w:val="none"/>
          <w14:textFill>
            <w14:solidFill>
              <w14:schemeClr w14:val="tx1"/>
            </w14:solidFill>
          </w14:textFill>
        </w:rPr>
      </w:r>
      <w:r>
        <w:rPr>
          <w:b/>
          <w:bCs/>
          <w:sz w:val="32"/>
          <w:szCs w:val="32"/>
        </w:rPr>
      </w:r>
    </w:p>
    <w:p>
      <w:pPr>
        <w:pStyle w:val="1100"/>
        <w:jc w:val="center"/>
        <w:spacing w:line="360" w:lineRule="auto"/>
        <w:rPr>
          <w:rFonts w:hint="default" w:ascii="Times New Roman" w:hAnsi="Times New Roman" w:cs="Times New Roman"/>
          <w:bCs w:val="0"/>
          <w:color w:val="000000" w:themeColor="text1"/>
          <w:highlight w:val="none"/>
          <w14:textFill>
            <w14:solidFill>
              <w14:schemeClr w14:val="tx1"/>
            </w14:solidFill>
          </w14:textFill>
        </w:rPr>
        <w:outlineLvl w:val="9"/>
      </w:pPr>
      <w:r>
        <w:rPr>
          <w:rFonts w:hint="default" w:ascii="Times New Roman" w:hAnsi="Times New Roman" w:cs="Times New Roman"/>
          <w:bCs w:val="0"/>
          <w:color w:val="000000" w:themeColor="text1"/>
          <w:highlight w:val="none"/>
          <w14:textFill>
            <w14:solidFill>
              <w14:schemeClr w14:val="tx1"/>
            </w14:solidFill>
          </w14:textFill>
        </w:rPr>
      </w:r>
      <w:r/>
    </w:p>
    <w:p>
      <w:pPr>
        <w:pStyle w:val="1100"/>
        <w:jc w:val="center"/>
        <w:spacing w:line="360" w:lineRule="auto"/>
        <w:rPr>
          <w:rFonts w:hint="default" w:ascii="Times New Roman" w:hAnsi="Times New Roman" w:cs="Times New Roman"/>
          <w:bCs w:val="0"/>
          <w:color w:val="000000" w:themeColor="text1"/>
          <w:highlight w:val="none"/>
          <w14:textFill>
            <w14:solidFill>
              <w14:schemeClr w14:val="tx1"/>
            </w14:solidFill>
          </w14:textFill>
        </w:rPr>
        <w:outlineLvl w:val="9"/>
      </w:pPr>
      <w:r>
        <w:rPr>
          <w:rFonts w:hint="default" w:ascii="Times New Roman" w:hAnsi="Times New Roman" w:cs="Times New Roman"/>
          <w:bCs w:val="0"/>
          <w:color w:val="000000" w:themeColor="text1"/>
          <w:highlight w:val="none"/>
          <w14:textFill>
            <w14:solidFill>
              <w14:schemeClr w14:val="tx1"/>
            </w14:solidFill>
          </w14:textFill>
        </w:rPr>
      </w:r>
      <w:r/>
    </w:p>
    <w:p>
      <w:pPr>
        <w:pStyle w:val="1100"/>
        <w:jc w:val="center"/>
        <w:spacing w:line="360" w:lineRule="auto"/>
        <w:rPr>
          <w:rFonts w:hint="default" w:ascii="Times New Roman" w:hAnsi="Times New Roman" w:cs="Times New Roman"/>
          <w:bCs w:val="0"/>
          <w:color w:val="000000" w:themeColor="text1"/>
          <w:highlight w:val="none"/>
          <w14:textFill>
            <w14:solidFill>
              <w14:schemeClr w14:val="tx1"/>
            </w14:solidFill>
          </w14:textFill>
        </w:rPr>
        <w:outlineLvl w:val="9"/>
      </w:pPr>
      <w:r>
        <w:rPr>
          <w:rFonts w:hint="default" w:ascii="Times New Roman" w:hAnsi="Times New Roman" w:cs="Times New Roman"/>
          <w:bCs w:val="0"/>
          <w:color w:val="000000" w:themeColor="text1"/>
          <w:highlight w:val="none"/>
          <w14:textFill>
            <w14:solidFill>
              <w14:schemeClr w14:val="tx1"/>
            </w14:solidFill>
          </w14:textFill>
        </w:rPr>
      </w:r>
      <w:r/>
    </w:p>
    <w:p>
      <w:pPr>
        <w:pStyle w:val="1100"/>
        <w:spacing w:line="360" w:lineRule="auto"/>
        <w:rPr>
          <w:rFonts w:hint="default" w:ascii="Times New Roman" w:hAnsi="Times New Roman" w:cs="Times New Roman"/>
          <w:bCs w:val="0"/>
          <w:color w:val="000000" w:themeColor="text1"/>
          <w:highlight w:val="none"/>
          <w14:textFill>
            <w14:solidFill>
              <w14:schemeClr w14:val="tx1"/>
            </w14:solidFill>
          </w14:textFill>
        </w:rPr>
        <w:outlineLvl w:val="9"/>
      </w:pPr>
      <w:r>
        <w:rPr>
          <w:rFonts w:hint="default" w:ascii="Times New Roman" w:hAnsi="Times New Roman" w:cs="Times New Roman"/>
          <w:bCs w:val="0"/>
          <w:color w:val="000000" w:themeColor="text1"/>
          <w:highlight w:val="none"/>
          <w14:textFill>
            <w14:solidFill>
              <w14:schemeClr w14:val="tx1"/>
            </w14:solidFill>
          </w14:textFill>
        </w:rPr>
      </w:r>
      <w:r/>
    </w:p>
    <w:p>
      <w:pPr>
        <w:pStyle w:val="1101"/>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101"/>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bCs w:val="0"/>
          <w:color w:val="000000" w:themeColor="text1"/>
          <w:highlight w:val="none"/>
          <w14:textFill>
            <w14:solidFill>
              <w14:schemeClr w14:val="tx1"/>
            </w14:solidFill>
          </w14:textFill>
        </w:rPr>
      </w:pPr>
      <w:r/>
      <w:bookmarkStart w:id="47" w:name="_Toc13815"/>
      <w:r>
        <w:rPr>
          <w:rFonts w:hint="default" w:ascii="Times New Roman" w:hAnsi="Times New Roman" w:cs="Times New Roman"/>
          <w:bCs w:val="0"/>
          <w:color w:val="000000" w:themeColor="text1"/>
          <w:highlight w:val="none"/>
          <w14:textFill>
            <w14:solidFill>
              <w14:schemeClr w14:val="tx1"/>
            </w14:solidFill>
          </w14:textFill>
        </w:rPr>
        <w:br w:type="page" w:clear="all"/>
      </w:r>
      <w:r/>
    </w:p>
    <w:p>
      <w:pPr>
        <w:pStyle w:val="1100"/>
        <w:jc w:val="center"/>
        <w:spacing w:line="360" w:lineRule="auto"/>
        <w:rPr>
          <w:rFonts w:hint="default" w:ascii="Times New Roman" w:hAnsi="Times New Roman" w:cs="Times New Roman"/>
          <w:bCs w:val="0"/>
          <w:color w:val="000000" w:themeColor="text1"/>
          <w:highlight w:val="none"/>
          <w14:textFill>
            <w14:solidFill>
              <w14:schemeClr w14:val="tx1"/>
            </w14:solidFill>
          </w14:textFill>
        </w:rPr>
        <w:outlineLvl w:val="9"/>
      </w:pPr>
      <w:r>
        <w:rPr>
          <w:rFonts w:hint="default" w:ascii="Times New Roman" w:hAnsi="Times New Roman" w:cs="Times New Roman"/>
          <w:bCs w:val="0"/>
          <w:color w:val="000000" w:themeColor="text1"/>
          <w:highlight w:val="none"/>
          <w14:textFill>
            <w14:solidFill>
              <w14:schemeClr w14:val="tx1"/>
            </w14:solidFill>
          </w14:textFill>
        </w:rPr>
        <w:t xml:space="preserve">五、技术参数响应及偏离表</w:t>
      </w:r>
      <w:bookmarkEnd w:id="47"/>
      <w:r/>
      <w:r/>
    </w:p>
    <w:tbl>
      <w:tblPr>
        <w:tblStyle w:val="863"/>
        <w:tblW w:w="88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序号</w:t>
            </w:r>
            <w:r/>
          </w:p>
        </w:tc>
        <w:tc>
          <w:tcPr>
            <w:tcW w:w="2409" w:type="dxa"/>
            <w:vAlign w:val="center"/>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采购要求</w:t>
            </w:r>
            <w:r/>
          </w:p>
        </w:tc>
        <w:tc>
          <w:tcPr>
            <w:tcW w:w="2284" w:type="dxa"/>
            <w:vAlign w:val="center"/>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磋商响应</w:t>
            </w:r>
            <w:r/>
          </w:p>
        </w:tc>
        <w:tc>
          <w:tcPr>
            <w:tcW w:w="2016" w:type="dxa"/>
            <w:vAlign w:val="center"/>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超出、符合或偏离</w:t>
            </w:r>
            <w:r/>
          </w:p>
        </w:tc>
        <w:tc>
          <w:tcPr>
            <w:tcW w:w="1137" w:type="dxa"/>
            <w:vAlign w:val="center"/>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证明材料</w:t>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409"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284"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2016"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37" w:type="dxa"/>
            <w:textDirection w:val="lrTb"/>
            <w:noWrap w:val="false"/>
          </w:tcPr>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bl>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注：1、按照基本技术要求详细填列。</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2、行数不够，可自行添加。</w:t>
      </w:r>
      <w:r/>
    </w:p>
    <w:p>
      <w:pPr>
        <w:pStyle w:val="1100"/>
        <w:jc w:val="center"/>
        <w:spacing w:line="360" w:lineRule="auto"/>
        <w:rPr>
          <w:rFonts w:hint="default" w:ascii="Times New Roman" w:hAnsi="Times New Roman" w:cs="Times New Roman"/>
          <w:bCs w:val="0"/>
          <w:color w:val="000000" w:themeColor="text1"/>
          <w:highlight w:val="none"/>
          <w14:textFill>
            <w14:solidFill>
              <w14:schemeClr w14:val="tx1"/>
            </w14:solidFill>
          </w14:textFill>
        </w:rPr>
        <w:outlineLvl w:val="9"/>
      </w:pPr>
      <w:r/>
      <w:bookmarkStart w:id="48" w:name="_Hlt26955054"/>
      <w:r/>
      <w:bookmarkEnd w:id="48"/>
      <w:r>
        <w:rPr>
          <w:rFonts w:hint="default" w:ascii="Times New Roman" w:hAnsi="Times New Roman" w:cs="Times New Roman"/>
          <w:bCs w:val="0"/>
          <w:color w:val="000000" w:themeColor="text1"/>
          <w:highlight w:val="none"/>
          <w14:textFill>
            <w14:solidFill>
              <w14:schemeClr w14:val="tx1"/>
            </w14:solidFill>
          </w14:textFill>
        </w:rPr>
        <w:br w:type="page" w:clear="all"/>
      </w:r>
      <w:bookmarkStart w:id="49" w:name="_Toc2735"/>
      <w:r>
        <w:rPr>
          <w:rFonts w:hint="default" w:ascii="Times New Roman" w:hAnsi="Times New Roman" w:cs="Times New Roman"/>
          <w:bCs w:val="0"/>
          <w:color w:val="000000" w:themeColor="text1"/>
          <w:highlight w:val="none"/>
          <w14:textFill>
            <w14:solidFill>
              <w14:schemeClr w14:val="tx1"/>
            </w14:solidFill>
          </w14:textFill>
        </w:rPr>
        <w:t xml:space="preserve">六、商务条款响应及偏离表</w:t>
      </w:r>
      <w:bookmarkEnd w:id="49"/>
      <w:r/>
      <w:r/>
    </w:p>
    <w:tbl>
      <w:tblPr>
        <w:tblStyle w:val="863"/>
        <w:tblW w:w="8540"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采购文件要求</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是否响应</w:t>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供应商的承诺或说明</w:t>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ind w:left="43"/>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ind w:left="43"/>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ind w:left="43"/>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r>
        <w:trPr>
          <w:trHeight w:val="61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r>
        <w:trPr>
          <w:trHeight w:val="61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63" w:type="dxa"/>
            <w:textDirection w:val="lrTb"/>
            <w:noWrap w:val="false"/>
          </w:tcPr>
          <w:p>
            <w:pPr>
              <w:jc w:val="center"/>
              <w:spacing w:before="156" w:line="360" w:lineRule="auto"/>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bl>
    <w:p>
      <w:pPr>
        <w:jc w:val="left"/>
        <w:spacing w:line="360" w:lineRule="auto"/>
        <w:widowControl/>
        <w:rPr>
          <w:rFonts w:hint="default" w:ascii="Times New Roman" w:hAnsi="Times New Roman" w:cs="Times New Roman"/>
          <w:b/>
          <w:color w:val="000000" w:themeColor="text1"/>
          <w:highlight w:val="none"/>
          <w14:textFill>
            <w14:solidFill>
              <w14:schemeClr w14:val="tx1"/>
            </w14:solidFill>
          </w14:textFill>
        </w:rPr>
      </w:pPr>
      <w:r/>
      <w:bookmarkStart w:id="50" w:name="_Hlt26671343"/>
      <w:r/>
      <w:bookmarkEnd w:id="50"/>
      <w:r/>
      <w:bookmarkStart w:id="51" w:name="_Hlt24879081"/>
      <w:r/>
      <w:bookmarkEnd w:id="51"/>
      <w:r/>
      <w:bookmarkStart w:id="52" w:name="_Hlt26955064"/>
      <w:r/>
      <w:bookmarkEnd w:id="52"/>
      <w:r/>
      <w:bookmarkStart w:id="53" w:name="_Hlt26955056"/>
      <w:r/>
      <w:bookmarkEnd w:id="53"/>
      <w:r/>
      <w:bookmarkStart w:id="54" w:name="_Hlt26580838"/>
      <w:r/>
      <w:bookmarkEnd w:id="54"/>
      <w:r/>
      <w:bookmarkStart w:id="55" w:name="_Hlt26671372"/>
      <w:r/>
      <w:bookmarkEnd w:id="55"/>
      <w:r/>
      <w:bookmarkStart w:id="56" w:name="_Hlt26782999"/>
      <w:r/>
      <w:bookmarkEnd w:id="56"/>
      <w:r/>
      <w:bookmarkStart w:id="57" w:name="_Hlt26609391"/>
      <w:r/>
      <w:bookmarkEnd w:id="57"/>
      <w:r>
        <w:rPr>
          <w:rFonts w:hint="default" w:ascii="Times New Roman" w:hAnsi="Times New Roman" w:cs="Times New Roman"/>
          <w:b/>
          <w:color w:val="000000" w:themeColor="text1"/>
          <w:highlight w:val="none"/>
          <w14:textFill>
            <w14:solidFill>
              <w14:schemeClr w14:val="tx1"/>
            </w14:solidFill>
          </w14:textFill>
        </w:rPr>
        <w:br w:type="page" w:clear="all"/>
      </w:r>
      <w:r/>
    </w:p>
    <w:p>
      <w:pPr>
        <w:ind w:right="-2"/>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七、拟投入人员一览表</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供应商全称（加盖公章）：     </w:t>
      </w:r>
      <w:r/>
    </w:p>
    <w:p>
      <w:pPr>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项目名称：</w:t>
      </w:r>
      <w:r/>
    </w:p>
    <w:tbl>
      <w:tblPr>
        <w:tblStyle w:val="863"/>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697"/>
        <w:gridCol w:w="744"/>
        <w:gridCol w:w="801"/>
        <w:gridCol w:w="687"/>
        <w:gridCol w:w="1072"/>
        <w:gridCol w:w="823"/>
        <w:gridCol w:w="1117"/>
        <w:gridCol w:w="1709"/>
        <w:gridCol w:w="1409"/>
      </w:tblGrid>
      <w:tr>
        <w:trPr>
          <w:jc w:val="center"/>
          <w:trHeight w:val="781"/>
        </w:trPr>
        <w:tc>
          <w:tcPr>
            <w:tcW w:w="722" w:type="dxa"/>
            <w:vAlign w:val="center"/>
            <w:textDirection w:val="lrTb"/>
            <w:noWrap w:val="false"/>
          </w:tcPr>
          <w:p>
            <w:pPr>
              <w:ind w:right="-2"/>
              <w:jc w:val="center"/>
              <w:spacing w:before="312"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序号</w:t>
            </w:r>
            <w:r/>
          </w:p>
        </w:tc>
        <w:tc>
          <w:tcPr>
            <w:tcW w:w="697" w:type="dxa"/>
            <w:vAlign w:val="center"/>
            <w:textDirection w:val="lrTb"/>
            <w:noWrap w:val="false"/>
          </w:tcPr>
          <w:p>
            <w:pPr>
              <w:ind w:right="-2"/>
              <w:jc w:val="center"/>
              <w:spacing w:before="312"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岗位</w:t>
            </w:r>
            <w:r/>
          </w:p>
        </w:tc>
        <w:tc>
          <w:tcPr>
            <w:tcW w:w="744" w:type="dxa"/>
            <w:vAlign w:val="center"/>
            <w:textDirection w:val="lrTb"/>
            <w:noWrap w:val="false"/>
          </w:tcPr>
          <w:p>
            <w:pPr>
              <w:ind w:right="-2"/>
              <w:jc w:val="center"/>
              <w:spacing w:before="312"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姓 名</w:t>
            </w:r>
            <w:r/>
          </w:p>
        </w:tc>
        <w:tc>
          <w:tcPr>
            <w:tcW w:w="801" w:type="dxa"/>
            <w:vAlign w:val="center"/>
            <w:textDirection w:val="lrTb"/>
            <w:noWrap w:val="false"/>
          </w:tcPr>
          <w:p>
            <w:pPr>
              <w:ind w:right="-2"/>
              <w:jc w:val="center"/>
              <w:spacing w:before="312"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性别</w:t>
            </w:r>
            <w:r/>
          </w:p>
        </w:tc>
        <w:tc>
          <w:tcPr>
            <w:tcW w:w="687" w:type="dxa"/>
            <w:vAlign w:val="center"/>
            <w:textDirection w:val="lrTb"/>
            <w:noWrap w:val="false"/>
          </w:tcPr>
          <w:p>
            <w:pPr>
              <w:ind w:right="-2"/>
              <w:jc w:val="center"/>
              <w:spacing w:before="312"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学历</w:t>
            </w:r>
            <w:r/>
          </w:p>
        </w:tc>
        <w:tc>
          <w:tcPr>
            <w:tcW w:w="1072" w:type="dxa"/>
            <w:vAlign w:val="center"/>
            <w:textDirection w:val="lrTb"/>
            <w:noWrap w:val="false"/>
          </w:tcPr>
          <w:p>
            <w:pPr>
              <w:ind w:right="-2"/>
              <w:jc w:val="center"/>
              <w:spacing w:before="312"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出生年月</w:t>
            </w:r>
            <w:r/>
          </w:p>
        </w:tc>
        <w:tc>
          <w:tcPr>
            <w:tcW w:w="823" w:type="dxa"/>
            <w:vAlign w:val="center"/>
            <w:textDirection w:val="lrTb"/>
            <w:noWrap w:val="false"/>
          </w:tcPr>
          <w:p>
            <w:pPr>
              <w:ind w:right="-2"/>
              <w:jc w:val="center"/>
              <w:spacing w:before="312"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专业</w:t>
            </w:r>
            <w:r/>
          </w:p>
        </w:tc>
        <w:tc>
          <w:tcPr>
            <w:tcW w:w="1117" w:type="dxa"/>
            <w:vAlign w:val="center"/>
            <w:textDirection w:val="lrTb"/>
            <w:noWrap w:val="false"/>
          </w:tcPr>
          <w:p>
            <w:pPr>
              <w:ind w:right="-2"/>
              <w:jc w:val="center"/>
              <w:spacing w:before="312"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职称</w:t>
            </w:r>
            <w:r/>
          </w:p>
        </w:tc>
        <w:tc>
          <w:tcPr>
            <w:tcW w:w="1709" w:type="dxa"/>
            <w:vAlign w:val="center"/>
            <w:textDirection w:val="lrTb"/>
            <w:noWrap w:val="false"/>
          </w:tcPr>
          <w:p>
            <w:pPr>
              <w:ind w:right="-2"/>
              <w:jc w:val="center"/>
              <w:spacing w:before="312"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证书及编号</w:t>
            </w:r>
            <w:r/>
          </w:p>
        </w:tc>
        <w:tc>
          <w:tcPr>
            <w:tcW w:w="1409" w:type="dxa"/>
            <w:vAlign w:val="center"/>
            <w:textDirection w:val="lrTb"/>
            <w:noWrap w:val="false"/>
          </w:tcPr>
          <w:p>
            <w:pPr>
              <w:ind w:right="-2"/>
              <w:jc w:val="center"/>
              <w:spacing w:before="312"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备注</w:t>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473"/>
        </w:trPr>
        <w:tc>
          <w:tcPr>
            <w:tcW w:w="72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483"/>
        </w:trPr>
        <w:tc>
          <w:tcPr>
            <w:tcW w:w="72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9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744"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01"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68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072"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823"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117"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7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W w:w="1409" w:type="dxa"/>
            <w:vAlign w:val="center"/>
            <w:textDirection w:val="lrTb"/>
            <w:noWrap w:val="false"/>
          </w:tcPr>
          <w:p>
            <w:pPr>
              <w:ind w:right="-2"/>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bl>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法定代表人或授权代表签字：</w:t>
      </w:r>
      <w:r/>
    </w:p>
    <w:p>
      <w:pPr>
        <w:jc w:val="righ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jc w:val="righ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     年    月     日</w:t>
      </w:r>
      <w:bookmarkEnd w:id="46"/>
      <w:r/>
      <w:r/>
    </w:p>
    <w:p>
      <w:pPr>
        <w:jc w:val="righ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ind w:right="-2"/>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r>
      <w:r/>
    </w:p>
    <w:p>
      <w:pPr>
        <w:ind w:right="-2"/>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r>
      <w:r/>
    </w:p>
    <w:p>
      <w:pPr>
        <w:ind w:right="-2"/>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r>
      <w:r/>
    </w:p>
    <w:p>
      <w:pPr>
        <w:ind w:right="-2"/>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r>
      <w:r/>
    </w:p>
    <w:p>
      <w:pPr>
        <w:ind w:right="-2"/>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r>
      <w:r/>
    </w:p>
    <w:p>
      <w:pPr>
        <w:ind w:right="-2"/>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r>
      <w:r/>
    </w:p>
    <w:p>
      <w:pPr>
        <w:ind w:right="-2"/>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r>
      <w:r/>
    </w:p>
    <w:p>
      <w:pPr>
        <w:ind w:right="-2"/>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r>
      <w:r/>
    </w:p>
    <w:p>
      <w:pPr>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br w:type="page" w:clear="all"/>
      </w:r>
      <w:r/>
    </w:p>
    <w:p>
      <w:pPr>
        <w:ind w:right="-2"/>
        <w:jc w:val="center"/>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八、其他</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供应商认为有必要提供的声明和文件，如有自拟并自行添加</w:t>
      </w:r>
      <w:r/>
    </w:p>
    <w:sectPr>
      <w:headerReference w:type="default" r:id="rId12"/>
      <w:footerReference w:type="default" r:id="rId17"/>
      <w:footnotePr/>
      <w:endnotePr/>
      <w:type w:val="nextPage"/>
      <w:pgSz w:w="11906" w:h="16838" w:orient="portrait"/>
      <w:pgMar w:top="1440" w:right="1800" w:bottom="1440" w:left="180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宋体_GB2312">
    <w:panose1 w:val="0201060003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Fonts w:ascii="宋体_GB2312" w:eastAsia="宋体_GB2312"/>
      </w:rPr>
    </w:pPr>
    <w:r>
      <w:rPr>
        <w:rFonts w:hint="eastAsia" w:ascii="宋体_GB2312" w:eastAsia="宋体_GB2312"/>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2576830</wp:posOffset>
              </wp:positionH>
              <wp:positionV relativeFrom="paragraph">
                <wp:posOffset>0</wp:posOffset>
              </wp:positionV>
              <wp:extent cx="403860" cy="26860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403860" cy="2686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02.9pt;mso-position-horizontal:absolute;mso-position-vertical-relative:text;margin-top:0.0pt;mso-position-vertical:absolute;width:31.8pt;height:21.1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2415" cy="14922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72415" cy="1492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1.4pt;height:11.8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04800" cy="11620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304800" cy="116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24.0pt;height:9.2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pPr>
    <w:r>
      <w:rPr>
        <w:rFonts w:hint="eastAsia"/>
        <w:lang w:eastAsia="zh-CN"/>
      </w:rPr>
      <w:t xml:space="preserve">JSZC-321002-YZLZ-C2026-0007</w:t>
    </w:r>
    <w:r>
      <w:rPr>
        <w:rFonts w:hint="eastAsia"/>
      </w:rPr>
      <w:t xml:space="preserve">                                扬州览众建设工程咨询服务有限公司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Pr>
        <w:rFonts w:hint="eastAsia"/>
        <w:lang w:eastAsia="zh-CN"/>
      </w:rPr>
      <w:t xml:space="preserve">JSZC-321002-YZLZ-C2026-0007</w:t>
    </w:r>
    <w:r>
      <w:rPr>
        <w:rFonts w:hint="eastAsia"/>
      </w:rPr>
      <w:t xml:space="preserve"> </w:t>
    </w:r>
    <w:r>
      <w:t xml:space="preserve">                               </w:t>
    </w:r>
    <w:r>
      <w:rPr>
        <w:rFonts w:hint="eastAsia"/>
      </w:rPr>
      <w:t xml:space="preserve">扬州览众建设工程咨询服务有限公司</w:t>
    </w:r>
    <w:r/>
  </w:p>
  <w:p>
    <w:pPr>
      <w:pStyle w:val="110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Pr>
        <w:rFonts w:hint="eastAsia"/>
        <w:lang w:eastAsia="zh-CN"/>
      </w:rPr>
      <w:t xml:space="preserve">JSZC-321002-YZLZ-C2026-0007</w:t>
    </w:r>
    <w:r>
      <w:rPr>
        <w:rFonts w:hint="eastAsia"/>
      </w:rPr>
      <w:t xml:space="preserve">                                扬州览众建设工程咨询服务有限公司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pPr>
    <w:r>
      <w:rPr>
        <w:rFonts w:hint="eastAsia"/>
        <w:lang w:eastAsia="zh-CN"/>
      </w:rPr>
      <w:t xml:space="preserve">JSZC-321002-YZLZ-C2026-0007</w:t>
    </w:r>
    <w:r>
      <w:rPr>
        <w:rFonts w:hint="eastAsia"/>
      </w:rPr>
      <w:t xml:space="preserve">                                扬州览众建设工程咨询服务有限公司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4"/>
      <w:isLgl w:val="false"/>
      <w:suff w:val="nothing"/>
      <w:lvlText w:val="表%1　"/>
      <w:lvlJc w:val="left"/>
      <w:pPr>
        <w:ind w:left="0" w:firstLine="0"/>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7" w:hanging="567"/>
        <w:tabs>
          <w:tab w:val="left" w:pos="1417" w:leader="none"/>
        </w:tabs>
      </w:pPr>
    </w:lvl>
    <w:lvl w:ilvl="3">
      <w:start w:val="1"/>
      <w:numFmt w:val="decimal"/>
      <w:isLgl w:val="false"/>
      <w:suff w:val="tab"/>
      <w:lvlText w:val="%1.%2.%3.%4"/>
      <w:lvlJc w:val="left"/>
      <w:pPr>
        <w:ind w:left="1984" w:hanging="708"/>
        <w:tabs>
          <w:tab w:val="left" w:pos="1984"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3">
    <w:multiLevelType w:val="hybridMultilevel"/>
    <w:lvl w:ilvl="0">
      <w:start w:val="1"/>
      <w:numFmt w:val="bullet"/>
      <w:pStyle w:val="108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7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089"/>
      <w:isLgl/>
      <w:suff w:val="tab"/>
      <w:lvlText w:val="%1.%2"/>
      <w:lvlJc w:val="left"/>
      <w:pPr>
        <w:ind w:left="0" w:firstLine="0"/>
        <w:tabs>
          <w:tab w:val="left" w:pos="851" w:leader="none"/>
        </w:tabs>
      </w:pPr>
    </w:lvl>
    <w:lvl w:ilvl="2">
      <w:start w:val="1"/>
      <w:numFmt w:val="decimal"/>
      <w:pStyle w:val="1090"/>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3">
    <w:name w:val="Heading 1"/>
    <w:basedOn w:val="852"/>
    <w:next w:val="852"/>
    <w:link w:val="1073"/>
    <w:uiPriority w:val="9"/>
    <w:qFormat/>
    <w:pPr>
      <w:keepLines/>
      <w:keepNext/>
      <w:spacing w:before="340" w:after="330" w:line="578" w:lineRule="auto"/>
      <w:outlineLvl w:val="0"/>
    </w:pPr>
    <w:rPr>
      <w:b/>
      <w:bCs/>
      <w:sz w:val="44"/>
      <w:szCs w:val="44"/>
    </w:rPr>
  </w:style>
  <w:style w:type="paragraph" w:styleId="854">
    <w:name w:val="Heading 2"/>
    <w:basedOn w:val="852"/>
    <w:next w:val="852"/>
    <w:link w:val="1074"/>
    <w:uiPriority w:val="0"/>
    <w:qFormat/>
    <w:pPr>
      <w:jc w:val="center"/>
      <w:keepLines/>
      <w:keepNext/>
      <w:spacing w:before="260" w:after="260" w:line="416" w:lineRule="auto"/>
      <w:outlineLvl w:val="1"/>
    </w:pPr>
    <w:rPr>
      <w:rFonts w:ascii="Arial" w:hAnsi="Arial" w:eastAsia="幼圆"/>
      <w:b/>
      <w:bCs/>
      <w:sz w:val="44"/>
      <w:szCs w:val="44"/>
    </w:rPr>
  </w:style>
  <w:style w:type="paragraph" w:styleId="855">
    <w:name w:val="Heading 3"/>
    <w:basedOn w:val="852"/>
    <w:next w:val="852"/>
    <w:link w:val="1072"/>
    <w:uiPriority w:val="0"/>
    <w:qFormat/>
    <w:pPr>
      <w:keepLines/>
      <w:keepNext/>
      <w:spacing w:before="260" w:after="260" w:line="416" w:lineRule="auto"/>
      <w:outlineLvl w:val="2"/>
    </w:pPr>
    <w:rPr>
      <w:b/>
      <w:bCs/>
      <w:sz w:val="32"/>
      <w:szCs w:val="32"/>
    </w:rPr>
  </w:style>
  <w:style w:type="paragraph" w:styleId="856">
    <w:name w:val="Heading 4"/>
    <w:basedOn w:val="852"/>
    <w:next w:val="852"/>
    <w:uiPriority w:val="9"/>
    <w:qFormat/>
    <w:pPr>
      <w:keepLines/>
      <w:keepNext/>
      <w:spacing w:before="280" w:after="290" w:line="376" w:lineRule="auto"/>
      <w:outlineLvl w:val="3"/>
    </w:pPr>
    <w:rPr>
      <w:rFonts w:ascii="Arial" w:hAnsi="Arial" w:eastAsia="黑体"/>
      <w:b/>
      <w:bCs/>
      <w:sz w:val="28"/>
      <w:szCs w:val="28"/>
    </w:rPr>
  </w:style>
  <w:style w:type="paragraph" w:styleId="857">
    <w:name w:val="Heading 5"/>
    <w:basedOn w:val="852"/>
    <w:next w:val="852"/>
    <w:link w:val="920"/>
    <w:uiPriority w:val="9"/>
    <w:unhideWhenUsed/>
    <w:qFormat/>
    <w:pPr>
      <w:keepLines/>
      <w:keepNext/>
      <w:spacing w:before="320" w:after="200"/>
      <w:outlineLvl w:val="4"/>
    </w:pPr>
    <w:rPr>
      <w:rFonts w:ascii="Arial" w:hAnsi="Arial" w:eastAsia="Arial" w:cs="Arial"/>
      <w:b/>
      <w:bCs/>
      <w:sz w:val="24"/>
      <w:szCs w:val="24"/>
    </w:rPr>
  </w:style>
  <w:style w:type="paragraph" w:styleId="858">
    <w:name w:val="Heading 6"/>
    <w:basedOn w:val="852"/>
    <w:next w:val="852"/>
    <w:link w:val="921"/>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uiPriority w:val="1"/>
    <w:qFormat/>
    <w:pPr>
      <w:ind w:left="1320"/>
      <w:outlineLvl w:val="6"/>
    </w:pPr>
    <w:rPr>
      <w:b/>
      <w:bCs/>
      <w:szCs w:val="21"/>
    </w:rPr>
  </w:style>
  <w:style w:type="paragraph" w:styleId="860">
    <w:name w:val="Heading 8"/>
    <w:basedOn w:val="852"/>
    <w:next w:val="852"/>
    <w:link w:val="923"/>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924"/>
    <w:uiPriority w:val="9"/>
    <w:unhideWhenUsed/>
    <w:qFormat/>
    <w:pPr>
      <w:keepLines/>
      <w:keepNext/>
      <w:spacing w:before="320" w:after="200"/>
      <w:outlineLvl w:val="8"/>
    </w:pPr>
    <w:rPr>
      <w:rFonts w:ascii="Arial" w:hAnsi="Arial" w:eastAsia="Arial" w:cs="Arial"/>
      <w:i/>
      <w:iCs/>
      <w:sz w:val="21"/>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39"/>
    <w:unhideWhenUsed/>
    <w:qFormat/>
    <w:pPr>
      <w:ind w:left="1701" w:right="0" w:firstLine="0"/>
      <w:spacing w:after="57"/>
    </w:pPr>
  </w:style>
  <w:style w:type="paragraph" w:styleId="865">
    <w:name w:val="table of authorities"/>
    <w:next w:val="852"/>
    <w:uiPriority w:val="0"/>
    <w:qFormat/>
    <w:pPr>
      <w:ind w:left="420"/>
      <w:jc w:val="both"/>
      <w:widowControl w:val="off"/>
    </w:pPr>
    <w:rPr>
      <w:rFonts w:hint="default" w:ascii="Times New Roman" w:hAnsi="Times New Roman" w:eastAsia="宋体" w:cs="Times New Roman"/>
      <w:sz w:val="21"/>
      <w:szCs w:val="22"/>
      <w:lang w:val="en-US" w:eastAsia="zh-CN" w:bidi="ar-SA"/>
    </w:rPr>
  </w:style>
  <w:style w:type="paragraph" w:styleId="866">
    <w:name w:val="Normal Indent"/>
    <w:basedOn w:val="852"/>
    <w:link w:val="1075"/>
    <w:uiPriority w:val="0"/>
    <w:qFormat/>
    <w:pPr>
      <w:ind w:firstLine="420"/>
    </w:pPr>
    <w:rPr>
      <w:sz w:val="20"/>
      <w:szCs w:val="21"/>
    </w:rPr>
  </w:style>
  <w:style w:type="paragraph" w:styleId="867">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name w:val="annotation text"/>
    <w:basedOn w:val="852"/>
    <w:link w:val="1076"/>
    <w:uiPriority w:val="99"/>
    <w:unhideWhenUsed/>
    <w:qFormat/>
    <w:pPr>
      <w:jc w:val="left"/>
    </w:pPr>
  </w:style>
  <w:style w:type="paragraph" w:styleId="869">
    <w:name w:val="Body Text"/>
    <w:basedOn w:val="852"/>
    <w:next w:val="870"/>
    <w:uiPriority w:val="99"/>
    <w:unhideWhenUsed/>
    <w:qFormat/>
    <w:pPr>
      <w:spacing w:line="500" w:lineRule="exact"/>
      <w:tabs>
        <w:tab w:val="left" w:pos="0" w:leader="none"/>
        <w:tab w:val="left" w:pos="993" w:leader="none"/>
        <w:tab w:val="left" w:pos="1134" w:leader="none"/>
      </w:tabs>
    </w:pPr>
    <w:rPr>
      <w:rFonts w:ascii="宋体"/>
      <w:sz w:val="28"/>
      <w:szCs w:val="20"/>
    </w:rPr>
  </w:style>
  <w:style w:type="paragraph" w:styleId="870">
    <w:name w:val="Body Text First Indent"/>
    <w:uiPriority w:val="0"/>
    <w:qFormat/>
    <w:pPr>
      <w:ind w:firstLine="420"/>
      <w:jc w:val="both"/>
      <w:widowControl w:val="off"/>
    </w:pPr>
    <w:rPr>
      <w:rFonts w:hint="default" w:ascii="Times New Roman" w:hAnsi="Times New Roman" w:eastAsia="楷体_GB2312" w:cs="Times New Roman"/>
      <w:sz w:val="28"/>
      <w:szCs w:val="20"/>
      <w:lang w:val="en-US" w:eastAsia="zh-CN" w:bidi="ar-SA"/>
    </w:rPr>
  </w:style>
  <w:style w:type="paragraph" w:styleId="871">
    <w:name w:val="Body Text Indent"/>
    <w:basedOn w:val="852"/>
    <w:next w:val="872"/>
    <w:uiPriority w:val="99"/>
    <w:unhideWhenUsed/>
    <w:qFormat/>
    <w:pPr>
      <w:ind w:left="420"/>
      <w:spacing w:after="120"/>
    </w:pPr>
    <w:rPr>
      <w:szCs w:val="24"/>
    </w:rPr>
  </w:style>
  <w:style w:type="paragraph" w:styleId="872">
    <w:name w:val="envelope return"/>
    <w:basedOn w:val="852"/>
    <w:uiPriority w:val="0"/>
    <w:qFormat/>
    <w:rPr>
      <w:rFonts w:ascii="Arial" w:hAnsi="Arial"/>
    </w:rPr>
  </w:style>
  <w:style w:type="paragraph" w:styleId="873">
    <w:name w:val="List Bullet 2"/>
    <w:basedOn w:val="852"/>
    <w:uiPriority w:val="1"/>
    <w:unhideWhenUsed/>
    <w:qFormat/>
    <w:pPr>
      <w:numPr>
        <w:ilvl w:val="0"/>
        <w:numId w:val="1"/>
      </w:numPr>
    </w:pPr>
  </w:style>
  <w:style w:type="paragraph" w:styleId="874">
    <w:name w:val="index 4"/>
    <w:basedOn w:val="852"/>
    <w:next w:val="852"/>
    <w:uiPriority w:val="0"/>
    <w:qFormat/>
    <w:pPr>
      <w:ind w:left="600"/>
    </w:pPr>
    <w:rPr>
      <w:rFonts w:ascii="Calibri" w:hAnsi="Calibri"/>
    </w:rPr>
  </w:style>
  <w:style w:type="paragraph" w:styleId="875">
    <w:name w:val="toc 5"/>
    <w:basedOn w:val="852"/>
    <w:next w:val="852"/>
    <w:uiPriority w:val="39"/>
    <w:unhideWhenUsed/>
    <w:qFormat/>
    <w:pPr>
      <w:ind w:left="1134" w:right="0" w:firstLine="0"/>
      <w:spacing w:after="57"/>
    </w:pPr>
  </w:style>
  <w:style w:type="paragraph" w:styleId="876">
    <w:name w:val="toc 3"/>
    <w:basedOn w:val="852"/>
    <w:next w:val="852"/>
    <w:uiPriority w:val="39"/>
    <w:unhideWhenUsed/>
    <w:qFormat/>
    <w:pPr>
      <w:ind w:left="567" w:right="0" w:firstLine="0"/>
      <w:spacing w:after="57"/>
    </w:pPr>
  </w:style>
  <w:style w:type="paragraph" w:styleId="877">
    <w:name w:val="Plain Text"/>
    <w:basedOn w:val="852"/>
    <w:link w:val="1077"/>
    <w:uiPriority w:val="99"/>
    <w:qFormat/>
    <w:rPr>
      <w:rFonts w:ascii="宋体" w:hAnsi="Courier New"/>
      <w:sz w:val="20"/>
      <w:szCs w:val="21"/>
    </w:rPr>
  </w:style>
  <w:style w:type="paragraph" w:styleId="878">
    <w:name w:val="toc 8"/>
    <w:basedOn w:val="852"/>
    <w:next w:val="852"/>
    <w:uiPriority w:val="39"/>
    <w:unhideWhenUsed/>
    <w:qFormat/>
    <w:pPr>
      <w:ind w:left="1984" w:right="0" w:firstLine="0"/>
      <w:spacing w:after="57"/>
    </w:pPr>
  </w:style>
  <w:style w:type="paragraph" w:styleId="879">
    <w:name w:val="Date"/>
    <w:basedOn w:val="852"/>
    <w:next w:val="852"/>
    <w:link w:val="1078"/>
    <w:uiPriority w:val="0"/>
    <w:qFormat/>
    <w:rPr>
      <w:sz w:val="24"/>
      <w:szCs w:val="20"/>
    </w:rPr>
  </w:style>
  <w:style w:type="paragraph" w:styleId="880">
    <w:name w:val="Body Text Indent 2"/>
    <w:basedOn w:val="852"/>
    <w:uiPriority w:val="0"/>
    <w:qFormat/>
    <w:pPr>
      <w:ind w:firstLine="562"/>
      <w:spacing w:line="480" w:lineRule="exact"/>
    </w:pPr>
    <w:rPr>
      <w:rFonts w:ascii="楷体_GB2312" w:eastAsia="楷体_GB2312"/>
      <w:b/>
      <w:bCs/>
      <w:sz w:val="28"/>
      <w:szCs w:val="24"/>
    </w:rPr>
  </w:style>
  <w:style w:type="paragraph" w:styleId="881">
    <w:name w:val="endnote text"/>
    <w:basedOn w:val="852"/>
    <w:link w:val="1062"/>
    <w:uiPriority w:val="99"/>
    <w:semiHidden/>
    <w:unhideWhenUsed/>
    <w:qFormat/>
    <w:pPr>
      <w:spacing w:after="0" w:line="240" w:lineRule="auto"/>
    </w:pPr>
    <w:rPr>
      <w:sz w:val="20"/>
    </w:rPr>
  </w:style>
  <w:style w:type="paragraph" w:styleId="882">
    <w:name w:val="Balloon Text"/>
    <w:basedOn w:val="852"/>
    <w:link w:val="1079"/>
    <w:uiPriority w:val="99"/>
    <w:unhideWhenUsed/>
    <w:qFormat/>
    <w:rPr>
      <w:sz w:val="18"/>
      <w:szCs w:val="18"/>
    </w:rPr>
  </w:style>
  <w:style w:type="paragraph" w:styleId="883">
    <w:name w:val="Footer"/>
    <w:basedOn w:val="852"/>
    <w:link w:val="1080"/>
    <w:uiPriority w:val="99"/>
    <w:unhideWhenUsed/>
    <w:qFormat/>
    <w:pPr>
      <w:jc w:val="left"/>
      <w:tabs>
        <w:tab w:val="center" w:pos="4153" w:leader="none"/>
        <w:tab w:val="right" w:pos="8306" w:leader="none"/>
      </w:tabs>
    </w:pPr>
    <w:rPr>
      <w:sz w:val="18"/>
      <w:szCs w:val="18"/>
    </w:rPr>
  </w:style>
  <w:style w:type="paragraph" w:styleId="884">
    <w:name w:val="Header"/>
    <w:basedOn w:val="852"/>
    <w:link w:val="108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52"/>
    <w:next w:val="852"/>
    <w:uiPriority w:val="39"/>
    <w:unhideWhenUsed/>
    <w:qFormat/>
  </w:style>
  <w:style w:type="paragraph" w:styleId="886">
    <w:name w:val="toc 4"/>
    <w:basedOn w:val="852"/>
    <w:next w:val="852"/>
    <w:uiPriority w:val="39"/>
    <w:unhideWhenUsed/>
    <w:qFormat/>
    <w:pPr>
      <w:ind w:left="850" w:right="0" w:firstLine="0"/>
      <w:spacing w:after="57"/>
    </w:pPr>
  </w:style>
  <w:style w:type="paragraph" w:styleId="887">
    <w:name w:val="Subtitle"/>
    <w:basedOn w:val="852"/>
    <w:next w:val="852"/>
    <w:link w:val="928"/>
    <w:uiPriority w:val="11"/>
    <w:qFormat/>
    <w:pPr>
      <w:spacing w:before="200" w:after="200"/>
    </w:pPr>
    <w:rPr>
      <w:sz w:val="24"/>
      <w:szCs w:val="24"/>
    </w:rPr>
  </w:style>
  <w:style w:type="paragraph" w:styleId="888">
    <w:name w:val="footnote text"/>
    <w:basedOn w:val="852"/>
    <w:link w:val="1061"/>
    <w:uiPriority w:val="99"/>
    <w:semiHidden/>
    <w:unhideWhenUsed/>
    <w:qFormat/>
    <w:pPr>
      <w:spacing w:after="40" w:line="240" w:lineRule="auto"/>
    </w:pPr>
    <w:rPr>
      <w:sz w:val="18"/>
    </w:rPr>
  </w:style>
  <w:style w:type="paragraph" w:styleId="889">
    <w:name w:val="toc 6"/>
    <w:basedOn w:val="852"/>
    <w:next w:val="852"/>
    <w:uiPriority w:val="39"/>
    <w:unhideWhenUsed/>
    <w:qFormat/>
    <w:pPr>
      <w:ind w:left="1417" w:right="0" w:firstLine="0"/>
      <w:spacing w:after="57"/>
    </w:pPr>
  </w:style>
  <w:style w:type="paragraph" w:styleId="890">
    <w:name w:val="table of figures"/>
    <w:basedOn w:val="852"/>
    <w:next w:val="852"/>
    <w:uiPriority w:val="99"/>
    <w:unhideWhenUsed/>
    <w:qFormat/>
    <w:pPr>
      <w:spacing w:after="0" w:afterAutospacing="0"/>
    </w:pPr>
  </w:style>
  <w:style w:type="paragraph" w:styleId="891">
    <w:name w:val="toc 2"/>
    <w:basedOn w:val="852"/>
    <w:next w:val="852"/>
    <w:uiPriority w:val="39"/>
    <w:unhideWhenUsed/>
    <w:qFormat/>
    <w:pPr>
      <w:ind w:left="420"/>
    </w:pPr>
  </w:style>
  <w:style w:type="paragraph" w:styleId="892">
    <w:name w:val="toc 9"/>
    <w:basedOn w:val="852"/>
    <w:next w:val="852"/>
    <w:uiPriority w:val="0"/>
    <w:semiHidden/>
    <w:qFormat/>
    <w:pPr>
      <w:ind w:left="3360"/>
    </w:pPr>
  </w:style>
  <w:style w:type="paragraph" w:styleId="893">
    <w:name w:val="Body Text 2"/>
    <w:basedOn w:val="852"/>
    <w:uiPriority w:val="0"/>
    <w:qFormat/>
    <w:pPr>
      <w:spacing w:after="120" w:line="480" w:lineRule="auto"/>
    </w:pPr>
  </w:style>
  <w:style w:type="paragraph" w:styleId="894">
    <w:name w:val="Normal (Web)"/>
    <w:basedOn w:val="852"/>
    <w:uiPriority w:val="0"/>
    <w:unhideWhenUsed/>
    <w:qFormat/>
    <w:pPr>
      <w:spacing w:before="100" w:beforeAutospacing="1" w:after="100" w:afterAutospacing="1"/>
    </w:pPr>
    <w:rPr>
      <w:rFonts w:ascii="宋体" w:hAnsi="宋体" w:cs="宋体"/>
      <w:sz w:val="24"/>
      <w:szCs w:val="24"/>
    </w:rPr>
  </w:style>
  <w:style w:type="paragraph" w:styleId="895">
    <w:name w:val="Title"/>
    <w:basedOn w:val="852"/>
    <w:next w:val="852"/>
    <w:uiPriority w:val="10"/>
    <w:qFormat/>
    <w:pPr>
      <w:jc w:val="center"/>
      <w:spacing w:before="240" w:after="60"/>
      <w:outlineLvl w:val="0"/>
    </w:pPr>
    <w:rPr>
      <w:rFonts w:ascii="Cambria" w:hAnsi="Cambria"/>
      <w:b/>
      <w:bCs/>
      <w:sz w:val="32"/>
      <w:szCs w:val="32"/>
    </w:rPr>
  </w:style>
  <w:style w:type="paragraph" w:styleId="896">
    <w:name w:val="annotation subject"/>
    <w:basedOn w:val="868"/>
    <w:next w:val="868"/>
    <w:link w:val="1082"/>
    <w:uiPriority w:val="99"/>
    <w:unhideWhenUsed/>
    <w:qFormat/>
    <w:rPr>
      <w:b/>
      <w:bCs/>
    </w:rPr>
  </w:style>
  <w:style w:type="paragraph" w:styleId="897">
    <w:name w:val="Body Text First Indent 2"/>
    <w:basedOn w:val="871"/>
    <w:uiPriority w:val="0"/>
    <w:qFormat/>
    <w:pPr>
      <w:ind w:firstLine="420"/>
    </w:pPr>
  </w:style>
  <w:style w:type="table" w:styleId="898">
    <w:name w:val="Table Grid"/>
    <w:basedOn w:val="86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Strong"/>
    <w:basedOn w:val="862"/>
    <w:uiPriority w:val="1"/>
    <w:qFormat/>
    <w:rPr>
      <w:b/>
    </w:rPr>
  </w:style>
  <w:style w:type="character" w:styleId="900">
    <w:name w:val="endnote reference"/>
    <w:basedOn w:val="862"/>
    <w:uiPriority w:val="99"/>
    <w:semiHidden/>
    <w:unhideWhenUsed/>
    <w:qFormat/>
    <w:rPr>
      <w:vertAlign w:val="superscript"/>
    </w:rPr>
  </w:style>
  <w:style w:type="character" w:styleId="901">
    <w:name w:val="page number"/>
    <w:uiPriority w:val="0"/>
    <w:qFormat/>
  </w:style>
  <w:style w:type="character" w:styleId="902">
    <w:name w:val="Emphasis"/>
    <w:uiPriority w:val="1"/>
    <w:qFormat/>
    <w:rPr>
      <w:i/>
    </w:rPr>
  </w:style>
  <w:style w:type="character" w:styleId="903">
    <w:name w:val="Hyperlink"/>
    <w:uiPriority w:val="99"/>
    <w:unhideWhenUsed/>
    <w:qFormat/>
    <w:rPr>
      <w:color w:val="222222"/>
      <w:u w:val="none"/>
    </w:rPr>
  </w:style>
  <w:style w:type="character" w:styleId="904">
    <w:name w:val="annotation reference"/>
    <w:uiPriority w:val="99"/>
    <w:unhideWhenUsed/>
    <w:qFormat/>
    <w:rPr>
      <w:sz w:val="21"/>
      <w:szCs w:val="21"/>
    </w:rPr>
  </w:style>
  <w:style w:type="character" w:styleId="905">
    <w:name w:val="footnote reference"/>
    <w:basedOn w:val="862"/>
    <w:uiPriority w:val="99"/>
    <w:unhideWhenUsed/>
    <w:qFormat/>
    <w:rPr>
      <w:vertAlign w:val="superscript"/>
    </w:rPr>
  </w:style>
  <w:style w:type="paragraph" w:styleId="906" w:customStyle="1">
    <w:name w:val="正文1"/>
    <w:basedOn w:val="907"/>
    <w:next w:val="911"/>
    <w:uiPriority w:val="0"/>
    <w:qFormat/>
    <w:pPr>
      <w:jc w:val="left"/>
      <w:spacing w:line="360" w:lineRule="atLeast"/>
    </w:pPr>
    <w:rPr>
      <w:rFonts w:ascii="宋体" w:hAnsi="Calibri"/>
      <w:sz w:val="24"/>
      <w:szCs w:val="20"/>
    </w:rPr>
  </w:style>
  <w:style w:type="paragraph" w:styleId="907" w:customStyle="1">
    <w:name w:val="正文11"/>
    <w:next w:val="90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8" w:customStyle="1">
    <w:name w:val="正文首行缩进 21"/>
    <w:basedOn w:val="909"/>
    <w:next w:val="852"/>
    <w:uiPriority w:val="0"/>
    <w:qFormat/>
    <w:pPr>
      <w:ind w:firstLine="420"/>
    </w:pPr>
  </w:style>
  <w:style w:type="paragraph" w:styleId="909" w:customStyle="1">
    <w:name w:val="正文文本缩进1"/>
    <w:basedOn w:val="907"/>
    <w:next w:val="910"/>
    <w:uiPriority w:val="0"/>
    <w:qFormat/>
    <w:pPr>
      <w:ind w:firstLine="540"/>
      <w:spacing w:line="400" w:lineRule="exact"/>
    </w:pPr>
    <w:rPr>
      <w:sz w:val="24"/>
    </w:rPr>
  </w:style>
  <w:style w:type="paragraph" w:styleId="910" w:customStyle="1">
    <w:name w:val="寄信人地址1"/>
    <w:basedOn w:val="852"/>
    <w:uiPriority w:val="0"/>
    <w:qFormat/>
    <w:rPr>
      <w:rFonts w:ascii="Arial" w:hAnsi="Arial" w:eastAsia="宋体" w:cs="Times New Roman"/>
    </w:rPr>
  </w:style>
  <w:style w:type="paragraph" w:styleId="911" w:customStyle="1">
    <w:name w:val="正文文本1"/>
    <w:basedOn w:val="906"/>
    <w:next w:val="912"/>
    <w:uiPriority w:val="0"/>
    <w:qFormat/>
    <w:pPr>
      <w:spacing w:after="120"/>
    </w:pPr>
    <w:rPr>
      <w:lang w:eastAsia="en-US"/>
    </w:rPr>
  </w:style>
  <w:style w:type="paragraph" w:styleId="912" w:customStyle="1">
    <w:name w:val="一级条标题"/>
    <w:basedOn w:val="913"/>
    <w:next w:val="91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3" w:customStyle="1">
    <w:name w:val="章标题"/>
    <w:next w:val="8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4" w:customStyle="1">
    <w:name w:val="段"/>
    <w:next w:val="852"/>
    <w:uiPriority w:val="0"/>
    <w:qFormat/>
    <w:pPr>
      <w:ind w:firstLine="200"/>
      <w:jc w:val="both"/>
    </w:pPr>
    <w:rPr>
      <w:rFonts w:hint="default" w:ascii="宋体" w:hAnsi="Times New Roman" w:eastAsia="Times New Roman" w:cs="Times New Roman"/>
      <w:sz w:val="21"/>
      <w:lang w:val="en-US" w:eastAsia="zh-CN" w:bidi="ar-SA"/>
    </w:rPr>
  </w:style>
  <w:style w:type="paragraph" w:styleId="915" w:customStyle="1">
    <w:name w:val="Default"/>
    <w:next w:val="852"/>
    <w:uiPriority w:val="0"/>
    <w:qFormat/>
    <w:pPr>
      <w:widowControl w:val="off"/>
    </w:pPr>
    <w:rPr>
      <w:rFonts w:hint="default" w:ascii="宋体" w:hAnsi="Times New Roman" w:eastAsia="宋体" w:cs="宋体"/>
      <w:color w:val="000000"/>
      <w:sz w:val="24"/>
      <w:szCs w:val="24"/>
      <w:lang w:val="en-US" w:eastAsia="zh-CN" w:bidi="ar-SA"/>
    </w:rPr>
  </w:style>
  <w:style w:type="character" w:styleId="916" w:customStyle="1">
    <w:name w:val="Heading 1 Char"/>
    <w:basedOn w:val="862"/>
    <w:uiPriority w:val="9"/>
    <w:qFormat/>
    <w:rPr>
      <w:rFonts w:ascii="Arial" w:hAnsi="Arial" w:eastAsia="Arial" w:cs="Arial"/>
      <w:sz w:val="40"/>
      <w:szCs w:val="40"/>
    </w:rPr>
  </w:style>
  <w:style w:type="character" w:styleId="917" w:customStyle="1">
    <w:name w:val="Heading 2 Char"/>
    <w:basedOn w:val="862"/>
    <w:uiPriority w:val="9"/>
    <w:qFormat/>
    <w:rPr>
      <w:rFonts w:ascii="Arial" w:hAnsi="Arial" w:eastAsia="Arial" w:cs="Arial"/>
      <w:sz w:val="34"/>
    </w:rPr>
  </w:style>
  <w:style w:type="character" w:styleId="918" w:customStyle="1">
    <w:name w:val="Heading 3 Char"/>
    <w:basedOn w:val="862"/>
    <w:uiPriority w:val="9"/>
    <w:qFormat/>
    <w:rPr>
      <w:rFonts w:ascii="Arial" w:hAnsi="Arial" w:eastAsia="Arial" w:cs="Arial"/>
      <w:sz w:val="30"/>
      <w:szCs w:val="30"/>
    </w:rPr>
  </w:style>
  <w:style w:type="character" w:styleId="919" w:customStyle="1">
    <w:name w:val="Heading 4 Char"/>
    <w:basedOn w:val="862"/>
    <w:uiPriority w:val="9"/>
    <w:qFormat/>
    <w:rPr>
      <w:rFonts w:ascii="Arial" w:hAnsi="Arial" w:eastAsia="Arial" w:cs="Arial"/>
      <w:b/>
      <w:bCs/>
      <w:sz w:val="26"/>
      <w:szCs w:val="26"/>
    </w:rPr>
  </w:style>
  <w:style w:type="character" w:styleId="920" w:customStyle="1">
    <w:name w:val="Heading 5 Char"/>
    <w:basedOn w:val="862"/>
    <w:link w:val="857"/>
    <w:uiPriority w:val="9"/>
    <w:qFormat/>
    <w:rPr>
      <w:rFonts w:ascii="Arial" w:hAnsi="Arial" w:eastAsia="Arial" w:cs="Arial"/>
      <w:b/>
      <w:bCs/>
      <w:sz w:val="24"/>
      <w:szCs w:val="24"/>
    </w:rPr>
  </w:style>
  <w:style w:type="character" w:styleId="921" w:customStyle="1">
    <w:name w:val="Heading 6 Char"/>
    <w:basedOn w:val="862"/>
    <w:link w:val="858"/>
    <w:uiPriority w:val="9"/>
    <w:qFormat/>
    <w:rPr>
      <w:rFonts w:ascii="Arial" w:hAnsi="Arial" w:eastAsia="Arial" w:cs="Arial"/>
      <w:b/>
      <w:bCs/>
      <w:sz w:val="22"/>
      <w:szCs w:val="22"/>
    </w:rPr>
  </w:style>
  <w:style w:type="character" w:styleId="922" w:customStyle="1">
    <w:name w:val="Heading 7 Char"/>
    <w:basedOn w:val="862"/>
    <w:uiPriority w:val="9"/>
    <w:qFormat/>
    <w:rPr>
      <w:rFonts w:ascii="Arial" w:hAnsi="Arial" w:eastAsia="Arial" w:cs="Arial"/>
      <w:b/>
      <w:bCs/>
      <w:i/>
      <w:iCs/>
      <w:sz w:val="22"/>
      <w:szCs w:val="22"/>
    </w:rPr>
  </w:style>
  <w:style w:type="character" w:styleId="923" w:customStyle="1">
    <w:name w:val="Heading 8 Char"/>
    <w:basedOn w:val="862"/>
    <w:link w:val="860"/>
    <w:uiPriority w:val="9"/>
    <w:qFormat/>
    <w:rPr>
      <w:rFonts w:ascii="Arial" w:hAnsi="Arial" w:eastAsia="Arial" w:cs="Arial"/>
      <w:i/>
      <w:iCs/>
      <w:sz w:val="22"/>
      <w:szCs w:val="22"/>
    </w:rPr>
  </w:style>
  <w:style w:type="character" w:styleId="924" w:customStyle="1">
    <w:name w:val="Heading 9 Char"/>
    <w:basedOn w:val="862"/>
    <w:link w:val="861"/>
    <w:uiPriority w:val="9"/>
    <w:qFormat/>
    <w:rPr>
      <w:rFonts w:ascii="Arial" w:hAnsi="Arial" w:eastAsia="Arial" w:cs="Arial"/>
      <w:i/>
      <w:iCs/>
      <w:sz w:val="21"/>
      <w:szCs w:val="21"/>
    </w:rPr>
  </w:style>
  <w:style w:type="paragraph" w:styleId="925">
    <w:name w:val="List Paragraph"/>
    <w:basedOn w:val="852"/>
    <w:uiPriority w:val="34"/>
    <w:qFormat/>
    <w:pPr>
      <w:contextualSpacing/>
      <w:ind w:left="720"/>
    </w:pPr>
  </w:style>
  <w:style w:type="paragraph" w:styleId="926">
    <w:name w:val="No Spacing"/>
    <w:uiPriority w:val="1"/>
    <w:qFormat/>
    <w:pPr>
      <w:spacing w:before="0" w:after="0" w:line="240" w:lineRule="auto"/>
    </w:pPr>
    <w:rPr>
      <w:rFonts w:hint="default" w:ascii="Times New Roman" w:hAnsi="Times New Roman" w:eastAsia="宋体" w:cs="Times New Roman"/>
    </w:rPr>
  </w:style>
  <w:style w:type="character" w:styleId="927" w:customStyle="1">
    <w:name w:val="Title Char"/>
    <w:basedOn w:val="862"/>
    <w:uiPriority w:val="10"/>
    <w:qFormat/>
    <w:rPr>
      <w:sz w:val="48"/>
      <w:szCs w:val="48"/>
    </w:rPr>
  </w:style>
  <w:style w:type="character" w:styleId="928" w:customStyle="1">
    <w:name w:val="Subtitle Char"/>
    <w:basedOn w:val="862"/>
    <w:link w:val="887"/>
    <w:uiPriority w:val="11"/>
    <w:qFormat/>
    <w:rPr>
      <w:sz w:val="24"/>
      <w:szCs w:val="24"/>
    </w:rPr>
  </w:style>
  <w:style w:type="paragraph" w:styleId="929">
    <w:name w:val="Quote"/>
    <w:basedOn w:val="852"/>
    <w:next w:val="852"/>
    <w:link w:val="930"/>
    <w:uiPriority w:val="29"/>
    <w:qFormat/>
    <w:pPr>
      <w:ind w:left="720" w:right="720"/>
    </w:pPr>
    <w:rPr>
      <w:i/>
    </w:rPr>
  </w:style>
  <w:style w:type="character" w:styleId="930" w:customStyle="1">
    <w:name w:val="Quote Char"/>
    <w:link w:val="929"/>
    <w:uiPriority w:val="29"/>
    <w:qFormat/>
    <w:rPr>
      <w:i/>
    </w:rPr>
  </w:style>
  <w:style w:type="paragraph" w:styleId="931">
    <w:name w:val="Intense Quote"/>
    <w:basedOn w:val="852"/>
    <w:next w:val="852"/>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Intense Quote Char"/>
    <w:link w:val="931"/>
    <w:uiPriority w:val="30"/>
    <w:qFormat/>
    <w:rPr>
      <w:i/>
    </w:rPr>
  </w:style>
  <w:style w:type="character" w:styleId="933" w:customStyle="1">
    <w:name w:val="Header Char"/>
    <w:basedOn w:val="862"/>
    <w:uiPriority w:val="99"/>
    <w:qFormat/>
  </w:style>
  <w:style w:type="character" w:styleId="934" w:customStyle="1">
    <w:name w:val="Footer Char"/>
    <w:basedOn w:val="862"/>
    <w:uiPriority w:val="99"/>
    <w:qFormat/>
  </w:style>
  <w:style w:type="character" w:styleId="935" w:customStyle="1">
    <w:name w:val="Caption Char"/>
    <w:uiPriority w:val="99"/>
    <w:qFormat/>
  </w:style>
  <w:style w:type="table" w:styleId="936" w:customStyle="1">
    <w:name w:val="Table Grid Light"/>
    <w:basedOn w:val="8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Plain Table 1"/>
    <w:basedOn w:val="8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2"/>
    <w:basedOn w:val="8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3"/>
    <w:basedOn w:val="8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Plain Table 4"/>
    <w:basedOn w:val="8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Plain Table 5"/>
    <w:basedOn w:val="8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1 Light"/>
    <w:basedOn w:val="8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basedOn w:val="86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basedOn w:val="86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basedOn w:val="86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basedOn w:val="86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basedOn w:val="86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basedOn w:val="86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w:basedOn w:val="8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basedOn w:val="86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basedOn w:val="86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basedOn w:val="86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basedOn w:val="86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basedOn w:val="86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basedOn w:val="86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Grid Table 3"/>
    <w:basedOn w:val="8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basedOn w:val="86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basedOn w:val="86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basedOn w:val="86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basedOn w:val="86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basedOn w:val="86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basedOn w:val="86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w:basedOn w:val="8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basedOn w:val="86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basedOn w:val="86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basedOn w:val="86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basedOn w:val="86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basedOn w:val="86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basedOn w:val="86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Grid Table 5 Dark"/>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w:basedOn w:val="8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basedOn w:val="86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basedOn w:val="86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basedOn w:val="86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1" w:customStyle="1">
    <w:name w:val="Grid Table 6 Colorful - Accent 4"/>
    <w:basedOn w:val="86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basedOn w:val="86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basedOn w:val="86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7 Colorful"/>
    <w:basedOn w:val="8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basedOn w:val="86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basedOn w:val="86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basedOn w:val="86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basedOn w:val="86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basedOn w:val="86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basedOn w:val="86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w:basedOn w:val="8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basedOn w:val="86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basedOn w:val="86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basedOn w:val="86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basedOn w:val="86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basedOn w:val="86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basedOn w:val="86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List Table 2"/>
    <w:basedOn w:val="8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basedOn w:val="86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basedOn w:val="86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basedOn w:val="86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basedOn w:val="86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basedOn w:val="86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basedOn w:val="86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List Table 3"/>
    <w:basedOn w:val="8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basedOn w:val="86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basedOn w:val="86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6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6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6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6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List Table 4"/>
    <w:basedOn w:val="8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basedOn w:val="86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basedOn w:val="86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basedOn w:val="86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basedOn w:val="86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basedOn w:val="86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basedOn w:val="86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List Table 5 Dark"/>
    <w:basedOn w:val="8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basedOn w:val="86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basedOn w:val="86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basedOn w:val="86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basedOn w:val="86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basedOn w:val="86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basedOn w:val="86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w:basedOn w:val="8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basedOn w:val="86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basedOn w:val="86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basedOn w:val="86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basedOn w:val="86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basedOn w:val="86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basedOn w:val="86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List Table 7 Colorful"/>
    <w:basedOn w:val="8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basedOn w:val="86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basedOn w:val="86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basedOn w:val="86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basedOn w:val="86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basedOn w:val="86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basedOn w:val="86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basedOn w:val="8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basedOn w:val="86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basedOn w:val="86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basedOn w:val="86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basedOn w:val="86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basedOn w:val="86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basedOn w:val="86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basedOn w:val="86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basedOn w:val="86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basedOn w:val="86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basedOn w:val="86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basedOn w:val="86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basedOn w:val="86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basedOn w:val="86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basedOn w:val="86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Footnote Text Char"/>
    <w:link w:val="888"/>
    <w:uiPriority w:val="99"/>
    <w:qFormat/>
    <w:rPr>
      <w:sz w:val="18"/>
    </w:rPr>
  </w:style>
  <w:style w:type="character" w:styleId="1062" w:customStyle="1">
    <w:name w:val="Endnote Text Char"/>
    <w:link w:val="881"/>
    <w:uiPriority w:val="99"/>
    <w:qFormat/>
    <w:rPr>
      <w:sz w:val="20"/>
    </w:rPr>
  </w:style>
  <w:style w:type="paragraph" w:styleId="1063" w:customStyle="1">
    <w:name w:val="TOC Heading"/>
    <w:uiPriority w:val="39"/>
    <w:unhideWhenUsed/>
    <w:qFormat/>
    <w:rPr>
      <w:rFonts w:hint="default" w:ascii="Times New Roman" w:hAnsi="Times New Roman" w:eastAsia="宋体" w:cs="Times New Roman"/>
    </w:rPr>
  </w:style>
  <w:style w:type="paragraph" w:styleId="1064" w:customStyle="1">
    <w:name w:val="正文2"/>
    <w:basedOn w:val="852"/>
    <w:uiPriority w:val="0"/>
    <w:qFormat/>
    <w:pPr>
      <w:ind w:firstLine="420"/>
      <w:spacing w:line="360" w:lineRule="auto"/>
    </w:pPr>
  </w:style>
  <w:style w:type="paragraph" w:styleId="1065" w:customStyle="1">
    <w:name w:val="正文（缩进）"/>
    <w:basedOn w:val="852"/>
    <w:next w:val="1066"/>
    <w:uiPriority w:val="0"/>
    <w:qFormat/>
    <w:pPr>
      <w:ind w:firstLine="480"/>
    </w:pPr>
  </w:style>
  <w:style w:type="paragraph" w:styleId="1066" w:customStyle="1">
    <w:name w:val="Char Char Char Char Char Char Char Char Char"/>
    <w:basedOn w:val="852"/>
    <w:next w:val="1067"/>
    <w:uiPriority w:val="0"/>
    <w:qFormat/>
    <w:pPr>
      <w:ind w:left="360" w:hanging="360"/>
      <w:tabs>
        <w:tab w:val="left" w:pos="360" w:leader="none"/>
      </w:tabs>
    </w:pPr>
    <w:rPr>
      <w:rFonts w:eastAsia="Calibri"/>
      <w:sz w:val="24"/>
      <w:szCs w:val="24"/>
      <w:lang w:val="zh-CN"/>
    </w:rPr>
  </w:style>
  <w:style w:type="paragraph" w:styleId="1067" w:customStyle="1">
    <w:name w:val="正文文本 21"/>
    <w:basedOn w:val="852"/>
    <w:next w:val="1068"/>
    <w:uiPriority w:val="0"/>
    <w:qFormat/>
    <w:pPr>
      <w:ind w:left="720" w:hanging="720"/>
      <w:widowControl/>
    </w:pPr>
    <w:rPr>
      <w:rFonts w:eastAsia="Calibri"/>
      <w:sz w:val="24"/>
      <w:szCs w:val="20"/>
      <w:lang w:val="en-GB"/>
    </w:rPr>
  </w:style>
  <w:style w:type="paragraph" w:styleId="1068" w:customStyle="1">
    <w:name w:val="默认段落字体 Para Char Char Char Char Char Char Char"/>
    <w:basedOn w:val="852"/>
    <w:next w:val="1069"/>
    <w:uiPriority w:val="0"/>
    <w:qFormat/>
    <w:rPr>
      <w:rFonts w:eastAsia="Calibri"/>
      <w:sz w:val="20"/>
      <w:szCs w:val="20"/>
      <w:lang w:val="zh-CN"/>
    </w:rPr>
  </w:style>
  <w:style w:type="paragraph" w:styleId="1069" w:customStyle="1">
    <w:name w:val="样式 首行缩进:  2 字符"/>
    <w:basedOn w:val="852"/>
    <w:next w:val="1070"/>
    <w:uiPriority w:val="0"/>
    <w:qFormat/>
    <w:pPr>
      <w:ind w:firstLine="480"/>
      <w:spacing w:line="360" w:lineRule="auto"/>
    </w:pPr>
    <w:rPr>
      <w:sz w:val="24"/>
      <w:szCs w:val="20"/>
    </w:rPr>
  </w:style>
  <w:style w:type="paragraph" w:styleId="1070" w:customStyle="1">
    <w:name w:val="样式 段后: 0.25 行"/>
    <w:basedOn w:val="852"/>
    <w:next w:val="1071"/>
    <w:uiPriority w:val="0"/>
    <w:qFormat/>
    <w:pPr>
      <w:ind w:firstLine="420"/>
      <w:jc w:val="left"/>
      <w:spacing w:line="300" w:lineRule="auto"/>
      <w:widowControl/>
    </w:pPr>
    <w:rPr>
      <w:rFonts w:ascii="Arial" w:hAnsi="Arial" w:eastAsia="Calibri"/>
      <w:sz w:val="22"/>
      <w:szCs w:val="20"/>
      <w:lang w:val="zh-CN" w:eastAsia="en-US" w:bidi="en-US"/>
    </w:rPr>
  </w:style>
  <w:style w:type="paragraph" w:styleId="1071" w:customStyle="1">
    <w:name w:val="正文 New New New New New New New New New New New New New New"/>
    <w:next w:val="892"/>
    <w:uiPriority w:val="0"/>
    <w:qFormat/>
    <w:pPr>
      <w:jc w:val="both"/>
      <w:widowControl w:val="off"/>
    </w:pPr>
    <w:rPr>
      <w:rFonts w:hint="eastAsia" w:ascii="Calibri" w:hAnsi="Calibri" w:eastAsia="宋体" w:cs="宋体"/>
      <w:sz w:val="21"/>
      <w:lang w:val="en-US" w:eastAsia="zh-CN" w:bidi="ar-SA"/>
    </w:rPr>
  </w:style>
  <w:style w:type="character" w:styleId="1072" w:customStyle="1">
    <w:name w:val="标题 3 Char"/>
    <w:link w:val="855"/>
    <w:uiPriority w:val="0"/>
    <w:qFormat/>
    <w:rPr>
      <w:rFonts w:ascii="Times New Roman" w:hAnsi="Times New Roman" w:eastAsia="宋体" w:cs="Times New Roman"/>
      <w:b/>
      <w:bCs/>
      <w:sz w:val="32"/>
      <w:szCs w:val="32"/>
    </w:rPr>
  </w:style>
  <w:style w:type="character" w:styleId="1073" w:customStyle="1">
    <w:name w:val="标题 1 Char"/>
    <w:link w:val="853"/>
    <w:uiPriority w:val="9"/>
    <w:qFormat/>
    <w:rPr>
      <w:b/>
      <w:bCs/>
      <w:sz w:val="44"/>
      <w:szCs w:val="44"/>
    </w:rPr>
  </w:style>
  <w:style w:type="character" w:styleId="1074" w:customStyle="1">
    <w:name w:val="标题 2 Char"/>
    <w:link w:val="854"/>
    <w:uiPriority w:val="0"/>
    <w:qFormat/>
    <w:rPr>
      <w:rFonts w:ascii="Arial" w:hAnsi="Arial" w:eastAsia="幼圆" w:cs="Times New Roman"/>
      <w:b/>
      <w:bCs/>
      <w:sz w:val="44"/>
      <w:szCs w:val="44"/>
    </w:rPr>
  </w:style>
  <w:style w:type="character" w:styleId="1075" w:customStyle="1">
    <w:name w:val="正文缩进 Char"/>
    <w:link w:val="866"/>
    <w:uiPriority w:val="0"/>
    <w:qFormat/>
    <w:rPr>
      <w:rFonts w:ascii="Times New Roman" w:hAnsi="Times New Roman" w:eastAsia="宋体" w:cs="Times New Roman"/>
      <w:szCs w:val="21"/>
    </w:rPr>
  </w:style>
  <w:style w:type="character" w:styleId="1076" w:customStyle="1">
    <w:name w:val="批注文字 Char"/>
    <w:link w:val="868"/>
    <w:uiPriority w:val="99"/>
    <w:qFormat/>
    <w:rPr>
      <w:sz w:val="21"/>
      <w:szCs w:val="22"/>
    </w:rPr>
  </w:style>
  <w:style w:type="character" w:styleId="1077" w:customStyle="1">
    <w:name w:val="纯文本 Char"/>
    <w:link w:val="877"/>
    <w:uiPriority w:val="99"/>
    <w:qFormat/>
    <w:rPr>
      <w:rFonts w:ascii="宋体" w:hAnsi="Courier New" w:eastAsia="宋体" w:cs="Times New Roman"/>
      <w:szCs w:val="21"/>
    </w:rPr>
  </w:style>
  <w:style w:type="character" w:styleId="1078" w:customStyle="1">
    <w:name w:val="日期 Char"/>
    <w:link w:val="879"/>
    <w:uiPriority w:val="0"/>
    <w:qFormat/>
    <w:rPr>
      <w:rFonts w:ascii="Times New Roman" w:hAnsi="Times New Roman" w:eastAsia="宋体" w:cs="Times New Roman"/>
      <w:sz w:val="24"/>
      <w:szCs w:val="20"/>
    </w:rPr>
  </w:style>
  <w:style w:type="character" w:styleId="1079" w:customStyle="1">
    <w:name w:val="批注框文本 Char"/>
    <w:link w:val="882"/>
    <w:uiPriority w:val="99"/>
    <w:semiHidden/>
    <w:qFormat/>
    <w:rPr>
      <w:sz w:val="18"/>
      <w:szCs w:val="18"/>
    </w:rPr>
  </w:style>
  <w:style w:type="character" w:styleId="1080" w:customStyle="1">
    <w:name w:val="页脚 Char"/>
    <w:link w:val="883"/>
    <w:uiPriority w:val="99"/>
    <w:qFormat/>
    <w:rPr>
      <w:sz w:val="18"/>
      <w:szCs w:val="18"/>
    </w:rPr>
  </w:style>
  <w:style w:type="character" w:styleId="1081" w:customStyle="1">
    <w:name w:val="页眉 Char"/>
    <w:link w:val="884"/>
    <w:uiPriority w:val="99"/>
    <w:qFormat/>
    <w:rPr>
      <w:sz w:val="18"/>
      <w:szCs w:val="18"/>
    </w:rPr>
  </w:style>
  <w:style w:type="character" w:styleId="1082" w:customStyle="1">
    <w:name w:val="批注主题 Char"/>
    <w:link w:val="896"/>
    <w:uiPriority w:val="99"/>
    <w:semiHidden/>
    <w:qFormat/>
    <w:rPr>
      <w:b/>
      <w:bCs/>
      <w:sz w:val="21"/>
      <w:szCs w:val="22"/>
    </w:rPr>
  </w:style>
  <w:style w:type="paragraph" w:styleId="1083" w:customStyle="1">
    <w:name w:val="ListBullet2"/>
    <w:basedOn w:val="852"/>
    <w:uiPriority w:val="0"/>
    <w:qFormat/>
    <w:pPr>
      <w:numPr>
        <w:ilvl w:val="0"/>
        <w:numId w:val="2"/>
      </w:numPr>
      <w:tabs>
        <w:tab w:val="decimal" w:pos="780" w:leader="none"/>
      </w:tabs>
    </w:pPr>
  </w:style>
  <w:style w:type="character" w:styleId="1084" w:customStyle="1">
    <w:name w:val="htd0"/>
    <w:uiPriority w:val="0"/>
    <w:qFormat/>
  </w:style>
  <w:style w:type="paragraph" w:styleId="1085" w:customStyle="1">
    <w:name w:val="普通正文"/>
    <w:basedOn w:val="906"/>
    <w:uiPriority w:val="0"/>
    <w:qFormat/>
    <w:pPr>
      <w:ind w:firstLine="480"/>
      <w:jc w:val="left"/>
      <w:spacing w:before="120" w:after="120" w:line="360" w:lineRule="auto"/>
    </w:pPr>
    <w:rPr>
      <w:rFonts w:ascii="Arial" w:hAnsi="Arial"/>
      <w:sz w:val="24"/>
      <w:szCs w:val="24"/>
    </w:rPr>
  </w:style>
  <w:style w:type="paragraph" w:styleId="1086" w:customStyle="1">
    <w:name w:val="正文空2格  1."/>
    <w:basedOn w:val="852"/>
    <w:uiPriority w:val="0"/>
    <w:qFormat/>
    <w:pPr>
      <w:ind w:firstLine="480"/>
    </w:pPr>
    <w:rPr>
      <w:rFonts w:cs="宋体"/>
      <w:sz w:val="28"/>
      <w:szCs w:val="20"/>
    </w:rPr>
  </w:style>
  <w:style w:type="paragraph" w:styleId="1087" w:customStyle="1">
    <w:name w:val="正文_0"/>
    <w:uiPriority w:val="0"/>
    <w:qFormat/>
    <w:pPr>
      <w:ind w:firstLine="360"/>
      <w:jc w:val="both"/>
      <w:widowControl w:val="off"/>
    </w:pPr>
    <w:rPr>
      <w:rFonts w:hint="default" w:ascii="Times New Roman" w:hAnsi="Times New Roman" w:eastAsia="宋体" w:cs="Times New Roman"/>
      <w:sz w:val="21"/>
      <w:szCs w:val="22"/>
      <w:lang w:val="en-US" w:eastAsia="zh-CN" w:bidi="ar-SA"/>
    </w:rPr>
  </w:style>
  <w:style w:type="paragraph" w:styleId="1088" w:customStyle="1">
    <w:name w:val="列出段落1"/>
    <w:basedOn w:val="852"/>
    <w:uiPriority w:val="34"/>
    <w:qFormat/>
    <w:pPr>
      <w:ind w:firstLine="420"/>
    </w:pPr>
  </w:style>
  <w:style w:type="paragraph" w:styleId="1089" w:customStyle="1">
    <w:name w:val="正文 1.1"/>
    <w:basedOn w:val="852"/>
    <w:next w:val="1090"/>
    <w:uiPriority w:val="0"/>
    <w:qFormat/>
    <w:pPr>
      <w:numPr>
        <w:ilvl w:val="1"/>
        <w:numId w:val="3"/>
      </w:numPr>
      <w:ind w:firstLine="550"/>
      <w:outlineLvl w:val="1"/>
    </w:pPr>
    <w:rPr>
      <w:rFonts w:ascii="仿宋" w:hAnsi="仿宋"/>
      <w:b/>
    </w:rPr>
  </w:style>
  <w:style w:type="paragraph" w:styleId="1090" w:customStyle="1">
    <w:name w:val="正文 1.1.1"/>
    <w:basedOn w:val="852"/>
    <w:next w:val="852"/>
    <w:uiPriority w:val="0"/>
    <w:qFormat/>
    <w:pPr>
      <w:numPr>
        <w:ilvl w:val="2"/>
        <w:numId w:val="3"/>
      </w:numPr>
      <w:outlineLvl w:val="2"/>
    </w:pPr>
    <w:rPr>
      <w:rFonts w:hAnsi="宋体"/>
      <w:color w:val="ff0000"/>
    </w:rPr>
  </w:style>
  <w:style w:type="paragraph" w:styleId="1091" w:customStyle="1">
    <w:name w:val="样式 目录 1 + 宋体"/>
    <w:basedOn w:val="885"/>
    <w:uiPriority w:val="0"/>
    <w:qFormat/>
    <w:pPr>
      <w:jc w:val="left"/>
      <w:spacing w:before="120" w:after="120"/>
    </w:pPr>
    <w:rPr>
      <w:rFonts w:ascii="宋体" w:hAnsi="宋体"/>
      <w:b/>
      <w:bCs/>
      <w:caps/>
      <w:sz w:val="28"/>
      <w:szCs w:val="20"/>
    </w:rPr>
  </w:style>
  <w:style w:type="paragraph" w:styleId="1092" w:customStyle="1">
    <w:name w:val="Table Paragraph"/>
    <w:basedOn w:val="852"/>
    <w:uiPriority w:val="99"/>
    <w:qFormat/>
    <w:pPr>
      <w:jc w:val="left"/>
    </w:pPr>
    <w:rPr>
      <w:rFonts w:ascii="Calibri" w:hAnsi="Calibri" w:cs="Calibri"/>
      <w:sz w:val="22"/>
      <w:lang w:eastAsia="en-US"/>
    </w:rPr>
  </w:style>
  <w:style w:type="paragraph" w:styleId="1093" w:customStyle="1">
    <w:name w:val="正文_2_0"/>
    <w:uiPriority w:val="0"/>
    <w:qFormat/>
    <w:rPr>
      <w:rFonts w:hint="default" w:ascii="Times New Roman" w:hAnsi="Times New Roman" w:eastAsia="宋体" w:cs="Times New Roman"/>
      <w:lang w:val="en-US" w:eastAsia="zh-CN" w:bidi="ar-SA"/>
    </w:rPr>
  </w:style>
  <w:style w:type="paragraph" w:styleId="1094" w:customStyle="1">
    <w:name w:val="Blockquote"/>
    <w:basedOn w:val="852"/>
    <w:uiPriority w:val="0"/>
    <w:qFormat/>
    <w:pPr>
      <w:ind w:left="360" w:right="360"/>
      <w:spacing w:before="100" w:after="100"/>
    </w:pPr>
    <w:rPr>
      <w:sz w:val="24"/>
    </w:rPr>
  </w:style>
  <w:style w:type="paragraph" w:styleId="1095" w:customStyle="1">
    <w:name w:val="Char"/>
    <w:basedOn w:val="852"/>
    <w:uiPriority w:val="0"/>
    <w:qFormat/>
    <w:pPr>
      <w:ind w:firstLine="200"/>
      <w:tabs>
        <w:tab w:val="left" w:pos="360" w:leader="none"/>
      </w:tabs>
    </w:pPr>
    <w:rPr>
      <w:sz w:val="28"/>
      <w:szCs w:val="30"/>
    </w:rPr>
  </w:style>
  <w:style w:type="paragraph" w:styleId="1096" w:customStyle="1">
    <w:name w:val="列出段落11"/>
    <w:basedOn w:val="852"/>
    <w:uiPriority w:val="0"/>
    <w:qFormat/>
    <w:pPr>
      <w:contextualSpacing/>
      <w:ind w:left="720"/>
      <w:jc w:val="left"/>
      <w:widowControl/>
    </w:pPr>
    <w:rPr>
      <w:sz w:val="24"/>
      <w:lang w:eastAsia="en-US" w:bidi="en-US"/>
    </w:rPr>
  </w:style>
  <w:style w:type="paragraph" w:styleId="1097" w:customStyle="1">
    <w:name w:val="样式3"/>
    <w:basedOn w:val="852"/>
    <w:uiPriority w:val="0"/>
    <w:qFormat/>
    <w:pPr>
      <w:spacing w:before="330" w:after="160" w:line="490" w:lineRule="exact"/>
    </w:pPr>
    <w:rPr>
      <w:rFonts w:ascii="Arial" w:hAnsi="Arial" w:eastAsia="黑体"/>
      <w:sz w:val="28"/>
    </w:rPr>
  </w:style>
  <w:style w:type="paragraph" w:styleId="1098" w:customStyle="1">
    <w:name w:val="样式"/>
    <w:uiPriority w:val="0"/>
    <w:qFormat/>
    <w:pPr>
      <w:widowControl w:val="off"/>
    </w:pPr>
    <w:rPr>
      <w:rFonts w:hint="default" w:ascii="宋体" w:hAnsi="宋体" w:eastAsia="宋体" w:cs="宋体"/>
      <w:sz w:val="24"/>
      <w:szCs w:val="24"/>
      <w:lang w:val="en-US" w:eastAsia="zh-CN" w:bidi="ar-SA"/>
    </w:rPr>
  </w:style>
  <w:style w:type="paragraph" w:styleId="1099" w:customStyle="1">
    <w:name w:val="修订1"/>
    <w:hidden/>
    <w:uiPriority w:val="99"/>
    <w:unhideWhenUsed/>
    <w:qFormat/>
    <w:rPr>
      <w:rFonts w:hint="default" w:ascii="Times New Roman" w:hAnsi="Times New Roman" w:eastAsia="宋体" w:cs="Times New Roman"/>
      <w:sz w:val="21"/>
      <w:szCs w:val="22"/>
      <w:lang w:val="en-US" w:eastAsia="zh-CN" w:bidi="ar-SA"/>
    </w:rPr>
  </w:style>
  <w:style w:type="paragraph" w:styleId="1100" w:customStyle="1">
    <w:name w:val="标题 21"/>
    <w:basedOn w:val="907"/>
    <w:next w:val="1101"/>
    <w:uiPriority w:val="0"/>
    <w:qFormat/>
    <w:pPr>
      <w:keepLines/>
      <w:keepNext/>
      <w:spacing w:before="260" w:after="260" w:line="416" w:lineRule="auto"/>
      <w:outlineLvl w:val="1"/>
    </w:pPr>
    <w:rPr>
      <w:rFonts w:ascii="Cambria" w:hAnsi="Cambria"/>
      <w:b/>
      <w:bCs/>
      <w:sz w:val="32"/>
      <w:szCs w:val="32"/>
    </w:rPr>
  </w:style>
  <w:style w:type="paragraph" w:styleId="1101" w:customStyle="1">
    <w:name w:val="正文缩进1"/>
    <w:basedOn w:val="907"/>
    <w:uiPriority w:val="0"/>
    <w:qFormat/>
    <w:pPr>
      <w:ind w:firstLine="420"/>
    </w:pPr>
    <w:rPr>
      <w:rFonts w:ascii="Calibri" w:hAnsi="Calibri"/>
    </w:rPr>
  </w:style>
  <w:style w:type="paragraph" w:styleId="1102" w:customStyle="1">
    <w:name w:val="纯文本1"/>
    <w:basedOn w:val="907"/>
    <w:uiPriority w:val="0"/>
    <w:qFormat/>
    <w:rPr>
      <w:rFonts w:ascii="宋体" w:hAnsi="Courier New"/>
      <w:sz w:val="20"/>
      <w:szCs w:val="20"/>
    </w:rPr>
  </w:style>
  <w:style w:type="paragraph" w:styleId="1103" w:customStyle="1">
    <w:name w:val="页眉1"/>
    <w:basedOn w:val="907"/>
    <w:uiPriority w:val="0"/>
    <w:qFormat/>
    <w:pPr>
      <w:jc w:val="center"/>
      <w:tabs>
        <w:tab w:val="center" w:pos="4153" w:leader="none"/>
        <w:tab w:val="right" w:pos="8306" w:leader="none"/>
      </w:tabs>
      <w:pBdr>
        <w:bottom w:val="single" w:color="000000" w:sz="6" w:space="1"/>
      </w:pBdr>
    </w:pPr>
    <w:rPr>
      <w:sz w:val="18"/>
      <w:szCs w:val="18"/>
    </w:rPr>
  </w:style>
  <w:style w:type="paragraph" w:styleId="1104" w:customStyle="1">
    <w:name w:val="正文文本11"/>
    <w:basedOn w:val="907"/>
    <w:next w:val="1067"/>
    <w:uiPriority w:val="0"/>
    <w:qFormat/>
    <w:rPr>
      <w:rFonts w:ascii="楷体_GB2312" w:hAnsi="Arial" w:eastAsia="楷体_GB2312"/>
      <w:sz w:val="28"/>
      <w:szCs w:val="28"/>
    </w:rPr>
  </w:style>
  <w:style w:type="paragraph" w:styleId="1105" w:customStyle="1">
    <w:name w:val="页脚1"/>
    <w:basedOn w:val="907"/>
    <w:uiPriority w:val="0"/>
    <w:qFormat/>
    <w:pPr>
      <w:jc w:val="left"/>
      <w:tabs>
        <w:tab w:val="center" w:pos="4153" w:leader="none"/>
        <w:tab w:val="right" w:pos="8306" w:leader="none"/>
      </w:tabs>
    </w:pPr>
    <w:rPr>
      <w:sz w:val="18"/>
      <w:szCs w:val="18"/>
    </w:rPr>
  </w:style>
  <w:style w:type="paragraph" w:styleId="1106" w:customStyle="1">
    <w:name w:val="标题 11"/>
    <w:basedOn w:val="852"/>
    <w:next w:val="852"/>
    <w:uiPriority w:val="9"/>
    <w:qFormat/>
    <w:pPr>
      <w:keepLines/>
      <w:keepNext/>
      <w:spacing w:before="340" w:after="330" w:line="578" w:lineRule="auto"/>
      <w:outlineLvl w:val="0"/>
    </w:pPr>
    <w:rPr>
      <w:rFonts w:ascii="Calibri" w:hAnsi="Calibri"/>
      <w:b/>
      <w:bCs/>
      <w:sz w:val="44"/>
      <w:szCs w:val="44"/>
      <w:lang w:eastAsia="en-US"/>
    </w:rPr>
  </w:style>
  <w:style w:type="paragraph" w:styleId="1107" w:customStyle="1">
    <w:name w:val="普通(网站)1"/>
    <w:basedOn w:val="852"/>
    <w:uiPriority w:val="0"/>
    <w:unhideWhenUsed/>
    <w:qFormat/>
    <w:pPr>
      <w:jc w:val="left"/>
    </w:pPr>
    <w:rPr>
      <w:rFonts w:ascii="Calibri" w:hAnsi="Calibri"/>
      <w:sz w:val="24"/>
      <w:szCs w:val="24"/>
    </w:rPr>
  </w:style>
  <w:style w:type="character" w:styleId="1108" w:customStyle="1">
    <w:name w:val="要点1"/>
    <w:uiPriority w:val="0"/>
    <w:qFormat/>
    <w:rPr>
      <w:rFonts w:ascii="Times New Roman" w:hAnsi="Times New Roman" w:eastAsia="宋体" w:cs="Times New Roman"/>
      <w:sz w:val="21"/>
      <w:szCs w:val="22"/>
      <w:lang w:val="en-US" w:eastAsia="zh-CN" w:bidi="ar-SA"/>
    </w:rPr>
  </w:style>
  <w:style w:type="paragraph" w:styleId="1109" w:customStyle="1">
    <w:name w:val="日期1"/>
    <w:basedOn w:val="852"/>
    <w:next w:val="852"/>
    <w:uiPriority w:val="0"/>
    <w:qFormat/>
    <w:rPr>
      <w:sz w:val="24"/>
      <w:szCs w:val="20"/>
      <w:lang w:eastAsia="en-US"/>
    </w:rPr>
  </w:style>
  <w:style w:type="paragraph" w:styleId="1110" w:customStyle="1">
    <w:name w:val="纯文本111"/>
    <w:basedOn w:val="852"/>
    <w:uiPriority w:val="99"/>
    <w:unhideWhenUsed/>
    <w:qFormat/>
    <w:rPr>
      <w:rFonts w:ascii="宋体" w:hAnsi="Courier New"/>
      <w:sz w:val="20"/>
      <w:szCs w:val="20"/>
    </w:rPr>
  </w:style>
  <w:style w:type="paragraph" w:styleId="1111" w:customStyle="1">
    <w:name w:val="标题 41"/>
    <w:basedOn w:val="852"/>
    <w:next w:val="852"/>
    <w:uiPriority w:val="0"/>
    <w:qFormat/>
    <w:pPr>
      <w:spacing w:before="280" w:after="290" w:line="377" w:lineRule="auto"/>
      <w:outlineLvl w:val="3"/>
    </w:pPr>
    <w:rPr>
      <w:rFonts w:ascii="Arial" w:hAnsi="Arial" w:eastAsia="黑体"/>
      <w:b/>
      <w:bCs/>
      <w:sz w:val="28"/>
      <w:szCs w:val="28"/>
    </w:rPr>
  </w:style>
  <w:style w:type="paragraph" w:styleId="1112" w:customStyle="1">
    <w:name w:val="WPSOffice手动目录 1"/>
    <w:uiPriority w:val="0"/>
    <w:qFormat/>
    <w:rPr>
      <w:rFonts w:hint="default" w:ascii="Times New Roman" w:hAnsi="Times New Roman" w:eastAsia="宋体" w:cs="Times New Roman"/>
      <w:sz w:val="20"/>
      <w:szCs w:val="20"/>
    </w:rPr>
  </w:style>
  <w:style w:type="paragraph" w:styleId="1113" w:customStyle="1">
    <w:name w:val="报告书 正文"/>
    <w:uiPriority w:val="0"/>
    <w:qFormat/>
    <w:pPr>
      <w:ind w:firstLine="200"/>
      <w:jc w:val="both"/>
      <w:spacing w:line="500" w:lineRule="exact"/>
      <w:widowControl w:val="off"/>
    </w:pPr>
    <w:rPr>
      <w:rFonts w:hint="default" w:ascii="Times New Roman" w:hAnsi="Times New Roman" w:eastAsia="仿宋_GB2312" w:cs="Times New Roman"/>
      <w:sz w:val="28"/>
      <w:szCs w:val="24"/>
      <w:lang w:val="en-US" w:eastAsia="zh-CN" w:bidi="ar-SA"/>
    </w:rPr>
  </w:style>
  <w:style w:type="paragraph" w:styleId="1114" w:customStyle="1">
    <w:name w:val="标准文件_正文表标题"/>
    <w:next w:val="1115"/>
    <w:uiPriority w:val="0"/>
    <w:qFormat/>
    <w:pPr>
      <w:numPr>
        <w:ilvl w:val="0"/>
        <w:numId w:val="4"/>
      </w:numPr>
      <w:jc w:val="center"/>
      <w:tabs>
        <w:tab w:val="left" w:pos="0" w:leader="none"/>
      </w:tabs>
    </w:pPr>
    <w:rPr>
      <w:rFonts w:hint="default" w:ascii="黑体" w:hAnsi="Times New Roman" w:eastAsia="黑体" w:cs="Times New Roman"/>
      <w:sz w:val="21"/>
      <w:szCs w:val="20"/>
      <w:lang w:val="en-US" w:eastAsia="zh-CN" w:bidi="ar-SA"/>
    </w:rPr>
  </w:style>
  <w:style w:type="paragraph" w:styleId="1115" w:customStyle="1">
    <w:name w:val="标准文件_段"/>
    <w:uiPriority w:val="0"/>
    <w:qFormat/>
    <w:pPr>
      <w:ind w:firstLine="200"/>
      <w:jc w:val="both"/>
    </w:pPr>
    <w:rPr>
      <w:rFonts w:hint="default" w:ascii="宋体" w:hAnsi="宋体" w:eastAsia="宋体" w:cstheme="minorBidi"/>
      <w:sz w:val="21"/>
      <w:szCs w:val="22"/>
      <w:lang w:val="en-US" w:eastAsia="zh-CN" w:bidi="ar-SA"/>
    </w:rPr>
  </w:style>
  <w:style w:type="table" w:styleId="1116" w:customStyle="1">
    <w:name w:val="Table Normal"/>
    <w:uiPriority w:val="0"/>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paragraph" w:styleId="1117" w:customStyle="1">
    <w:name w:val="Fließtext"/>
    <w:basedOn w:val="852"/>
    <w:uiPriority w:val="0"/>
    <w:qFormat/>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360xt.cn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ZWKYZCGDLC-20191101号</dc:title>
  <dc:creator>admin</dc:creator>
  <cp:lastModifiedBy>许诚哲</cp:lastModifiedBy>
  <cp:revision>12</cp:revision>
  <dcterms:created xsi:type="dcterms:W3CDTF">2024-03-23T13:09:00Z</dcterms:created>
  <dcterms:modified xsi:type="dcterms:W3CDTF">2026-08-19T02:15:29Z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37937E2D70124EB183D9A85FE5A63FB1_13</vt:lpwstr>
  </property>
  <property fmtid="{D5CDD505-2E9C-101B-9397-08002B2CF9AE}" pid="4" name="KSOTemplateDocerSaveRecord">
    <vt:lpwstr>eyJoZGlkIjoiMzdlZmMyYzg4YTZkMGMyMjc5YzRmYTEyYjI4NjYyY2UiLCJ1c2VySWQiOiIyMjg0MDg0MzQifQ==</vt:lpwstr>
  </property>
</Properties>
</file>