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left="0" w:right="0"/>
        <w:keepLines w:val="0"/>
        <w:keepNext w:val="0"/>
        <w:pageBreakBefore w:val="0"/>
        <w:spacing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rPr>
      </w:r>
      <w:r>
        <w:rPr>
          <w:color w:val="auto"/>
          <w:highlight w:val="none"/>
        </w:rPr>
      </w:r>
      <w:r/>
    </w:p>
    <w:p>
      <w:pPr>
        <w:pStyle w:val="999"/>
        <w:ind w:left="0" w:right="0"/>
        <w:keepLines w:val="0"/>
        <w:keepNext w:val="0"/>
        <w:pageBreakBefore w:val="0"/>
        <w:spacing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bCs/>
          <w:i w:val="0"/>
          <w:iCs w:val="0"/>
          <w:color w:val="auto"/>
          <w:spacing w:val="80"/>
          <w:sz w:val="72"/>
          <w:szCs w:val="72"/>
          <w:highlight w:val="none"/>
          <w:u w:val="none"/>
        </w:rPr>
        <w:outlineLvl w:val="9"/>
      </w:pPr>
      <w:r>
        <w:rPr>
          <w:color w:val="auto"/>
          <w:highlight w:val="none"/>
        </w:rPr>
      </w:r>
      <w:bookmarkStart w:id="0" w:name="_Toc1020"/>
      <w:r>
        <w:rPr>
          <w:color w:val="auto"/>
          <w:highlight w:val="none"/>
        </w:rPr>
      </w:r>
      <w:bookmarkStart w:id="1" w:name="_Toc22642"/>
      <w:r>
        <w:rPr>
          <w:rFonts w:hint="eastAsia" w:ascii="宋体" w:hAnsi="宋体" w:eastAsia="宋体" w:cs="宋体"/>
          <w:b/>
          <w:bCs/>
          <w:i w:val="0"/>
          <w:iCs w:val="0"/>
          <w:color w:val="auto"/>
          <w:spacing w:val="80"/>
          <w:sz w:val="72"/>
          <w:szCs w:val="72"/>
          <w:highlight w:val="none"/>
          <w:u w:val="none"/>
        </w:rPr>
        <w:t xml:space="preserve">连云港市政府采购</w:t>
      </w:r>
      <w:bookmarkEnd w:id="0"/>
      <w:r>
        <w:rPr>
          <w:color w:val="auto"/>
          <w:highlight w:val="none"/>
        </w:rPr>
      </w:r>
      <w:bookmarkEnd w:id="1"/>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bCs/>
          <w:i w:val="0"/>
          <w:iCs w:val="0"/>
          <w:color w:val="auto"/>
          <w:spacing w:val="80"/>
          <w:sz w:val="72"/>
          <w:szCs w:val="72"/>
          <w:highlight w:val="none"/>
          <w:u w:val="none"/>
        </w:rPr>
        <w:outlineLvl w:val="9"/>
      </w:pPr>
      <w:r>
        <w:rPr>
          <w:rFonts w:hint="eastAsia" w:ascii="宋体" w:hAnsi="宋体" w:eastAsia="宋体" w:cs="宋体"/>
          <w:b/>
          <w:bCs/>
          <w:i w:val="0"/>
          <w:iCs w:val="0"/>
          <w:color w:val="auto"/>
          <w:spacing w:val="80"/>
          <w:sz w:val="72"/>
          <w:szCs w:val="72"/>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bCs/>
          <w:i w:val="0"/>
          <w:iCs w:val="0"/>
          <w:color w:val="auto"/>
          <w:spacing w:val="80"/>
          <w:sz w:val="72"/>
          <w:szCs w:val="72"/>
          <w:highlight w:val="none"/>
          <w:u w:val="none"/>
        </w:rPr>
        <w:outlineLvl w:val="9"/>
      </w:pPr>
      <w:r>
        <w:rPr>
          <w:color w:val="auto"/>
          <w:highlight w:val="none"/>
        </w:rPr>
      </w:r>
      <w:bookmarkStart w:id="2" w:name="_Toc9652"/>
      <w:r>
        <w:rPr>
          <w:color w:val="auto"/>
          <w:highlight w:val="none"/>
        </w:rPr>
      </w:r>
      <w:bookmarkStart w:id="3" w:name="_Toc2857"/>
      <w:r>
        <w:rPr>
          <w:color w:val="auto"/>
          <w:highlight w:val="none"/>
        </w:rPr>
      </w:r>
      <w:bookmarkStart w:id="4" w:name="_Toc25852"/>
      <w:r>
        <w:rPr>
          <w:color w:val="auto"/>
          <w:highlight w:val="none"/>
        </w:rPr>
      </w:r>
      <w:bookmarkStart w:id="5" w:name="_Toc20090"/>
      <w:r>
        <w:rPr>
          <w:rFonts w:hint="eastAsia" w:ascii="宋体" w:hAnsi="宋体" w:eastAsia="宋体" w:cs="宋体"/>
          <w:b/>
          <w:bCs/>
          <w:i w:val="0"/>
          <w:iCs w:val="0"/>
          <w:color w:val="auto"/>
          <w:spacing w:val="80"/>
          <w:sz w:val="72"/>
          <w:szCs w:val="72"/>
          <w:highlight w:val="none"/>
          <w:u w:val="none"/>
        </w:rPr>
        <w:t xml:space="preserve">招标文件</w:t>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bCs/>
          <w:i w:val="0"/>
          <w:iCs w:val="0"/>
          <w:color w:val="auto"/>
          <w:spacing w:val="16"/>
          <w:sz w:val="44"/>
          <w:szCs w:val="24"/>
          <w:highlight w:val="none"/>
          <w:u w:val="none"/>
        </w:rPr>
        <w:outlineLvl w:val="9"/>
      </w:pPr>
      <w:r>
        <w:rPr>
          <w:rFonts w:hint="eastAsia" w:ascii="宋体" w:hAnsi="宋体" w:eastAsia="宋体" w:cs="宋体"/>
          <w:b/>
          <w:bCs/>
          <w:i w:val="0"/>
          <w:iCs w:val="0"/>
          <w:color w:val="auto"/>
          <w:spacing w:val="16"/>
          <w:sz w:val="44"/>
          <w:szCs w:val="24"/>
          <w:highlight w:val="none"/>
          <w:u w:val="none"/>
        </w:rPr>
      </w:r>
      <w:r>
        <w:rPr>
          <w:color w:val="auto"/>
          <w:highlight w:val="none"/>
        </w:rPr>
      </w:r>
      <w:r/>
    </w:p>
    <w:p>
      <w:pPr>
        <w:ind w:left="0" w:right="0" w:firstLine="947"/>
        <w:keepLines w:val="0"/>
        <w:keepNext w:val="0"/>
        <w:pageBreakBefore w:val="0"/>
        <w:spacing w:line="360" w:lineRule="auto"/>
        <w:widowControl w:val="off"/>
        <w:rPr>
          <w:rFonts w:hint="eastAsia" w:ascii="宋体" w:hAnsi="宋体" w:eastAsia="宋体" w:cs="宋体"/>
          <w:b/>
          <w:bCs/>
          <w:i w:val="0"/>
          <w:iCs w:val="0"/>
          <w:color w:val="auto"/>
          <w:spacing w:val="16"/>
          <w:sz w:val="44"/>
          <w:szCs w:val="24"/>
          <w:highlight w:val="none"/>
          <w:u w:val="none"/>
        </w:rPr>
        <w:outlineLvl w:val="9"/>
      </w:pPr>
      <w:r>
        <w:rPr>
          <w:rFonts w:hint="eastAsia" w:ascii="宋体" w:hAnsi="宋体" w:eastAsia="宋体" w:cs="宋体"/>
          <w:b/>
          <w:bCs/>
          <w:i w:val="0"/>
          <w:iCs w:val="0"/>
          <w:color w:val="auto"/>
          <w:spacing w:val="16"/>
          <w:sz w:val="44"/>
          <w:szCs w:val="24"/>
          <w:highlight w:val="none"/>
          <w:u w:val="none"/>
        </w:rPr>
      </w:r>
      <w:r>
        <w:rPr>
          <w:color w:val="auto"/>
          <w:highlight w:val="none"/>
        </w:rPr>
      </w:r>
      <w:r/>
    </w:p>
    <w:tbl>
      <w:tblPr>
        <w:tblStyle w:val="79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2124"/>
        <w:gridCol w:w="7618"/>
      </w:tblGrid>
      <w:tr>
        <w:trPr>
          <w:jc w:val="center"/>
          <w:trHeight w:val="855"/>
        </w:trPr>
        <w:tc>
          <w:tcPr>
            <w:tcW w:w="1090"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i w:val="0"/>
                <w:iCs w:val="0"/>
                <w:color w:val="auto"/>
                <w:spacing w:val="16"/>
                <w:sz w:val="32"/>
                <w:szCs w:val="32"/>
                <w:highlight w:val="none"/>
                <w:u w:val="none"/>
              </w:rPr>
              <w:outlineLvl w:val="9"/>
            </w:pPr>
            <w:r>
              <w:rPr>
                <w:rFonts w:hint="eastAsia" w:ascii="宋体" w:hAnsi="宋体" w:eastAsia="宋体" w:cs="宋体"/>
                <w:b/>
                <w:bCs/>
                <w:i w:val="0"/>
                <w:iCs w:val="0"/>
                <w:color w:val="auto"/>
                <w:spacing w:val="16"/>
                <w:sz w:val="32"/>
                <w:szCs w:val="32"/>
                <w:highlight w:val="none"/>
                <w:u w:val="none"/>
              </w:rPr>
              <w:t xml:space="preserve">项目名称：</w:t>
            </w:r>
            <w:r>
              <w:rPr>
                <w:color w:val="auto"/>
                <w:highlight w:val="none"/>
              </w:rPr>
            </w:r>
            <w:r/>
          </w:p>
        </w:tc>
        <w:tc>
          <w:tcPr>
            <w:tcW w:w="3909" w:type="pct"/>
            <w:vAlign w:val="center"/>
            <w:textDirection w:val="lrTb"/>
            <w:noWrap w:val="false"/>
          </w:tcPr>
          <w:p>
            <w:pPr>
              <w:ind w:left="0" w:right="0"/>
              <w:jc w:val="both"/>
              <w:keepLines w:val="0"/>
              <w:keepNext w:val="0"/>
              <w:pageBreakBefore w:val="0"/>
              <w:spacing w:line="360" w:lineRule="auto"/>
              <w:widowControl w:val="off"/>
              <w:rPr>
                <w:rFonts w:hint="eastAsia" w:ascii="宋体" w:hAnsi="宋体" w:eastAsia="宋体" w:cs="宋体"/>
                <w:b/>
                <w:bCs/>
                <w:i w:val="0"/>
                <w:iCs w:val="0"/>
                <w:color w:val="auto"/>
                <w:spacing w:val="16"/>
                <w:sz w:val="32"/>
                <w:szCs w:val="32"/>
                <w:highlight w:val="none"/>
                <w:u w:val="none"/>
              </w:rPr>
              <w:outlineLvl w:val="9"/>
            </w:pPr>
            <w:r>
              <w:rPr>
                <w:rFonts w:hint="eastAsia" w:ascii="宋体" w:hAnsi="宋体" w:eastAsia="宋体" w:cs="宋体"/>
                <w:b/>
                <w:bCs/>
                <w:i w:val="0"/>
                <w:iCs w:val="0"/>
                <w:color w:val="auto"/>
                <w:spacing w:val="16"/>
                <w:sz w:val="32"/>
                <w:szCs w:val="32"/>
                <w:highlight w:val="none"/>
                <w:u w:val="none"/>
                <w:lang w:eastAsia="zh-CN"/>
              </w:rPr>
              <w:t xml:space="preserve">外部数据服务（2026年度）（非专门面向中小企业）</w:t>
            </w:r>
            <w:r>
              <w:rPr>
                <w:color w:val="auto"/>
                <w:highlight w:val="none"/>
              </w:rPr>
            </w:r>
            <w:r/>
          </w:p>
        </w:tc>
      </w:tr>
      <w:tr>
        <w:trPr>
          <w:jc w:val="center"/>
          <w:trHeight w:val="855"/>
        </w:trPr>
        <w:tc>
          <w:tcPr>
            <w:tcW w:w="1090"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i w:val="0"/>
                <w:iCs w:val="0"/>
                <w:color w:val="auto"/>
                <w:spacing w:val="16"/>
                <w:sz w:val="32"/>
                <w:szCs w:val="32"/>
                <w:highlight w:val="none"/>
                <w:u w:val="none"/>
              </w:rPr>
              <w:outlineLvl w:val="9"/>
            </w:pPr>
            <w:r>
              <w:rPr>
                <w:rFonts w:hint="eastAsia" w:ascii="宋体" w:hAnsi="宋体" w:eastAsia="宋体" w:cs="宋体"/>
                <w:b/>
                <w:bCs/>
                <w:i w:val="0"/>
                <w:iCs w:val="0"/>
                <w:color w:val="auto"/>
                <w:spacing w:val="16"/>
                <w:sz w:val="32"/>
                <w:szCs w:val="32"/>
                <w:highlight w:val="none"/>
                <w:u w:val="none"/>
              </w:rPr>
              <w:t xml:space="preserve">项目编号：</w:t>
            </w:r>
            <w:r>
              <w:rPr>
                <w:color w:val="auto"/>
                <w:highlight w:val="none"/>
              </w:rPr>
            </w:r>
            <w:r/>
          </w:p>
        </w:tc>
        <w:tc>
          <w:tcPr>
            <w:tcW w:w="3909" w:type="pct"/>
            <w:vAlign w:val="center"/>
            <w:textDirection w:val="lrTb"/>
            <w:noWrap w:val="false"/>
          </w:tcPr>
          <w:p>
            <w:pPr>
              <w:ind w:left="0" w:right="0"/>
              <w:jc w:val="both"/>
              <w:keepLines w:val="0"/>
              <w:keepNext w:val="0"/>
              <w:pageBreakBefore w:val="0"/>
              <w:spacing w:line="360" w:lineRule="auto"/>
              <w:widowControl w:val="off"/>
              <w:rPr>
                <w:rFonts w:hint="eastAsia" w:ascii="宋体" w:hAnsi="宋体" w:eastAsia="宋体" w:cs="宋体"/>
                <w:b/>
                <w:bCs/>
                <w:i w:val="0"/>
                <w:iCs w:val="0"/>
                <w:color w:val="auto"/>
                <w:spacing w:val="16"/>
                <w:sz w:val="32"/>
                <w:szCs w:val="32"/>
                <w:highlight w:val="none"/>
                <w:u w:val="none"/>
              </w:rPr>
              <w:outlineLvl w:val="9"/>
            </w:pPr>
            <w:r>
              <w:rPr>
                <w:rFonts w:hint="eastAsia" w:ascii="宋体" w:hAnsi="宋体" w:eastAsia="宋体" w:cs="宋体"/>
                <w:b/>
                <w:bCs/>
                <w:i w:val="0"/>
                <w:iCs w:val="0"/>
                <w:color w:val="auto"/>
                <w:spacing w:val="16"/>
                <w:sz w:val="32"/>
                <w:szCs w:val="32"/>
                <w:highlight w:val="none"/>
                <w:u w:val="none"/>
                <w:lang w:val="en-US" w:eastAsia="zh-CN"/>
              </w:rPr>
              <w:t xml:space="preserve">JSZC-320700-GCJZ-G2026-0008</w:t>
            </w:r>
            <w:r>
              <w:rPr>
                <w:color w:val="auto"/>
                <w:highlight w:val="none"/>
              </w:rPr>
            </w:r>
            <w:r/>
          </w:p>
        </w:tc>
      </w:tr>
    </w:tbl>
    <w:p>
      <w:pPr>
        <w:ind w:left="0" w:right="0"/>
        <w:keepLines w:val="0"/>
        <w:keepNext w:val="0"/>
        <w:pageBreakBefore w:val="0"/>
        <w:spacing w:line="360" w:lineRule="auto"/>
        <w:widowControl w:val="off"/>
        <w:rPr>
          <w:rFonts w:hint="eastAsia" w:ascii="宋体" w:hAnsi="宋体" w:eastAsia="宋体" w:cs="宋体"/>
          <w:i w:val="0"/>
          <w:iCs w:val="0"/>
          <w:color w:val="auto"/>
          <w:szCs w:val="20"/>
          <w:highlight w:val="none"/>
          <w:u w:val="none"/>
        </w:rPr>
        <w:outlineLvl w:val="9"/>
      </w:pPr>
      <w:r>
        <w:rPr>
          <w:rFonts w:hint="eastAsia" w:ascii="宋体" w:hAnsi="宋体" w:eastAsia="宋体" w:cs="宋体"/>
          <w:i w:val="0"/>
          <w:iCs w:val="0"/>
          <w:color w:val="auto"/>
          <w:szCs w:val="20"/>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Cs w:val="20"/>
          <w:highlight w:val="none"/>
          <w:u w:val="none"/>
        </w:rPr>
        <w:outlineLvl w:val="9"/>
      </w:pPr>
      <w:r>
        <w:rPr>
          <w:rFonts w:hint="eastAsia" w:ascii="宋体" w:hAnsi="宋体" w:eastAsia="宋体" w:cs="宋体"/>
          <w:i w:val="0"/>
          <w:iCs w:val="0"/>
          <w:color w:val="auto"/>
          <w:szCs w:val="20"/>
          <w:highlight w:val="none"/>
          <w:u w:val="none"/>
        </w:rPr>
      </w:r>
      <w:r>
        <w:rPr>
          <w:color w:val="auto"/>
          <w:highlight w:val="none"/>
        </w:rPr>
      </w:r>
      <w:r/>
    </w:p>
    <w:p>
      <w:pPr>
        <w:pStyle w:val="999"/>
        <w:ind w:left="0" w:right="0"/>
        <w:keepLines w:val="0"/>
        <w:keepNext w:val="0"/>
        <w:pageBreakBefore w:val="0"/>
        <w:spacing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rPr>
      </w:r>
      <w:r>
        <w:rPr>
          <w:color w:val="auto"/>
          <w:highlight w:val="none"/>
        </w:rPr>
      </w:r>
      <w:r/>
    </w:p>
    <w:tbl>
      <w:tblPr>
        <w:tblStyle w:val="795"/>
        <w:tblW w:w="4999" w:type="pct"/>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932"/>
        <w:gridCol w:w="6812"/>
      </w:tblGrid>
      <w:tr>
        <w:trPr>
          <w:trHeight w:val="827"/>
        </w:trPr>
        <w:tc>
          <w:tcPr>
            <w:tcW w:w="150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i w:val="0"/>
                <w:iCs w:val="0"/>
                <w:color w:val="auto"/>
                <w:highlight w:val="none"/>
                <w:u w:val="none"/>
              </w:rPr>
              <w:outlineLvl w:val="9"/>
            </w:pPr>
            <w:r>
              <w:rPr>
                <w:color w:val="auto"/>
                <w:highlight w:val="none"/>
              </w:rPr>
            </w:r>
            <w:bookmarkStart w:id="6" w:name="OLE_LINK4"/>
            <w:r>
              <w:rPr>
                <w:color w:val="auto"/>
                <w:highlight w:val="none"/>
              </w:rPr>
            </w:r>
            <w:bookmarkStart w:id="7" w:name="OLE_LINK31"/>
            <w:r>
              <w:rPr>
                <w:rFonts w:hint="eastAsia" w:ascii="宋体" w:hAnsi="宋体" w:eastAsia="宋体" w:cs="宋体"/>
                <w:b/>
                <w:bCs/>
                <w:i w:val="0"/>
                <w:iCs w:val="0"/>
                <w:color w:val="auto"/>
                <w:sz w:val="32"/>
                <w:highlight w:val="none"/>
                <w:u w:val="none"/>
              </w:rPr>
              <w:t xml:space="preserve">采   购   人：</w:t>
            </w:r>
            <w:r>
              <w:rPr>
                <w:color w:val="auto"/>
                <w:highlight w:val="none"/>
              </w:rPr>
            </w:r>
            <w:r/>
          </w:p>
        </w:tc>
        <w:tc>
          <w:tcPr>
            <w:tcW w:w="3495" w:type="pct"/>
            <w:vAlign w:val="center"/>
            <w:textDirection w:val="lrTb"/>
            <w:noWrap w:val="false"/>
          </w:tcPr>
          <w:p>
            <w:pPr>
              <w:pStyle w:val="808"/>
              <w:ind w:left="0" w:right="0" w:firstLine="0"/>
              <w:keepLines w:val="0"/>
              <w:keepNext w:val="0"/>
              <w:pageBreakBefore w:val="0"/>
              <w:spacing w:line="360" w:lineRule="auto"/>
              <w:widowControl w:val="off"/>
              <w:rPr>
                <w:rFonts w:hint="eastAsia" w:ascii="宋体" w:hAnsi="宋体" w:eastAsia="宋体" w:cs="宋体"/>
                <w:b/>
                <w:bCs/>
                <w:i w:val="0"/>
                <w:iCs w:val="0"/>
                <w:color w:val="auto"/>
                <w:sz w:val="32"/>
                <w:szCs w:val="32"/>
                <w:highlight w:val="none"/>
                <w:u w:val="none"/>
              </w:rPr>
              <w:outlineLvl w:val="9"/>
            </w:pPr>
            <w:r>
              <w:rPr>
                <w:rFonts w:hint="eastAsia" w:ascii="宋体" w:hAnsi="宋体" w:eastAsia="宋体" w:cs="宋体"/>
                <w:b/>
                <w:bCs/>
                <w:i w:val="0"/>
                <w:iCs w:val="0"/>
                <w:color w:val="auto"/>
                <w:spacing w:val="20"/>
                <w:sz w:val="32"/>
                <w:highlight w:val="none"/>
                <w:u w:val="none"/>
              </w:rPr>
              <w:t xml:space="preserve">连云港市公安局</w:t>
            </w:r>
            <w:bookmarkEnd w:id="6"/>
            <w:r/>
            <w:bookmarkEnd w:id="7"/>
            <w:r>
              <w:rPr>
                <w:color w:val="auto"/>
                <w:highlight w:val="none"/>
              </w:rPr>
            </w:r>
            <w:r/>
          </w:p>
        </w:tc>
      </w:tr>
      <w:tr>
        <w:trPr>
          <w:trHeight w:val="797"/>
        </w:trPr>
        <w:tc>
          <w:tcPr>
            <w:tcW w:w="150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b/>
                <w:bCs/>
                <w:i w:val="0"/>
                <w:iCs w:val="0"/>
                <w:color w:val="auto"/>
                <w:sz w:val="32"/>
                <w:highlight w:val="none"/>
                <w:u w:val="none"/>
              </w:rPr>
              <w:t xml:space="preserve">采购代理机构：</w:t>
            </w:r>
            <w:r>
              <w:rPr>
                <w:color w:val="auto"/>
                <w:highlight w:val="none"/>
              </w:rPr>
            </w:r>
            <w:r/>
          </w:p>
        </w:tc>
        <w:tc>
          <w:tcPr>
            <w:tcW w:w="3495" w:type="pct"/>
            <w:vAlign w:val="center"/>
            <w:textDirection w:val="lrTb"/>
            <w:noWrap w:val="false"/>
          </w:tcPr>
          <w:p>
            <w:pPr>
              <w:pStyle w:val="808"/>
              <w:ind w:left="0" w:right="0" w:firstLine="0"/>
              <w:keepLines w:val="0"/>
              <w:keepNext w:val="0"/>
              <w:pageBreakBefore w:val="0"/>
              <w:spacing w:line="360" w:lineRule="auto"/>
              <w:widowControl w:val="off"/>
              <w:rPr>
                <w:rFonts w:hint="eastAsia" w:ascii="宋体" w:hAnsi="宋体" w:eastAsia="宋体" w:cs="宋体"/>
                <w:b/>
                <w:bCs/>
                <w:i w:val="0"/>
                <w:iCs w:val="0"/>
                <w:color w:val="auto"/>
                <w:sz w:val="28"/>
                <w:szCs w:val="28"/>
                <w:highlight w:val="none"/>
                <w:u w:val="none"/>
              </w:rPr>
              <w:outlineLvl w:val="9"/>
            </w:pPr>
            <w:r>
              <w:rPr>
                <w:rFonts w:hint="eastAsia" w:hAnsi="宋体" w:eastAsia="宋体" w:cs="宋体"/>
                <w:b/>
                <w:bCs/>
                <w:i w:val="0"/>
                <w:iCs w:val="0"/>
                <w:color w:val="auto"/>
                <w:spacing w:val="20"/>
                <w:sz w:val="32"/>
                <w:highlight w:val="none"/>
                <w:u w:val="none"/>
                <w:lang w:eastAsia="zh-CN"/>
              </w:rPr>
              <w:t xml:space="preserve">江苏港策建筑科技有限公司</w:t>
            </w:r>
            <w:r>
              <w:rPr>
                <w:rFonts w:hint="eastAsia" w:ascii="宋体" w:hAnsi="宋体" w:eastAsia="宋体" w:cs="宋体"/>
                <w:b/>
                <w:bCs/>
                <w:i w:val="0"/>
                <w:iCs w:val="0"/>
                <w:color w:val="auto"/>
                <w:spacing w:val="20"/>
                <w:sz w:val="32"/>
                <w:highlight w:val="none"/>
                <w:u w:val="none"/>
              </w:rPr>
              <w:t xml:space="preserve">  </w:t>
            </w:r>
            <w:r>
              <w:rPr>
                <w:color w:val="auto"/>
                <w:highlight w:val="none"/>
              </w:rPr>
            </w:r>
            <w:r/>
          </w:p>
        </w:tc>
      </w:tr>
    </w:tbl>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r>
      <w:r>
        <w:rPr>
          <w:color w:val="auto"/>
          <w:highlight w:val="none"/>
        </w:rPr>
      </w:r>
      <w:r/>
    </w:p>
    <w:tbl>
      <w:tblPr>
        <w:tblStyle w:val="795"/>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vAlign w:val="top"/>
            <w:textDirection w:val="lrTb"/>
            <w:noWrap w:val="false"/>
          </w:tcPr>
          <w:p>
            <w:pPr>
              <w:pStyle w:val="808"/>
              <w:ind w:left="0" w:right="0" w:firstLine="0"/>
              <w:jc w:val="center"/>
              <w:keepLines w:val="0"/>
              <w:keepNext w:val="0"/>
              <w:pageBreakBefore w:val="0"/>
              <w:spacing w:line="360" w:lineRule="auto"/>
              <w:widowControl w:val="off"/>
              <w:rPr>
                <w:rFonts w:hint="eastAsia" w:ascii="宋体" w:hAnsi="宋体" w:eastAsia="宋体" w:cs="宋体"/>
                <w:b/>
                <w:i w:val="0"/>
                <w:iCs w:val="0"/>
                <w:color w:val="auto"/>
                <w:sz w:val="32"/>
                <w:szCs w:val="32"/>
                <w:highlight w:val="none"/>
                <w:u w:val="none"/>
              </w:rPr>
              <w:outlineLvl w:val="9"/>
            </w:pPr>
            <w:r>
              <w:rPr>
                <w:color w:val="auto"/>
                <w:highlight w:val="none"/>
              </w:rPr>
            </w:r>
            <w:bookmarkStart w:id="8" w:name="OLE_LINK35"/>
            <w:r>
              <w:rPr>
                <w:color w:val="auto"/>
                <w:highlight w:val="none"/>
              </w:rPr>
            </w:r>
            <w:bookmarkStart w:id="9" w:name="OLE_LINK12"/>
            <w:r>
              <w:rPr>
                <w:rFonts w:hint="eastAsia" w:ascii="宋体" w:hAnsi="宋体" w:eastAsia="宋体" w:cs="宋体"/>
                <w:b/>
                <w:i w:val="0"/>
                <w:iCs w:val="0"/>
                <w:color w:val="auto"/>
                <w:sz w:val="32"/>
                <w:szCs w:val="32"/>
                <w:highlight w:val="none"/>
                <w:u w:val="none"/>
              </w:rPr>
              <w:t xml:space="preserve">202</w:t>
            </w:r>
            <w:r>
              <w:rPr>
                <w:rFonts w:hint="eastAsia" w:hAnsi="宋体" w:eastAsia="宋体" w:cs="宋体"/>
                <w:b/>
                <w:i w:val="0"/>
                <w:iCs w:val="0"/>
                <w:color w:val="auto"/>
                <w:sz w:val="32"/>
                <w:szCs w:val="32"/>
                <w:highlight w:val="none"/>
                <w:u w:val="none"/>
                <w:lang w:val="en-US" w:eastAsia="zh-CN"/>
              </w:rPr>
              <w:t xml:space="preserve">6</w:t>
            </w:r>
            <w:r>
              <w:rPr>
                <w:rFonts w:hint="eastAsia" w:ascii="宋体" w:hAnsi="宋体" w:eastAsia="宋体" w:cs="宋体"/>
                <w:b/>
                <w:i w:val="0"/>
                <w:iCs w:val="0"/>
                <w:color w:val="auto"/>
                <w:sz w:val="32"/>
                <w:szCs w:val="32"/>
                <w:highlight w:val="none"/>
                <w:u w:val="none"/>
              </w:rPr>
              <w:t xml:space="preserve">年</w:t>
            </w:r>
            <w:r>
              <w:rPr>
                <w:rFonts w:hint="eastAsia" w:ascii="宋体" w:hAnsi="宋体" w:eastAsia="宋体" w:cs="宋体"/>
                <w:b/>
                <w:i w:val="0"/>
                <w:iCs w:val="0"/>
                <w:color w:val="auto"/>
                <w:sz w:val="32"/>
                <w:szCs w:val="32"/>
                <w:highlight w:val="none"/>
                <w:u w:val="none"/>
                <w:lang w:val="en-US" w:eastAsia="zh-CN"/>
              </w:rPr>
              <w:t xml:space="preserve">8</w:t>
            </w:r>
            <w:r>
              <w:rPr>
                <w:rFonts w:hint="eastAsia" w:ascii="宋体" w:hAnsi="宋体" w:eastAsia="宋体" w:cs="宋体"/>
                <w:b/>
                <w:i w:val="0"/>
                <w:iCs w:val="0"/>
                <w:color w:val="auto"/>
                <w:sz w:val="32"/>
                <w:szCs w:val="32"/>
                <w:highlight w:val="none"/>
                <w:u w:val="none"/>
              </w:rPr>
              <w:t xml:space="preserve">月</w:t>
            </w:r>
            <w:bookmarkEnd w:id="8"/>
            <w:r/>
            <w:bookmarkEnd w:id="9"/>
            <w:r>
              <w:rPr>
                <w:color w:val="auto"/>
                <w:highlight w:val="none"/>
              </w:rPr>
            </w:r>
            <w:r/>
          </w:p>
        </w:tc>
      </w:tr>
    </w:tbl>
    <w:p>
      <w:pPr>
        <w:ind w:left="0" w:right="0"/>
        <w:jc w:val="both"/>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br w:type="page" w:clear="all"/>
      </w:r>
      <w:bookmarkStart w:id="10" w:name="_Toc513622226"/>
      <w:r>
        <w:rPr>
          <w:color w:val="auto"/>
          <w:highlight w:val="none"/>
        </w:rPr>
      </w:r>
      <w:bookmarkStart w:id="11" w:name="_Toc139967210"/>
      <w:r>
        <w:rPr>
          <w:color w:val="auto"/>
          <w:highlight w:val="none"/>
        </w:rPr>
      </w:r>
      <w:bookmarkStart w:id="12" w:name="_Toc139966426"/>
      <w:r>
        <w:rPr>
          <w:color w:val="auto"/>
          <w:highlight w:val="none"/>
        </w:rPr>
      </w:r>
      <w:r/>
    </w:p>
    <w:sdt>
      <w:sdtPr>
        <w15:appearance w15:val="boundingBox"/>
        <w15:color w:val="dbdbdb"/>
        <w:id w:val="147471780"/>
        <w:docPartObj>
          <w:docPartGallery w:val="Table of Contents"/>
          <w:docPartUnique w:val="true"/>
        </w:docPartObj>
        <w:rPr>
          <w:rFonts w:hint="eastAsia" w:ascii="宋体" w:hAnsi="宋体" w:eastAsia="宋体" w:cs="宋体"/>
          <w:color w:val="auto"/>
          <w:sz w:val="21"/>
          <w:szCs w:val="22"/>
          <w:highlight w:val="none"/>
          <w:lang w:val="en-US" w:eastAsia="zh-CN" w:bidi="ar-SA"/>
        </w:rPr>
      </w:sdtPr>
      <w:sdtContent>
        <w:p>
          <w:pPr>
            <w:ind w:left="0" w:right="0" w:firstLine="0"/>
            <w:jc w:val="center"/>
            <w:spacing w:before="0" w:after="0" w:line="360" w:lineRule="auto"/>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t xml:space="preserve">目</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录</w:t>
          </w:r>
          <w:r>
            <w:rPr>
              <w:color w:val="auto"/>
              <w:highlight w:val="none"/>
            </w:rPr>
          </w:r>
          <w:r/>
        </w:p>
        <w:p>
          <w:pPr>
            <w:pStyle w:val="1043"/>
            <w:spacing w:line="360" w:lineRule="auto"/>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i w:val="0"/>
              <w:iCs w:val="0"/>
              <w:color w:val="auto"/>
              <w:highlight w:val="none"/>
              <w:u w:val="none"/>
            </w:rPr>
            <w:fldChar w:fldCharType="begin"/>
          </w:r>
          <w:r>
            <w:rPr>
              <w:rFonts w:hint="eastAsia" w:ascii="宋体" w:hAnsi="宋体" w:eastAsia="宋体" w:cs="宋体"/>
              <w:i w:val="0"/>
              <w:iCs w:val="0"/>
              <w:color w:val="auto"/>
              <w:highlight w:val="none"/>
              <w:u w:val="none"/>
            </w:rPr>
            <w:instrText xml:space="preserve">TOC \o "1-1" \h \u </w:instrText>
          </w:r>
          <w:r>
            <w:rPr>
              <w:rFonts w:hint="eastAsia" w:ascii="宋体" w:hAnsi="宋体" w:eastAsia="宋体" w:cs="宋体"/>
              <w:i w:val="0"/>
              <w:iCs w:val="0"/>
              <w:color w:val="auto"/>
              <w:highlight w:val="none"/>
              <w:u w:val="none"/>
            </w:rPr>
            <w:fldChar w:fldCharType="separate"/>
          </w:r>
          <w:r>
            <w:rPr>
              <w:rFonts w:hint="eastAsia" w:ascii="宋体" w:hAnsi="宋体" w:eastAsia="宋体" w:cs="宋体"/>
              <w:i w:val="0"/>
              <w:iCs w:val="0"/>
              <w:color w:val="auto"/>
              <w:sz w:val="24"/>
              <w:szCs w:val="24"/>
              <w:highlight w:val="none"/>
              <w:u w:val="none"/>
            </w:rPr>
            <w:fldChar w:fldCharType="begin"/>
          </w:r>
          <w:r>
            <w:rPr>
              <w:rFonts w:hint="eastAsia" w:ascii="宋体" w:hAnsi="宋体" w:eastAsia="宋体" w:cs="宋体"/>
              <w:i w:val="0"/>
              <w:iCs w:val="0"/>
              <w:color w:val="auto"/>
              <w:sz w:val="24"/>
              <w:szCs w:val="24"/>
              <w:highlight w:val="none"/>
            </w:rPr>
            <w:instrText xml:space="preserve"> HYPERLINK \l _Toc16762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bCs/>
              <w:i w:val="0"/>
              <w:iCs w:val="0"/>
              <w:color w:val="auto"/>
              <w:sz w:val="24"/>
              <w:szCs w:val="24"/>
              <w:highlight w:val="none"/>
            </w:rPr>
            <w:t xml:space="preserve">第一章 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_Toc16762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i w:val="0"/>
              <w:iCs w:val="0"/>
              <w:color w:val="auto"/>
              <w:sz w:val="24"/>
              <w:szCs w:val="24"/>
              <w:highlight w:val="none"/>
              <w:u w:val="none"/>
            </w:rPr>
            <w:fldChar w:fldCharType="end"/>
          </w:r>
          <w:r>
            <w:rPr>
              <w:color w:val="auto"/>
              <w:highlight w:val="none"/>
            </w:rPr>
          </w:r>
          <w:r/>
        </w:p>
        <w:p>
          <w:pPr>
            <w:pStyle w:val="1043"/>
            <w:spacing w:line="360" w:lineRule="auto"/>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rPr>
            <w:fldChar w:fldCharType="begin"/>
          </w:r>
          <w:r>
            <w:rPr>
              <w:rFonts w:hint="eastAsia" w:ascii="宋体" w:hAnsi="宋体" w:eastAsia="宋体" w:cs="宋体"/>
              <w:i w:val="0"/>
              <w:iCs w:val="0"/>
              <w:color w:val="auto"/>
              <w:sz w:val="24"/>
              <w:szCs w:val="24"/>
              <w:highlight w:val="none"/>
            </w:rPr>
            <w:instrText xml:space="preserve"> HYPERLINK \l _Toc26161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bCs/>
              <w:i w:val="0"/>
              <w:iCs w:val="0"/>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_Toc26161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fldChar w:fldCharType="end"/>
          </w:r>
          <w:r>
            <w:rPr>
              <w:rFonts w:hint="eastAsia" w:ascii="宋体" w:hAnsi="宋体" w:eastAsia="宋体" w:cs="宋体"/>
              <w:i w:val="0"/>
              <w:iCs w:val="0"/>
              <w:color w:val="auto"/>
              <w:sz w:val="24"/>
              <w:szCs w:val="24"/>
              <w:highlight w:val="none"/>
              <w:u w:val="none"/>
            </w:rPr>
            <w:fldChar w:fldCharType="end"/>
          </w:r>
          <w:r>
            <w:rPr>
              <w:color w:val="auto"/>
              <w:highlight w:val="none"/>
            </w:rPr>
          </w:r>
          <w:r/>
        </w:p>
        <w:p>
          <w:pPr>
            <w:pStyle w:val="1043"/>
            <w:spacing w:line="360" w:lineRule="auto"/>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rPr>
            <w:fldChar w:fldCharType="begin"/>
          </w:r>
          <w:r>
            <w:rPr>
              <w:rFonts w:hint="eastAsia" w:ascii="宋体" w:hAnsi="宋体" w:eastAsia="宋体" w:cs="宋体"/>
              <w:i w:val="0"/>
              <w:iCs w:val="0"/>
              <w:color w:val="auto"/>
              <w:sz w:val="24"/>
              <w:szCs w:val="24"/>
              <w:highlight w:val="none"/>
            </w:rPr>
            <w:instrText xml:space="preserve"> HYPERLINK \l _Toc16312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bCs/>
              <w:i w:val="0"/>
              <w:iCs w:val="0"/>
              <w:color w:val="auto"/>
              <w:sz w:val="24"/>
              <w:szCs w:val="24"/>
              <w:highlight w:val="none"/>
            </w:rPr>
            <w:t xml:space="preserve">第三章 政府采购合同格式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_Toc16312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i w:val="0"/>
              <w:iCs w:val="0"/>
              <w:color w:val="auto"/>
              <w:sz w:val="24"/>
              <w:szCs w:val="24"/>
              <w:highlight w:val="none"/>
              <w:u w:val="none"/>
            </w:rPr>
            <w:fldChar w:fldCharType="end"/>
          </w:r>
          <w:r>
            <w:rPr>
              <w:color w:val="auto"/>
              <w:highlight w:val="none"/>
            </w:rPr>
          </w:r>
          <w:r/>
        </w:p>
        <w:p>
          <w:pPr>
            <w:pStyle w:val="1043"/>
            <w:spacing w:line="360" w:lineRule="auto"/>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rPr>
            <w:fldChar w:fldCharType="begin"/>
          </w:r>
          <w:r>
            <w:rPr>
              <w:rFonts w:hint="eastAsia" w:ascii="宋体" w:hAnsi="宋体" w:eastAsia="宋体" w:cs="宋体"/>
              <w:i w:val="0"/>
              <w:iCs w:val="0"/>
              <w:color w:val="auto"/>
              <w:sz w:val="24"/>
              <w:szCs w:val="24"/>
              <w:highlight w:val="none"/>
            </w:rPr>
            <w:instrText xml:space="preserve"> HYPERLINK \l _Toc31183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bCs/>
              <w:i w:val="0"/>
              <w:iCs w:val="0"/>
              <w:color w:val="auto"/>
              <w:sz w:val="24"/>
              <w:szCs w:val="24"/>
              <w:highlight w:val="none"/>
            </w:rPr>
            <w:t xml:space="preserve">第四章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_Toc31183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rPr>
            <w:fldChar w:fldCharType="end"/>
          </w:r>
          <w:r>
            <w:rPr>
              <w:rFonts w:hint="eastAsia" w:ascii="宋体" w:hAnsi="宋体" w:eastAsia="宋体" w:cs="宋体"/>
              <w:i w:val="0"/>
              <w:iCs w:val="0"/>
              <w:color w:val="auto"/>
              <w:sz w:val="24"/>
              <w:szCs w:val="24"/>
              <w:highlight w:val="none"/>
              <w:u w:val="none"/>
            </w:rPr>
            <w:fldChar w:fldCharType="end"/>
          </w:r>
          <w:r>
            <w:rPr>
              <w:color w:val="auto"/>
              <w:highlight w:val="none"/>
            </w:rPr>
          </w:r>
          <w:r/>
        </w:p>
        <w:p>
          <w:pPr>
            <w:pStyle w:val="1043"/>
            <w:spacing w:line="360" w:lineRule="auto"/>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rPr>
            <w:fldChar w:fldCharType="begin"/>
          </w:r>
          <w:r>
            <w:rPr>
              <w:rFonts w:hint="eastAsia" w:ascii="宋体" w:hAnsi="宋体" w:eastAsia="宋体" w:cs="宋体"/>
              <w:i w:val="0"/>
              <w:iCs w:val="0"/>
              <w:color w:val="auto"/>
              <w:sz w:val="24"/>
              <w:szCs w:val="24"/>
              <w:highlight w:val="none"/>
            </w:rPr>
            <w:instrText xml:space="preserve"> HYPERLINK \l _Toc762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 xml:space="preserve">第五章 合同专用条款表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_Toc762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fldChar w:fldCharType="end"/>
          </w:r>
          <w:r>
            <w:rPr>
              <w:rFonts w:hint="eastAsia" w:ascii="宋体" w:hAnsi="宋体" w:eastAsia="宋体" w:cs="宋体"/>
              <w:i w:val="0"/>
              <w:iCs w:val="0"/>
              <w:color w:val="auto"/>
              <w:sz w:val="24"/>
              <w:szCs w:val="24"/>
              <w:highlight w:val="none"/>
              <w:u w:val="none"/>
            </w:rPr>
            <w:fldChar w:fldCharType="end"/>
          </w:r>
          <w:r>
            <w:rPr>
              <w:color w:val="auto"/>
              <w:highlight w:val="none"/>
            </w:rPr>
          </w:r>
          <w:r/>
        </w:p>
        <w:p>
          <w:pPr>
            <w:pStyle w:val="1043"/>
            <w:spacing w:line="360" w:lineRule="auto"/>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rPr>
            <w:fldChar w:fldCharType="begin"/>
          </w:r>
          <w:r>
            <w:rPr>
              <w:rFonts w:hint="eastAsia" w:ascii="宋体" w:hAnsi="宋体" w:eastAsia="宋体" w:cs="宋体"/>
              <w:i w:val="0"/>
              <w:iCs w:val="0"/>
              <w:color w:val="auto"/>
              <w:sz w:val="24"/>
              <w:szCs w:val="24"/>
              <w:highlight w:val="none"/>
            </w:rPr>
            <w:instrText xml:space="preserve"> HYPERLINK \l _Toc15482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bCs/>
              <w:i w:val="0"/>
              <w:iCs w:val="0"/>
              <w:color w:val="auto"/>
              <w:sz w:val="24"/>
              <w:szCs w:val="24"/>
              <w:highlight w:val="none"/>
            </w:rPr>
            <w:t xml:space="preserve">第六章 项目需求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_Toc15482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45</w:t>
          </w:r>
          <w:r>
            <w:rPr>
              <w:rFonts w:hint="eastAsia" w:ascii="宋体" w:hAnsi="宋体" w:eastAsia="宋体" w:cs="宋体"/>
              <w:color w:val="auto"/>
              <w:sz w:val="24"/>
              <w:szCs w:val="24"/>
              <w:highlight w:val="none"/>
            </w:rPr>
            <w:fldChar w:fldCharType="end"/>
          </w:r>
          <w:r>
            <w:rPr>
              <w:rFonts w:hint="eastAsia" w:ascii="宋体" w:hAnsi="宋体" w:eastAsia="宋体" w:cs="宋体"/>
              <w:i w:val="0"/>
              <w:iCs w:val="0"/>
              <w:color w:val="auto"/>
              <w:sz w:val="24"/>
              <w:szCs w:val="24"/>
              <w:highlight w:val="none"/>
              <w:u w:val="none"/>
            </w:rPr>
            <w:fldChar w:fldCharType="end"/>
          </w:r>
          <w:r>
            <w:rPr>
              <w:color w:val="auto"/>
              <w:highlight w:val="none"/>
            </w:rPr>
          </w:r>
          <w:r/>
        </w:p>
        <w:p>
          <w:pPr>
            <w:pStyle w:val="1043"/>
            <w:spacing w:line="360" w:lineRule="auto"/>
            <w:tabs>
              <w:tab w:val="right" w:pos="9746" w:leader="dot"/>
            </w:tabs>
            <w:rPr>
              <w:rFonts w:hint="eastAsia" w:ascii="宋体" w:hAnsi="宋体" w:eastAsia="宋体" w:cs="宋体"/>
              <w:color w:val="auto"/>
              <w:highlight w:val="none"/>
            </w:rPr>
          </w:pPr>
          <w:r>
            <w:rPr>
              <w:rFonts w:hint="eastAsia" w:ascii="宋体" w:hAnsi="宋体" w:eastAsia="宋体" w:cs="宋体"/>
              <w:i w:val="0"/>
              <w:iCs w:val="0"/>
              <w:color w:val="auto"/>
              <w:sz w:val="24"/>
              <w:szCs w:val="24"/>
              <w:highlight w:val="none"/>
              <w:u w:val="none"/>
            </w:rPr>
            <w:fldChar w:fldCharType="begin"/>
          </w:r>
          <w:r>
            <w:rPr>
              <w:rFonts w:hint="eastAsia" w:ascii="宋体" w:hAnsi="宋体" w:eastAsia="宋体" w:cs="宋体"/>
              <w:i w:val="0"/>
              <w:iCs w:val="0"/>
              <w:color w:val="auto"/>
              <w:sz w:val="24"/>
              <w:szCs w:val="24"/>
              <w:highlight w:val="none"/>
            </w:rPr>
            <w:instrText xml:space="preserve"> HYPERLINK \l _Toc32630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bCs/>
              <w:i w:val="0"/>
              <w:iCs w:val="0"/>
              <w:color w:val="auto"/>
              <w:sz w:val="24"/>
              <w:szCs w:val="24"/>
              <w:highlight w:val="none"/>
            </w:rPr>
            <w:t xml:space="preserve">第七章</w:t>
          </w:r>
          <w:r>
            <w:rPr>
              <w:rFonts w:hint="eastAsia" w:ascii="宋体" w:hAnsi="宋体" w:eastAsia="宋体" w:cs="宋体"/>
              <w:bCs/>
              <w:i w:val="0"/>
              <w:iCs w:val="0"/>
              <w:color w:val="auto"/>
              <w:sz w:val="24"/>
              <w:szCs w:val="24"/>
              <w:highlight w:val="none"/>
              <w:lang w:val="en-US" w:eastAsia="zh-CN"/>
            </w:rPr>
            <w:t xml:space="preserve"> </w:t>
          </w:r>
          <w:r>
            <w:rPr>
              <w:rFonts w:hint="eastAsia" w:ascii="宋体" w:hAnsi="宋体" w:eastAsia="宋体" w:cs="宋体"/>
              <w:bCs/>
              <w:i w:val="0"/>
              <w:iCs w:val="0"/>
              <w:color w:val="auto"/>
              <w:sz w:val="24"/>
              <w:szCs w:val="24"/>
              <w:highlight w:val="none"/>
            </w:rPr>
            <w:t xml:space="preserve">评标办法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_Toc32630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53</w:t>
          </w:r>
          <w:r>
            <w:rPr>
              <w:rFonts w:hint="eastAsia" w:ascii="宋体" w:hAnsi="宋体" w:eastAsia="宋体" w:cs="宋体"/>
              <w:color w:val="auto"/>
              <w:sz w:val="24"/>
              <w:szCs w:val="24"/>
              <w:highlight w:val="none"/>
            </w:rPr>
            <w:fldChar w:fldCharType="end"/>
          </w:r>
          <w:r>
            <w:rPr>
              <w:rFonts w:hint="eastAsia" w:ascii="宋体" w:hAnsi="宋体" w:eastAsia="宋体" w:cs="宋体"/>
              <w:i w:val="0"/>
              <w:iCs w:val="0"/>
              <w:color w:val="auto"/>
              <w:sz w:val="24"/>
              <w:szCs w:val="24"/>
              <w:highlight w:val="none"/>
              <w:u w:val="none"/>
            </w:rPr>
            <w:fldChar w:fldCharType="end"/>
          </w:r>
          <w:r>
            <w:rPr>
              <w:color w:val="auto"/>
              <w:highlight w:val="none"/>
            </w:rPr>
          </w:r>
          <w:r/>
        </w:p>
        <w:p>
          <w:pPr>
            <w:pStyle w:val="1043"/>
            <w:spacing w:line="360" w:lineRule="auto"/>
            <w:tabs>
              <w:tab w:val="right" w:pos="9746" w:leader="dot"/>
            </w:tabs>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rPr>
            <w:fldChar w:fldCharType="end"/>
          </w:r>
          <w:r>
            <w:rPr>
              <w:color w:val="auto"/>
              <w:highlight w:val="none"/>
            </w:rPr>
          </w:r>
          <w:r/>
        </w:p>
      </w:sdtContent>
    </w:sdt>
    <w:p>
      <w:pPr>
        <w:ind w:left="0" w:right="0"/>
        <w:jc w:val="left"/>
        <w:keepLines w:val="0"/>
        <w:keepNext w:val="0"/>
        <w:pageBreakBefore w:val="0"/>
        <w:spacing w:line="360" w:lineRule="auto"/>
        <w:widowControl w:val="off"/>
        <w:tabs>
          <w:tab w:val="left" w:pos="3943" w:leader="none"/>
        </w:tabs>
        <w:rPr>
          <w:rFonts w:hint="eastAsia" w:ascii="宋体" w:hAnsi="宋体" w:eastAsia="宋体" w:cs="宋体"/>
          <w:i w:val="0"/>
          <w:iCs w:val="0"/>
          <w:color w:val="auto"/>
          <w:highlight w:val="none"/>
          <w:u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720" w:footer="720" w:gutter="0"/>
          <w:pgNumType w:start="1"/>
          <w:cols w:num="1" w:sep="0" w:space="720" w:equalWidth="1"/>
          <w:docGrid w:linePitch="360"/>
          <w:titlePg/>
        </w:sectPr>
        <w:outlineLvl w:val="9"/>
      </w:pPr>
      <w:r>
        <w:rPr>
          <w:rFonts w:hint="eastAsia" w:ascii="宋体" w:hAnsi="宋体" w:eastAsia="宋体" w:cs="宋体"/>
          <w:i w:val="0"/>
          <w:iCs w:val="0"/>
          <w:color w:val="auto"/>
          <w:highlight w:val="none"/>
          <w:u w:val="none"/>
        </w:rPr>
        <w:tab/>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bCs/>
          <w:i w:val="0"/>
          <w:iCs w:val="0"/>
          <w:color w:val="auto"/>
          <w:sz w:val="44"/>
          <w:szCs w:val="44"/>
          <w:highlight w:val="none"/>
          <w:u w:val="none"/>
        </w:rPr>
        <w:outlineLvl w:val="0"/>
      </w:pPr>
      <w:r>
        <w:rPr>
          <w:color w:val="auto"/>
          <w:highlight w:val="none"/>
        </w:rPr>
      </w:r>
      <w:bookmarkStart w:id="13" w:name="_Toc21025"/>
      <w:r>
        <w:rPr>
          <w:color w:val="auto"/>
          <w:highlight w:val="none"/>
        </w:rPr>
      </w:r>
      <w:bookmarkStart w:id="14" w:name="_Toc19507"/>
      <w:r>
        <w:rPr>
          <w:color w:val="auto"/>
          <w:highlight w:val="none"/>
        </w:rPr>
      </w:r>
      <w:bookmarkStart w:id="15" w:name="_Toc16762"/>
      <w:r>
        <w:rPr>
          <w:color w:val="auto"/>
          <w:highlight w:val="none"/>
        </w:rPr>
      </w:r>
      <w:bookmarkStart w:id="16" w:name="_Toc19375"/>
      <w:r>
        <w:rPr>
          <w:color w:val="auto"/>
          <w:highlight w:val="none"/>
        </w:rPr>
      </w:r>
      <w:bookmarkStart w:id="17" w:name="_Toc3164"/>
      <w:r>
        <w:rPr>
          <w:color w:val="auto"/>
          <w:highlight w:val="none"/>
        </w:rPr>
      </w:r>
      <w:bookmarkStart w:id="18" w:name="_Toc17059"/>
      <w:r>
        <w:rPr>
          <w:rFonts w:hint="eastAsia" w:ascii="宋体" w:hAnsi="宋体" w:eastAsia="宋体" w:cs="宋体"/>
          <w:b/>
          <w:bCs/>
          <w:i w:val="0"/>
          <w:iCs w:val="0"/>
          <w:color w:val="auto"/>
          <w:sz w:val="44"/>
          <w:szCs w:val="44"/>
          <w:highlight w:val="none"/>
          <w:u w:val="none"/>
        </w:rPr>
        <w:t xml:space="preserve">第一章 投标邀请</w:t>
      </w:r>
      <w:bookmarkEnd w:id="10"/>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bookmarkEnd w:id="17"/>
      <w:r>
        <w:rPr>
          <w:color w:val="auto"/>
          <w:highlight w:val="none"/>
        </w:rPr>
      </w:r>
      <w:bookmarkEnd w:id="18"/>
      <w:r>
        <w:rPr>
          <w:color w:val="auto"/>
          <w:highlight w:val="none"/>
        </w:rPr>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jc w:val="center"/>
        </w:trPr>
        <w:tc>
          <w:tcPr>
            <w:shd w:val="clear" w:color="auto" w:fill="auto"/>
            <w:tcW w:w="5000" w:type="pct"/>
            <w:textDirection w:val="lrTb"/>
            <w:noWrap w:val="false"/>
          </w:tcPr>
          <w:p>
            <w:pPr>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项目概况</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 w:val="24"/>
                <w:szCs w:val="24"/>
                <w:highlight w:val="none"/>
                <w:u w:val="single"/>
                <w:lang w:eastAsia="zh-CN"/>
              </w:rPr>
              <w:t xml:space="preserve">外部数据服务（2026年度）（非专门面向中小企业）</w:t>
            </w:r>
            <w:r>
              <w:rPr>
                <w:rFonts w:hint="eastAsia" w:ascii="宋体" w:hAnsi="宋体" w:eastAsia="宋体" w:cs="宋体"/>
                <w:i w:val="0"/>
                <w:iCs w:val="0"/>
                <w:color w:val="auto"/>
                <w:sz w:val="24"/>
                <w:szCs w:val="24"/>
                <w:highlight w:val="none"/>
                <w:u w:val="none"/>
              </w:rPr>
              <w:t xml:space="preserve">招标项目的潜在投标人应在“江苏政府采购网”获取招标文件，并于</w:t>
            </w:r>
            <w:r>
              <w:rPr>
                <w:rFonts w:hint="eastAsia" w:ascii="宋体" w:hAnsi="宋体" w:eastAsia="宋体" w:cs="宋体"/>
                <w:i w:val="0"/>
                <w:iCs w:val="0"/>
                <w:color w:val="auto"/>
                <w:sz w:val="24"/>
                <w:szCs w:val="24"/>
                <w:highlight w:val="none"/>
                <w:u w:val="none"/>
              </w:rPr>
              <w:t xml:space="preserve">202</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bCs/>
                <w:i w:val="0"/>
                <w:iCs w:val="0"/>
                <w:color w:val="auto"/>
                <w:sz w:val="24"/>
                <w:szCs w:val="24"/>
                <w:highlight w:val="none"/>
                <w:u w:val="none"/>
              </w:rPr>
              <w:t xml:space="preserve">年</w:t>
            </w:r>
            <w:r>
              <w:rPr>
                <w:rFonts w:hint="eastAsia" w:ascii="宋体" w:hAnsi="宋体" w:eastAsia="宋体" w:cs="宋体"/>
                <w:bCs/>
                <w:i w:val="0"/>
                <w:iCs w:val="0"/>
                <w:color w:val="auto"/>
                <w:sz w:val="24"/>
                <w:szCs w:val="24"/>
                <w:highlight w:val="none"/>
                <w:u w:val="none"/>
                <w:lang w:val="en-US" w:eastAsia="zh-CN"/>
              </w:rPr>
              <w:t xml:space="preserve">9</w:t>
            </w:r>
            <w:r>
              <w:rPr>
                <w:rFonts w:hint="eastAsia" w:ascii="宋体" w:hAnsi="宋体" w:eastAsia="宋体" w:cs="宋体"/>
                <w:bCs/>
                <w:i w:val="0"/>
                <w:iCs w:val="0"/>
                <w:color w:val="auto"/>
                <w:sz w:val="24"/>
                <w:szCs w:val="24"/>
                <w:highlight w:val="none"/>
                <w:u w:val="none"/>
              </w:rPr>
              <w:t xml:space="preserve">月</w:t>
            </w:r>
            <w:r>
              <w:rPr>
                <w:rFonts w:hint="eastAsia" w:ascii="宋体" w:hAnsi="宋体" w:eastAsia="宋体" w:cs="宋体"/>
                <w:bCs/>
                <w:i w:val="0"/>
                <w:iCs w:val="0"/>
                <w:color w:val="auto"/>
                <w:sz w:val="24"/>
                <w:szCs w:val="24"/>
                <w:highlight w:val="none"/>
                <w:u w:val="none"/>
                <w:lang w:val="en-US" w:eastAsia="zh-CN"/>
              </w:rPr>
              <w:t xml:space="preserve">10</w:t>
            </w:r>
            <w:r>
              <w:rPr>
                <w:rFonts w:hint="eastAsia" w:ascii="宋体" w:hAnsi="宋体" w:eastAsia="宋体" w:cs="宋体"/>
                <w:bCs/>
                <w:i w:val="0"/>
                <w:iCs w:val="0"/>
                <w:color w:val="auto"/>
                <w:sz w:val="24"/>
                <w:szCs w:val="24"/>
                <w:highlight w:val="none"/>
                <w:u w:val="none"/>
              </w:rPr>
              <w:t xml:space="preserve">日</w:t>
            </w:r>
            <w:r>
              <w:rPr>
                <w:rFonts w:hint="eastAsia" w:ascii="宋体" w:hAnsi="宋体" w:eastAsia="宋体" w:cs="宋体"/>
                <w:bCs/>
                <w:i w:val="0"/>
                <w:iCs w:val="0"/>
                <w:color w:val="auto"/>
                <w:sz w:val="24"/>
                <w:szCs w:val="24"/>
                <w:highlight w:val="none"/>
                <w:u w:val="none"/>
                <w:lang w:val="en-US" w:eastAsia="zh-CN"/>
              </w:rPr>
              <w:t xml:space="preserve">9</w:t>
            </w:r>
            <w:r>
              <w:rPr>
                <w:rFonts w:hint="eastAsia" w:ascii="宋体" w:hAnsi="宋体" w:eastAsia="宋体" w:cs="宋体"/>
                <w:bCs/>
                <w:i w:val="0"/>
                <w:iCs w:val="0"/>
                <w:color w:val="auto"/>
                <w:sz w:val="24"/>
                <w:szCs w:val="24"/>
                <w:highlight w:val="none"/>
                <w:u w:val="none"/>
              </w:rPr>
              <w:t xml:space="preserve">时00分00秒</w:t>
            </w:r>
            <w:r>
              <w:rPr>
                <w:rFonts w:hint="eastAsia" w:ascii="宋体" w:hAnsi="宋体" w:eastAsia="宋体" w:cs="宋体"/>
                <w:i w:val="0"/>
                <w:iCs w:val="0"/>
                <w:color w:val="auto"/>
                <w:sz w:val="24"/>
                <w:szCs w:val="24"/>
                <w:highlight w:val="none"/>
                <w:u w:val="none"/>
              </w:rPr>
              <w:t xml:space="preserve">（北京时间）前</w:t>
            </w:r>
            <w:r>
              <w:rPr>
                <w:rFonts w:hint="eastAsia" w:ascii="宋体" w:hAnsi="宋体" w:eastAsia="宋体" w:cs="宋体"/>
                <w:b/>
                <w:i w:val="0"/>
                <w:iCs w:val="0"/>
                <w:color w:val="auto"/>
                <w:sz w:val="24"/>
                <w:szCs w:val="24"/>
                <w:highlight w:val="none"/>
                <w:u w:val="none"/>
              </w:rPr>
              <w:t xml:space="preserve">上传电子投标文件</w:t>
            </w:r>
            <w:r>
              <w:rPr>
                <w:rFonts w:hint="eastAsia" w:ascii="宋体" w:hAnsi="宋体" w:eastAsia="宋体" w:cs="宋体"/>
                <w:i w:val="0"/>
                <w:iCs w:val="0"/>
                <w:color w:val="auto"/>
                <w:sz w:val="24"/>
                <w:szCs w:val="24"/>
                <w:highlight w:val="none"/>
                <w:u w:val="none"/>
              </w:rPr>
              <w:t xml:space="preserve">。</w:t>
            </w:r>
            <w:r>
              <w:rPr>
                <w:color w:val="auto"/>
                <w:highlight w:val="none"/>
              </w:rPr>
            </w:r>
            <w:r/>
          </w:p>
        </w:tc>
      </w:tr>
    </w:tbl>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一、项目基本情况</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标段编号：</w:t>
      </w:r>
      <w:r>
        <w:rPr>
          <w:rFonts w:hint="eastAsia" w:ascii="宋体" w:hAnsi="宋体" w:eastAsia="宋体" w:cs="宋体"/>
          <w:i w:val="0"/>
          <w:iCs w:val="0"/>
          <w:color w:val="auto"/>
          <w:sz w:val="24"/>
          <w:szCs w:val="24"/>
          <w:highlight w:val="none"/>
          <w:u w:val="none"/>
          <w:lang w:eastAsia="zh-CN"/>
        </w:rPr>
        <w:t xml:space="preserve">JSZC-320700-GCJZ-G2026-0008</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标段名称：</w:t>
      </w:r>
      <w:r>
        <w:rPr>
          <w:rFonts w:hint="eastAsia" w:ascii="宋体" w:hAnsi="宋体" w:eastAsia="宋体" w:cs="宋体"/>
          <w:i w:val="0"/>
          <w:iCs w:val="0"/>
          <w:color w:val="auto"/>
          <w:sz w:val="24"/>
          <w:szCs w:val="24"/>
          <w:highlight w:val="none"/>
          <w:u w:val="none"/>
          <w:lang w:eastAsia="zh-CN"/>
        </w:rPr>
        <w:t xml:space="preserve">外部数据服务（2026年度）（非专门面向中小企业）</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预算金额：</w:t>
      </w:r>
      <w:r>
        <w:rPr>
          <w:rFonts w:hint="eastAsia" w:ascii="宋体" w:hAnsi="宋体" w:eastAsia="宋体" w:cs="宋体"/>
          <w:b/>
          <w:bCs/>
          <w:i w:val="0"/>
          <w:iCs w:val="0"/>
          <w:color w:val="auto"/>
          <w:sz w:val="24"/>
          <w:szCs w:val="28"/>
          <w:highlight w:val="none"/>
          <w:u w:val="none"/>
          <w:lang w:val="en-US" w:eastAsia="zh-CN"/>
        </w:rPr>
        <w:t xml:space="preserve">570万</w:t>
      </w:r>
      <w:r>
        <w:rPr>
          <w:rFonts w:hint="eastAsia" w:ascii="宋体" w:hAnsi="宋体" w:eastAsia="宋体" w:cs="宋体"/>
          <w:b/>
          <w:bCs/>
          <w:i w:val="0"/>
          <w:iCs w:val="0"/>
          <w:color w:val="auto"/>
          <w:sz w:val="24"/>
          <w:szCs w:val="24"/>
          <w:highlight w:val="none"/>
          <w:u w:val="none"/>
          <w:lang w:eastAsia="zh-CN"/>
        </w:rPr>
        <w:t xml:space="preserve">元</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8"/>
          <w:highlight w:val="none"/>
          <w:u w:val="none"/>
        </w:rPr>
        <w:t xml:space="preserve">最高限价：人民币</w:t>
      </w:r>
      <w:r>
        <w:rPr>
          <w:rFonts w:hint="eastAsia" w:ascii="宋体" w:hAnsi="宋体" w:eastAsia="宋体" w:cs="宋体"/>
          <w:b/>
          <w:bCs/>
          <w:i w:val="0"/>
          <w:iCs w:val="0"/>
          <w:color w:val="auto"/>
          <w:sz w:val="24"/>
          <w:szCs w:val="28"/>
          <w:highlight w:val="none"/>
          <w:u w:val="none"/>
          <w:lang w:val="en-US" w:eastAsia="zh-CN"/>
        </w:rPr>
        <w:t xml:space="preserve">547.81万</w:t>
      </w:r>
      <w:r>
        <w:rPr>
          <w:rFonts w:hint="eastAsia" w:ascii="宋体" w:hAnsi="宋体" w:eastAsia="宋体" w:cs="宋体"/>
          <w:b/>
          <w:bCs/>
          <w:i w:val="0"/>
          <w:iCs w:val="0"/>
          <w:color w:val="auto"/>
          <w:sz w:val="24"/>
          <w:szCs w:val="28"/>
          <w:highlight w:val="none"/>
          <w:u w:val="none"/>
          <w:lang w:eastAsia="zh-CN"/>
        </w:rPr>
        <w:t xml:space="preserve">元</w:t>
      </w:r>
      <w:r>
        <w:rPr>
          <w:rFonts w:hint="eastAsia" w:ascii="宋体" w:hAnsi="宋体" w:eastAsia="宋体" w:cs="宋体"/>
          <w:i w:val="0"/>
          <w:iCs w:val="0"/>
          <w:color w:val="auto"/>
          <w:sz w:val="24"/>
          <w:szCs w:val="28"/>
          <w:highlight w:val="none"/>
          <w:u w:val="none"/>
        </w:rPr>
        <w:t xml:space="preserve">，报价超过最高限价的按无效响应处理</w:t>
      </w:r>
      <w:r>
        <w:rPr>
          <w:color w:val="auto"/>
          <w:highlight w:val="none"/>
        </w:rPr>
      </w:r>
      <w:r/>
    </w:p>
    <w:p>
      <w:pPr>
        <w:ind w:left="0" w:righ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采购需求：为持续助力打击新型涉网、涉诈犯罪案件，提升警力资源利用效率和新型犯罪案件打击防范水平，现进行外部数据服务采购</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具体要求详见招标文件项目需求。</w:t>
      </w:r>
      <w:r>
        <w:rPr>
          <w:rFonts w:hint="eastAsia" w:ascii="宋体" w:hAnsi="宋体" w:eastAsia="宋体" w:cs="宋体"/>
          <w:b/>
          <w:bCs/>
          <w:i w:val="0"/>
          <w:iCs w:val="0"/>
          <w:color w:val="auto"/>
          <w:sz w:val="24"/>
          <w:szCs w:val="24"/>
          <w:highlight w:val="none"/>
          <w:u w:val="none"/>
        </w:rPr>
        <w:t xml:space="preserve">对项目采购需求部分的询问、质疑请与采购人联系，由采购人负责答复</w:t>
      </w:r>
      <w:r>
        <w:rPr>
          <w:rFonts w:hint="eastAsia" w:ascii="宋体" w:hAnsi="宋体" w:eastAsia="宋体" w:cs="宋体"/>
          <w:b/>
          <w:bCs/>
          <w:i w:val="0"/>
          <w:iCs w:val="0"/>
          <w:color w:val="auto"/>
          <w:sz w:val="24"/>
          <w:szCs w:val="24"/>
          <w:highlight w:val="none"/>
          <w:u w:val="none"/>
          <w:lang w:eastAsia="zh-CN"/>
        </w:rPr>
        <w:t xml:space="preserve">；</w:t>
      </w:r>
      <w:r>
        <w:rPr>
          <w:color w:val="auto"/>
          <w:highlight w:val="none"/>
        </w:rPr>
      </w:r>
      <w:r/>
    </w:p>
    <w:p>
      <w:pPr>
        <w:ind w:left="0" w:right="0" w:firstLine="480"/>
        <w:keepLines w:val="0"/>
        <w:keepNext w:val="0"/>
        <w:pageBreakBefore w:val="0"/>
        <w:spacing w:line="360" w:lineRule="auto"/>
        <w:widowControl w:val="off"/>
        <w:tabs>
          <w:tab w:val="left" w:pos="900" w:leader="none"/>
        </w:tabs>
        <w:rPr>
          <w:rFonts w:hint="default" w:ascii="宋体" w:hAnsi="宋体" w:eastAsia="宋体" w:cs="宋体"/>
          <w:i w:val="0"/>
          <w:iCs w:val="0"/>
          <w:color w:val="auto"/>
          <w:sz w:val="24"/>
          <w:szCs w:val="28"/>
          <w:highlight w:val="none"/>
          <w:u w:val="none"/>
        </w:rPr>
        <w:outlineLvl w:val="9"/>
      </w:pPr>
      <w:r>
        <w:rPr>
          <w:rFonts w:hint="eastAsia" w:ascii="宋体" w:hAnsi="宋体" w:eastAsia="宋体" w:cs="宋体"/>
          <w:i w:val="0"/>
          <w:iCs w:val="0"/>
          <w:color w:val="auto"/>
          <w:sz w:val="24"/>
          <w:szCs w:val="28"/>
          <w:highlight w:val="none"/>
          <w:u w:val="none"/>
        </w:rPr>
        <w:t xml:space="preserve">合同履行期限</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服务期限</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8"/>
          <w:highlight w:val="none"/>
          <w:u w:val="none"/>
        </w:rPr>
        <w:t xml:space="preserve">：</w:t>
      </w:r>
      <w:r>
        <w:rPr>
          <w:rFonts w:hint="eastAsia" w:ascii="宋体" w:hAnsi="宋体" w:eastAsia="宋体" w:cs="宋体"/>
          <w:i w:val="0"/>
          <w:iCs w:val="0"/>
          <w:color w:val="auto"/>
          <w:sz w:val="24"/>
          <w:szCs w:val="28"/>
          <w:highlight w:val="none"/>
          <w:u w:val="none"/>
          <w:lang w:val="en-US" w:eastAsia="zh-CN"/>
        </w:rPr>
        <w:t xml:space="preserve">自初验合格后1年；</w:t>
      </w:r>
      <w:r>
        <w:rPr>
          <w:color w:val="auto"/>
          <w:highlight w:val="none"/>
        </w:rPr>
      </w:r>
      <w:r/>
    </w:p>
    <w:p>
      <w:pPr>
        <w:ind w:left="0" w:righ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本项目不接受联合体投标。</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二、申请人的资格要求</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满足《中华人民共和国政府采购法》第二十二条规定，并提供下列材料：</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法人或者其他组织的营业执照等证明文件，自然人的身份证明；</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具有良好的商业信誉和健全的财务会计制度；</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依法缴纳税收和社会保障资金的相关证明材料；</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具备履行合同所必需的设备和专业技术能力的声明及证明材料；</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参加政府采购活动前三年内在经营活动中没有重大违法记录的书面声明。</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t xml:space="preserve">根据连财购〔2023〕4号文件精神，第（2）、（3）项可以提供《财务状况报告及税收、社会保障资金缴纳情况承诺函》，详见招标文件格式。</w:t>
      </w:r>
      <w:r>
        <w:rPr>
          <w:color w:val="auto"/>
          <w:highlight w:val="none"/>
        </w:rPr>
      </w:r>
      <w:r/>
    </w:p>
    <w:p>
      <w:pPr>
        <w:pStyle w:val="824"/>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落实政府采购政策需满足的资格要求：</w:t>
      </w:r>
      <w:r>
        <w:rPr>
          <w:rFonts w:hint="eastAsia" w:ascii="宋体" w:hAnsi="宋体" w:eastAsia="宋体" w:cs="宋体"/>
          <w:b w:val="0"/>
          <w:bCs w:val="0"/>
          <w:color w:val="auto"/>
          <w:sz w:val="24"/>
          <w:szCs w:val="24"/>
          <w:highlight w:val="none"/>
          <w:shd w:val="clear" w:color="auto" w:fill="ffffff"/>
          <w:lang w:bidi="ar"/>
        </w:rPr>
        <w:t xml:space="preserve">本项目属于预留部分份额专门面向中小微企业采购。对于预留份额，提供的货物或服务由符合政策要求的中小微企业制造或承接，具体符合条件的情形详见</w:t>
      </w:r>
      <w:r>
        <w:rPr>
          <w:rFonts w:hint="eastAsia" w:ascii="宋体" w:hAnsi="宋体" w:eastAsia="宋体" w:cs="宋体"/>
          <w:b w:val="0"/>
          <w:bCs w:val="0"/>
          <w:color w:val="auto"/>
          <w:sz w:val="24"/>
          <w:szCs w:val="24"/>
          <w:highlight w:val="none"/>
          <w:lang w:bidi="ar"/>
        </w:rPr>
        <w:t xml:space="preserve">《政府采购促进中小企业发展管理办法》。</w:t>
      </w:r>
      <w:r>
        <w:rPr>
          <w:rFonts w:hint="eastAsia" w:ascii="宋体" w:hAnsi="宋体" w:eastAsia="宋体" w:cs="宋体"/>
          <w:b w:val="0"/>
          <w:bCs w:val="0"/>
          <w:color w:val="auto"/>
          <w:sz w:val="24"/>
          <w:szCs w:val="24"/>
          <w:highlight w:val="none"/>
          <w:shd w:val="clear" w:color="auto" w:fill="ffffff"/>
          <w:lang w:bidi="ar"/>
        </w:rPr>
        <w:t xml:space="preserve">预留份额通过以下措施进行,</w:t>
      </w:r>
      <w:r>
        <w:rPr>
          <w:rFonts w:hint="eastAsia" w:ascii="宋体" w:hAnsi="宋体" w:eastAsia="宋体" w:cs="宋体"/>
          <w:b w:val="0"/>
          <w:bCs w:val="0"/>
          <w:color w:val="auto"/>
          <w:sz w:val="24"/>
          <w:szCs w:val="24"/>
          <w:highlight w:val="none"/>
          <w:shd w:val="clear" w:color="auto" w:fill="ffffff"/>
          <w:lang w:eastAsia="zh-CN" w:bidi="ar"/>
        </w:rPr>
        <w:t xml:space="preserve">投标人</w:t>
      </w:r>
      <w:r>
        <w:rPr>
          <w:rFonts w:hint="eastAsia" w:ascii="宋体" w:hAnsi="宋体" w:eastAsia="宋体" w:cs="宋体"/>
          <w:b w:val="0"/>
          <w:bCs w:val="0"/>
          <w:color w:val="auto"/>
          <w:sz w:val="24"/>
          <w:szCs w:val="24"/>
          <w:highlight w:val="none"/>
          <w:shd w:val="clear" w:color="auto" w:fill="ffffff"/>
          <w:lang w:bidi="ar"/>
        </w:rPr>
        <w:t xml:space="preserve">可选择以下其中任意一种方式参与： </w:t>
      </w:r>
      <w:r>
        <w:rPr>
          <w:color w:val="auto"/>
          <w:highlight w:val="none"/>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bidi="ar"/>
        </w:rPr>
        <w:t xml:space="preserve">1.投标人不属于中小微企业的，必须将本项目合同分包给一家或者多家中小微企业，中小微企业承担的合同份额占合同金额的比例不低于40%（其中预留给小微企业的部分不低于60%），接受分包合同的中小微企业与分包企业之间不得存在直接控股、管理关系。（投标文件中同时提供：（1）符合上述比例的《分包意向协议书》；（2）分包企业提供《中小企业声明函》</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shd w:val="clear" w:color="auto" w:fill="ffffff"/>
          <w:lang w:val="en-US" w:eastAsia="zh-CN" w:bidi="ar"/>
        </w:rPr>
        <w:t xml:space="preserve">《中小企业声明函》中须填写签订分包意向协议的中小微企业相关信息，</w:t>
      </w:r>
      <w:r>
        <w:rPr>
          <w:rFonts w:hint="eastAsia" w:ascii="宋体" w:hAnsi="宋体" w:eastAsia="宋体" w:cs="宋体"/>
          <w:b w:val="0"/>
          <w:bCs w:val="0"/>
          <w:color w:val="auto"/>
          <w:sz w:val="24"/>
          <w:szCs w:val="24"/>
          <w:highlight w:val="none"/>
          <w:lang w:val="en-US" w:eastAsia="zh-CN" w:bidi="ar"/>
        </w:rPr>
        <w:t xml:space="preserve">否则投标无效）。</w:t>
      </w:r>
      <w:r>
        <w:rPr>
          <w:color w:val="auto"/>
          <w:highlight w:val="none"/>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bidi="ar"/>
        </w:rPr>
        <w:t xml:space="preserve">2.投标人属于中型企业的，必须将本项目合同分包给一家或者多家小微企业，小微企业承担的份额不低于合同金额的60%，接受分包合同的小微企业与分包企业之间不得存在直接控股、管理关系。（投标文件中同时提供：1.符合上述比例的《分包意向协议书》；2.分包企业提供《中小企业声明函》</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shd w:val="clear" w:color="auto" w:fill="ffffff"/>
          <w:lang w:val="en-US" w:eastAsia="zh-CN" w:bidi="ar"/>
        </w:rPr>
        <w:t xml:space="preserve">《中小企业声明函》中须填写分包企业相关信息及签订分包意向协议的小微企业相关信息</w:t>
      </w:r>
      <w:r>
        <w:rPr>
          <w:rFonts w:hint="eastAsia" w:ascii="宋体" w:hAnsi="宋体" w:eastAsia="宋体" w:cs="宋体"/>
          <w:b w:val="0"/>
          <w:bCs w:val="0"/>
          <w:color w:val="auto"/>
          <w:sz w:val="24"/>
          <w:szCs w:val="24"/>
          <w:highlight w:val="none"/>
          <w:lang w:val="en-US" w:eastAsia="zh-CN" w:bidi="ar"/>
        </w:rPr>
        <w:t xml:space="preserve">，否则投标无效</w:t>
      </w:r>
      <w:r>
        <w:rPr>
          <w:rFonts w:hint="eastAsia" w:ascii="宋体" w:hAnsi="宋体" w:eastAsia="宋体" w:cs="宋体"/>
          <w:b w:val="0"/>
          <w:bCs w:val="0"/>
          <w:color w:val="auto"/>
          <w:sz w:val="24"/>
          <w:szCs w:val="24"/>
          <w:highlight w:val="none"/>
          <w:shd w:val="clear" w:color="auto" w:fill="ffffff"/>
          <w:lang w:val="en-US" w:eastAsia="zh-CN" w:bidi="ar"/>
        </w:rPr>
        <w:t xml:space="preserve">）。</w:t>
      </w:r>
      <w:r>
        <w:rPr>
          <w:color w:val="auto"/>
          <w:highlight w:val="none"/>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bidi="ar"/>
        </w:rPr>
        <w:t xml:space="preserve">3.投标人属于小微企业的，是否采取分包不作强制要求。</w:t>
      </w:r>
      <w:r>
        <w:rPr>
          <w:color w:val="auto"/>
          <w:highlight w:val="none"/>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bidi="ar"/>
        </w:rPr>
        <w:t xml:space="preserve">（1）如不分包，投标文件中须提供《中小企业声明函》</w:t>
      </w:r>
      <w:r>
        <w:rPr>
          <w:rFonts w:hint="eastAsia" w:ascii="宋体" w:hAnsi="宋体" w:eastAsia="宋体" w:cs="宋体"/>
          <w:b w:val="0"/>
          <w:bCs w:val="0"/>
          <w:color w:val="auto"/>
          <w:sz w:val="24"/>
          <w:szCs w:val="24"/>
          <w:highlight w:val="none"/>
          <w:lang w:val="en-US" w:eastAsia="zh-CN" w:bidi="ar"/>
        </w:rPr>
        <w:t xml:space="preserve">，否则投标无效</w:t>
      </w:r>
      <w:r>
        <w:rPr>
          <w:rFonts w:hint="eastAsia" w:ascii="宋体" w:hAnsi="宋体" w:eastAsia="宋体" w:cs="宋体"/>
          <w:b w:val="0"/>
          <w:bCs w:val="0"/>
          <w:color w:val="auto"/>
          <w:sz w:val="24"/>
          <w:szCs w:val="24"/>
          <w:highlight w:val="none"/>
          <w:shd w:val="clear" w:color="auto" w:fill="ffffff"/>
          <w:lang w:val="en-US" w:eastAsia="zh-CN" w:bidi="ar"/>
        </w:rPr>
        <w:t xml:space="preserve">。</w:t>
      </w:r>
      <w:r>
        <w:rPr>
          <w:color w:val="auto"/>
          <w:highlight w:val="none"/>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bidi="ar"/>
        </w:rPr>
        <w:t xml:space="preserve">（2）如采取合同分包，则只能分包给小微企业。接受分包合同的小微企业与分包企业之间不得存在直接控股、管理关系。（投标文件中同时提供：1）《分包意向协议书》；2）分包企业提供《中小企业声明函》</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shd w:val="clear" w:color="auto" w:fill="ffffff"/>
          <w:lang w:val="en-US" w:eastAsia="zh-CN" w:bidi="ar"/>
        </w:rPr>
        <w:t xml:space="preserve">《中小企业声明函》中须填写分包企业相关信息及签订分包意向协议的小微企业相关信息，否则投标无效。</w:t>
      </w:r>
      <w:r>
        <w:rPr>
          <w:color w:val="auto"/>
          <w:highlight w:val="none"/>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bidi="ar"/>
        </w:rPr>
        <w:t xml:space="preserve">注：</w:t>
      </w:r>
      <w:r>
        <w:rPr>
          <w:color w:val="auto"/>
          <w:highlight w:val="none"/>
        </w:rPr>
      </w:r>
      <w:r/>
    </w:p>
    <w:p>
      <w:pPr>
        <w:numPr>
          <w:ilvl w:val="0"/>
          <w:numId w:val="0"/>
        </w:numPr>
        <w:ind w:left="0" w:right="0" w:firstLine="47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shd w:val="clear" w:color="auto" w:fill="ffffff"/>
          <w:lang w:val="en-US" w:eastAsia="zh-CN" w:bidi="ar"/>
        </w:rPr>
        <w:t xml:space="preserve">本项目分包企业指参加政府采购活动的投标人。证明材料《分包意向协议书》、《中小企业声明函》详见第四章 投标文件格式</w:t>
      </w:r>
      <w:r>
        <w:rPr>
          <w:rFonts w:hint="eastAsia" w:ascii="宋体" w:hAnsi="宋体" w:eastAsia="宋体" w:cs="宋体"/>
          <w:b w:val="0"/>
          <w:bCs w:val="0"/>
          <w:color w:val="auto"/>
          <w:sz w:val="24"/>
          <w:szCs w:val="24"/>
          <w:highlight w:val="none"/>
          <w:lang w:val="en-US" w:eastAsia="zh-CN" w:bidi="ar"/>
        </w:rPr>
        <w:t xml:space="preserve">。</w:t>
      </w:r>
      <w:r>
        <w:rPr>
          <w:color w:val="auto"/>
          <w:highlight w:val="none"/>
        </w:rPr>
      </w:r>
      <w:r/>
    </w:p>
    <w:p>
      <w:pPr>
        <w:numPr>
          <w:ilvl w:val="0"/>
          <w:numId w:val="0"/>
        </w:numPr>
        <w:ind w:left="0" w:right="0" w:firstLine="47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2.享受扶持政策获得政府采购合同的，小微企业不得将合同分包给大中型企业，中型企业不得将合同分包给大型企业。</w:t>
      </w:r>
      <w:r>
        <w:rPr>
          <w:color w:val="auto"/>
          <w:highlight w:val="none"/>
        </w:rPr>
      </w:r>
      <w:r/>
    </w:p>
    <w:p>
      <w:pPr>
        <w:pStyle w:val="824"/>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bidi="ar"/>
        </w:rPr>
        <w:t xml:space="preserve">3.上述中小微企业应符合本项目采购标的对应的行业（软件和信息技术服务业）政策划分标准，现场评审以投标人提供的《中小企业声明函》为判定标准。如为残疾人福利性单位或监狱企业，提供的证明文件详见第二章 投标人须知 促进中小企业发展</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本项目的特定资格要求：</w:t>
      </w:r>
      <w:r>
        <w:rPr>
          <w:rFonts w:hint="eastAsia" w:ascii="宋体" w:hAnsi="宋体" w:eastAsia="宋体" w:cs="宋体"/>
          <w:i w:val="0"/>
          <w:iCs w:val="0"/>
          <w:color w:val="auto"/>
          <w:sz w:val="24"/>
          <w:szCs w:val="24"/>
          <w:highlight w:val="none"/>
          <w:u w:val="none"/>
          <w:lang w:val="en-US" w:eastAsia="zh-CN"/>
        </w:rPr>
        <w:t xml:space="preserve">无</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本项目的其他资格要求：</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法律法规规定的其他条件。</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三、获取招标文件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时间：</w:t>
      </w:r>
      <w:r>
        <w:rPr>
          <w:rFonts w:hint="eastAsia" w:ascii="宋体" w:hAnsi="宋体" w:eastAsia="宋体" w:cs="宋体"/>
          <w:i w:val="0"/>
          <w:iCs w:val="0"/>
          <w:color w:val="auto"/>
          <w:sz w:val="24"/>
          <w:szCs w:val="24"/>
          <w:highlight w:val="none"/>
          <w:u w:val="none"/>
          <w:lang w:val="en-US" w:eastAsia="zh-CN"/>
        </w:rPr>
        <w:t xml:space="preserve">自公告发布之日起5个工作日</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2</w:t>
      </w:r>
      <w:r>
        <w:rPr>
          <w:rFonts w:hint="eastAsia" w:ascii="宋体" w:hAnsi="宋体" w:eastAsia="宋体" w:cs="宋体"/>
          <w:i w:val="0"/>
          <w:iCs w:val="0"/>
          <w:color w:val="auto"/>
          <w:sz w:val="24"/>
          <w:highlight w:val="none"/>
          <w:u w:val="none"/>
          <w:lang w:val="en-US" w:eastAsia="zh-CN"/>
        </w:rPr>
        <w:t xml:space="preserve">.地点：</w:t>
      </w:r>
      <w:r>
        <w:rPr>
          <w:rFonts w:hint="eastAsia" w:ascii="宋体" w:hAnsi="宋体" w:eastAsia="宋体" w:cs="宋体"/>
          <w:i w:val="0"/>
          <w:iCs w:val="0"/>
          <w:color w:val="auto"/>
          <w:sz w:val="24"/>
          <w:highlight w:val="none"/>
          <w:u w:val="none"/>
        </w:rPr>
        <w:t xml:space="preserve">江苏政府采购网</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3.</w:t>
      </w:r>
      <w:r>
        <w:rPr>
          <w:rFonts w:hint="eastAsia" w:ascii="宋体" w:hAnsi="宋体" w:eastAsia="宋体" w:cs="宋体"/>
          <w:i w:val="0"/>
          <w:iCs w:val="0"/>
          <w:color w:val="auto"/>
          <w:sz w:val="24"/>
          <w:highlight w:val="none"/>
          <w:u w:val="none"/>
        </w:rPr>
        <w:t xml:space="preserve">方式：</w:t>
      </w:r>
      <w:r>
        <w:rPr>
          <w:rFonts w:hint="eastAsia" w:ascii="宋体" w:hAnsi="宋体" w:eastAsia="宋体" w:cs="宋体"/>
          <w:i w:val="0"/>
          <w:iCs w:val="0"/>
          <w:color w:val="auto"/>
          <w:sz w:val="24"/>
          <w:highlight w:val="none"/>
          <w:u w:val="none"/>
          <w:lang w:val="en-US" w:eastAsia="zh-CN"/>
        </w:rPr>
        <w:t xml:space="preserve">在苏采云系统中</w:t>
      </w:r>
      <w:r>
        <w:rPr>
          <w:rFonts w:hint="eastAsia" w:ascii="宋体" w:hAnsi="宋体" w:eastAsia="宋体" w:cs="宋体"/>
          <w:i w:val="0"/>
          <w:iCs w:val="0"/>
          <w:color w:val="auto"/>
          <w:sz w:val="24"/>
          <w:highlight w:val="none"/>
          <w:u w:val="none"/>
        </w:rPr>
        <w:t xml:space="preserve">免费下载</w:t>
      </w:r>
      <w:r>
        <w:rPr>
          <w:rFonts w:hint="eastAsia" w:ascii="宋体" w:hAnsi="宋体" w:eastAsia="宋体" w:cs="宋体"/>
          <w:i w:val="0"/>
          <w:iCs w:val="0"/>
          <w:color w:val="auto"/>
          <w:sz w:val="24"/>
          <w:highlight w:val="none"/>
          <w:u w:val="none"/>
          <w:lang w:eastAsia="zh-CN"/>
        </w:rPr>
        <w:t xml:space="preserve">招标文件</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4.</w:t>
      </w:r>
      <w:r>
        <w:rPr>
          <w:rFonts w:hint="eastAsia" w:ascii="宋体" w:hAnsi="宋体" w:eastAsia="宋体" w:cs="宋体"/>
          <w:i w:val="0"/>
          <w:iCs w:val="0"/>
          <w:color w:val="auto"/>
          <w:sz w:val="24"/>
          <w:highlight w:val="none"/>
          <w:u w:val="none"/>
        </w:rPr>
        <w:t xml:space="preserve">售价：0元</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四、提交投标文件截止时间、开标时间和地点</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时间：</w:t>
      </w:r>
      <w:r>
        <w:rPr>
          <w:rFonts w:hint="eastAsia" w:ascii="宋体" w:hAnsi="宋体" w:eastAsia="宋体" w:cs="宋体"/>
          <w:i w:val="0"/>
          <w:iCs w:val="0"/>
          <w:color w:val="auto"/>
          <w:sz w:val="24"/>
          <w:szCs w:val="24"/>
          <w:highlight w:val="none"/>
          <w:u w:val="none"/>
        </w:rPr>
        <w:t xml:space="preserve">202</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年</w:t>
      </w: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月</w:t>
      </w:r>
      <w:r>
        <w:rPr>
          <w:rFonts w:hint="eastAsia" w:ascii="宋体" w:hAnsi="宋体" w:eastAsia="宋体" w:cs="宋体"/>
          <w:i w:val="0"/>
          <w:iCs w:val="0"/>
          <w:color w:val="auto"/>
          <w:sz w:val="24"/>
          <w:szCs w:val="24"/>
          <w:highlight w:val="none"/>
          <w:u w:val="none"/>
          <w:lang w:val="en-US" w:eastAsia="zh-CN"/>
        </w:rPr>
        <w:t xml:space="preserve">10</w:t>
      </w:r>
      <w:r>
        <w:rPr>
          <w:rFonts w:hint="eastAsia" w:ascii="宋体" w:hAnsi="宋体" w:eastAsia="宋体" w:cs="宋体"/>
          <w:i w:val="0"/>
          <w:iCs w:val="0"/>
          <w:color w:val="auto"/>
          <w:sz w:val="24"/>
          <w:szCs w:val="24"/>
          <w:highlight w:val="none"/>
          <w:u w:val="none"/>
        </w:rPr>
        <w:t xml:space="preserve">日</w:t>
      </w:r>
      <w:r>
        <w:rPr>
          <w:rFonts w:hint="eastAsia" w:ascii="宋体" w:hAnsi="宋体" w:eastAsia="宋体" w:cs="宋体"/>
          <w:i w:val="0"/>
          <w:iCs w:val="0"/>
          <w:color w:val="auto"/>
          <w:sz w:val="24"/>
          <w:szCs w:val="24"/>
          <w:highlight w:val="none"/>
          <w:u w:val="none"/>
          <w:lang w:val="en-US" w:eastAsia="zh-CN"/>
        </w:rPr>
        <w:t xml:space="preserve">上</w:t>
      </w:r>
      <w:r>
        <w:rPr>
          <w:rFonts w:hint="eastAsia" w:ascii="宋体" w:hAnsi="宋体" w:eastAsia="宋体" w:cs="宋体"/>
          <w:i w:val="0"/>
          <w:iCs w:val="0"/>
          <w:color w:val="auto"/>
          <w:sz w:val="24"/>
          <w:szCs w:val="24"/>
          <w:highlight w:val="none"/>
          <w:u w:val="none"/>
        </w:rPr>
        <w:t xml:space="preserve">午</w:t>
      </w: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:00:00（北京时间）</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地点：“苏采云”政府采购交易系统网上开标大厅</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五、公告期限</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自</w:t>
      </w:r>
      <w:r>
        <w:rPr>
          <w:rFonts w:hint="eastAsia" w:ascii="宋体" w:hAnsi="宋体" w:eastAsia="宋体" w:cs="宋体"/>
          <w:i w:val="0"/>
          <w:iCs w:val="0"/>
          <w:color w:val="auto"/>
          <w:sz w:val="24"/>
          <w:szCs w:val="24"/>
          <w:highlight w:val="none"/>
          <w:u w:val="none"/>
          <w:lang w:val="en-US" w:eastAsia="zh-CN"/>
        </w:rPr>
        <w:t xml:space="preserve">本公告发布之日起5个工作日。</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六、其他补充事宜</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1.本次公开招标不收取投标保证金。</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2.本招标文件中标注★的款项为实质性响应要求和条件，如不满足将按无效响应处理。</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七、对本次招标提出询问，请按以下方式联系</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1.采购人信息</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名    称：连云港市公安局</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地    址：连云港市海州区朝阳东路9号</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联系方式：</w:t>
      </w:r>
      <w:r>
        <w:rPr>
          <w:rFonts w:hint="eastAsia" w:ascii="宋体" w:hAnsi="宋体" w:eastAsia="宋体" w:cs="宋体"/>
          <w:i w:val="0"/>
          <w:iCs w:val="0"/>
          <w:color w:val="auto"/>
          <w:sz w:val="24"/>
          <w:szCs w:val="24"/>
          <w:highlight w:val="none"/>
          <w:u w:val="none"/>
          <w:lang w:val="en-US" w:eastAsia="zh-CN"/>
        </w:rPr>
        <w:t xml:space="preserve">汪警官   </w:t>
      </w:r>
      <w:r>
        <w:rPr>
          <w:rFonts w:hint="eastAsia" w:ascii="宋体" w:hAnsi="宋体" w:eastAsia="宋体" w:cs="宋体"/>
          <w:i w:val="0"/>
          <w:iCs w:val="0"/>
          <w:color w:val="auto"/>
          <w:sz w:val="24"/>
          <w:szCs w:val="24"/>
          <w:highlight w:val="none"/>
          <w:u w:val="none"/>
        </w:rPr>
        <w:t xml:space="preserve">电话：15861238521</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2.采购代理机构信息</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名    称：</w:t>
      </w:r>
      <w:r>
        <w:rPr>
          <w:rFonts w:hint="eastAsia" w:ascii="宋体" w:hAnsi="宋体" w:eastAsia="宋体" w:cs="宋体"/>
          <w:i w:val="0"/>
          <w:iCs w:val="0"/>
          <w:color w:val="auto"/>
          <w:sz w:val="24"/>
          <w:szCs w:val="24"/>
          <w:highlight w:val="none"/>
          <w:u w:val="none"/>
          <w:lang w:eastAsia="zh-CN"/>
        </w:rPr>
        <w:t xml:space="preserve">江苏港策建筑科技有限公司</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地    址：连云港市海州区大华山路33号</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联系方式：张工</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电话：15312130619</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3.项目联系方式</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项目联系人：</w:t>
      </w:r>
      <w:r>
        <w:rPr>
          <w:rFonts w:hint="eastAsia" w:ascii="宋体" w:hAnsi="宋体" w:eastAsia="宋体" w:cs="宋体"/>
          <w:i w:val="0"/>
          <w:iCs w:val="0"/>
          <w:color w:val="auto"/>
          <w:sz w:val="24"/>
          <w:szCs w:val="24"/>
          <w:highlight w:val="none"/>
          <w:u w:val="none"/>
          <w:lang w:val="en-US" w:eastAsia="zh-CN"/>
        </w:rPr>
        <w:t xml:space="preserve">汪警官</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电      话：</w:t>
      </w:r>
      <w:r>
        <w:rPr>
          <w:rFonts w:hint="eastAsia" w:ascii="宋体" w:hAnsi="宋体" w:eastAsia="宋体" w:cs="宋体"/>
          <w:i w:val="0"/>
          <w:iCs w:val="0"/>
          <w:color w:val="auto"/>
          <w:sz w:val="24"/>
          <w:szCs w:val="24"/>
          <w:highlight w:val="none"/>
          <w:u w:val="none"/>
        </w:rPr>
        <w:t xml:space="preserve">15861238521</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八、</w:t>
      </w:r>
      <w:r>
        <w:rPr>
          <w:rFonts w:hint="eastAsia" w:ascii="宋体" w:hAnsi="宋体" w:eastAsia="宋体" w:cs="宋体"/>
          <w:b/>
          <w:i w:val="0"/>
          <w:iCs w:val="0"/>
          <w:color w:val="auto"/>
          <w:sz w:val="28"/>
          <w:szCs w:val="20"/>
          <w:highlight w:val="none"/>
          <w:u w:val="none"/>
          <w:lang w:val="en-US" w:eastAsia="zh-CN"/>
        </w:rPr>
        <w:t xml:space="preserve">其他</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1.根据省财政厅</w:t>
      </w:r>
      <w:r>
        <w:rPr>
          <w:rFonts w:hint="eastAsia" w:ascii="宋体" w:hAnsi="宋体" w:eastAsia="宋体" w:cs="宋体"/>
          <w:i w:val="0"/>
          <w:iCs w:val="0"/>
          <w:color w:val="auto"/>
          <w:sz w:val="24"/>
          <w:szCs w:val="24"/>
          <w:highlight w:val="none"/>
          <w:u w:val="none"/>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投标人通过苏采云系统参与政府采购项目，需要更换CA数字证书和电子签章。具体办理指南和操作手册见链接：http://www.ccgp-jiangsu.gov.cn/jiangsu/zlxz/ee/ee3a4bc5a3454aa2b0d9312230633ce9.html。</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领取CA和办理电子签章，具体联系方式见《苏采云系统</w:t>
      </w:r>
      <w:r>
        <w:rPr>
          <w:rFonts w:hint="eastAsia" w:ascii="宋体" w:hAnsi="宋体" w:eastAsia="宋体" w:cs="宋体"/>
          <w:i w:val="0"/>
          <w:iCs w:val="0"/>
          <w:color w:val="auto"/>
          <w:sz w:val="24"/>
          <w:szCs w:val="24"/>
          <w:highlight w:val="none"/>
          <w:u w:val="none"/>
          <w:lang w:eastAsia="zh-CN"/>
        </w:rPr>
        <w:t xml:space="preserve">投标人</w:t>
      </w:r>
      <w:r>
        <w:rPr>
          <w:rFonts w:hint="eastAsia" w:ascii="宋体" w:hAnsi="宋体" w:eastAsia="宋体" w:cs="宋体"/>
          <w:i w:val="0"/>
          <w:iCs w:val="0"/>
          <w:color w:val="auto"/>
          <w:sz w:val="24"/>
          <w:szCs w:val="24"/>
          <w:highlight w:val="none"/>
          <w:u w:val="none"/>
        </w:rPr>
        <w:t xml:space="preserve">操作手册》（以下简称《操作手册》））、进行注册并按《操作手册》要求制作、上传电子投标文件。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ectPr>
          <w:footerReference w:type="default" r:id="rId15"/>
          <w:footerReference w:type="first" r:id="rId16"/>
          <w:footnotePr/>
          <w:endnotePr/>
          <w:type w:val="nextPage"/>
          <w:pgSz w:w="11906" w:h="16838" w:orient="portrait"/>
          <w:pgMar w:top="1440" w:right="1080" w:bottom="1440" w:left="1080" w:header="720" w:footer="720" w:gutter="0"/>
          <w:pgNumType w:start="1"/>
          <w:cols w:num="1" w:sep="0" w:space="720" w:equalWidth="1"/>
          <w:docGrid w:linePitch="360"/>
        </w:sectPr>
        <w:outlineLvl w:val="9"/>
      </w:pPr>
      <w:r>
        <w:rPr>
          <w:rFonts w:hint="eastAsia" w:ascii="宋体" w:hAnsi="宋体" w:eastAsia="宋体" w:cs="宋体"/>
          <w:i w:val="0"/>
          <w:iCs w:val="0"/>
          <w:color w:val="auto"/>
          <w:sz w:val="24"/>
          <w:szCs w:val="24"/>
          <w:highlight w:val="none"/>
          <w:u w:val="none"/>
          <w:lang w:val="en-US" w:eastAsia="zh-CN"/>
        </w:rPr>
        <w:t xml:space="preserve">2.</w:t>
      </w:r>
      <w:bookmarkStart w:id="19" w:name="_Toc513622227"/>
      <w:r>
        <w:rPr>
          <w:rFonts w:hint="eastAsia" w:ascii="宋体" w:hAnsi="宋体" w:eastAsia="宋体" w:cs="宋体"/>
          <w:i w:val="0"/>
          <w:iCs w:val="0"/>
          <w:color w:val="auto"/>
          <w:sz w:val="24"/>
          <w:szCs w:val="24"/>
          <w:highlight w:val="none"/>
          <w:u w:val="none"/>
          <w:lang w:val="en-US" w:eastAsia="zh-CN"/>
        </w:rPr>
        <w:t xml:space="preserve">无论出于何种原因，采购人在采购活动开始前可对招标文件进行修改、补充或变更，其内容作为招标文件的重要组成部分，请各投标人关注江苏政府采购网站。若因投标人自身原因未及时关注本项目有关修改、补充或变更信息，导致投标文件编制或提交失误，由此造成的一切损失由投标人自行承担。</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bCs/>
          <w:i w:val="0"/>
          <w:iCs w:val="0"/>
          <w:color w:val="auto"/>
          <w:sz w:val="44"/>
          <w:szCs w:val="44"/>
          <w:highlight w:val="none"/>
          <w:u w:val="none"/>
        </w:rPr>
        <w:outlineLvl w:val="0"/>
      </w:pPr>
      <w:r>
        <w:rPr>
          <w:color w:val="auto"/>
          <w:highlight w:val="none"/>
        </w:rPr>
      </w:r>
      <w:bookmarkStart w:id="20" w:name="_Toc26888"/>
      <w:r>
        <w:rPr>
          <w:color w:val="auto"/>
          <w:highlight w:val="none"/>
        </w:rPr>
      </w:r>
      <w:bookmarkStart w:id="21" w:name="_Toc26161"/>
      <w:r>
        <w:rPr>
          <w:color w:val="auto"/>
          <w:highlight w:val="none"/>
        </w:rPr>
      </w:r>
      <w:bookmarkStart w:id="22" w:name="_Toc16971"/>
      <w:r>
        <w:rPr>
          <w:color w:val="auto"/>
          <w:highlight w:val="none"/>
        </w:rPr>
      </w:r>
      <w:bookmarkStart w:id="23" w:name="_Toc21064"/>
      <w:r>
        <w:rPr>
          <w:color w:val="auto"/>
          <w:highlight w:val="none"/>
        </w:rPr>
      </w:r>
      <w:bookmarkStart w:id="24" w:name="_Toc23942"/>
      <w:r>
        <w:rPr>
          <w:color w:val="auto"/>
          <w:highlight w:val="none"/>
        </w:rPr>
      </w:r>
      <w:bookmarkStart w:id="25" w:name="_Toc1567"/>
      <w:r>
        <w:rPr>
          <w:rFonts w:hint="eastAsia" w:ascii="宋体" w:hAnsi="宋体" w:eastAsia="宋体" w:cs="宋体"/>
          <w:b/>
          <w:bCs/>
          <w:i w:val="0"/>
          <w:iCs w:val="0"/>
          <w:color w:val="auto"/>
          <w:sz w:val="44"/>
          <w:szCs w:val="44"/>
          <w:highlight w:val="none"/>
          <w:u w:val="none"/>
        </w:rPr>
        <w:t xml:space="preserve">第二章  投标人须知</w:t>
      </w:r>
      <w:bookmarkEnd w:id="11"/>
      <w:r>
        <w:rPr>
          <w:color w:val="auto"/>
          <w:highlight w:val="none"/>
        </w:rPr>
      </w:r>
      <w:bookmarkEnd w:id="12"/>
      <w:r>
        <w:rPr>
          <w:color w:val="auto"/>
          <w:highlight w:val="none"/>
        </w:rPr>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bookmarkEnd w:id="23"/>
      <w:r>
        <w:rPr>
          <w:color w:val="auto"/>
          <w:highlight w:val="none"/>
        </w:rPr>
      </w:r>
      <w:bookmarkEnd w:id="24"/>
      <w:r>
        <w:rPr>
          <w:color w:val="auto"/>
          <w:highlight w:val="none"/>
        </w:rPr>
      </w:r>
      <w:bookmarkEnd w:id="25"/>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一、总则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 采购人、项目（标段）名称及编号，详见第一章“投标邀请”。</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 采购预算</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2.1 本项目的采购预算，详见第一章“投标邀请”。</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 资金来源</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3.1 “投标邀请”中所述的采购人已获得一笔政府采购资金，用于采购第六章“项目需求”所列内容。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 采购方式</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4.1 本项目采用公开招标采购方式，招标、投标、开标、评标和中标结果发布全程电子化。</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 合格的投标人</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5.1 投标人应符合第一章“投标邀请”中规定的条件，</w:t>
      </w:r>
      <w:r>
        <w:rPr>
          <w:rFonts w:hint="eastAsia" w:ascii="宋体" w:hAnsi="宋体" w:eastAsia="宋体" w:cs="宋体"/>
          <w:b/>
          <w:bCs/>
          <w:i w:val="0"/>
          <w:iCs w:val="0"/>
          <w:color w:val="auto"/>
          <w:sz w:val="24"/>
          <w:szCs w:val="24"/>
          <w:highlight w:val="none"/>
          <w:u w:val="none"/>
        </w:rPr>
        <w:t xml:space="preserve">否则投标无效</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5.2 投标人不得直接或间接地与为本次采购的标的进行设计、编制规范和其他文件的咨询公司、采购（代理）机构或其附属机构有任何关联。 </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5.4 符合上述条件的投标人应承担投标及履约过程应承担的全部责任与义务。</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 投标费用</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6.1 不论投标结果如何，投标人均应自行承担所有与编写和提交投标文件有关的全部费用。</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 质疑</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7.1 质疑的提出</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7.1.1 提出质疑的</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应当是参与所质疑项目采购活动的</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7.1.2</w:t>
      </w:r>
      <w:r>
        <w:rPr>
          <w:rFonts w:hint="eastAsia" w:ascii="宋体" w:hAnsi="宋体" w:eastAsia="宋体" w:cs="宋体"/>
          <w:i w:val="0"/>
          <w:iCs w:val="0"/>
          <w:color w:val="auto"/>
          <w:sz w:val="24"/>
          <w:szCs w:val="24"/>
          <w:highlight w:val="none"/>
          <w:u w:val="none"/>
          <w:lang w:val="en-US" w:eastAsia="zh-CN"/>
        </w:rPr>
        <w:t xml:space="preserve"> 投标人</w:t>
      </w:r>
      <w:r>
        <w:rPr>
          <w:rFonts w:hint="eastAsia" w:ascii="宋体" w:hAnsi="宋体" w:eastAsia="宋体" w:cs="宋体"/>
          <w:i w:val="0"/>
          <w:iCs w:val="0"/>
          <w:color w:val="auto"/>
          <w:sz w:val="24"/>
          <w:szCs w:val="24"/>
          <w:highlight w:val="none"/>
          <w:u w:val="none"/>
        </w:rPr>
        <w:t xml:space="preserve">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i w:val="0"/>
          <w:iCs w:val="0"/>
          <w:color w:val="auto"/>
          <w:sz w:val="24"/>
          <w:szCs w:val="24"/>
          <w:highlight w:val="none"/>
          <w:u w:val="none"/>
          <w:lang w:eastAsia="zh-CN"/>
        </w:rPr>
        <w:t xml:space="preserve">江苏港策建筑科技有限公司</w:t>
      </w:r>
      <w:r>
        <w:rPr>
          <w:rFonts w:hint="eastAsia" w:ascii="宋体" w:hAnsi="宋体" w:eastAsia="宋体" w:cs="宋体"/>
          <w:i w:val="0"/>
          <w:iCs w:val="0"/>
          <w:color w:val="auto"/>
          <w:sz w:val="24"/>
          <w:szCs w:val="24"/>
          <w:highlight w:val="none"/>
          <w:u w:val="none"/>
        </w:rPr>
        <w:t xml:space="preserve">（以下简称代理机构）提出质疑。</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应当在法定质疑期内一次性提出针对同一采购程序环节的质疑。</w:t>
      </w:r>
      <w:r>
        <w:rPr>
          <w:rFonts w:hint="eastAsia" w:ascii="宋体" w:hAnsi="宋体" w:eastAsia="宋体" w:cs="宋体"/>
          <w:b/>
          <w:bCs/>
          <w:i w:val="0"/>
          <w:iCs w:val="0"/>
          <w:color w:val="auto"/>
          <w:sz w:val="24"/>
          <w:szCs w:val="24"/>
          <w:highlight w:val="none"/>
          <w:u w:val="none"/>
        </w:rPr>
        <w:t xml:space="preserve">未依照采购公告要求获取招标文件的</w:t>
      </w:r>
      <w:r>
        <w:rPr>
          <w:rFonts w:hint="eastAsia" w:ascii="宋体" w:hAnsi="宋体" w:eastAsia="宋体" w:cs="宋体"/>
          <w:b/>
          <w:bCs/>
          <w:i w:val="0"/>
          <w:iCs w:val="0"/>
          <w:color w:val="auto"/>
          <w:sz w:val="24"/>
          <w:szCs w:val="24"/>
          <w:highlight w:val="none"/>
          <w:u w:val="none"/>
          <w:lang w:val="en-US" w:eastAsia="zh-CN"/>
        </w:rPr>
        <w:t xml:space="preserve">投标人</w:t>
      </w:r>
      <w:r>
        <w:rPr>
          <w:rFonts w:hint="eastAsia" w:ascii="宋体" w:hAnsi="宋体" w:eastAsia="宋体" w:cs="宋体"/>
          <w:b/>
          <w:bCs/>
          <w:i w:val="0"/>
          <w:iCs w:val="0"/>
          <w:color w:val="auto"/>
          <w:sz w:val="24"/>
          <w:szCs w:val="24"/>
          <w:highlight w:val="none"/>
          <w:u w:val="none"/>
        </w:rPr>
        <w:t xml:space="preserve">，视为未参与该项目的采购活动，不具备对该招标文件提出质疑的法定权利。</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7.1.3 提出质疑时，必须坚持“谁主张，谁举证”“实事求是”的原则，不能臆测。属于须由法定部门调查、侦查或先行作出相关认定的事项，</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应当依法申请具有法定职权的部门查清、认定，并将相关结果提供给采购人、代理机构。采购人、代理机构不具有法定调查、认定权限。</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7.1.4 </w:t>
      </w:r>
      <w:r>
        <w:rPr>
          <w:rFonts w:hint="eastAsia" w:ascii="宋体" w:hAnsi="宋体" w:eastAsia="宋体" w:cs="宋体"/>
          <w:b/>
          <w:i w:val="0"/>
          <w:iCs w:val="0"/>
          <w:color w:val="auto"/>
          <w:sz w:val="24"/>
          <w:szCs w:val="24"/>
          <w:highlight w:val="none"/>
          <w:u w:val="none"/>
        </w:rPr>
        <w:t xml:space="preserve">质疑函的接收方式为投标人书面原件提交</w:t>
      </w:r>
      <w:r>
        <w:rPr>
          <w:rFonts w:hint="eastAsia" w:ascii="宋体" w:hAnsi="宋体" w:eastAsia="宋体" w:cs="宋体"/>
          <w:i w:val="0"/>
          <w:iCs w:val="0"/>
          <w:color w:val="auto"/>
          <w:sz w:val="24"/>
          <w:szCs w:val="24"/>
          <w:highlight w:val="none"/>
          <w:u w:val="none"/>
        </w:rPr>
        <w:t xml:space="preserve">。联系部门、联系电话和通讯地址详见第一章“投标邀请”。质疑实行实名制，不得进行虚假、恶意质疑。</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7.1.5 质疑函应当使用范本。</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投标人提出质疑</w:t>
      </w:r>
      <w:r>
        <w:rPr>
          <w:rFonts w:hint="eastAsia" w:ascii="宋体" w:hAnsi="宋体" w:eastAsia="宋体" w:cs="宋体"/>
          <w:b/>
          <w:i w:val="0"/>
          <w:iCs w:val="0"/>
          <w:color w:val="auto"/>
          <w:sz w:val="24"/>
          <w:szCs w:val="24"/>
          <w:highlight w:val="none"/>
          <w:u w:val="none"/>
        </w:rPr>
        <w:t xml:space="preserve">应当提交质疑函和必要的证明材料</w:t>
      </w:r>
      <w:r>
        <w:rPr>
          <w:rFonts w:hint="eastAsia" w:ascii="宋体" w:hAnsi="宋体" w:eastAsia="宋体" w:cs="宋体"/>
          <w:i w:val="0"/>
          <w:iCs w:val="0"/>
          <w:color w:val="auto"/>
          <w:sz w:val="24"/>
          <w:szCs w:val="24"/>
          <w:highlight w:val="none"/>
          <w:u w:val="none"/>
        </w:rPr>
        <w:t xml:space="preserve">，应当包括下列内容：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（1）投标人的姓名或者名称、地址、邮编、联系人及联系电话；</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（2）质疑项目的名称、编号；</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（3）具体、明确的质疑事项和与质疑事项相关的请求；</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（4）事实依据；</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（5）必要的法律依据；</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（6）提出质疑的日期；</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b/>
          <w:i w:val="0"/>
          <w:iCs w:val="0"/>
          <w:color w:val="auto"/>
          <w:sz w:val="24"/>
          <w:szCs w:val="24"/>
          <w:highlight w:val="none"/>
          <w:u w:val="none"/>
        </w:rPr>
        <w:t xml:space="preserve">必要的证明材料；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（8）</w:t>
      </w:r>
      <w:r>
        <w:rPr>
          <w:rFonts w:hint="eastAsia" w:ascii="宋体" w:hAnsi="宋体" w:eastAsia="宋体" w:cs="宋体"/>
          <w:i w:val="0"/>
          <w:iCs w:val="0"/>
          <w:color w:val="auto"/>
          <w:sz w:val="24"/>
          <w:szCs w:val="24"/>
          <w:highlight w:val="none"/>
          <w:u w:val="none"/>
          <w:lang w:eastAsia="zh-CN"/>
        </w:rPr>
        <w:t xml:space="preserve">招标文件（</w:t>
      </w:r>
      <w:r>
        <w:rPr>
          <w:rFonts w:hint="eastAsia" w:ascii="宋体" w:hAnsi="宋体" w:eastAsia="宋体" w:cs="宋体"/>
          <w:i w:val="0"/>
          <w:iCs w:val="0"/>
          <w:color w:val="auto"/>
          <w:sz w:val="24"/>
          <w:szCs w:val="24"/>
          <w:highlight w:val="none"/>
          <w:u w:val="none"/>
        </w:rPr>
        <w:t xml:space="preserve">交易文件</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下载回执函；</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（9）营业执照复印件及法定代表人授权委托书、法定代表人身份证复印件、委托代理人身份证复印件。</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投标人为自然人的，应当由本人签字；投标人为法人或者其他组织的，应当由法定代表人、主要负责人，或者其授权代理人签字或者盖章，并加盖单位公章。</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7.2 质疑函的受理和答复</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7.2.1 </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应当保证其提出的质疑事项及必要的证明材料的真实性及来源的合法性，并承担相应的法律责任。</w:t>
      </w:r>
      <w:r>
        <w:rPr>
          <w:rFonts w:hint="eastAsia" w:ascii="宋体" w:hAnsi="宋体" w:eastAsia="宋体" w:cs="宋体"/>
          <w:b/>
          <w:i w:val="0"/>
          <w:iCs w:val="0"/>
          <w:color w:val="auto"/>
          <w:sz w:val="24"/>
          <w:szCs w:val="24"/>
          <w:highlight w:val="none"/>
          <w:u w:val="none"/>
        </w:rPr>
        <w:t xml:space="preserve">对不能提供必要的证明材料的、涉及商业秘密的、非书面原件形式的、匿名的质疑函将不予受理</w:t>
      </w:r>
      <w:r>
        <w:rPr>
          <w:rFonts w:hint="eastAsia" w:ascii="宋体" w:hAnsi="宋体" w:eastAsia="宋体" w:cs="宋体"/>
          <w:i w:val="0"/>
          <w:iCs w:val="0"/>
          <w:color w:val="auto"/>
          <w:sz w:val="24"/>
          <w:szCs w:val="24"/>
          <w:highlight w:val="none"/>
          <w:u w:val="none"/>
        </w:rPr>
        <w:t xml:space="preserve">。必要的证明材料要具备客观性、关联性、合法性，无法查实的（如宣传册、媒体报道、猜测、推理等）不能作为证明材料。采购人、代理机构不负责搜集必要的证明材料等工作。</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7.2.2 对符合质疑要求的，采购人、代理机构接收并登记《质疑函登记表》。在处理过程中，发现需要</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进一步补充必要的证明材料的，</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应在法定的时间内提供，质疑答复时间相应顺延。</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不能按时提供必要的证明材料的，视同放弃质疑。</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7.2.3 对不符合质疑要求的，采购人、代理机构有权要求其补充必要的证明材料，</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未在法定的时间内提供补充必要的证明材料的，视同放弃质疑。</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7.2.4 采购人、代理机构负责将</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提出的质疑函及相关材料提供给</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协助答复，并将答复意见回复</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。必要时，可向被</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转发《质疑函》及相关材料。被</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应当在要求的时间内，以书面形式作出说明并提交相关材料。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7.3 质疑处理</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7.3.1 </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未按照法定程序进行质疑投诉的，视为一般失信行为。</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7.3.2 </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不配合或者采用不正当手段干扰政府采购质疑、投诉处理工作的，视为一般失信行为。</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7.3.3 </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投诉受理期间，就同一事项多头举报，干扰财政部门投诉处理的，视为一般失信行为。</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7.3.4 </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在全国范围12个月内三次以上质疑查无实据的，视为一般失信行为。</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7.3.5 </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7.3.6 </w:t>
      </w:r>
      <w:r>
        <w:rPr>
          <w:rFonts w:hint="eastAsia" w:ascii="宋体" w:hAnsi="宋体" w:eastAsia="宋体" w:cs="宋体"/>
          <w:i w:val="0"/>
          <w:iCs w:val="0"/>
          <w:color w:val="auto"/>
          <w:sz w:val="24"/>
          <w:szCs w:val="24"/>
          <w:highlight w:val="none"/>
          <w:u w:val="none"/>
          <w:lang w:eastAsia="zh-CN"/>
        </w:rPr>
        <w:t xml:space="preserve">质疑投标人</w:t>
      </w:r>
      <w:r>
        <w:rPr>
          <w:rFonts w:hint="eastAsia" w:ascii="宋体" w:hAnsi="宋体" w:eastAsia="宋体" w:cs="宋体"/>
          <w:i w:val="0"/>
          <w:iCs w:val="0"/>
          <w:color w:val="auto"/>
          <w:sz w:val="24"/>
          <w:szCs w:val="24"/>
          <w:highlight w:val="none"/>
          <w:u w:val="none"/>
        </w:rPr>
        <w:t xml:space="preserve">在全国范围12个月内三次以上投诉查无实据的，视为严重失信行为。</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7.4 未尽事宜，依照有关法律、法规执行。</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8. 投诉</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8.1 投诉事项依照有关法律、法规执行。</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二、招标文件</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9. 招标文件构成</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9.1 要求提供的</w:t>
      </w:r>
      <w:r>
        <w:rPr>
          <w:rFonts w:hint="eastAsia" w:ascii="宋体" w:hAnsi="宋体" w:eastAsia="宋体" w:cs="宋体"/>
          <w:i w:val="0"/>
          <w:iCs w:val="0"/>
          <w:color w:val="auto"/>
          <w:sz w:val="24"/>
          <w:szCs w:val="24"/>
          <w:highlight w:val="none"/>
          <w:u w:val="none"/>
          <w:lang w:val="en-US" w:eastAsia="zh-CN"/>
        </w:rPr>
        <w:t xml:space="preserve">服务</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采购过程</w:t>
      </w:r>
      <w:r>
        <w:rPr>
          <w:rFonts w:hint="eastAsia" w:ascii="宋体" w:hAnsi="宋体" w:eastAsia="宋体" w:cs="宋体"/>
          <w:i w:val="0"/>
          <w:iCs w:val="0"/>
          <w:color w:val="auto"/>
          <w:sz w:val="24"/>
          <w:szCs w:val="24"/>
          <w:highlight w:val="none"/>
          <w:u w:val="none"/>
        </w:rPr>
        <w:t xml:space="preserve">及合同条款在招标文件中均有说明，招标文件分为七章，各章的内容如下：</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第一章  投标邀请</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第二章  投标人须知</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第三章  政府采购合同格式</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第四章  投标文件格式</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第五章  合同专用条款表</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第六章  项目需求</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第七章  评标办法</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10. 招标文件的澄清或修改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10.2 澄清或者修改的内容可能影响投标文件编制的，采购人或者代理机构应当在投标截止时间至少15日前，在江苏政府采购网上发布公告形式通知所有获取招标文件的潜在投标人；不足15日的，采购人或者代理机构应当顺延提交投标文件的截止时间。</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10.3 澄清或者修改的内容可能影响资格预审申请文件编制的，采购人或者代理机构应当在提交资格预审申请文件截止时间至少3日前，以在江苏政府采购网上发布公告形式通知所有获取资格预审文件的潜在投标人；不足3日的，采购人或者代理机构应当顺延提交资格预审申请文件的截止时间。</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三、投标文件的编制</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11. 投标文件编写注意事项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11.1 投标人应当仔细阅读招标文件的所有内容，在完全了解</w:t>
      </w:r>
      <w:r>
        <w:rPr>
          <w:rFonts w:hint="eastAsia" w:ascii="宋体" w:hAnsi="宋体" w:eastAsia="宋体" w:cs="宋体"/>
          <w:i w:val="0"/>
          <w:iCs w:val="0"/>
          <w:color w:val="auto"/>
          <w:sz w:val="24"/>
          <w:szCs w:val="24"/>
          <w:highlight w:val="none"/>
          <w:u w:val="none"/>
          <w:lang w:val="en-US" w:eastAsia="zh-CN"/>
        </w:rPr>
        <w:t xml:space="preserve">采购</w:t>
      </w:r>
      <w:r>
        <w:rPr>
          <w:rFonts w:hint="eastAsia" w:ascii="宋体" w:hAnsi="宋体" w:eastAsia="宋体" w:cs="宋体"/>
          <w:i w:val="0"/>
          <w:iCs w:val="0"/>
          <w:color w:val="auto"/>
          <w:sz w:val="24"/>
          <w:szCs w:val="24"/>
          <w:highlight w:val="none"/>
          <w:u w:val="none"/>
        </w:rPr>
        <w:t xml:space="preserve">的内容、技术要求和商务条件后，按照招标文件的要求编制投标文件。投标文件应当对招标文件提出的要求和条件作出明确响应，并保证所提供的全部资料的真实性，否则作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i w:val="0"/>
          <w:iCs w:val="0"/>
          <w:color w:val="auto"/>
          <w:sz w:val="24"/>
          <w:szCs w:val="24"/>
          <w:highlight w:val="none"/>
          <w:u w:val="none"/>
        </w:rPr>
        <w:t xml:space="preserve">无效响应处理</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i w:val="0"/>
          <w:iCs w:val="0"/>
          <w:color w:val="auto"/>
          <w:sz w:val="24"/>
          <w:szCs w:val="24"/>
          <w:highlight w:val="none"/>
          <w:u w:val="none"/>
        </w:rPr>
        <w:t xml:space="preserve">作出满足或者优于原要求和条件的响应。</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11.3 </w:t>
      </w:r>
      <w:r>
        <w:rPr>
          <w:rFonts w:hint="eastAsia" w:ascii="宋体" w:hAnsi="宋体" w:eastAsia="宋体" w:cs="宋体"/>
          <w:b/>
          <w:bCs/>
          <w:i w:val="0"/>
          <w:iCs w:val="0"/>
          <w:color w:val="auto"/>
          <w:sz w:val="24"/>
          <w:szCs w:val="24"/>
          <w:highlight w:val="none"/>
          <w:u w:val="none"/>
        </w:rPr>
        <w:t xml:space="preserve">招标文件中标注★号的部分为实质性要求和条件</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12. 投标的语言及计量单位</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12.1 投标人的投标文件以及投标人与代理机构就有关投标的所有来往函电统一使用中文（特别规定除外），既有中文也有外文的，以中文意义为准。</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12.2 投标文件中使用的计量单位除招标文件中有特殊规定外，一律使用中国法定计量单位。</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13. 投标报价</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13.1 投标报价指所有</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提供合同约定产品和服务的报酬及投标人提供合同中产品和服务所支出的必要费用，</w:t>
      </w:r>
      <w:r>
        <w:rPr>
          <w:rFonts w:hint="eastAsia" w:ascii="宋体" w:hAnsi="宋体" w:eastAsia="宋体" w:cs="宋体"/>
          <w:i w:val="0"/>
          <w:iCs w:val="0"/>
          <w:color w:val="auto"/>
          <w:sz w:val="24"/>
          <w:szCs w:val="24"/>
          <w:highlight w:val="none"/>
          <w:u w:val="none"/>
          <w:lang w:val="en-US" w:eastAsia="zh-CN"/>
        </w:rPr>
        <w:t xml:space="preserve">采购人</w:t>
      </w:r>
      <w:r>
        <w:rPr>
          <w:rFonts w:hint="eastAsia" w:ascii="宋体" w:hAnsi="宋体" w:eastAsia="宋体" w:cs="宋体"/>
          <w:i w:val="0"/>
          <w:iCs w:val="0"/>
          <w:color w:val="auto"/>
          <w:sz w:val="24"/>
          <w:szCs w:val="24"/>
          <w:highlight w:val="none"/>
          <w:u w:val="none"/>
        </w:rPr>
        <w:t xml:space="preserve">不再向</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支付其他任何费用。</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13.2 投标人可就第六章“项目需求”中的某个分标</w:t>
      </w:r>
      <w:r>
        <w:rPr>
          <w:rFonts w:hint="eastAsia" w:ascii="宋体" w:hAnsi="宋体" w:eastAsia="宋体" w:cs="宋体"/>
          <w:i w:val="0"/>
          <w:iCs w:val="0"/>
          <w:color w:val="auto"/>
          <w:sz w:val="24"/>
          <w:szCs w:val="24"/>
          <w:highlight w:val="none"/>
          <w:u w:val="none"/>
          <w:lang w:val="en-US" w:eastAsia="zh-CN"/>
        </w:rPr>
        <w:t xml:space="preserve">服务</w:t>
      </w:r>
      <w:r>
        <w:rPr>
          <w:rFonts w:hint="eastAsia" w:ascii="宋体" w:hAnsi="宋体" w:eastAsia="宋体" w:cs="宋体"/>
          <w:i w:val="0"/>
          <w:iCs w:val="0"/>
          <w:color w:val="auto"/>
          <w:sz w:val="24"/>
          <w:szCs w:val="24"/>
          <w:highlight w:val="none"/>
          <w:u w:val="none"/>
        </w:rPr>
        <w:t xml:space="preserve">内容作完整唯一报价，也可就所有分标或某几个分标服务内容分别作完整唯一报价。</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14. 投标货币</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14.1 投标应以人民币报价。</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 投标文件有效期</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15.1 本项目投标文件有效期为：投标文件接收截止时间结束后60天内，投标文件有效期不符合招标文件要求的，该投标人投标无效。</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15.2 在特殊情况下，代理机构可与投标人协商延长投标文件的有效期，这种要求与答复均应以书面形式提交。</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16. 投标保证金</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16.1 本项目不收取投标保证金。</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17. 投标文件制作工具</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17.1 系统操作流程详见江苏政府采购网－办事指南－资料下载-江苏省政府采购管理交易系统（苏采云）</w:t>
      </w:r>
      <w:r>
        <w:rPr>
          <w:rFonts w:hint="eastAsia" w:ascii="宋体" w:hAnsi="宋体" w:eastAsia="宋体" w:cs="宋体"/>
          <w:i w:val="0"/>
          <w:iCs w:val="0"/>
          <w:color w:val="auto"/>
          <w:sz w:val="24"/>
          <w:szCs w:val="24"/>
          <w:highlight w:val="none"/>
          <w:u w:val="none"/>
          <w:lang w:eastAsia="zh-CN"/>
        </w:rPr>
        <w:t xml:space="preserve">投标人</w:t>
      </w:r>
      <w:r>
        <w:rPr>
          <w:rFonts w:hint="eastAsia" w:ascii="宋体" w:hAnsi="宋体" w:eastAsia="宋体" w:cs="宋体"/>
          <w:i w:val="0"/>
          <w:iCs w:val="0"/>
          <w:color w:val="auto"/>
          <w:sz w:val="24"/>
          <w:szCs w:val="24"/>
          <w:highlight w:val="none"/>
          <w:u w:val="none"/>
        </w:rPr>
        <w:t xml:space="preserve">操作指南，请及时关注版本更新。</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 投标文件构成</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投标人编制的投标文件应包括</w:t>
      </w:r>
      <w:r>
        <w:rPr>
          <w:rFonts w:hint="eastAsia" w:ascii="宋体" w:hAnsi="宋体" w:eastAsia="宋体" w:cs="宋体"/>
          <w:b/>
          <w:i w:val="0"/>
          <w:iCs w:val="0"/>
          <w:color w:val="auto"/>
          <w:sz w:val="24"/>
          <w:szCs w:val="24"/>
          <w:highlight w:val="none"/>
          <w:u w:val="none"/>
        </w:rPr>
        <w:t xml:space="preserve">商务文件、技术文件、评审因素所需材料和其他材料</w:t>
      </w:r>
      <w:r>
        <w:rPr>
          <w:rFonts w:hint="eastAsia" w:ascii="宋体" w:hAnsi="宋体" w:eastAsia="宋体" w:cs="宋体"/>
          <w:i w:val="0"/>
          <w:iCs w:val="0"/>
          <w:color w:val="auto"/>
          <w:sz w:val="24"/>
          <w:szCs w:val="24"/>
          <w:highlight w:val="none"/>
          <w:u w:val="none"/>
        </w:rPr>
        <w:t xml:space="preserve">等内容，相关文件的提交如未特别注明可提供扫描件。</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18.1 </w:t>
      </w:r>
      <w:r>
        <w:rPr>
          <w:rFonts w:hint="eastAsia" w:ascii="宋体" w:hAnsi="宋体" w:eastAsia="宋体" w:cs="宋体"/>
          <w:b/>
          <w:i w:val="0"/>
          <w:iCs w:val="0"/>
          <w:color w:val="auto"/>
          <w:sz w:val="24"/>
          <w:szCs w:val="24"/>
          <w:highlight w:val="none"/>
          <w:u w:val="none"/>
        </w:rPr>
        <w:t xml:space="preserve">投标文件格式：</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 w:val="24"/>
          <w:szCs w:val="24"/>
          <w:highlight w:val="none"/>
          <w:u w:val="none"/>
        </w:rPr>
        <w:t xml:space="preserve">填写投标人名称、投标人地址、法定代表人、委托代理人、日期等内容。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18.2 </w:t>
      </w:r>
      <w:r>
        <w:rPr>
          <w:rFonts w:hint="eastAsia" w:ascii="宋体" w:hAnsi="宋体" w:eastAsia="宋体" w:cs="宋体"/>
          <w:b/>
          <w:i w:val="0"/>
          <w:iCs w:val="0"/>
          <w:color w:val="auto"/>
          <w:sz w:val="24"/>
          <w:szCs w:val="24"/>
          <w:highlight w:val="none"/>
          <w:u w:val="none"/>
        </w:rPr>
        <w:t xml:space="preserve">商务文件：（政府采购政策有关材料可选提交；委托代理时必须提交法定代表人授权委托书，否则投标无效；其他文件必须提交，否则投标无效）</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（1）响应函：请按给定格式及要求填写。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（2）开标一览表：请按给定格式及要求填写。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（3）报价明细表：请按“投标文件格式”提供的“报价明细表”格式及要求填写。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（4）政府采购政策：中小企业声明函、残疾人福利性单位声明函及省级以上监狱管理局、戒毒管理局（含新疆生产建设兵团）出具的属于监狱企业的证明文件，填报要求详见“八、政策功能”。</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（5）资格审查材料：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投标单位基本信息请上传相关材料</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财务状况报告</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税收证明、社保证明可以选择提供相关证明材料，也可以选择承诺函；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w:t>
      </w:r>
      <w:r>
        <w:rPr>
          <w:rFonts w:hint="eastAsia" w:ascii="宋体" w:hAnsi="宋体" w:eastAsia="宋体" w:cs="宋体"/>
          <w:i w:val="0"/>
          <w:iCs w:val="0"/>
          <w:color w:val="auto"/>
          <w:sz w:val="24"/>
          <w:szCs w:val="24"/>
          <w:highlight w:val="none"/>
          <w:u w:val="none"/>
          <w:lang w:val="en-US" w:eastAsia="zh-CN"/>
        </w:rPr>
        <w:t xml:space="preserve">邀请</w:t>
      </w:r>
      <w:r>
        <w:rPr>
          <w:rFonts w:hint="eastAsia" w:ascii="宋体" w:hAnsi="宋体" w:eastAsia="宋体" w:cs="宋体"/>
          <w:i w:val="0"/>
          <w:iCs w:val="0"/>
          <w:color w:val="auto"/>
          <w:sz w:val="24"/>
          <w:szCs w:val="24"/>
          <w:highlight w:val="none"/>
          <w:u w:val="none"/>
        </w:rPr>
        <w:t xml:space="preserve">”“二、申请人的资格要求”。</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（6）法定代表人授权委托书：请</w:t>
      </w:r>
      <w:r>
        <w:rPr>
          <w:rFonts w:hint="eastAsia" w:ascii="宋体" w:hAnsi="宋体" w:eastAsia="宋体" w:cs="宋体"/>
          <w:i w:val="0"/>
          <w:iCs w:val="0"/>
          <w:color w:val="auto"/>
          <w:sz w:val="24"/>
          <w:szCs w:val="24"/>
          <w:highlight w:val="none"/>
          <w:u w:val="none"/>
          <w:lang w:eastAsia="zh-CN"/>
        </w:rPr>
        <w:t xml:space="preserve">按规定</w:t>
      </w:r>
      <w:r>
        <w:rPr>
          <w:rFonts w:hint="eastAsia" w:ascii="宋体" w:hAnsi="宋体" w:eastAsia="宋体" w:cs="宋体"/>
          <w:i w:val="0"/>
          <w:iCs w:val="0"/>
          <w:color w:val="auto"/>
          <w:sz w:val="24"/>
          <w:szCs w:val="24"/>
          <w:highlight w:val="none"/>
          <w:u w:val="none"/>
        </w:rPr>
        <w:t xml:space="preserve">格式及要求填写。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（7）商务条款偏离表：请按给定格式及要求，并根据投标人投标承诺的商务条件与“合同条款”“合同专用条款表”“项目需求”等的差异填写。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18.3 </w:t>
      </w:r>
      <w:r>
        <w:rPr>
          <w:rFonts w:hint="eastAsia" w:ascii="宋体" w:hAnsi="宋体" w:eastAsia="宋体" w:cs="宋体"/>
          <w:b/>
          <w:i w:val="0"/>
          <w:iCs w:val="0"/>
          <w:color w:val="auto"/>
          <w:sz w:val="24"/>
          <w:szCs w:val="24"/>
          <w:highlight w:val="none"/>
          <w:u w:val="none"/>
        </w:rPr>
        <w:t xml:space="preserve">技术文件：（以下文件必须提交，否则该投标人投标无效）</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（1）技术标：可以但不限于技术方案、技术资料、招标文件规定的其他文件等，格式自定。</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（2）技术规格偏离表：按第四章“投标文件格式”提供的“技术规格偏离表”的格式及要求，根据投标人投标的</w:t>
      </w:r>
      <w:r>
        <w:rPr>
          <w:rFonts w:hint="eastAsia" w:ascii="宋体" w:hAnsi="宋体" w:eastAsia="宋体" w:cs="宋体"/>
          <w:i w:val="0"/>
          <w:iCs w:val="0"/>
          <w:color w:val="auto"/>
          <w:sz w:val="24"/>
          <w:szCs w:val="24"/>
          <w:highlight w:val="none"/>
          <w:u w:val="none"/>
          <w:lang w:val="en-US" w:eastAsia="zh-CN"/>
        </w:rPr>
        <w:t xml:space="preserve">服务内容</w:t>
      </w:r>
      <w:r>
        <w:rPr>
          <w:rFonts w:hint="eastAsia" w:ascii="宋体" w:hAnsi="宋体" w:eastAsia="宋体" w:cs="宋体"/>
          <w:i w:val="0"/>
          <w:iCs w:val="0"/>
          <w:color w:val="auto"/>
          <w:sz w:val="24"/>
          <w:szCs w:val="24"/>
          <w:highlight w:val="none"/>
          <w:u w:val="none"/>
        </w:rPr>
        <w:t xml:space="preserve">与“项目需求”相关</w:t>
      </w:r>
      <w:r>
        <w:rPr>
          <w:rFonts w:hint="eastAsia" w:ascii="宋体" w:hAnsi="宋体" w:eastAsia="宋体" w:cs="宋体"/>
          <w:i w:val="0"/>
          <w:iCs w:val="0"/>
          <w:color w:val="auto"/>
          <w:sz w:val="24"/>
          <w:szCs w:val="24"/>
          <w:highlight w:val="none"/>
          <w:u w:val="none"/>
          <w:lang w:val="en-US" w:eastAsia="zh-CN"/>
        </w:rPr>
        <w:t xml:space="preserve">服务</w:t>
      </w:r>
      <w:r>
        <w:rPr>
          <w:rFonts w:hint="eastAsia" w:ascii="宋体" w:hAnsi="宋体" w:eastAsia="宋体" w:cs="宋体"/>
          <w:i w:val="0"/>
          <w:iCs w:val="0"/>
          <w:color w:val="auto"/>
          <w:sz w:val="24"/>
          <w:szCs w:val="24"/>
          <w:highlight w:val="none"/>
          <w:u w:val="none"/>
        </w:rPr>
        <w:t xml:space="preserve">要求的差异填写。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（3）项目需求响应：格式自定。</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18.4 </w:t>
      </w:r>
      <w:r>
        <w:rPr>
          <w:rFonts w:hint="eastAsia" w:ascii="宋体" w:hAnsi="宋体" w:eastAsia="宋体" w:cs="宋体"/>
          <w:b/>
          <w:i w:val="0"/>
          <w:iCs w:val="0"/>
          <w:color w:val="auto"/>
          <w:sz w:val="24"/>
          <w:szCs w:val="24"/>
          <w:highlight w:val="none"/>
          <w:u w:val="none"/>
        </w:rPr>
        <w:t xml:space="preserve">评审因素所需材料：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如有，请按招标文件要求提供。</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18.5 </w:t>
      </w:r>
      <w:r>
        <w:rPr>
          <w:rFonts w:hint="eastAsia" w:ascii="宋体" w:hAnsi="宋体" w:eastAsia="宋体" w:cs="宋体"/>
          <w:b/>
          <w:i w:val="0"/>
          <w:iCs w:val="0"/>
          <w:color w:val="auto"/>
          <w:sz w:val="24"/>
          <w:szCs w:val="24"/>
          <w:highlight w:val="none"/>
          <w:u w:val="none"/>
        </w:rPr>
        <w:t xml:space="preserve">其他材料：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如有，请按招标文件要求提供。</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19. 生成投标文件</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19.1 投标文件应由</w:t>
      </w:r>
      <w:r>
        <w:rPr>
          <w:rFonts w:hint="eastAsia" w:ascii="宋体" w:hAnsi="宋体" w:eastAsia="宋体" w:cs="宋体"/>
          <w:b/>
          <w:i w:val="0"/>
          <w:iCs w:val="0"/>
          <w:color w:val="auto"/>
          <w:sz w:val="24"/>
          <w:szCs w:val="24"/>
          <w:highlight w:val="none"/>
          <w:u w:val="none"/>
        </w:rPr>
        <w:t xml:space="preserve">法定代表人或其委托代理人</w:t>
      </w:r>
      <w:r>
        <w:rPr>
          <w:rFonts w:hint="eastAsia" w:ascii="宋体" w:hAnsi="宋体" w:eastAsia="宋体" w:cs="宋体"/>
          <w:b/>
          <w:bCs/>
          <w:i w:val="0"/>
          <w:iCs w:val="0"/>
          <w:color w:val="auto"/>
          <w:sz w:val="24"/>
          <w:szCs w:val="24"/>
          <w:highlight w:val="none"/>
          <w:u w:val="none"/>
        </w:rPr>
        <w:t xml:space="preserve">在凡规定签章处逐一签字或盖章并加盖投标人公章（相关内容可以打印、签字、盖章后扫描电子件）或</w:t>
      </w:r>
      <w:r>
        <w:rPr>
          <w:rFonts w:hint="eastAsia" w:ascii="宋体" w:hAnsi="宋体" w:eastAsia="宋体" w:cs="宋体"/>
          <w:b/>
          <w:i w:val="0"/>
          <w:iCs w:val="0"/>
          <w:color w:val="auto"/>
          <w:sz w:val="24"/>
          <w:szCs w:val="24"/>
          <w:highlight w:val="none"/>
          <w:u w:val="none"/>
        </w:rPr>
        <w:t xml:space="preserve">使用电子签章</w:t>
      </w:r>
      <w:r>
        <w:rPr>
          <w:rFonts w:hint="eastAsia" w:ascii="宋体" w:hAnsi="宋体" w:eastAsia="宋体" w:cs="宋体"/>
          <w:i w:val="0"/>
          <w:iCs w:val="0"/>
          <w:color w:val="auto"/>
          <w:sz w:val="24"/>
          <w:szCs w:val="24"/>
          <w:highlight w:val="none"/>
          <w:u w:val="none"/>
        </w:rPr>
        <w:t xml:space="preserve">，本招标文件所表述的公章是指刻有投标人法定名称的印章，不包括合同、财务、税务、发票等形式的业务专用章。</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19.2 电子投标文件不得涂改、行间插字或删除，如出现上述情况应重新编制。</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19.3 如标书制作工具中格式和内容与“江苏政府采购网”发布的招标文件不一致，请以“江苏政府采购网”发布的招标文件为准。</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四、投标文件及样品的提交</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投标文件的递交</w:t>
      </w:r>
      <w:r>
        <w:rPr>
          <w:rFonts w:hint="eastAsia" w:ascii="宋体" w:hAnsi="宋体" w:eastAsia="宋体" w:cs="宋体"/>
          <w:i w:val="0"/>
          <w:iCs w:val="0"/>
          <w:color w:val="auto"/>
          <w:sz w:val="24"/>
          <w:szCs w:val="24"/>
          <w:highlight w:val="none"/>
          <w:u w:val="none"/>
          <w:lang w:eastAsia="zh-CN"/>
        </w:rPr>
        <w:t xml:space="preserve">、修改和撤回</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rPr>
        <w:t xml:space="preserve">.1 电子投标文件的递交</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投标人应当按照《操作手册》规定，在投标截止时间前制作并上传电子投标文件。</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20.2</w:t>
      </w:r>
      <w:r>
        <w:rPr>
          <w:rFonts w:hint="eastAsia" w:ascii="宋体" w:hAnsi="宋体" w:eastAsia="宋体" w:cs="宋体"/>
          <w:i w:val="0"/>
          <w:iCs w:val="0"/>
          <w:color w:val="auto"/>
          <w:sz w:val="24"/>
          <w:szCs w:val="24"/>
          <w:highlight w:val="none"/>
          <w:u w:val="none"/>
        </w:rPr>
        <w:t xml:space="preserve">.投标截止时间</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20.2</w:t>
      </w:r>
      <w:r>
        <w:rPr>
          <w:rFonts w:hint="eastAsia" w:ascii="宋体" w:hAnsi="宋体" w:eastAsia="宋体" w:cs="宋体"/>
          <w:i w:val="0"/>
          <w:iCs w:val="0"/>
          <w:color w:val="auto"/>
          <w:sz w:val="24"/>
          <w:szCs w:val="24"/>
          <w:highlight w:val="none"/>
          <w:u w:val="none"/>
        </w:rPr>
        <w:t xml:space="preserve">.1 投标人上传电子投标文件的时间不得迟于</w:t>
      </w:r>
      <w:r>
        <w:rPr>
          <w:rFonts w:hint="eastAsia" w:ascii="宋体" w:hAnsi="宋体" w:eastAsia="宋体" w:cs="宋体"/>
          <w:i w:val="0"/>
          <w:iCs w:val="0"/>
          <w:color w:val="auto"/>
          <w:sz w:val="24"/>
          <w:szCs w:val="24"/>
          <w:highlight w:val="none"/>
          <w:u w:val="none"/>
          <w:lang w:val="en-US" w:eastAsia="zh-CN"/>
        </w:rPr>
        <w:t xml:space="preserve">采购公告</w:t>
      </w:r>
      <w:r>
        <w:rPr>
          <w:rFonts w:hint="eastAsia" w:ascii="宋体" w:hAnsi="宋体" w:eastAsia="宋体" w:cs="宋体"/>
          <w:i w:val="0"/>
          <w:iCs w:val="0"/>
          <w:color w:val="auto"/>
          <w:sz w:val="24"/>
          <w:szCs w:val="24"/>
          <w:highlight w:val="none"/>
          <w:u w:val="none"/>
        </w:rPr>
        <w:t xml:space="preserve">中规定的投标截止时间。</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投标人应充分考虑到网络环境、网络带宽等风险因素，如因投标人自身原因造成的电子投标文件上传不成功的按照本招标文件规定做无效</w:t>
      </w:r>
      <w:r>
        <w:rPr>
          <w:rFonts w:hint="eastAsia" w:ascii="宋体" w:hAnsi="宋体" w:eastAsia="宋体" w:cs="宋体"/>
          <w:i w:val="0"/>
          <w:iCs w:val="0"/>
          <w:color w:val="auto"/>
          <w:sz w:val="24"/>
          <w:szCs w:val="24"/>
          <w:highlight w:val="none"/>
          <w:u w:val="none"/>
          <w:lang w:val="en-US" w:eastAsia="zh-CN"/>
        </w:rPr>
        <w:t xml:space="preserve">响应</w:t>
      </w:r>
      <w:r>
        <w:rPr>
          <w:rFonts w:hint="eastAsia" w:ascii="宋体" w:hAnsi="宋体" w:eastAsia="宋体" w:cs="宋体"/>
          <w:i w:val="0"/>
          <w:iCs w:val="0"/>
          <w:color w:val="auto"/>
          <w:sz w:val="24"/>
          <w:szCs w:val="24"/>
          <w:highlight w:val="none"/>
          <w:u w:val="none"/>
        </w:rPr>
        <w:t xml:space="preserve">处理。</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20.2</w:t>
      </w:r>
      <w:r>
        <w:rPr>
          <w:rFonts w:hint="eastAsia" w:ascii="宋体" w:hAnsi="宋体" w:eastAsia="宋体" w:cs="宋体"/>
          <w:i w:val="0"/>
          <w:iCs w:val="0"/>
          <w:color w:val="auto"/>
          <w:sz w:val="24"/>
          <w:szCs w:val="24"/>
          <w:highlight w:val="none"/>
          <w:u w:val="none"/>
        </w:rPr>
        <w:t xml:space="preserve">.2 采购代理机构可以按照规定，通过修改招标文件酌情延长投标截止时间，在此情况下，投标人的所有权利和义务以及投标人受制的截止时间均应以延长后新的截止时间为准。</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20.3</w:t>
      </w:r>
      <w:r>
        <w:rPr>
          <w:rFonts w:hint="eastAsia" w:ascii="宋体" w:hAnsi="宋体" w:eastAsia="宋体" w:cs="宋体"/>
          <w:i w:val="0"/>
          <w:iCs w:val="0"/>
          <w:color w:val="auto"/>
          <w:sz w:val="24"/>
          <w:szCs w:val="24"/>
          <w:highlight w:val="none"/>
          <w:u w:val="none"/>
        </w:rPr>
        <w:t xml:space="preserve">投标文件的拒收</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20.3.1 </w:t>
      </w:r>
      <w:r>
        <w:rPr>
          <w:rFonts w:hint="eastAsia" w:ascii="宋体" w:hAnsi="宋体" w:eastAsia="宋体" w:cs="宋体"/>
          <w:i w:val="0"/>
          <w:iCs w:val="0"/>
          <w:color w:val="auto"/>
          <w:sz w:val="24"/>
          <w:szCs w:val="24"/>
          <w:highlight w:val="none"/>
          <w:u w:val="none"/>
        </w:rPr>
        <w:t xml:space="preserve">采购代理机构拒绝接收在其规定的投标截止时间后上传的任何投标文件。</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20.4</w:t>
      </w:r>
      <w:r>
        <w:rPr>
          <w:rFonts w:hint="eastAsia" w:ascii="宋体" w:hAnsi="宋体" w:eastAsia="宋体" w:cs="宋体"/>
          <w:i w:val="0"/>
          <w:iCs w:val="0"/>
          <w:color w:val="auto"/>
          <w:sz w:val="24"/>
          <w:szCs w:val="24"/>
          <w:highlight w:val="none"/>
          <w:u w:val="none"/>
        </w:rPr>
        <w:t xml:space="preserve">投标文件的撤回和修改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20.4.1</w:t>
      </w:r>
      <w:r>
        <w:rPr>
          <w:rFonts w:hint="eastAsia" w:ascii="宋体" w:hAnsi="宋体" w:eastAsia="宋体" w:cs="宋体"/>
          <w:i w:val="0"/>
          <w:iCs w:val="0"/>
          <w:color w:val="auto"/>
          <w:sz w:val="24"/>
          <w:szCs w:val="24"/>
          <w:highlight w:val="none"/>
          <w:u w:val="none"/>
        </w:rPr>
        <w:t xml:space="preserve"> 投标文件的撤回</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（1）电子投标文件的撤回</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投标人可在投标截止时间前，撤回其电子投标文件，具体操作方法见《操作手册》。</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（2）投标人撤回电子投标文件，则认为其不再参与本项目投标活动。</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20.4.2</w:t>
      </w:r>
      <w:r>
        <w:rPr>
          <w:rFonts w:hint="eastAsia" w:ascii="宋体" w:hAnsi="宋体" w:eastAsia="宋体" w:cs="宋体"/>
          <w:i w:val="0"/>
          <w:iCs w:val="0"/>
          <w:color w:val="auto"/>
          <w:sz w:val="24"/>
          <w:szCs w:val="24"/>
          <w:highlight w:val="none"/>
          <w:u w:val="none"/>
        </w:rPr>
        <w:t xml:space="preserve"> 投标文件的修改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（1）投标人可在投标截止时间前，对其电子投标文件进行修改，具体操作方法见《操作手册》。</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（2）在投标截止时间之后，投标人不得对其电子投标文件作任何修改。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20.4.3 </w:t>
      </w:r>
      <w:r>
        <w:rPr>
          <w:rFonts w:hint="eastAsia" w:ascii="宋体" w:hAnsi="宋体" w:eastAsia="宋体" w:cs="宋体"/>
          <w:i w:val="0"/>
          <w:iCs w:val="0"/>
          <w:color w:val="auto"/>
          <w:sz w:val="24"/>
          <w:szCs w:val="24"/>
          <w:highlight w:val="none"/>
          <w:u w:val="none"/>
        </w:rPr>
        <w:t xml:space="preserve">在投标截止时间至招标文件中规定的投标有效期满之间的这段时间内，投标人不得撤回其投标。</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21. 提交投标样品截止时间和地点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21.1 采购项目需要提交样品的，投标人应当于招标文件规定的样品接收截止</w:t>
      </w:r>
      <w:r>
        <w:rPr>
          <w:rFonts w:hint="eastAsia" w:ascii="宋体" w:hAnsi="宋体" w:eastAsia="宋体" w:cs="宋体"/>
          <w:bCs/>
          <w:i w:val="0"/>
          <w:iCs w:val="0"/>
          <w:color w:val="auto"/>
          <w:sz w:val="24"/>
          <w:szCs w:val="24"/>
          <w:highlight w:val="none"/>
          <w:u w:val="none"/>
        </w:rPr>
        <w:t xml:space="preserve">时间前将样品送达指定地点并登记完毕，</w:t>
      </w:r>
      <w:r>
        <w:rPr>
          <w:rFonts w:hint="eastAsia" w:ascii="宋体" w:hAnsi="宋体" w:eastAsia="宋体" w:cs="宋体"/>
          <w:b/>
          <w:bCs/>
          <w:i w:val="0"/>
          <w:iCs w:val="0"/>
          <w:color w:val="auto"/>
          <w:sz w:val="24"/>
          <w:szCs w:val="24"/>
          <w:highlight w:val="none"/>
          <w:u w:val="none"/>
        </w:rPr>
        <w:t xml:space="preserve">否则不予接收</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21.2 中标人提供的样品由采购人封存、保管，作为履约验收的参考。未中标人提供的样品，投标人应在中标结果公布后两个工作日内领回，否则按无主物品处理。</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五、开标与评标</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 开标</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22.1 采购代理机构将在</w:t>
      </w:r>
      <w:r>
        <w:rPr>
          <w:rFonts w:hint="eastAsia" w:ascii="宋体" w:hAnsi="宋体" w:eastAsia="宋体" w:cs="宋体"/>
          <w:i w:val="0"/>
          <w:iCs w:val="0"/>
          <w:color w:val="auto"/>
          <w:sz w:val="24"/>
          <w:szCs w:val="24"/>
          <w:highlight w:val="none"/>
          <w:u w:val="none"/>
          <w:lang w:val="en-US" w:eastAsia="zh-CN"/>
        </w:rPr>
        <w:t xml:space="preserve">采购</w:t>
      </w:r>
      <w:r>
        <w:rPr>
          <w:rFonts w:hint="eastAsia" w:ascii="宋体" w:hAnsi="宋体" w:eastAsia="宋体" w:cs="宋体"/>
          <w:i w:val="0"/>
          <w:iCs w:val="0"/>
          <w:color w:val="auto"/>
          <w:sz w:val="24"/>
          <w:szCs w:val="24"/>
          <w:highlight w:val="none"/>
          <w:u w:val="none"/>
        </w:rPr>
        <w:t xml:space="preserve">公告中规定的时间和地点组织公开开标。投标人应当按照《操作手册》规定，参加开标活动和在苏采云系统规定的时间内对投标文件进行解密。</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22.2</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开标仪式由采购代理机构组织。苏采云系统将自动对项目进行开标，并宣布各投标人名称和投标价格。</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22.3</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投标人在开标过程中涉及到的投标文件解密、开标结果确认等工作，应按照《操作手册》规定执行。</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22.4</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投标人如果对开标过程和开标记录有</w:t>
      </w:r>
      <w:r>
        <w:rPr>
          <w:rFonts w:hint="eastAsia" w:ascii="宋体" w:hAnsi="宋体" w:eastAsia="宋体" w:cs="宋体"/>
          <w:i w:val="0"/>
          <w:iCs w:val="0"/>
          <w:color w:val="auto"/>
          <w:sz w:val="24"/>
          <w:szCs w:val="24"/>
          <w:highlight w:val="none"/>
          <w:u w:val="none"/>
          <w:lang w:val="en-US" w:eastAsia="zh-CN"/>
        </w:rPr>
        <w:t xml:space="preserve">异议</w:t>
      </w:r>
      <w:r>
        <w:rPr>
          <w:rFonts w:hint="eastAsia" w:ascii="宋体" w:hAnsi="宋体" w:eastAsia="宋体" w:cs="宋体"/>
          <w:i w:val="0"/>
          <w:iCs w:val="0"/>
          <w:color w:val="auto"/>
          <w:sz w:val="24"/>
          <w:szCs w:val="24"/>
          <w:highlight w:val="none"/>
          <w:u w:val="none"/>
        </w:rPr>
        <w:t xml:space="preserve">，应当根据《操作手册》规定提出，如苏采云系统中《开标记录表》宣布后5分钟内未提出的，视同认可开标结果。</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 评标委员会</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23.1</w:t>
      </w:r>
      <w:r>
        <w:rPr>
          <w:rFonts w:hint="eastAsia" w:ascii="宋体" w:hAnsi="宋体" w:eastAsia="宋体" w:cs="宋体"/>
          <w:b/>
          <w:i w:val="0"/>
          <w:iCs w:val="0"/>
          <w:color w:val="auto"/>
          <w:sz w:val="24"/>
          <w:szCs w:val="24"/>
          <w:highlight w:val="none"/>
          <w:u w:val="none"/>
        </w:rPr>
        <w:t xml:space="preserve"> </w:t>
      </w:r>
      <w:r>
        <w:rPr>
          <w:rFonts w:hint="eastAsia" w:ascii="宋体" w:hAnsi="宋体" w:eastAsia="宋体" w:cs="宋体"/>
          <w:i w:val="0"/>
          <w:iCs w:val="0"/>
          <w:color w:val="auto"/>
          <w:sz w:val="24"/>
          <w:szCs w:val="24"/>
          <w:highlight w:val="none"/>
          <w:u w:val="none"/>
        </w:rPr>
        <w:t xml:space="preserve">开标后，</w:t>
      </w:r>
      <w:r>
        <w:rPr>
          <w:rFonts w:hint="eastAsia" w:ascii="宋体" w:hAnsi="宋体" w:eastAsia="宋体" w:cs="宋体"/>
          <w:i w:val="0"/>
          <w:iCs w:val="0"/>
          <w:color w:val="auto"/>
          <w:sz w:val="24"/>
          <w:szCs w:val="24"/>
          <w:highlight w:val="none"/>
          <w:u w:val="none"/>
          <w:lang w:eastAsia="zh-CN"/>
        </w:rPr>
        <w:t xml:space="preserve">采购代理机构</w:t>
      </w:r>
      <w:r>
        <w:rPr>
          <w:rFonts w:hint="eastAsia" w:ascii="宋体" w:hAnsi="宋体" w:eastAsia="宋体" w:cs="宋体"/>
          <w:i w:val="0"/>
          <w:iCs w:val="0"/>
          <w:color w:val="auto"/>
          <w:sz w:val="24"/>
          <w:szCs w:val="24"/>
          <w:highlight w:val="none"/>
          <w:u w:val="none"/>
        </w:rPr>
        <w:t xml:space="preserve">将立即组织评标委员会（以下简称</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）进行评标。</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23.2 </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由采购人代表和有关技术、经济等方面的专家组成，且人员构成符合政府采购有关规定。</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23.3</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独立工作，负责评审所有投标文件并确定中标</w:t>
      </w:r>
      <w:r>
        <w:rPr>
          <w:rFonts w:hint="eastAsia" w:ascii="宋体" w:hAnsi="宋体" w:eastAsia="宋体" w:cs="宋体"/>
          <w:i w:val="0"/>
          <w:iCs w:val="0"/>
          <w:color w:val="auto"/>
          <w:sz w:val="24"/>
          <w:szCs w:val="24"/>
          <w:highlight w:val="none"/>
          <w:u w:val="none"/>
          <w:lang w:eastAsia="zh-CN"/>
        </w:rPr>
        <w:t xml:space="preserve">候选人</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w:t>
      </w: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 </w:t>
      </w:r>
      <w:r>
        <w:rPr>
          <w:rFonts w:hint="eastAsia" w:ascii="宋体" w:hAnsi="宋体" w:eastAsia="宋体" w:cs="宋体"/>
          <w:bCs/>
          <w:i w:val="0"/>
          <w:iCs w:val="0"/>
          <w:color w:val="auto"/>
          <w:sz w:val="24"/>
          <w:szCs w:val="24"/>
          <w:highlight w:val="none"/>
          <w:u w:val="none"/>
        </w:rPr>
        <w:t xml:space="preserve">评标工作程序</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（1）评标委员会负责具体评标事务，并独立履行下列职责：</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①审查、评价投标文件是否符合招标文件的商务、技术等实质性要求；</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②要求投标人对投标文件有关事项作出澄清或者说明；</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③对投标文件进行比较和评价（对商务、技术及其他内容的比较和评价结束前，评标委员会不得比较和评价投标报价）；</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④确定中标候选人名单，以及根据采购人授权直接确定中标人；</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⑤向采购人、代理机构或者有关部门报告评标中发现的违法行为；</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⑥编写评标报告。</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（2）评标委员会对符合资格的投标人的投标文件进行符合性审查，以确定其是否满足招标文件的实质性要求。</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符合性检查</w:t>
      </w:r>
      <w:r>
        <w:rPr>
          <w:rFonts w:hint="eastAsia" w:ascii="宋体" w:hAnsi="宋体" w:eastAsia="宋体" w:cs="宋体"/>
          <w:i w:val="0"/>
          <w:iCs w:val="0"/>
          <w:color w:val="auto"/>
          <w:sz w:val="24"/>
          <w:szCs w:val="24"/>
          <w:highlight w:val="none"/>
          <w:u w:val="none"/>
        </w:rPr>
        <w:t xml:space="preserve">：依据招标文件的规定，从投标文件的有效性、完整性和对招标文件的响应程度进行审查，以确定是否对招标文件的实质性要求作出响应。未实质性响应招标文件的投标文件按投标无效处理。</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所谓重大偏离或保留</w:t>
      </w:r>
      <w:r>
        <w:rPr>
          <w:rFonts w:hint="eastAsia" w:ascii="宋体" w:hAnsi="宋体" w:eastAsia="宋体" w:cs="宋体"/>
          <w:i w:val="0"/>
          <w:iCs w:val="0"/>
          <w:color w:val="auto"/>
          <w:sz w:val="24"/>
          <w:szCs w:val="24"/>
          <w:highlight w:val="none"/>
          <w:u w:val="none"/>
        </w:rPr>
        <w:t xml:space="preserve">，是指与招标文件规定的主要技术指标或重要的商务条款或除上述以外的多项指标要求存在负偏离，或者在实质上与招标文件不一致，而且限制了合同中采购人的权利或投标人的义务，保留或给予纠正这些偏离的机会将会对其他实质性响应要求的</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的竞争地位产生不公正的影响。重大偏离的认定需经过评标委员会2/3及以上成员的认定。</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评标委员会决定投标文件的响应性仅基于投标文件本身的内容，而不寻求外部证据。</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评标委员会将拒绝被确定为非实质性响应的投标人，投标人不能通过修正或撤销不符之处而使其投标成为实质性响应的投标。</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投标文件的澄清。</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评标期间，</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对投标文件中含义不明确、同类问题表述不一致或者有明显文字和计算错误的内容 ，有权要求投标人作出必要的澄清、说明或者补正。</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投标人的澄清、说明或者补正不得超出投标文件的范围或者改变投标文件的实质性内容。</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评标委员会并非对每个投标人都做澄清要求。</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需要</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进行澄清、说明和补正的，</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将通过苏采云系统向</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接到</w:t>
      </w:r>
      <w:r>
        <w:rPr>
          <w:rFonts w:hint="eastAsia" w:ascii="宋体" w:hAnsi="宋体" w:eastAsia="宋体" w:cs="宋体"/>
          <w:i w:val="0"/>
          <w:iCs w:val="0"/>
          <w:color w:val="auto"/>
          <w:sz w:val="24"/>
          <w:szCs w:val="24"/>
          <w:highlight w:val="none"/>
          <w:u w:val="none"/>
          <w:lang w:eastAsia="zh-CN"/>
        </w:rPr>
        <w:t xml:space="preserve">评标委员会</w:t>
      </w:r>
      <w:r>
        <w:rPr>
          <w:rFonts w:hint="eastAsia" w:ascii="宋体" w:hAnsi="宋体" w:eastAsia="宋体" w:cs="宋体"/>
          <w:i w:val="0"/>
          <w:iCs w:val="0"/>
          <w:color w:val="auto"/>
          <w:sz w:val="24"/>
          <w:szCs w:val="24"/>
          <w:highlight w:val="none"/>
          <w:u w:val="none"/>
        </w:rPr>
        <w:t xml:space="preserve">澄清、说明和补正要求的投标人如未按规定做出澄清、说明和补正，其风险由投标人自行承担。</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23.</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 评标过程的保密</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23.5.1 </w:t>
      </w:r>
      <w:r>
        <w:rPr>
          <w:rFonts w:hint="eastAsia" w:ascii="宋体" w:hAnsi="宋体" w:eastAsia="宋体" w:cs="宋体"/>
          <w:i w:val="0"/>
          <w:iCs w:val="0"/>
          <w:color w:val="auto"/>
          <w:sz w:val="24"/>
          <w:szCs w:val="24"/>
          <w:highlight w:val="none"/>
          <w:u w:val="none"/>
        </w:rPr>
        <w:t xml:space="preserve">凡是与审查、澄清、评价和比较投标的有关资料以及授标建议等，采购人、评委、</w:t>
      </w:r>
      <w:r>
        <w:rPr>
          <w:rFonts w:hint="eastAsia" w:ascii="宋体" w:hAnsi="宋体" w:eastAsia="宋体" w:cs="宋体"/>
          <w:i w:val="0"/>
          <w:iCs w:val="0"/>
          <w:color w:val="auto"/>
          <w:sz w:val="24"/>
          <w:szCs w:val="24"/>
          <w:highlight w:val="none"/>
          <w:u w:val="none"/>
          <w:lang w:eastAsia="zh-CN"/>
        </w:rPr>
        <w:t xml:space="preserve">采购代理机构</w:t>
      </w:r>
      <w:r>
        <w:rPr>
          <w:rFonts w:hint="eastAsia" w:ascii="宋体" w:hAnsi="宋体" w:eastAsia="宋体" w:cs="宋体"/>
          <w:i w:val="0"/>
          <w:iCs w:val="0"/>
          <w:color w:val="auto"/>
          <w:sz w:val="24"/>
          <w:szCs w:val="24"/>
          <w:highlight w:val="none"/>
          <w:u w:val="none"/>
        </w:rPr>
        <w:t xml:space="preserve">均不得向投标人或与评标无关的其他人员透露。</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23.5</w:t>
      </w: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在评标过程中，投标人不得以任何行为影响评标过程，否则其投标文件将被作为无效投标文件。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23.5</w:t>
      </w:r>
      <w:r>
        <w:rPr>
          <w:rFonts w:hint="eastAsia" w:ascii="宋体" w:hAnsi="宋体" w:eastAsia="宋体" w:cs="宋体"/>
          <w:i w:val="0"/>
          <w:iCs w:val="0"/>
          <w:color w:val="auto"/>
          <w:sz w:val="24"/>
          <w:szCs w:val="24"/>
          <w:highlight w:val="none"/>
          <w:u w:val="none"/>
        </w:rPr>
        <w:t xml:space="preserve">.3 </w:t>
      </w:r>
      <w:r>
        <w:rPr>
          <w:rFonts w:hint="eastAsia" w:ascii="宋体" w:hAnsi="宋体" w:eastAsia="宋体" w:cs="宋体"/>
          <w:i w:val="0"/>
          <w:iCs w:val="0"/>
          <w:color w:val="auto"/>
          <w:sz w:val="24"/>
          <w:szCs w:val="24"/>
          <w:highlight w:val="none"/>
          <w:u w:val="none"/>
          <w:lang w:eastAsia="zh-CN"/>
        </w:rPr>
        <w:t xml:space="preserve">采购代理机构</w:t>
      </w:r>
      <w:r>
        <w:rPr>
          <w:rFonts w:hint="eastAsia" w:ascii="宋体" w:hAnsi="宋体" w:eastAsia="宋体" w:cs="宋体"/>
          <w:i w:val="0"/>
          <w:iCs w:val="0"/>
          <w:color w:val="auto"/>
          <w:sz w:val="24"/>
          <w:szCs w:val="24"/>
          <w:highlight w:val="none"/>
          <w:u w:val="none"/>
        </w:rPr>
        <w:t xml:space="preserve">和评标委员会不向未中标的投标人解释未中标原因，也不公布评标过程中的相关细节。</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23.5</w:t>
      </w:r>
      <w:r>
        <w:rPr>
          <w:rFonts w:hint="eastAsia" w:ascii="宋体" w:hAnsi="宋体" w:eastAsia="宋体" w:cs="宋体"/>
          <w:i w:val="0"/>
          <w:iCs w:val="0"/>
          <w:color w:val="auto"/>
          <w:sz w:val="24"/>
          <w:szCs w:val="24"/>
          <w:highlight w:val="none"/>
          <w:u w:val="none"/>
        </w:rPr>
        <w:t xml:space="preserve">.4 采用综合评分法的项目，未中标的投标人可于中标结果公告期限届满之日起通过苏采云系统查看自己的评审得分及排序情况。</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24. 投标文件报价出现前后不一致的，按照下列规定修正：</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（1）投标文件中开标一览表（报价表）内容与投标文件中相应内容不一致的，以开标一览表（报价表）为准；</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（2）大写金额和小写金额不一致的，以大写金额为准；</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（3）单价金额小数点或者百分比有明显错位的，以开标一览表的总价为准，并修改单价；</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（4）总价金额与按单价汇总金额不一致的，以单价金额计算结果为准。</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同时出现两种以上不一致的，按照前款规定的顺序修正。修正后的报价按照政府采购有关规定经投标人确认后产生约束力，投标人不确认的，其投标无效。</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25. </w:t>
      </w:r>
      <w:r>
        <w:rPr>
          <w:rFonts w:hint="eastAsia" w:ascii="宋体" w:hAnsi="宋体" w:eastAsia="宋体" w:cs="宋体"/>
          <w:b/>
          <w:i w:val="0"/>
          <w:iCs w:val="0"/>
          <w:color w:val="auto"/>
          <w:sz w:val="24"/>
          <w:szCs w:val="24"/>
          <w:highlight w:val="none"/>
          <w:u w:val="none"/>
        </w:rPr>
        <w:t xml:space="preserve">投标人有下列情况之一的，投标无效：</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（1）未按照招标文件的规定提交投标保证金的；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（2）投标文件未按招标文件要求编制、签署、盖章的；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（3）不具备招标文件中规定的资格要求的；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（4）报价超过招标文件中规定的预算金额或者最高限价的；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（5）投标文件含有采购人不能接受的附加条件的；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（6）未按招标文件要求提供电子投标文件或者电子投标文件未能解密（指投标人自身原因）且按照招标文件明确的投标文件解密失败后补救方案（仅现场开标适用）补救不成功的；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（7）投标人提交的电子投标文件、投标文件备份U盘（仅现场开标适用）均因其自身原因出现问题导致无法电子评标的；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（8）法律、法规和招标文件规定的其他无效情形。</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26. </w:t>
      </w:r>
      <w:r>
        <w:rPr>
          <w:rFonts w:hint="eastAsia" w:ascii="宋体" w:hAnsi="宋体" w:eastAsia="宋体" w:cs="宋体"/>
          <w:b/>
          <w:i w:val="0"/>
          <w:iCs w:val="0"/>
          <w:color w:val="auto"/>
          <w:sz w:val="24"/>
          <w:szCs w:val="24"/>
          <w:highlight w:val="none"/>
          <w:u w:val="none"/>
        </w:rPr>
        <w:t xml:space="preserve">有下列情形之一的，视为投标人串通投标，其投标无效：</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（1）不同投标人的投标文件由同一单位或者个人编制；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（2）不同投标人委托同一单位或者个人办理投标事宜；</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（3）不同投标人的投标文件载明的项目管理成员或者联系人员为同一人；</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（4）不同投标人的投标文件异常一致或者投标报价呈规律性差异；</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（5）不同投标人的投标文件相互混装；</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（6）不同投标人的投标保证金从同一单位或者个人的账户转出。</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27. </w:t>
      </w:r>
      <w:r>
        <w:rPr>
          <w:rFonts w:hint="eastAsia" w:ascii="宋体" w:hAnsi="宋体" w:eastAsia="宋体" w:cs="宋体"/>
          <w:b/>
          <w:i w:val="0"/>
          <w:iCs w:val="0"/>
          <w:color w:val="auto"/>
          <w:sz w:val="24"/>
          <w:szCs w:val="24"/>
          <w:highlight w:val="none"/>
          <w:u w:val="none"/>
        </w:rPr>
        <w:t xml:space="preserve">在招标采购中，出现下列情形之一的，应予废标：</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（1）符合专业条件的</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或者对招标文件作实质响应的</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不足3家的；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（2）出现影响采购公正的违法、违规行为的；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（3）投标人的报价均超过了采购预算（最高限价），采购人不能支付的；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（4）因重大变故，采购任务取消的。</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28. 评标原则、评标办法</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28.1 评标原则</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评标委员会应当公平、公正、客观，不带任何倾向性和启发性；不得向外界透露任何与评标有关的内容；任何单位和个人不得干扰、影响评标的正常进行；评标委员会及有关工作人员不得私下与</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接触。</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28.2 评标办法</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详见第七章“评标办法”。</w:t>
      </w:r>
      <w:r>
        <w:rPr>
          <w:color w:val="auto"/>
          <w:highlight w:val="none"/>
        </w:rPr>
      </w:r>
      <w:r/>
    </w:p>
    <w:p>
      <w:pPr>
        <w:ind w:firstLine="482"/>
        <w:spacing w:line="360" w:lineRule="auto"/>
        <w:rPr>
          <w:rFonts w:hint="eastAsia" w:ascii="宋体" w:hAnsi="宋体" w:eastAsia="宋体" w:cs="Times New Roman"/>
          <w:b/>
          <w:bCs/>
          <w:color w:val="auto"/>
          <w:sz w:val="24"/>
          <w:szCs w:val="21"/>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 </w:t>
      </w:r>
      <w:r>
        <w:rPr>
          <w:rFonts w:hint="eastAsia" w:ascii="宋体" w:hAnsi="宋体" w:eastAsia="宋体" w:cs="Times New Roman"/>
          <w:b/>
          <w:bCs/>
          <w:color w:val="auto"/>
          <w:sz w:val="24"/>
          <w:szCs w:val="21"/>
          <w:highlight w:val="none"/>
        </w:rPr>
        <w:t xml:space="preserve">政府采购异常低价审查：</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投标（响应）报价平均值50%的，即投标（响应）报价&lt;全部通过符合性审查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投标（响应）报价平均值×50%；</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投标（响应）报价50%的，即投标（响应）报价&lt;通过符合性审查的次低报价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投标（响应）报价×50%；</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报价过低，有可能影响产品质量或者不能诚信履约的其他情形。</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（2）评审委员会启动异常低价投标（响应）审查后，属于前述第1项至第4项情形的，应当要求相关</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的合理时间一般不少于30分钟。其中，属于第3项情形，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已随投标（响应）文件一并提交相关书面说明及必要的证明材料的，在评审现场可不再重复提交。</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不能提供书面说明、证明材料，或者提供的书面说明、证明材料不能证明其报价合理性的，评审委员会应当将其作为无效投标（响应）处理。</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color w:val="auto"/>
          <w:sz w:val="24"/>
          <w:szCs w:val="24"/>
          <w:highlight w:val="none"/>
        </w:rPr>
        <w:t xml:space="preserve">评审委员会将书面方式要求其在合理的时间内提供书面说明、证明材料。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可在投标（响应）文件中提供项目具体成本测算等与报价合理性相关的书面说明及相关证明材料，对投标（响应）价格作出解释，便于评审。</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六、中标结果</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 中标人的确定</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.1 评标委员会按照评审得分由高到低顺序推荐3名中标候选人。</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.2 根据采购人的授权，由评标委员会直接确定排名第一的中标候选人为中标人。</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 中标通知书</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 中标人确定后，中标结果由代理机构公告，中标公告期限为1个工作日。</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 在公告中标结果的同时，由代理机构向中标人发出中标通知书，</w:t>
      </w:r>
      <w:r>
        <w:rPr>
          <w:rFonts w:hint="eastAsia" w:ascii="宋体" w:hAnsi="宋体" w:eastAsia="宋体" w:cs="宋体"/>
          <w:b/>
          <w:i w:val="0"/>
          <w:iCs w:val="0"/>
          <w:color w:val="auto"/>
          <w:sz w:val="24"/>
          <w:szCs w:val="24"/>
          <w:highlight w:val="none"/>
          <w:u w:val="none"/>
        </w:rPr>
        <w:t xml:space="preserve">中标</w:t>
      </w:r>
      <w:r>
        <w:rPr>
          <w:rFonts w:hint="eastAsia" w:ascii="宋体" w:hAnsi="宋体" w:eastAsia="宋体" w:cs="宋体"/>
          <w:b/>
          <w:i w:val="0"/>
          <w:iCs w:val="0"/>
          <w:color w:val="auto"/>
          <w:sz w:val="24"/>
          <w:szCs w:val="24"/>
          <w:highlight w:val="none"/>
          <w:u w:val="none"/>
          <w:lang w:val="en-US" w:eastAsia="zh-CN"/>
        </w:rPr>
        <w:t xml:space="preserve">人</w:t>
      </w:r>
      <w:r>
        <w:rPr>
          <w:rFonts w:hint="eastAsia" w:ascii="宋体" w:hAnsi="宋体" w:eastAsia="宋体" w:cs="宋体"/>
          <w:b/>
          <w:i w:val="0"/>
          <w:iCs w:val="0"/>
          <w:color w:val="auto"/>
          <w:sz w:val="24"/>
          <w:szCs w:val="24"/>
          <w:highlight w:val="none"/>
          <w:u w:val="none"/>
        </w:rPr>
        <w:t xml:space="preserve">在领取中标通知书时，需提供</w:t>
      </w:r>
      <w:r>
        <w:rPr>
          <w:rFonts w:hint="eastAsia" w:ascii="宋体" w:hAnsi="宋体" w:eastAsia="宋体" w:cs="宋体"/>
          <w:b/>
          <w:i w:val="0"/>
          <w:iCs w:val="0"/>
          <w:color w:val="auto"/>
          <w:sz w:val="24"/>
          <w:szCs w:val="24"/>
          <w:highlight w:val="none"/>
          <w:u w:val="none"/>
          <w:lang w:val="en-US" w:eastAsia="zh-CN"/>
        </w:rPr>
        <w:t xml:space="preserve">一正二副</w:t>
      </w:r>
      <w:r>
        <w:rPr>
          <w:rFonts w:hint="eastAsia" w:ascii="宋体" w:hAnsi="宋体" w:eastAsia="宋体" w:cs="宋体"/>
          <w:b/>
          <w:i w:val="0"/>
          <w:iCs w:val="0"/>
          <w:color w:val="auto"/>
          <w:sz w:val="24"/>
          <w:szCs w:val="24"/>
          <w:highlight w:val="none"/>
          <w:u w:val="none"/>
        </w:rPr>
        <w:t xml:space="preserve">与电子投标文件一致的纸质打印投标文件</w:t>
      </w:r>
      <w:r>
        <w:rPr>
          <w:rFonts w:hint="eastAsia" w:ascii="宋体" w:hAnsi="宋体" w:eastAsia="宋体" w:cs="宋体"/>
          <w:i w:val="0"/>
          <w:iCs w:val="0"/>
          <w:color w:val="auto"/>
          <w:sz w:val="24"/>
          <w:szCs w:val="24"/>
          <w:highlight w:val="none"/>
          <w:u w:val="none"/>
        </w:rPr>
        <w:t xml:space="preserve">；对未通过资格审查的投标人，应当告知其未通过的原因；采用综合评分法评审的，还应当告知未中标人本人的评审得分与排序。</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 采购</w:t>
      </w:r>
      <w:r>
        <w:rPr>
          <w:rFonts w:hint="eastAsia" w:ascii="宋体" w:hAnsi="宋体" w:eastAsia="宋体" w:cs="宋体"/>
          <w:i w:val="0"/>
          <w:iCs w:val="0"/>
          <w:color w:val="auto"/>
          <w:sz w:val="24"/>
          <w:szCs w:val="24"/>
          <w:highlight w:val="none"/>
          <w:u w:val="none"/>
        </w:rPr>
        <w:t xml:space="preserve">代理机构无义务向未中标投标人解释落标原因和退回投标文件。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 签订合同</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 中标人收到中标通知书后，应当按招标文件、投标文件及有关澄清承诺书的要求与采购人在三十日内签订合同，并送交招标代理机构见证，否则，财政部门将延期支付合同款，直至停止采购资金计划执行。采购人在采购合同签订之日起七个工作日内送一份至政府采购监督管理部门备案。</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 中标人因不可抗力或者自身原因不能履行政府采购合同的，按政府采购有关法律法规执行。</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 履约保证金</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b/>
          <w:i w:val="0"/>
          <w:iCs w:val="0"/>
          <w:color w:val="auto"/>
          <w:sz w:val="24"/>
          <w:highlight w:val="none"/>
          <w:u w:val="none"/>
        </w:rPr>
        <w:t xml:space="preserve">本项目不收取履约保证金</w:t>
      </w:r>
      <w:r>
        <w:rPr>
          <w:rFonts w:hint="eastAsia" w:ascii="宋体" w:hAnsi="宋体" w:eastAsia="宋体" w:cs="宋体"/>
          <w:i w:val="0"/>
          <w:iCs w:val="0"/>
          <w:color w:val="auto"/>
          <w:sz w:val="24"/>
          <w:szCs w:val="24"/>
          <w:highlight w:val="none"/>
          <w:u w:val="none"/>
        </w:rPr>
        <w:t xml:space="preserve">。 </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七、其他事项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 采购代理服务费</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.1 代理费</w:t>
      </w:r>
      <w:r>
        <w:rPr>
          <w:rFonts w:hint="eastAsia" w:ascii="宋体" w:hAnsi="宋体" w:eastAsia="宋体" w:cs="宋体"/>
          <w:i w:val="0"/>
          <w:iCs w:val="0"/>
          <w:color w:val="auto"/>
          <w:sz w:val="24"/>
          <w:szCs w:val="24"/>
          <w:highlight w:val="none"/>
          <w:u w:val="none"/>
          <w:lang w:val="en-US" w:eastAsia="zh-CN"/>
        </w:rPr>
        <w:t xml:space="preserve">按</w:t>
      </w:r>
      <w:r>
        <w:rPr>
          <w:rFonts w:hint="eastAsia" w:ascii="宋体" w:hAnsi="宋体" w:eastAsia="宋体" w:cs="宋体"/>
          <w:i w:val="0"/>
          <w:iCs w:val="0"/>
          <w:color w:val="auto"/>
          <w:sz w:val="24"/>
          <w:szCs w:val="24"/>
          <w:highlight w:val="none"/>
          <w:u w:val="none"/>
          <w:lang w:eastAsia="zh-CN"/>
        </w:rPr>
        <w:t xml:space="preserve">苏招协【2022】002号文</w:t>
      </w:r>
      <w:r>
        <w:rPr>
          <w:rFonts w:hint="eastAsia" w:ascii="宋体" w:hAnsi="宋体" w:eastAsia="宋体" w:cs="宋体"/>
          <w:i w:val="0"/>
          <w:iCs w:val="0"/>
          <w:color w:val="auto"/>
          <w:sz w:val="24"/>
          <w:szCs w:val="24"/>
          <w:highlight w:val="none"/>
          <w:u w:val="none"/>
          <w:lang w:val="en-US" w:eastAsia="zh-CN"/>
        </w:rPr>
        <w:t xml:space="preserve">服务类收费标准40</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计取</w:t>
      </w:r>
      <w:r>
        <w:rPr>
          <w:rFonts w:hint="eastAsia" w:ascii="宋体" w:hAnsi="宋体" w:eastAsia="宋体" w:cs="宋体"/>
          <w:i w:val="0"/>
          <w:iCs w:val="0"/>
          <w:color w:val="auto"/>
          <w:sz w:val="24"/>
          <w:szCs w:val="24"/>
          <w:highlight w:val="none"/>
          <w:u w:val="none"/>
        </w:rPr>
        <w:t xml:space="preserve">，由</w:t>
      </w:r>
      <w:r>
        <w:rPr>
          <w:rFonts w:hint="eastAsia" w:ascii="宋体" w:hAnsi="宋体" w:eastAsia="宋体" w:cs="宋体"/>
          <w:i w:val="0"/>
          <w:iCs w:val="0"/>
          <w:color w:val="auto"/>
          <w:sz w:val="24"/>
          <w:szCs w:val="24"/>
          <w:highlight w:val="none"/>
          <w:u w:val="none"/>
          <w:lang w:val="en-US" w:eastAsia="zh-CN"/>
        </w:rPr>
        <w:t xml:space="preserve">中标人支付</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 解释权</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.1 本招标文件根据《中华人民共和国政府采购法》《中华人民共和国政府采购法实施条例》《政府采购货物和服务招标投标管理办法》及相关法律法规编制，解释权归招标代理机构。</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 有关事宜</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.1 所有与本招标文件有关的函电和通讯地址见第一章“投标邀请”。</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t xml:space="preserve">八、政策功能</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7</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 促进中小企业发展</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37</w:t>
      </w: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lang w:val="en-US" w:eastAsia="zh-CN"/>
        </w:rPr>
        <w:t xml:space="preserve">37.2 本项目执行价格评审优惠措施。根据《政府采购促进中小企业发展管理办法》（财库〔2020〕46号）规定，对小型和微型企业（含视同小微企业的残疾人福利性单位、监狱企业）的报价给予10%的价格扣除，用扣除后的价格参加评审。适用条件如下：</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lang w:val="en-US" w:eastAsia="zh-CN"/>
        </w:rPr>
        <w:t xml:space="preserve">（1）投标人须为符合本项目采购标的对应行业（软件和信息技术服务业）政策划分标准的小型、微型企业，且服务全部由符合政策要求的中小微企业承接；</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lang w:val="en-US" w:eastAsia="zh-CN"/>
        </w:rPr>
        <w:t xml:space="preserve">（2）残疾人福利性单位、监狱企业视同小型、微型企业，享受价格扣除优惠；</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lang w:val="en-US" w:eastAsia="zh-CN"/>
        </w:rPr>
        <w:t xml:space="preserve">（3）大中型企业与小微企业组成联合体或者大中型企业向小微企业分包的，不适用价格扣除优惠；</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lang w:val="en-US" w:eastAsia="zh-CN"/>
        </w:rPr>
        <w:t xml:space="preserve">（4）投标人须按招标文件要求提供《中小企业声明函》或相关证明材料，否则不享受价格扣除优惠。</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37.3 本项目预留部分采购项目预算专门面向小微企业采购，且要求获得采购合同的供应商将采购项目中的一定比例分包给一家或者多家中小企业的，投标文件中须提供《中小企业声明函》或《残疾人福利性单位声明函》或由省级以上监狱管理局、戒毒管理局（含新疆生产建设兵团）出具的属于监狱企业的证明文件，同时还须提供《分包意向协议》。</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小型企业、微型企业的，提供《中小企业声明函》（第四章 投标文件格式）；符合《关于促进残疾人就业政府采购政策的通知》（财库〔2017〕141号）规定的条件并提供《残疾人福利性单位声明函》（第四章 投标文件格式）的残疾人福利性单位视同小型、微型企业；符合《关于政府采购支持监狱企业发展有关问题的通知》（财库〔2014〕68 号）规定的监狱企业并提供由省级以上监狱管理局、戒毒管理局（含新疆生产建设兵团）出具的属于监狱企业证明文件的，视同小型、微型企业。</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37.4 享受扶持政策获得政府采购合同的，小微型企业不得将合同分包给大中型企业，中型企业不得将合同分包给大型企业。</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38. 支持绿色发展</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38.1 本项目执行《关于印发环境标志产品政府采购品目清</w:t>
      </w:r>
      <w:r>
        <w:rPr>
          <w:rFonts w:hint="eastAsia" w:ascii="宋体" w:hAnsi="宋体" w:eastAsia="宋体" w:cs="宋体"/>
          <w:i w:val="0"/>
          <w:iCs w:val="0"/>
          <w:color w:val="auto"/>
          <w:sz w:val="24"/>
          <w:szCs w:val="24"/>
          <w:highlight w:val="none"/>
          <w:u w:val="none"/>
        </w:rPr>
        <w:t xml:space="preserve">单的通知》（财库〔2019〕18号）、《关于印发节能产品政府采购品目清单的通知》（财库〔2019〕19号）等有关规定，采购人拟采购的产品属于品目清单范围的，采购人将依据国家确定的认证机构出具的、处于有效期之内的节能产品、环境标志产品认证证书，对获得证书的产品实施政府优先采购或强制采购。投标人须按招标文件要求提供相关产品认证证书。</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8</w:t>
      </w:r>
      <w:r>
        <w:rPr>
          <w:rFonts w:hint="eastAsia" w:ascii="宋体" w:hAnsi="宋体" w:eastAsia="宋体" w:cs="宋体"/>
          <w:i w:val="0"/>
          <w:iCs w:val="0"/>
          <w:color w:val="auto"/>
          <w:sz w:val="24"/>
          <w:szCs w:val="24"/>
          <w:highlight w:val="none"/>
          <w:u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38.3 </w:t>
      </w:r>
      <w:r>
        <w:rPr>
          <w:rFonts w:hint="eastAsia" w:ascii="宋体" w:hAnsi="宋体" w:eastAsia="宋体" w:cs="宋体"/>
          <w:i w:val="0"/>
          <w:iCs w:val="0"/>
          <w:color w:val="auto"/>
          <w:sz w:val="24"/>
          <w:szCs w:val="24"/>
          <w:highlight w:val="none"/>
          <w:u w:val="none"/>
        </w:rPr>
        <w:t xml:space="preserve">政府采购项目执行《财政部 生态环境部 工业和信息化部关于印发&lt;绿色数据中心政府采购需求标准（试行）&gt;的通知》（财库〔2023〕7号）相关要求。</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38.4 </w:t>
      </w:r>
      <w:r>
        <w:rPr>
          <w:rFonts w:hint="eastAsia" w:ascii="宋体" w:hAnsi="宋体" w:eastAsia="宋体" w:cs="宋体"/>
          <w:i w:val="0"/>
          <w:iCs w:val="0"/>
          <w:color w:val="auto"/>
          <w:sz w:val="24"/>
          <w:szCs w:val="24"/>
          <w:highlight w:val="none"/>
          <w:u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i w:val="0"/>
          <w:iCs w:val="0"/>
          <w:color w:val="auto"/>
          <w:sz w:val="24"/>
          <w:szCs w:val="24"/>
          <w:highlight w:val="none"/>
          <w:u w:val="none"/>
          <w:lang w:eastAsia="zh-CN"/>
        </w:rPr>
        <w:t xml:space="preserve">投标人</w:t>
      </w:r>
      <w:r>
        <w:rPr>
          <w:rFonts w:hint="eastAsia" w:ascii="宋体" w:hAnsi="宋体" w:eastAsia="宋体" w:cs="宋体"/>
          <w:i w:val="0"/>
          <w:iCs w:val="0"/>
          <w:color w:val="auto"/>
          <w:sz w:val="24"/>
          <w:szCs w:val="24"/>
          <w:highlight w:val="none"/>
          <w:u w:val="none"/>
        </w:rPr>
        <w:t xml:space="preserve">须执行国家和我省VOCs含量限制标准；</w:t>
      </w:r>
      <w:r>
        <w:rPr>
          <w:rFonts w:hint="eastAsia" w:ascii="宋体" w:hAnsi="宋体" w:eastAsia="宋体" w:cs="宋体"/>
          <w:i w:val="0"/>
          <w:iCs w:val="0"/>
          <w:color w:val="auto"/>
          <w:sz w:val="24"/>
          <w:szCs w:val="24"/>
          <w:highlight w:val="none"/>
          <w:u w:val="none"/>
          <w:lang w:eastAsia="zh-CN"/>
        </w:rPr>
        <w:t xml:space="preserve">投标人</w:t>
      </w:r>
      <w:r>
        <w:rPr>
          <w:rFonts w:hint="eastAsia" w:ascii="宋体" w:hAnsi="宋体" w:eastAsia="宋体" w:cs="宋体"/>
          <w:i w:val="0"/>
          <w:iCs w:val="0"/>
          <w:color w:val="auto"/>
          <w:sz w:val="24"/>
          <w:szCs w:val="24"/>
          <w:highlight w:val="none"/>
          <w:u w:val="none"/>
        </w:rPr>
        <w:t xml:space="preserve">优先使用低挥发性原辅材料，将使用低VOCs含量的涂料、胶黏剂等纳入政府采购合同条款。</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39. </w:t>
      </w:r>
      <w:r>
        <w:rPr>
          <w:rFonts w:hint="eastAsia" w:ascii="宋体" w:hAnsi="宋体" w:eastAsia="宋体" w:cs="宋体"/>
          <w:i w:val="0"/>
          <w:iCs w:val="0"/>
          <w:color w:val="auto"/>
          <w:sz w:val="24"/>
          <w:szCs w:val="24"/>
          <w:highlight w:val="none"/>
          <w:u w:val="none"/>
        </w:rPr>
        <w:t xml:space="preserve">采购本国产品的支持政策</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根据《国务院办公厅关于在政府采购中实施本国产品标准及相关政策的通知》(国办发(2025)34号)，本项目不涉及货物，不执行本国产品价格评审优惠。</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本项目所采购的数据服务及相关技术支持服务均应符合中华人民共和国法律法规及数据安全相关规定，服务提供方应在中华人民共和国境内具备合法经营资质。</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br w:type="page" w:clear="all"/>
      </w:r>
      <w:bookmarkStart w:id="26" w:name="_Toc14026"/>
      <w:r>
        <w:rPr>
          <w:color w:val="auto"/>
          <w:highlight w:val="none"/>
        </w:rPr>
      </w:r>
      <w:bookmarkStart w:id="27" w:name="_Toc27973"/>
      <w:r>
        <w:rPr>
          <w:color w:val="auto"/>
          <w:highlight w:val="none"/>
        </w:rPr>
      </w:r>
      <w:bookmarkStart w:id="28" w:name="_Toc139966427"/>
      <w:r>
        <w:rPr>
          <w:color w:val="auto"/>
          <w:highlight w:val="none"/>
        </w:rPr>
      </w:r>
      <w:bookmarkStart w:id="29" w:name="_Toc7941"/>
      <w:r>
        <w:rPr>
          <w:color w:val="auto"/>
          <w:highlight w:val="none"/>
        </w:rPr>
      </w:r>
      <w:bookmarkStart w:id="30" w:name="_Toc5120"/>
      <w:r>
        <w:rPr>
          <w:color w:val="auto"/>
          <w:highlight w:val="none"/>
        </w:rPr>
      </w:r>
      <w:bookmarkStart w:id="31" w:name="_Toc16312"/>
      <w:r>
        <w:rPr>
          <w:color w:val="auto"/>
          <w:highlight w:val="none"/>
        </w:rPr>
      </w:r>
      <w:bookmarkStart w:id="32" w:name="_Toc513622228"/>
      <w:r>
        <w:rPr>
          <w:color w:val="auto"/>
          <w:highlight w:val="none"/>
        </w:rPr>
      </w:r>
      <w:bookmarkStart w:id="33" w:name="_Toc13239"/>
      <w:r>
        <w:rPr>
          <w:color w:val="auto"/>
          <w:highlight w:val="none"/>
        </w:rPr>
      </w:r>
      <w:bookmarkStart w:id="34" w:name="_Toc139967211"/>
      <w:r>
        <w:rPr>
          <w:rFonts w:hint="eastAsia" w:ascii="宋体" w:hAnsi="宋体" w:eastAsia="宋体" w:cs="宋体"/>
          <w:b/>
          <w:bCs/>
          <w:i w:val="0"/>
          <w:iCs w:val="0"/>
          <w:color w:val="auto"/>
          <w:sz w:val="44"/>
          <w:szCs w:val="22"/>
          <w:highlight w:val="none"/>
          <w:u w:val="none"/>
        </w:rPr>
        <w:t xml:space="preserve">第三章 政府采购合同格式</w:t>
      </w:r>
      <w:bookmarkEnd w:id="26"/>
      <w:r>
        <w:rPr>
          <w:color w:val="auto"/>
          <w:highlight w:val="none"/>
        </w:rPr>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highlight w:val="none"/>
        </w:rPr>
      </w:r>
      <w:bookmarkEnd w:id="32"/>
      <w:r>
        <w:rPr>
          <w:color w:val="auto"/>
          <w:highlight w:val="none"/>
        </w:rPr>
      </w:r>
      <w:bookmarkEnd w:id="33"/>
      <w:r>
        <w:rPr>
          <w:color w:val="auto"/>
          <w:highlight w:val="none"/>
        </w:rPr>
      </w:r>
      <w:bookmarkEnd w:id="34"/>
      <w:r>
        <w:rPr>
          <w:color w:val="auto"/>
          <w:highlight w:val="none"/>
        </w:rPr>
      </w:r>
      <w:r/>
    </w:p>
    <w:p>
      <w:pPr>
        <w:ind w:left="0" w:right="0" w:firstLine="880"/>
        <w:keepLines w:val="0"/>
        <w:keepNext w:val="0"/>
        <w:pageBreakBefore w:val="0"/>
        <w:spacing w:line="360" w:lineRule="auto"/>
        <w:widowControl w:val="off"/>
        <w:rPr>
          <w:rFonts w:hint="eastAsia" w:ascii="宋体" w:hAnsi="宋体" w:eastAsia="宋体" w:cs="宋体"/>
          <w:i w:val="0"/>
          <w:iCs w:val="0"/>
          <w:color w:val="auto"/>
          <w:sz w:val="44"/>
          <w:szCs w:val="24"/>
          <w:highlight w:val="none"/>
          <w:u w:val="none"/>
        </w:rPr>
        <w:outlineLvl w:val="9"/>
      </w:pPr>
      <w:r>
        <w:rPr>
          <w:rFonts w:hint="eastAsia" w:ascii="宋体" w:hAnsi="宋体" w:eastAsia="宋体" w:cs="宋体"/>
          <w:i w:val="0"/>
          <w:iCs w:val="0"/>
          <w:color w:val="auto"/>
          <w:sz w:val="44"/>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44"/>
          <w:szCs w:val="24"/>
          <w:highlight w:val="none"/>
          <w:u w:val="none"/>
        </w:rPr>
        <w:outlineLvl w:val="9"/>
      </w:pPr>
      <w:r>
        <w:rPr>
          <w:rFonts w:hint="eastAsia" w:ascii="宋体" w:hAnsi="宋体" w:eastAsia="宋体" w:cs="宋体"/>
          <w:i w:val="0"/>
          <w:iCs w:val="0"/>
          <w:color w:val="auto"/>
          <w:sz w:val="44"/>
          <w:szCs w:val="24"/>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bCs/>
          <w:i w:val="0"/>
          <w:iCs w:val="0"/>
          <w:color w:val="auto"/>
          <w:sz w:val="52"/>
          <w:szCs w:val="24"/>
          <w:highlight w:val="none"/>
          <w:u w:val="none"/>
        </w:rPr>
        <w:outlineLvl w:val="9"/>
      </w:pPr>
      <w:r>
        <w:rPr>
          <w:rFonts w:hint="eastAsia" w:ascii="宋体" w:hAnsi="宋体" w:eastAsia="宋体" w:cs="宋体"/>
          <w:b/>
          <w:bCs/>
          <w:i w:val="0"/>
          <w:iCs w:val="0"/>
          <w:color w:val="auto"/>
          <w:sz w:val="52"/>
          <w:szCs w:val="24"/>
          <w:highlight w:val="none"/>
          <w:u w:val="none"/>
        </w:rPr>
        <w:t xml:space="preserve">连 云 港 市 政 府 采 购</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ind w:left="0" w:right="0" w:firstLine="883"/>
        <w:jc w:val="center"/>
        <w:keepLines w:val="0"/>
        <w:keepNext w:val="0"/>
        <w:pageBreakBefore w:val="0"/>
        <w:spacing w:line="360" w:lineRule="auto"/>
        <w:widowControl w:val="off"/>
        <w:rPr>
          <w:rFonts w:hint="eastAsia" w:ascii="宋体" w:hAnsi="宋体" w:eastAsia="宋体" w:cs="宋体"/>
          <w:b/>
          <w:bCs/>
          <w:i w:val="0"/>
          <w:iCs w:val="0"/>
          <w:color w:val="auto"/>
          <w:sz w:val="44"/>
          <w:szCs w:val="24"/>
          <w:highlight w:val="none"/>
          <w:u w:val="none"/>
        </w:rPr>
        <w:outlineLvl w:val="9"/>
      </w:pPr>
      <w:r>
        <w:rPr>
          <w:rFonts w:hint="eastAsia" w:ascii="宋体" w:hAnsi="宋体" w:eastAsia="宋体" w:cs="宋体"/>
          <w:b/>
          <w:bCs/>
          <w:i w:val="0"/>
          <w:iCs w:val="0"/>
          <w:color w:val="auto"/>
          <w:sz w:val="44"/>
          <w:szCs w:val="24"/>
          <w:highlight w:val="none"/>
          <w:u w:val="none"/>
        </w:rPr>
        <w:t xml:space="preserve">                    合同</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ind w:left="0" w:right="0" w:firstLine="3507"/>
        <w:keepLines w:val="0"/>
        <w:keepNext w:val="0"/>
        <w:pageBreakBefore w:val="0"/>
        <w:spacing w:line="360" w:lineRule="auto"/>
        <w:widowControl w:val="off"/>
        <w:rPr>
          <w:rFonts w:hint="eastAsia" w:ascii="宋体" w:hAnsi="宋体" w:eastAsia="宋体" w:cs="宋体"/>
          <w:b/>
          <w:bCs/>
          <w:i w:val="0"/>
          <w:iCs w:val="0"/>
          <w:color w:val="auto"/>
          <w:sz w:val="44"/>
          <w:szCs w:val="24"/>
          <w:highlight w:val="none"/>
          <w:u w:val="none"/>
        </w:rPr>
        <w:outlineLvl w:val="9"/>
      </w:pPr>
      <w:r>
        <w:rPr>
          <w:rFonts w:hint="eastAsia" w:ascii="宋体" w:hAnsi="宋体" w:eastAsia="宋体" w:cs="宋体"/>
          <w:b/>
          <w:bCs/>
          <w:i w:val="0"/>
          <w:iCs w:val="0"/>
          <w:color w:val="auto"/>
          <w:sz w:val="44"/>
          <w:szCs w:val="24"/>
          <w:highlight w:val="none"/>
          <w:u w:val="none"/>
        </w:rPr>
      </w:r>
      <w:r>
        <w:rPr>
          <w:color w:val="auto"/>
          <w:highlight w:val="none"/>
        </w:rPr>
      </w:r>
      <w:r/>
    </w:p>
    <w:p>
      <w:pPr>
        <w:ind w:right="0"/>
        <w:keepLines w:val="0"/>
        <w:keepNext w:val="0"/>
        <w:pageBreakBefore w:val="0"/>
        <w:spacing w:line="360" w:lineRule="auto"/>
        <w:widowControl w:val="off"/>
        <w:rPr>
          <w:rFonts w:hint="eastAsia" w:ascii="宋体" w:hAnsi="宋体" w:eastAsia="宋体" w:cs="宋体"/>
          <w:b/>
          <w:bCs/>
          <w:i w:val="0"/>
          <w:iCs w:val="0"/>
          <w:color w:val="auto"/>
          <w:sz w:val="44"/>
          <w:szCs w:val="24"/>
          <w:highlight w:val="none"/>
          <w:u w:val="none"/>
        </w:rPr>
        <w:outlineLvl w:val="9"/>
      </w:pPr>
      <w:r>
        <w:rPr>
          <w:rFonts w:hint="eastAsia" w:ascii="宋体" w:hAnsi="宋体" w:eastAsia="宋体" w:cs="宋体"/>
          <w:b/>
          <w:bCs/>
          <w:i w:val="0"/>
          <w:iCs w:val="0"/>
          <w:color w:val="auto"/>
          <w:sz w:val="44"/>
          <w:szCs w:val="24"/>
          <w:highlight w:val="none"/>
          <w:u w:val="none"/>
        </w:rPr>
      </w:r>
      <w:r>
        <w:rPr>
          <w:color w:val="auto"/>
          <w:highlight w:val="none"/>
        </w:rPr>
      </w:r>
      <w:r/>
    </w:p>
    <w:p>
      <w:pPr>
        <w:ind w:left="0" w:right="0" w:firstLine="1802"/>
        <w:keepLines w:val="0"/>
        <w:keepNext w:val="0"/>
        <w:pageBreakBefore w:val="0"/>
        <w:spacing w:line="360" w:lineRule="auto"/>
        <w:widowControl w:val="off"/>
        <w:rPr>
          <w:rFonts w:hint="eastAsia" w:ascii="宋体" w:hAnsi="宋体" w:eastAsia="宋体" w:cs="宋体"/>
          <w:b/>
          <w:bCs/>
          <w:i w:val="0"/>
          <w:iCs w:val="0"/>
          <w:color w:val="auto"/>
          <w:sz w:val="44"/>
          <w:szCs w:val="44"/>
          <w:highlight w:val="none"/>
          <w:u w:val="none"/>
        </w:rPr>
        <w:outlineLvl w:val="9"/>
      </w:pPr>
      <w:r>
        <w:rPr>
          <w:rFonts w:hint="eastAsia" w:ascii="宋体" w:hAnsi="宋体" w:eastAsia="宋体" w:cs="宋体"/>
          <w:b/>
          <w:bCs/>
          <w:i w:val="0"/>
          <w:iCs w:val="0"/>
          <w:color w:val="auto"/>
          <w:sz w:val="44"/>
          <w:szCs w:val="44"/>
          <w:highlight w:val="none"/>
          <w:u w:val="none"/>
        </w:rPr>
        <w:t xml:space="preserve">合同编号：</w:t>
      </w:r>
      <w:r>
        <w:rPr>
          <w:color w:val="auto"/>
          <w:highlight w:val="none"/>
        </w:rPr>
      </w:r>
      <w:r/>
    </w:p>
    <w:p>
      <w:pPr>
        <w:ind w:left="0" w:right="0" w:firstLine="880"/>
        <w:keepLines w:val="0"/>
        <w:keepNext w:val="0"/>
        <w:pageBreakBefore w:val="0"/>
        <w:spacing w:line="360" w:lineRule="auto"/>
        <w:widowControl w:val="off"/>
        <w:rPr>
          <w:rFonts w:hint="eastAsia" w:ascii="宋体" w:hAnsi="宋体" w:eastAsia="宋体" w:cs="宋体"/>
          <w:i w:val="0"/>
          <w:iCs w:val="0"/>
          <w:color w:val="auto"/>
          <w:sz w:val="44"/>
          <w:szCs w:val="24"/>
          <w:highlight w:val="none"/>
          <w:u w:val="none"/>
        </w:rPr>
        <w:outlineLvl w:val="9"/>
      </w:pPr>
      <w:r>
        <w:rPr>
          <w:rFonts w:hint="eastAsia" w:ascii="宋体" w:hAnsi="宋体" w:eastAsia="宋体" w:cs="宋体"/>
          <w:i w:val="0"/>
          <w:iCs w:val="0"/>
          <w:color w:val="auto"/>
          <w:sz w:val="44"/>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rPr>
      </w:r>
      <w:r>
        <w:rPr>
          <w:color w:val="auto"/>
          <w:highlight w:val="none"/>
        </w:rPr>
      </w:r>
      <w:r/>
    </w:p>
    <w:p>
      <w:pPr>
        <w:ind w:left="0" w:right="0" w:firstLine="880"/>
        <w:keepLines w:val="0"/>
        <w:keepNext w:val="0"/>
        <w:pageBreakBefore w:val="0"/>
        <w:spacing w:line="360" w:lineRule="auto"/>
        <w:widowControl w:val="off"/>
        <w:rPr>
          <w:rFonts w:hint="eastAsia" w:ascii="宋体" w:hAnsi="宋体" w:eastAsia="宋体" w:cs="宋体"/>
          <w:i w:val="0"/>
          <w:iCs w:val="0"/>
          <w:color w:val="auto"/>
          <w:sz w:val="44"/>
          <w:szCs w:val="24"/>
          <w:highlight w:val="none"/>
          <w:u w:val="none"/>
        </w:rPr>
        <w:outlineLvl w:val="9"/>
      </w:pPr>
      <w:r>
        <w:rPr>
          <w:rFonts w:hint="eastAsia" w:ascii="宋体" w:hAnsi="宋体" w:eastAsia="宋体" w:cs="宋体"/>
          <w:i w:val="0"/>
          <w:iCs w:val="0"/>
          <w:color w:val="auto"/>
          <w:sz w:val="44"/>
          <w:szCs w:val="24"/>
          <w:highlight w:val="none"/>
          <w:u w:val="none"/>
        </w:rPr>
      </w:r>
      <w:r>
        <w:rPr>
          <w:color w:val="auto"/>
          <w:highlight w:val="none"/>
        </w:rPr>
      </w:r>
      <w:r/>
    </w:p>
    <w:p>
      <w:pPr>
        <w:ind w:left="0" w:right="0" w:firstLine="880"/>
        <w:keepLines w:val="0"/>
        <w:keepNext w:val="0"/>
        <w:pageBreakBefore w:val="0"/>
        <w:spacing w:line="360" w:lineRule="auto"/>
        <w:widowControl w:val="off"/>
        <w:rPr>
          <w:rFonts w:hint="eastAsia" w:ascii="宋体" w:hAnsi="宋体" w:eastAsia="宋体" w:cs="宋体"/>
          <w:i w:val="0"/>
          <w:iCs w:val="0"/>
          <w:color w:val="auto"/>
          <w:sz w:val="44"/>
          <w:szCs w:val="24"/>
          <w:highlight w:val="none"/>
          <w:u w:val="none"/>
        </w:rPr>
        <w:outlineLvl w:val="9"/>
      </w:pPr>
      <w:r>
        <w:rPr>
          <w:rFonts w:hint="eastAsia" w:ascii="宋体" w:hAnsi="宋体" w:eastAsia="宋体" w:cs="宋体"/>
          <w:i w:val="0"/>
          <w:iCs w:val="0"/>
          <w:color w:val="auto"/>
          <w:sz w:val="44"/>
          <w:szCs w:val="24"/>
          <w:highlight w:val="none"/>
          <w:u w:val="none"/>
        </w:rPr>
      </w:r>
      <w:r>
        <w:rPr>
          <w:color w:val="auto"/>
          <w:highlight w:val="none"/>
        </w:rPr>
      </w:r>
      <w:r/>
    </w:p>
    <w:p>
      <w:pPr>
        <w:ind w:left="0" w:right="0" w:firstLine="1758"/>
        <w:keepLines w:val="0"/>
        <w:keepNext w:val="0"/>
        <w:pageBreakBefore w:val="0"/>
        <w:spacing w:line="360" w:lineRule="auto"/>
        <w:widowControl w:val="off"/>
        <w:rPr>
          <w:rFonts w:hint="eastAsia" w:ascii="宋体" w:hAnsi="宋体" w:eastAsia="宋体" w:cs="宋体"/>
          <w:b/>
          <w:bCs/>
          <w:i w:val="0"/>
          <w:iCs w:val="0"/>
          <w:color w:val="auto"/>
          <w:sz w:val="44"/>
          <w:szCs w:val="24"/>
          <w:highlight w:val="none"/>
          <w:u w:val="none"/>
        </w:rPr>
        <w:outlineLvl w:val="9"/>
      </w:pPr>
      <w:r>
        <w:rPr>
          <w:rFonts w:hint="eastAsia" w:ascii="宋体" w:hAnsi="宋体" w:eastAsia="宋体" w:cs="宋体"/>
          <w:b/>
          <w:bCs/>
          <w:i w:val="0"/>
          <w:iCs w:val="0"/>
          <w:color w:val="auto"/>
          <w:sz w:val="44"/>
          <w:szCs w:val="24"/>
          <w:highlight w:val="none"/>
          <w:u w:val="none"/>
        </w:rPr>
        <w:t xml:space="preserve">采购人：</w:t>
      </w:r>
      <w:r>
        <w:rPr>
          <w:color w:val="auto"/>
          <w:highlight w:val="none"/>
        </w:rPr>
      </w:r>
      <w:r/>
    </w:p>
    <w:p>
      <w:pPr>
        <w:ind w:left="0" w:right="0" w:firstLine="1758"/>
        <w:keepLines w:val="0"/>
        <w:keepNext w:val="0"/>
        <w:pageBreakBefore w:val="0"/>
        <w:spacing w:line="360" w:lineRule="auto"/>
        <w:widowControl w:val="off"/>
        <w:rPr>
          <w:rFonts w:hint="eastAsia" w:ascii="宋体" w:hAnsi="宋体" w:eastAsia="宋体" w:cs="宋体"/>
          <w:i w:val="0"/>
          <w:iCs w:val="0"/>
          <w:color w:val="auto"/>
          <w:sz w:val="28"/>
          <w:szCs w:val="24"/>
          <w:highlight w:val="none"/>
          <w:u w:val="none"/>
        </w:rPr>
        <w:outlineLvl w:val="9"/>
      </w:pPr>
      <w:r>
        <w:rPr>
          <w:rFonts w:hint="eastAsia" w:ascii="宋体" w:hAnsi="宋体" w:eastAsia="宋体" w:cs="宋体"/>
          <w:b/>
          <w:bCs/>
          <w:i w:val="0"/>
          <w:iCs w:val="0"/>
          <w:color w:val="auto"/>
          <w:sz w:val="44"/>
          <w:szCs w:val="24"/>
          <w:highlight w:val="none"/>
          <w:u w:val="none"/>
        </w:rPr>
        <w:t xml:space="preserve">中标人：</w:t>
      </w:r>
      <w:r>
        <w:rPr>
          <w:color w:val="auto"/>
          <w:highlight w:val="none"/>
        </w:rPr>
      </w:r>
      <w:r/>
    </w:p>
    <w:p>
      <w:pPr>
        <w:pStyle w:val="805"/>
        <w:ind w:left="0" w:right="0"/>
        <w:keepLines w:val="0"/>
        <w:keepNext w:val="0"/>
        <w:pageBreakBefore w:val="0"/>
        <w:spacing w:after="0"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2"/>
          <w:szCs w:val="32"/>
          <w:highlight w:val="none"/>
          <w:u w:val="none"/>
        </w:rPr>
        <w:sectPr>
          <w:footerReference w:type="default" r:id="rId17"/>
          <w:footnotePr/>
          <w:endnotePr/>
          <w:type w:val="nextPage"/>
          <w:pgSz w:w="11906" w:h="16838" w:orient="portrait"/>
          <w:pgMar w:top="1440" w:right="1080" w:bottom="1440" w:left="1080" w:header="720" w:footer="720" w:gutter="0"/>
          <w:cols w:num="1" w:sep="0" w:space="720" w:equalWidth="1"/>
          <w:docGrid w:linePitch="360"/>
        </w:sectPr>
        <w:outlineLvl w:val="9"/>
      </w:pPr>
      <w:r>
        <w:rPr>
          <w:rFonts w:hint="eastAsia" w:ascii="宋体" w:hAnsi="宋体" w:eastAsia="宋体" w:cs="宋体"/>
          <w:b/>
          <w:i w:val="0"/>
          <w:iCs w:val="0"/>
          <w:color w:val="auto"/>
          <w:sz w:val="32"/>
          <w:szCs w:val="32"/>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2"/>
          <w:szCs w:val="32"/>
          <w:highlight w:val="none"/>
          <w:u w:val="none"/>
        </w:rPr>
        <w:outlineLvl w:val="9"/>
      </w:pPr>
      <w:r>
        <w:rPr>
          <w:rFonts w:hint="eastAsia" w:ascii="宋体" w:hAnsi="宋体" w:eastAsia="宋体" w:cs="宋体"/>
          <w:b/>
          <w:i w:val="0"/>
          <w:iCs w:val="0"/>
          <w:color w:val="auto"/>
          <w:sz w:val="32"/>
          <w:szCs w:val="32"/>
          <w:highlight w:val="none"/>
          <w:u w:val="none"/>
        </w:rPr>
        <w:t xml:space="preserve">连云港市政府采购合同</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甲方：</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乙方：</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甲、乙双方根据</w:t>
      </w:r>
      <w:r>
        <w:rPr>
          <w:rFonts w:hint="eastAsia" w:ascii="宋体" w:hAnsi="宋体" w:eastAsia="宋体" w:cs="宋体"/>
          <w:i w:val="0"/>
          <w:iCs w:val="0"/>
          <w:color w:val="auto"/>
          <w:sz w:val="24"/>
          <w:szCs w:val="20"/>
          <w:highlight w:val="none"/>
          <w:u w:val="single"/>
        </w:rPr>
        <w:t xml:space="preserve">      </w:t>
      </w:r>
      <w:r>
        <w:rPr>
          <w:rFonts w:hint="eastAsia" w:ascii="宋体" w:hAnsi="宋体" w:eastAsia="宋体" w:cs="宋体"/>
          <w:i w:val="0"/>
          <w:iCs w:val="0"/>
          <w:color w:val="auto"/>
          <w:sz w:val="24"/>
          <w:szCs w:val="20"/>
          <w:highlight w:val="none"/>
          <w:u w:val="none"/>
        </w:rPr>
        <w:t xml:space="preserve">年</w:t>
      </w:r>
      <w:r>
        <w:rPr>
          <w:rFonts w:hint="eastAsia" w:ascii="宋体" w:hAnsi="宋体" w:eastAsia="宋体" w:cs="宋体"/>
          <w:i w:val="0"/>
          <w:iCs w:val="0"/>
          <w:color w:val="auto"/>
          <w:sz w:val="24"/>
          <w:szCs w:val="20"/>
          <w:highlight w:val="none"/>
          <w:u w:val="single"/>
        </w:rPr>
        <w:t xml:space="preserve">   </w:t>
      </w:r>
      <w:r>
        <w:rPr>
          <w:rFonts w:hint="eastAsia" w:ascii="宋体" w:hAnsi="宋体" w:eastAsia="宋体" w:cs="宋体"/>
          <w:i w:val="0"/>
          <w:iCs w:val="0"/>
          <w:color w:val="auto"/>
          <w:sz w:val="24"/>
          <w:szCs w:val="20"/>
          <w:highlight w:val="none"/>
          <w:u w:val="none"/>
        </w:rPr>
        <w:t xml:space="preserve">月</w:t>
      </w:r>
      <w:r>
        <w:rPr>
          <w:rFonts w:hint="eastAsia" w:ascii="宋体" w:hAnsi="宋体" w:eastAsia="宋体" w:cs="宋体"/>
          <w:i w:val="0"/>
          <w:iCs w:val="0"/>
          <w:color w:val="auto"/>
          <w:sz w:val="24"/>
          <w:szCs w:val="20"/>
          <w:highlight w:val="none"/>
          <w:u w:val="single"/>
        </w:rPr>
        <w:t xml:space="preserve">   </w:t>
      </w:r>
      <w:r>
        <w:rPr>
          <w:rFonts w:hint="eastAsia" w:ascii="宋体" w:hAnsi="宋体" w:eastAsia="宋体" w:cs="宋体"/>
          <w:i w:val="0"/>
          <w:iCs w:val="0"/>
          <w:color w:val="auto"/>
          <w:sz w:val="24"/>
          <w:szCs w:val="20"/>
          <w:highlight w:val="none"/>
          <w:u w:val="none"/>
        </w:rPr>
        <w:t xml:space="preserve">日</w:t>
      </w:r>
      <w:r>
        <w:rPr>
          <w:rFonts w:hint="eastAsia" w:ascii="宋体" w:hAnsi="宋体" w:eastAsia="宋体" w:cs="宋体"/>
          <w:i w:val="0"/>
          <w:iCs w:val="0"/>
          <w:color w:val="auto"/>
          <w:sz w:val="24"/>
          <w:szCs w:val="24"/>
          <w:highlight w:val="none"/>
          <w:u w:val="single"/>
        </w:rPr>
        <w:t xml:space="preserve">【标段名称】</w:t>
      </w:r>
      <w:r>
        <w:rPr>
          <w:rFonts w:hint="eastAsia" w:ascii="宋体" w:hAnsi="宋体" w:eastAsia="宋体" w:cs="宋体"/>
          <w:i w:val="0"/>
          <w:iCs w:val="0"/>
          <w:color w:val="auto"/>
          <w:sz w:val="24"/>
          <w:szCs w:val="24"/>
          <w:highlight w:val="none"/>
          <w:u w:val="none"/>
        </w:rPr>
        <w:t xml:space="preserve">项目（标段编号：</w:t>
      </w:r>
      <w:r>
        <w:rPr>
          <w:rFonts w:hint="eastAsia" w:ascii="宋体" w:hAnsi="宋体" w:eastAsia="宋体" w:cs="宋体"/>
          <w:i w:val="0"/>
          <w:iCs w:val="0"/>
          <w:color w:val="auto"/>
          <w:sz w:val="24"/>
          <w:szCs w:val="24"/>
          <w:highlight w:val="none"/>
          <w:u w:val="single"/>
        </w:rPr>
        <w:t xml:space="preserve">【标段编号】</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公开招标</w:t>
      </w:r>
      <w:r>
        <w:rPr>
          <w:rFonts w:hint="eastAsia" w:ascii="宋体" w:hAnsi="宋体" w:eastAsia="宋体" w:cs="宋体"/>
          <w:i w:val="0"/>
          <w:iCs w:val="0"/>
          <w:color w:val="auto"/>
          <w:sz w:val="24"/>
          <w:szCs w:val="24"/>
          <w:highlight w:val="none"/>
          <w:u w:val="none"/>
        </w:rPr>
        <w:t xml:space="preserve">采购的结果，签订本合同。</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一、采购标的</w:t>
      </w:r>
      <w:r>
        <w:rPr>
          <w:color w:val="auto"/>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1.1 服务内容：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color w:val="auto"/>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1.2 服务期限：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color w:val="auto"/>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1.3 补充条款：</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二、合同金额</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2.1 本合同金额为人民币（大写）：_________________元整（¥__________）。</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2.2 本合同价款包含所有乙方提供合同约定产品和服务的报酬及乙方提供合同中产品和服务所支出的必要费用，甲方在上述合同价款之外不再向乙方支付其他任何费用。</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三、技术资料</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3.1 乙方应按招标文件规定的时间向甲方提供有关技术资料。</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四、知识产权</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4.1 乙方应保证甲方在使用、接受本合同中产品和服务或其任何一部分时不受第三方提出侵犯其专利权、版权、商标权和工业设计权等知识产权的起诉。一旦出现侵权，由乙方负全部责任。</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五、产权担保</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5.1 乙方保证所交付标的的所有权完全属于乙方且无任何抵押、查封等产权瑕疵。</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六、履约保证金</w:t>
      </w:r>
      <w:r>
        <w:rPr>
          <w:rStyle w:val="841"/>
          <w:rFonts w:hint="eastAsia" w:ascii="宋体" w:hAnsi="宋体" w:eastAsia="宋体" w:cs="宋体"/>
          <w:i w:val="0"/>
          <w:iCs w:val="0"/>
          <w:color w:val="auto"/>
          <w:highlight w:val="none"/>
          <w:u w:val="none"/>
          <w:lang w:eastAsia="zh-CN"/>
        </w:rPr>
        <w:t xml:space="preserve">：</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6.1本项目不收取履约保证金。</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七、转包或分包</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7.1 本合同范围内产品或服务，</w:t>
      </w:r>
      <w:r>
        <w:rPr>
          <w:rFonts w:hint="eastAsia" w:ascii="宋体" w:hAnsi="宋体" w:eastAsia="宋体" w:cs="宋体"/>
          <w:i w:val="0"/>
          <w:iCs w:val="0"/>
          <w:color w:val="auto"/>
          <w:sz w:val="24"/>
          <w:highlight w:val="none"/>
          <w:u w:val="none"/>
        </w:rPr>
        <w:t xml:space="preserve">应由乙方直接供应，不得转让他人供应或部分分包给他人供应。</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7.2 如有转让和未经甲方同意的分包行为，甲方有权终止合同。 </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八、服务时间</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8.1 服务</w:t>
      </w:r>
      <w:r>
        <w:rPr>
          <w:rFonts w:hint="eastAsia" w:ascii="宋体" w:hAnsi="宋体" w:eastAsia="宋体" w:cs="宋体"/>
          <w:i w:val="0"/>
          <w:iCs w:val="0"/>
          <w:color w:val="auto"/>
          <w:sz w:val="24"/>
          <w:szCs w:val="24"/>
          <w:highlight w:val="none"/>
          <w:u w:val="none"/>
          <w:lang w:val="en-US" w:eastAsia="zh-CN"/>
        </w:rPr>
        <w:t xml:space="preserve">期</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九、交付期、交付方式及交付地点</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Cs/>
          <w:i w:val="0"/>
          <w:iCs w:val="0"/>
          <w:color w:val="auto"/>
          <w:sz w:val="24"/>
          <w:szCs w:val="24"/>
          <w:highlight w:val="none"/>
          <w:u w:val="none"/>
        </w:rPr>
        <w:t xml:space="preserve">9.1 交 付 期：</w:t>
      </w:r>
      <w:r>
        <w:rPr>
          <w:rFonts w:hint="eastAsia" w:ascii="宋体" w:hAnsi="宋体" w:eastAsia="宋体" w:cs="宋体"/>
          <w:i w:val="0"/>
          <w:iCs w:val="0"/>
          <w:color w:val="auto"/>
          <w:sz w:val="24"/>
          <w:szCs w:val="24"/>
          <w:highlight w:val="none"/>
          <w:u w:val="none"/>
        </w:rPr>
        <w:t xml:space="preserve">_________。   </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u w:val="none"/>
        </w:rPr>
        <w:outlineLvl w:val="9"/>
      </w:pPr>
      <w:r>
        <w:rPr>
          <w:rFonts w:hint="eastAsia" w:ascii="宋体" w:hAnsi="宋体" w:eastAsia="宋体" w:cs="宋体"/>
          <w:bCs/>
          <w:i w:val="0"/>
          <w:iCs w:val="0"/>
          <w:color w:val="auto"/>
          <w:sz w:val="24"/>
          <w:szCs w:val="24"/>
          <w:highlight w:val="none"/>
          <w:u w:val="none"/>
        </w:rPr>
        <w:t xml:space="preserve">9.2 交付方式：</w:t>
      </w:r>
      <w:r>
        <w:rPr>
          <w:rFonts w:hint="eastAsia" w:ascii="宋体" w:hAnsi="宋体" w:eastAsia="宋体" w:cs="宋体"/>
          <w:i w:val="0"/>
          <w:iCs w:val="0"/>
          <w:color w:val="auto"/>
          <w:sz w:val="24"/>
          <w:szCs w:val="24"/>
          <w:highlight w:val="none"/>
          <w:u w:val="none"/>
        </w:rPr>
        <w:t xml:space="preserve">_________。</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Cs/>
          <w:i w:val="0"/>
          <w:iCs w:val="0"/>
          <w:color w:val="auto"/>
          <w:sz w:val="24"/>
          <w:szCs w:val="24"/>
          <w:highlight w:val="none"/>
          <w:u w:val="none"/>
        </w:rPr>
        <w:t xml:space="preserve">9.3 交付地点：</w:t>
      </w:r>
      <w:r>
        <w:rPr>
          <w:rFonts w:hint="eastAsia" w:ascii="宋体" w:hAnsi="宋体" w:eastAsia="宋体" w:cs="宋体"/>
          <w:i w:val="0"/>
          <w:iCs w:val="0"/>
          <w:color w:val="auto"/>
          <w:sz w:val="24"/>
          <w:szCs w:val="24"/>
          <w:highlight w:val="none"/>
          <w:u w:val="none"/>
        </w:rPr>
        <w:t xml:space="preserve">_________。</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十、合同款支付</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Cs/>
          <w:i w:val="0"/>
          <w:iCs w:val="0"/>
          <w:color w:val="auto"/>
          <w:sz w:val="24"/>
          <w:szCs w:val="24"/>
          <w:highlight w:val="none"/>
          <w:u w:val="none"/>
        </w:rPr>
        <w:t xml:space="preserve">10.1 付款方式：合同签订且乙方完成全部服务账号开通、环境配置及上线调试工作后支付合同金额的20%；整体服务开通使用稳定试运行10个日历日并完成初验后支付至合同金额的85%；服务期满并完成项目终验及审计后，支付至审定金额的100%。</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十一、税费</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11.1 本合同执行中相关的一切税费均由乙方负担。</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十二、质量保证及售后服务</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12.1 乙方应按</w:t>
      </w:r>
      <w:r>
        <w:rPr>
          <w:rFonts w:hint="eastAsia" w:ascii="宋体" w:hAnsi="宋体" w:eastAsia="宋体" w:cs="宋体"/>
          <w:i w:val="0"/>
          <w:iCs w:val="0"/>
          <w:color w:val="auto"/>
          <w:sz w:val="24"/>
          <w:szCs w:val="24"/>
          <w:highlight w:val="none"/>
          <w:u w:val="none"/>
          <w:lang w:val="en-US" w:eastAsia="zh-CN"/>
        </w:rPr>
        <w:t xml:space="preserve">招标</w:t>
      </w:r>
      <w:r>
        <w:rPr>
          <w:rFonts w:hint="eastAsia" w:ascii="宋体" w:hAnsi="宋体" w:eastAsia="宋体" w:cs="宋体"/>
          <w:i w:val="0"/>
          <w:iCs w:val="0"/>
          <w:color w:val="auto"/>
          <w:sz w:val="24"/>
          <w:szCs w:val="24"/>
          <w:highlight w:val="none"/>
          <w:u w:val="none"/>
        </w:rPr>
        <w:t xml:space="preserve">文件规定和</w:t>
      </w:r>
      <w:r>
        <w:rPr>
          <w:rFonts w:hint="eastAsia" w:ascii="宋体" w:hAnsi="宋体" w:eastAsia="宋体" w:cs="宋体"/>
          <w:i w:val="0"/>
          <w:iCs w:val="0"/>
          <w:color w:val="auto"/>
          <w:sz w:val="24"/>
          <w:szCs w:val="24"/>
          <w:highlight w:val="none"/>
          <w:u w:val="none"/>
          <w:lang w:eastAsia="zh-CN"/>
        </w:rPr>
        <w:t xml:space="preserve">投标文件</w:t>
      </w:r>
      <w:r>
        <w:rPr>
          <w:rFonts w:hint="eastAsia" w:ascii="宋体" w:hAnsi="宋体" w:eastAsia="宋体" w:cs="宋体"/>
          <w:i w:val="0"/>
          <w:iCs w:val="0"/>
          <w:color w:val="auto"/>
          <w:sz w:val="24"/>
          <w:szCs w:val="24"/>
          <w:highlight w:val="none"/>
          <w:u w:val="none"/>
        </w:rPr>
        <w:t xml:space="preserve">承诺的性能、技术要求、质量标准向甲方提供产品或服务。</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12.2 乙方提供的产品或服务在服务期内因其本身出现质量问题，根据实际情况，经双方协商，可按以下办法处理：</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（1）更换：由乙方承担所产生的全部费用。</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（2）合同终止处理：合同终止，乙方退还甲方支付的合同款，同时承担由此产生的全部费用，甲方不承担任何产生费用。</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12.3 如在使用过程中发生质量问题，乙方在接到甲方通知后在</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小时内到达甲方现场。</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12.4 在服务期内，乙方应对产品或服务出现的质量及安全问题负责处理解决并承担一切费用。</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十三、验收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13.1 甲方对乙方交付的产品或服务依据</w:t>
      </w:r>
      <w:r>
        <w:rPr>
          <w:rFonts w:hint="eastAsia" w:ascii="宋体" w:hAnsi="宋体" w:eastAsia="宋体" w:cs="宋体"/>
          <w:i w:val="0"/>
          <w:iCs w:val="0"/>
          <w:color w:val="auto"/>
          <w:sz w:val="24"/>
          <w:szCs w:val="24"/>
          <w:highlight w:val="none"/>
          <w:u w:val="none"/>
          <w:lang w:val="en-US" w:eastAsia="zh-CN"/>
        </w:rPr>
        <w:t xml:space="preserve">招标</w:t>
      </w:r>
      <w:r>
        <w:rPr>
          <w:rFonts w:hint="eastAsia" w:ascii="宋体" w:hAnsi="宋体" w:eastAsia="宋体" w:cs="宋体"/>
          <w:i w:val="0"/>
          <w:iCs w:val="0"/>
          <w:color w:val="auto"/>
          <w:sz w:val="24"/>
          <w:szCs w:val="24"/>
          <w:highlight w:val="none"/>
          <w:u w:val="none"/>
        </w:rPr>
        <w:t xml:space="preserve">文件中的项目需求要求、乙方</w:t>
      </w:r>
      <w:r>
        <w:rPr>
          <w:rFonts w:hint="eastAsia" w:ascii="宋体" w:hAnsi="宋体" w:eastAsia="宋体" w:cs="宋体"/>
          <w:i w:val="0"/>
          <w:iCs w:val="0"/>
          <w:color w:val="auto"/>
          <w:sz w:val="24"/>
          <w:szCs w:val="24"/>
          <w:highlight w:val="none"/>
          <w:u w:val="none"/>
          <w:lang w:eastAsia="zh-CN"/>
        </w:rPr>
        <w:t xml:space="preserve">投标文件</w:t>
      </w:r>
      <w:r>
        <w:rPr>
          <w:rFonts w:hint="eastAsia" w:ascii="宋体" w:hAnsi="宋体" w:eastAsia="宋体" w:cs="宋体"/>
          <w:i w:val="0"/>
          <w:iCs w:val="0"/>
          <w:color w:val="auto"/>
          <w:sz w:val="24"/>
          <w:szCs w:val="24"/>
          <w:highlight w:val="none"/>
          <w:u w:val="none"/>
        </w:rPr>
        <w:t xml:space="preserve">及国家有关质量标准进行验收。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13.2 乙方交付前应对产品或服务作出全面检查和对验收文件进行整理，并列出清单，作为甲方验收和使用的技术条件依据，检验的结果应随交付内容一并提交甲方。</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13.3 甲方对乙方提供的产品或服务在使用前，乙方需负责培训甲方的使用操作人员，并协助甲方一起试用，直到符合技术要求，甲方才做最终验收。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13.4 对技术复杂的产品或服务，甲方可请国家认可的专业检测机构参与初步验收及最终验收，并由其出具质量检测报告。</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13.5 验收时乙方必须在现场，验收完毕后做出验收结果报告，</w:t>
      </w:r>
      <w:r>
        <w:rPr>
          <w:rFonts w:hint="eastAsia" w:ascii="宋体" w:hAnsi="宋体" w:eastAsia="宋体" w:cs="宋体"/>
          <w:i w:val="0"/>
          <w:iCs w:val="0"/>
          <w:color w:val="auto"/>
          <w:sz w:val="24"/>
          <w:szCs w:val="24"/>
          <w:highlight w:val="none"/>
          <w:u w:val="none"/>
          <w:lang w:val="en-US" w:eastAsia="zh-CN"/>
        </w:rPr>
        <w:t xml:space="preserve">招标</w:t>
      </w:r>
      <w:r>
        <w:rPr>
          <w:rFonts w:hint="eastAsia" w:ascii="宋体" w:hAnsi="宋体" w:eastAsia="宋体" w:cs="宋体"/>
          <w:i w:val="0"/>
          <w:iCs w:val="0"/>
          <w:color w:val="auto"/>
          <w:sz w:val="24"/>
          <w:szCs w:val="24"/>
          <w:highlight w:val="none"/>
          <w:u w:val="none"/>
        </w:rPr>
        <w:t xml:space="preserve">文件规定以外的验收费用由甲乙双方协商解决。</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十四、合同内容的交付</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14.1 乙方应保证合同标的安全运达甲方指定地点。</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14.2 使用说明书、质量检验证明书等一并提交甲方。</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14.3 乙方在合同标的交付甲方48小时前通知甲方准备接收。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14.4 合同标的在交付甲方前发生的风险均由乙方负责。</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14.5 合同标的在规定的交付期限内由乙方送达甲方指定的地点视为交付，乙方同时需通知甲方已送达。</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十五、违约责任</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15.1 甲方无正当理由拒收的，甲方向乙方偿付拒收标的总额的百分之五违约金。</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15.2 甲方无故逾期验收和办理合同款支付手续的,甲方应按逾期付款总额每日万分之五向乙方支付违约金，最高限额为本合同总额的百分之</w:t>
      </w:r>
      <w:r>
        <w:rPr>
          <w:rFonts w:hint="eastAsia" w:ascii="宋体" w:hAnsi="宋体" w:eastAsia="宋体" w:cs="宋体"/>
          <w:i w:val="0"/>
          <w:iCs w:val="0"/>
          <w:color w:val="auto"/>
          <w:sz w:val="24"/>
          <w:szCs w:val="24"/>
          <w:highlight w:val="none"/>
          <w:u w:val="none"/>
          <w:lang w:val="en-US" w:eastAsia="zh-CN"/>
        </w:rPr>
        <w:t xml:space="preserve">十</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15.3 乙方逾期交付合同标的的，乙方应按逾期交付总额每日万分之五向甲方支付违约金，由甲方从待付合同款中扣除，最高限额为本合同总额的百分之</w:t>
      </w:r>
      <w:r>
        <w:rPr>
          <w:rFonts w:hint="eastAsia" w:ascii="宋体" w:hAnsi="宋体" w:eastAsia="宋体" w:cs="宋体"/>
          <w:i w:val="0"/>
          <w:iCs w:val="0"/>
          <w:color w:val="auto"/>
          <w:sz w:val="24"/>
          <w:szCs w:val="24"/>
          <w:highlight w:val="none"/>
          <w:u w:val="none"/>
          <w:lang w:val="en-US" w:eastAsia="zh-CN"/>
        </w:rPr>
        <w:t xml:space="preserve">十</w:t>
      </w:r>
      <w:r>
        <w:rPr>
          <w:rFonts w:hint="eastAsia" w:ascii="宋体" w:hAnsi="宋体" w:eastAsia="宋体" w:cs="宋体"/>
          <w:i w:val="0"/>
          <w:iCs w:val="0"/>
          <w:color w:val="auto"/>
          <w:sz w:val="24"/>
          <w:szCs w:val="24"/>
          <w:highlight w:val="none"/>
          <w:u w:val="none"/>
        </w:rPr>
        <w:t xml:space="preserve">。逾期超过约定日期10个工作日不能交付的，甲方可解除本合同。乙方因逾期交付或因其他违约行为导致甲方解除合同的，乙方应向甲方支付合同总额百分之</w:t>
      </w:r>
      <w:r>
        <w:rPr>
          <w:rFonts w:hint="eastAsia" w:ascii="宋体" w:hAnsi="宋体" w:eastAsia="宋体" w:cs="宋体"/>
          <w:i w:val="0"/>
          <w:iCs w:val="0"/>
          <w:color w:val="auto"/>
          <w:sz w:val="24"/>
          <w:szCs w:val="24"/>
          <w:highlight w:val="none"/>
          <w:u w:val="none"/>
          <w:lang w:val="en-US" w:eastAsia="zh-CN"/>
        </w:rPr>
        <w:t xml:space="preserve">十</w:t>
      </w:r>
      <w:r>
        <w:rPr>
          <w:rFonts w:hint="eastAsia" w:ascii="宋体" w:hAnsi="宋体" w:eastAsia="宋体" w:cs="宋体"/>
          <w:i w:val="0"/>
          <w:iCs w:val="0"/>
          <w:color w:val="auto"/>
          <w:sz w:val="24"/>
          <w:szCs w:val="24"/>
          <w:highlight w:val="none"/>
          <w:u w:val="none"/>
        </w:rPr>
        <w:t xml:space="preserve">的违约金，如造成甲方损失超过违约金的，超出部分由乙方继续承担赔偿责任。 </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15.4 乙方交付的产品或服务不符合项目需求要求、乙方</w:t>
      </w:r>
      <w:r>
        <w:rPr>
          <w:rFonts w:hint="eastAsia" w:ascii="宋体" w:hAnsi="宋体" w:eastAsia="宋体" w:cs="宋体"/>
          <w:i w:val="0"/>
          <w:iCs w:val="0"/>
          <w:color w:val="auto"/>
          <w:sz w:val="24"/>
          <w:szCs w:val="24"/>
          <w:highlight w:val="none"/>
          <w:u w:val="none"/>
          <w:lang w:eastAsia="zh-CN"/>
        </w:rPr>
        <w:t xml:space="preserve">投标文件</w:t>
      </w:r>
      <w:r>
        <w:rPr>
          <w:rFonts w:hint="eastAsia" w:ascii="宋体" w:hAnsi="宋体" w:eastAsia="宋体" w:cs="宋体"/>
          <w:i w:val="0"/>
          <w:iCs w:val="0"/>
          <w:color w:val="auto"/>
          <w:sz w:val="24"/>
          <w:szCs w:val="24"/>
          <w:highlight w:val="none"/>
          <w:u w:val="none"/>
        </w:rPr>
        <w:t xml:space="preserve">承诺及国家有关质量标准的，甲方有权拒收，乙方愿意更换但逾期交付的，按乙方逾期交付处理。乙方拒绝更换的，甲方可单方面解除合同，并由乙方赔偿由此造成的甲方全部损失。</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十六、不可抗力事件处理</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16.1 在合同有效期内，任何一方因不可抗力事件导致不能履行合同，则合同履行期延长，其延长期与不可抗力影响期相同。</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16.2 不可抗力事件发生后，应立即通知对方，并寄送有关权威机构出具的证明。</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16.3 不可抗力事件延续120天以上，双方应通过友好协商，确定是否继续履行合同。</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十七、争议解决</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17.1 甲、乙双方在执行合同中所发生的一切争议，应通过协商解决。如协商不成，按下列第</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2</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种方式解决：</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（1）向连云港仲裁委员会申请仲裁。</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（2）向合同签订地法院起诉，合同签订地在此约定为连云港市。</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t xml:space="preserve">十八、下列文件为本合同不可分割部分</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18.1 中标通知书；</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18.2 乙方中标的投标文件；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18.3 招标文件；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18.4 乙方在投标过程中所作的其他承诺、声明、书面澄清等；</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18.5 合同附件；</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18.6 补充协议</w:t>
      </w:r>
      <w:r>
        <w:rPr>
          <w:rFonts w:hint="eastAsia" w:ascii="宋体" w:hAnsi="宋体" w:eastAsia="宋体" w:cs="宋体"/>
          <w:i w:val="0"/>
          <w:iCs w:val="0"/>
          <w:color w:val="auto"/>
          <w:sz w:val="24"/>
          <w:szCs w:val="24"/>
          <w:highlight w:val="none"/>
          <w:u w:val="none"/>
          <w:lang w:eastAsia="zh-CN"/>
        </w:rPr>
        <w:t xml:space="preserve">。</w:t>
      </w:r>
      <w:r>
        <w:rPr>
          <w:color w:val="auto"/>
          <w:highlight w:val="none"/>
        </w:rPr>
      </w:r>
      <w:r/>
    </w:p>
    <w:p>
      <w:pPr>
        <w:ind w:left="0" w:righ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十</w:t>
      </w:r>
      <w:r>
        <w:rPr>
          <w:rFonts w:hint="eastAsia" w:ascii="宋体" w:hAnsi="宋体" w:eastAsia="宋体" w:cs="宋体"/>
          <w:b/>
          <w:i w:val="0"/>
          <w:iCs w:val="0"/>
          <w:color w:val="auto"/>
          <w:sz w:val="24"/>
          <w:szCs w:val="24"/>
          <w:highlight w:val="none"/>
          <w:u w:val="none"/>
          <w:lang w:val="en-US" w:eastAsia="zh-CN"/>
        </w:rPr>
        <w:t xml:space="preserve">九</w:t>
      </w:r>
      <w:r>
        <w:rPr>
          <w:rFonts w:hint="eastAsia" w:ascii="宋体" w:hAnsi="宋体" w:eastAsia="宋体" w:cs="宋体"/>
          <w:b/>
          <w:i w:val="0"/>
          <w:iCs w:val="0"/>
          <w:color w:val="auto"/>
          <w:sz w:val="24"/>
          <w:szCs w:val="24"/>
          <w:highlight w:val="none"/>
          <w:u w:val="none"/>
        </w:rPr>
        <w:t xml:space="preserve">、合同生效及其他</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.1 本合同经双方法定代表人或委托代理人签名并加盖单位公章后生效。</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.2 本合同未尽事宜，遵照《中华人民共和国民法典》有关条文执行。</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.3 本合同正本一式</w:t>
      </w:r>
      <w:r>
        <w:rPr>
          <w:rFonts w:hint="eastAsia" w:ascii="宋体" w:hAnsi="宋体" w:eastAsia="宋体" w:cs="宋体"/>
          <w:i w:val="0"/>
          <w:iCs w:val="0"/>
          <w:color w:val="auto"/>
          <w:sz w:val="24"/>
          <w:szCs w:val="24"/>
          <w:highlight w:val="none"/>
          <w:u w:val="none"/>
          <w:lang w:val="en-US" w:eastAsia="zh-CN"/>
        </w:rPr>
        <w:t xml:space="preserve">陆</w:t>
      </w:r>
      <w:r>
        <w:rPr>
          <w:rFonts w:hint="eastAsia" w:ascii="宋体" w:hAnsi="宋体" w:eastAsia="宋体" w:cs="宋体"/>
          <w:i w:val="0"/>
          <w:iCs w:val="0"/>
          <w:color w:val="auto"/>
          <w:sz w:val="24"/>
          <w:szCs w:val="24"/>
          <w:highlight w:val="none"/>
          <w:u w:val="none"/>
        </w:rPr>
        <w:t xml:space="preserve">份，具有同等法律效力，甲方</w:t>
      </w:r>
      <w:r>
        <w:rPr>
          <w:rFonts w:hint="eastAsia" w:ascii="宋体" w:hAnsi="宋体" w:eastAsia="宋体" w:cs="宋体"/>
          <w:i w:val="0"/>
          <w:iCs w:val="0"/>
          <w:color w:val="auto"/>
          <w:sz w:val="24"/>
          <w:szCs w:val="24"/>
          <w:highlight w:val="none"/>
          <w:u w:val="none"/>
          <w:lang w:val="en-US" w:eastAsia="zh-CN"/>
        </w:rPr>
        <w:t xml:space="preserve">三份</w:t>
      </w:r>
      <w:r>
        <w:rPr>
          <w:rFonts w:hint="eastAsia" w:ascii="宋体" w:hAnsi="宋体" w:eastAsia="宋体" w:cs="宋体"/>
          <w:i w:val="0"/>
          <w:iCs w:val="0"/>
          <w:color w:val="auto"/>
          <w:sz w:val="24"/>
          <w:szCs w:val="24"/>
          <w:highlight w:val="none"/>
          <w:u w:val="none"/>
        </w:rPr>
        <w:t xml:space="preserve">、乙方</w:t>
      </w:r>
      <w:r>
        <w:rPr>
          <w:rFonts w:hint="eastAsia" w:ascii="宋体" w:hAnsi="宋体" w:eastAsia="宋体" w:cs="宋体"/>
          <w:i w:val="0"/>
          <w:iCs w:val="0"/>
          <w:color w:val="auto"/>
          <w:sz w:val="24"/>
          <w:szCs w:val="24"/>
          <w:highlight w:val="none"/>
          <w:u w:val="none"/>
          <w:lang w:val="en-US" w:eastAsia="zh-CN"/>
        </w:rPr>
        <w:t xml:space="preserve">二份、</w:t>
      </w:r>
      <w:r>
        <w:rPr>
          <w:rFonts w:hint="eastAsia" w:ascii="宋体" w:hAnsi="宋体" w:eastAsia="宋体" w:cs="宋体"/>
          <w:i w:val="0"/>
          <w:iCs w:val="0"/>
          <w:color w:val="auto"/>
          <w:sz w:val="24"/>
          <w:szCs w:val="24"/>
          <w:highlight w:val="none"/>
          <w:u w:val="none"/>
        </w:rPr>
        <w:t xml:space="preserve">财政监督管理部门一份。</w:t>
      </w:r>
      <w:r>
        <w:rPr>
          <w:color w:val="auto"/>
          <w:highlight w:val="none"/>
        </w:rPr>
      </w:r>
      <w:r/>
    </w:p>
    <w:p>
      <w:pPr>
        <w:ind w:left="0" w:right="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甲方：                                  乙方：                     </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地址：                                  地址：                   </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法定代表人：                            法定代表人：                 </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委托代理人：                            委托代理人：           </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电话：                                  电话：                       </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传真：                                  传真：                        </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签订日期：      年  月  日</w:t>
      </w:r>
      <w:r>
        <w:rPr>
          <w:color w:val="auto"/>
          <w:highlight w:val="none"/>
        </w:rPr>
      </w:r>
      <w:r/>
    </w:p>
    <w:p>
      <w:pPr>
        <w:ind w:left="0" w:right="0" w:firstLine="36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firstLine="480"/>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见 证 方：</w:t>
      </w:r>
      <w:r>
        <w:rPr>
          <w:rFonts w:hint="eastAsia" w:ascii="宋体" w:hAnsi="宋体" w:eastAsia="宋体" w:cs="宋体"/>
          <w:i w:val="0"/>
          <w:iCs w:val="0"/>
          <w:color w:val="auto"/>
          <w:sz w:val="24"/>
          <w:szCs w:val="24"/>
          <w:highlight w:val="none"/>
          <w:u w:val="none"/>
          <w:lang w:eastAsia="zh-CN"/>
        </w:rPr>
        <w:t xml:space="preserve">江苏港策建筑科技有限公司</w:t>
      </w:r>
      <w:r>
        <w:rPr>
          <w:rFonts w:hint="eastAsia" w:ascii="宋体" w:hAnsi="宋体" w:eastAsia="宋体" w:cs="宋体"/>
          <w:i w:val="0"/>
          <w:iCs w:val="0"/>
          <w:color w:val="auto"/>
          <w:sz w:val="24"/>
          <w:szCs w:val="24"/>
          <w:highlight w:val="none"/>
          <w:u w:val="none"/>
        </w:rPr>
        <w:t xml:space="preserve">           </w:t>
      </w:r>
      <w:r>
        <w:rPr>
          <w:color w:val="auto"/>
          <w:highlight w:val="none"/>
        </w:rPr>
      </w:r>
      <w:r/>
    </w:p>
    <w:p>
      <w:pPr>
        <w:ind w:firstLine="48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见证日期：      年   月   日</w:t>
      </w:r>
      <w:r>
        <w:rPr>
          <w:color w:val="auto"/>
          <w:highlight w:val="none"/>
        </w:rPr>
      </w:r>
      <w:r/>
    </w:p>
    <w:p>
      <w:pPr>
        <w:ind w:left="0" w:right="0" w:firstLine="36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0"/>
      </w:pPr>
      <w:r>
        <w:rPr>
          <w:rFonts w:hint="eastAsia" w:ascii="宋体" w:hAnsi="宋体" w:eastAsia="宋体" w:cs="宋体"/>
          <w:b/>
          <w:i w:val="0"/>
          <w:iCs w:val="0"/>
          <w:color w:val="auto"/>
          <w:sz w:val="36"/>
          <w:szCs w:val="24"/>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0"/>
      </w:pPr>
      <w:r>
        <w:rPr>
          <w:rFonts w:hint="eastAsia" w:ascii="宋体" w:hAnsi="宋体" w:eastAsia="宋体" w:cs="宋体"/>
          <w:b/>
          <w:i w:val="0"/>
          <w:iCs w:val="0"/>
          <w:color w:val="auto"/>
          <w:sz w:val="36"/>
          <w:szCs w:val="24"/>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0"/>
      </w:pPr>
      <w:r>
        <w:rPr>
          <w:rFonts w:hint="eastAsia" w:ascii="宋体" w:hAnsi="宋体" w:eastAsia="宋体" w:cs="宋体"/>
          <w:b/>
          <w:i w:val="0"/>
          <w:iCs w:val="0"/>
          <w:color w:val="auto"/>
          <w:sz w:val="36"/>
          <w:szCs w:val="24"/>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i w:val="0"/>
          <w:iCs w:val="0"/>
          <w:color w:val="auto"/>
          <w:sz w:val="36"/>
          <w:szCs w:val="20"/>
          <w:highlight w:val="none"/>
          <w:u w:val="none"/>
        </w:rPr>
        <w:outlineLvl w:val="0"/>
      </w:pPr>
      <w:r>
        <w:rPr>
          <w:rFonts w:hint="eastAsia" w:ascii="宋体" w:hAnsi="宋体" w:eastAsia="宋体" w:cs="宋体"/>
          <w:b/>
          <w:i w:val="0"/>
          <w:iCs w:val="0"/>
          <w:color w:val="auto"/>
          <w:sz w:val="36"/>
          <w:szCs w:val="24"/>
          <w:highlight w:val="none"/>
          <w:u w:val="none"/>
        </w:rPr>
        <w:br w:type="page" w:clear="all"/>
      </w:r>
      <w:bookmarkStart w:id="35" w:name="_Toc139967212"/>
      <w:r>
        <w:rPr>
          <w:color w:val="auto"/>
          <w:highlight w:val="none"/>
        </w:rPr>
      </w:r>
      <w:bookmarkStart w:id="36" w:name="_Toc8325"/>
      <w:r>
        <w:rPr>
          <w:color w:val="auto"/>
          <w:highlight w:val="none"/>
        </w:rPr>
      </w:r>
      <w:bookmarkStart w:id="37" w:name="_Toc4556"/>
      <w:r>
        <w:rPr>
          <w:color w:val="auto"/>
          <w:highlight w:val="none"/>
        </w:rPr>
      </w:r>
      <w:bookmarkStart w:id="38" w:name="_Toc139966428"/>
      <w:r>
        <w:rPr>
          <w:color w:val="auto"/>
          <w:highlight w:val="none"/>
        </w:rPr>
      </w:r>
      <w:bookmarkStart w:id="39" w:name="_Toc32142"/>
      <w:r>
        <w:rPr>
          <w:color w:val="auto"/>
          <w:highlight w:val="none"/>
        </w:rPr>
      </w:r>
      <w:bookmarkStart w:id="40" w:name="_Toc27968"/>
      <w:r>
        <w:rPr>
          <w:color w:val="auto"/>
          <w:highlight w:val="none"/>
        </w:rPr>
      </w:r>
      <w:bookmarkStart w:id="41" w:name="_Toc31183"/>
      <w:r>
        <w:rPr>
          <w:color w:val="auto"/>
          <w:highlight w:val="none"/>
        </w:rPr>
      </w:r>
      <w:bookmarkStart w:id="42" w:name="_Toc513622229"/>
      <w:r>
        <w:rPr>
          <w:color w:val="auto"/>
          <w:highlight w:val="none"/>
        </w:rPr>
      </w:r>
      <w:bookmarkStart w:id="43" w:name="_Toc15411"/>
      <w:r>
        <w:rPr>
          <w:rFonts w:hint="eastAsia" w:ascii="宋体" w:hAnsi="宋体" w:eastAsia="宋体" w:cs="宋体"/>
          <w:b/>
          <w:bCs/>
          <w:i w:val="0"/>
          <w:iCs w:val="0"/>
          <w:color w:val="auto"/>
          <w:sz w:val="44"/>
          <w:szCs w:val="22"/>
          <w:highlight w:val="none"/>
          <w:u w:val="none"/>
        </w:rPr>
        <w:t xml:space="preserve">第四章 投标文件格式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bookmarkEnd w:id="41"/>
      <w:r>
        <w:rPr>
          <w:color w:val="auto"/>
          <w:highlight w:val="none"/>
        </w:rPr>
      </w:r>
      <w:bookmarkEnd w:id="42"/>
      <w:r>
        <w:rPr>
          <w:color w:val="auto"/>
          <w:highlight w:val="none"/>
        </w:rPr>
      </w:r>
      <w:bookmarkEnd w:id="43"/>
      <w:r>
        <w:rPr>
          <w:color w:val="auto"/>
          <w:highlight w:val="none"/>
        </w:rPr>
      </w:r>
      <w:r/>
    </w:p>
    <w:p>
      <w:pPr>
        <w:ind w:left="0" w:right="0" w:firstLine="1044"/>
        <w:jc w:val="center"/>
        <w:keepLines w:val="0"/>
        <w:keepNext w:val="0"/>
        <w:pageBreakBefore w:val="0"/>
        <w:spacing w:line="360" w:lineRule="auto"/>
        <w:widowControl w:val="off"/>
        <w:rPr>
          <w:rFonts w:hint="eastAsia" w:ascii="宋体" w:hAnsi="宋体" w:eastAsia="宋体" w:cs="宋体"/>
          <w:b/>
          <w:i w:val="0"/>
          <w:iCs w:val="0"/>
          <w:color w:val="auto"/>
          <w:sz w:val="52"/>
          <w:szCs w:val="52"/>
          <w:highlight w:val="none"/>
          <w:u w:val="none"/>
        </w:rPr>
        <w:outlineLvl w:val="9"/>
      </w:pPr>
      <w:r>
        <w:rPr>
          <w:rFonts w:hint="eastAsia" w:ascii="宋体" w:hAnsi="宋体" w:eastAsia="宋体" w:cs="宋体"/>
          <w:b/>
          <w:i w:val="0"/>
          <w:iCs w:val="0"/>
          <w:color w:val="auto"/>
          <w:sz w:val="52"/>
          <w:szCs w:val="52"/>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72"/>
          <w:szCs w:val="21"/>
          <w:highlight w:val="none"/>
          <w:u w:val="none"/>
        </w:rPr>
        <w:outlineLvl w:val="9"/>
      </w:pPr>
      <w:r>
        <w:rPr>
          <w:rFonts w:hint="eastAsia" w:ascii="宋体" w:hAnsi="宋体" w:eastAsia="宋体" w:cs="宋体"/>
          <w:b/>
          <w:i w:val="0"/>
          <w:iCs w:val="0"/>
          <w:color w:val="auto"/>
          <w:sz w:val="72"/>
          <w:szCs w:val="21"/>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72"/>
          <w:szCs w:val="21"/>
          <w:highlight w:val="none"/>
          <w:u w:val="none"/>
        </w:rPr>
        <w:outlineLvl w:val="9"/>
      </w:pPr>
      <w:r>
        <w:rPr>
          <w:rFonts w:hint="eastAsia" w:ascii="宋体" w:hAnsi="宋体" w:eastAsia="宋体" w:cs="宋体"/>
          <w:b/>
          <w:i w:val="0"/>
          <w:iCs w:val="0"/>
          <w:color w:val="auto"/>
          <w:sz w:val="72"/>
          <w:szCs w:val="21"/>
          <w:highlight w:val="none"/>
          <w:u w:val="none"/>
        </w:rPr>
        <w:t xml:space="preserve">投 标 文 件</w:t>
      </w:r>
      <w:r>
        <w:rPr>
          <w:color w:val="auto"/>
          <w:highlight w:val="none"/>
        </w:rPr>
      </w:r>
      <w:r/>
    </w:p>
    <w:p>
      <w:pPr>
        <w:ind w:left="0" w:right="0" w:firstLine="643"/>
        <w:jc w:val="center"/>
        <w:keepLines w:val="0"/>
        <w:keepNext w:val="0"/>
        <w:pageBreakBefore w:val="0"/>
        <w:spacing w:line="360" w:lineRule="auto"/>
        <w:widowControl w:val="off"/>
        <w:rPr>
          <w:rFonts w:hint="eastAsia" w:ascii="宋体" w:hAnsi="宋体" w:eastAsia="宋体" w:cs="宋体"/>
          <w:b/>
          <w:i w:val="0"/>
          <w:iCs w:val="0"/>
          <w:color w:val="auto"/>
          <w:sz w:val="32"/>
          <w:szCs w:val="32"/>
          <w:highlight w:val="none"/>
          <w:u w:val="none"/>
        </w:rPr>
        <w:outlineLvl w:val="9"/>
      </w:pPr>
      <w:r>
        <w:rPr>
          <w:rFonts w:hint="eastAsia" w:ascii="宋体" w:hAnsi="宋体" w:eastAsia="宋体" w:cs="宋体"/>
          <w:b/>
          <w:i w:val="0"/>
          <w:iCs w:val="0"/>
          <w:color w:val="auto"/>
          <w:sz w:val="32"/>
          <w:szCs w:val="32"/>
          <w:highlight w:val="none"/>
          <w:u w:val="none"/>
        </w:rPr>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1"/>
          <w:highlight w:val="none"/>
          <w:u w:val="none"/>
        </w:rPr>
        <w:outlineLvl w:val="9"/>
      </w:pPr>
      <w:r>
        <w:rPr>
          <w:rFonts w:hint="eastAsia" w:ascii="宋体" w:hAnsi="宋体" w:eastAsia="宋体" w:cs="宋体"/>
          <w:b/>
          <w:i w:val="0"/>
          <w:iCs w:val="0"/>
          <w:color w:val="auto"/>
          <w:sz w:val="36"/>
          <w:szCs w:val="21"/>
          <w:highlight w:val="none"/>
          <w:u w:val="none"/>
        </w:rPr>
      </w:r>
      <w:r>
        <w:rPr>
          <w:color w:val="auto"/>
          <w:highlight w:val="none"/>
        </w:rPr>
      </w:r>
      <w:r/>
    </w:p>
    <w:p>
      <w:pPr>
        <w:ind w:left="0" w:right="0"/>
        <w:jc w:val="left"/>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ind w:left="0" w:right="0"/>
        <w:jc w:val="left"/>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ind w:left="0" w:right="0"/>
        <w:jc w:val="left"/>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1"/>
          <w:highlight w:val="none"/>
          <w:u w:val="none"/>
        </w:rPr>
        <w:outlineLvl w:val="9"/>
      </w:pPr>
      <w:r>
        <w:rPr>
          <w:rFonts w:hint="eastAsia" w:ascii="宋体" w:hAnsi="宋体" w:eastAsia="宋体" w:cs="宋体"/>
          <w:b/>
          <w:i w:val="0"/>
          <w:iCs w:val="0"/>
          <w:color w:val="auto"/>
          <w:sz w:val="36"/>
          <w:szCs w:val="21"/>
          <w:highlight w:val="none"/>
          <w:u w:val="none"/>
        </w:rPr>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9"/>
      </w:pPr>
      <w:r>
        <w:rPr>
          <w:rFonts w:hint="eastAsia" w:ascii="宋体" w:hAnsi="宋体" w:eastAsia="宋体" w:cs="宋体"/>
          <w:b/>
          <w:i w:val="0"/>
          <w:iCs w:val="0"/>
          <w:color w:val="auto"/>
          <w:sz w:val="36"/>
          <w:szCs w:val="24"/>
          <w:highlight w:val="none"/>
          <w:u w:val="none"/>
        </w:rPr>
        <w:t xml:space="preserve">标 段 名 称：</w:t>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9"/>
      </w:pPr>
      <w:r>
        <w:rPr>
          <w:rFonts w:hint="eastAsia" w:ascii="宋体" w:hAnsi="宋体" w:eastAsia="宋体" w:cs="宋体"/>
          <w:b/>
          <w:i w:val="0"/>
          <w:iCs w:val="0"/>
          <w:color w:val="auto"/>
          <w:sz w:val="36"/>
          <w:szCs w:val="24"/>
          <w:highlight w:val="none"/>
          <w:u w:val="none"/>
        </w:rPr>
        <w:t xml:space="preserve">标 段 编 号：</w:t>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9"/>
      </w:pPr>
      <w:r>
        <w:rPr>
          <w:rFonts w:hint="eastAsia" w:ascii="宋体" w:hAnsi="宋体" w:eastAsia="宋体" w:cs="宋体"/>
          <w:b/>
          <w:i w:val="0"/>
          <w:iCs w:val="0"/>
          <w:color w:val="auto"/>
          <w:sz w:val="36"/>
          <w:szCs w:val="24"/>
          <w:highlight w:val="none"/>
          <w:u w:val="none"/>
        </w:rPr>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9"/>
      </w:pPr>
      <w:r>
        <w:rPr>
          <w:rFonts w:hint="eastAsia" w:ascii="宋体" w:hAnsi="宋体" w:eastAsia="宋体" w:cs="宋体"/>
          <w:b/>
          <w:i w:val="0"/>
          <w:iCs w:val="0"/>
          <w:color w:val="auto"/>
          <w:sz w:val="36"/>
          <w:szCs w:val="24"/>
          <w:highlight w:val="none"/>
          <w:u w:val="none"/>
        </w:rPr>
        <w:t xml:space="preserve">投标人名称：</w:t>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9"/>
      </w:pPr>
      <w:r>
        <w:rPr>
          <w:rFonts w:hint="eastAsia" w:ascii="宋体" w:hAnsi="宋体" w:eastAsia="宋体" w:cs="宋体"/>
          <w:b/>
          <w:i w:val="0"/>
          <w:iCs w:val="0"/>
          <w:color w:val="auto"/>
          <w:sz w:val="36"/>
          <w:szCs w:val="24"/>
          <w:highlight w:val="none"/>
          <w:u w:val="none"/>
        </w:rPr>
        <w:t xml:space="preserve">投标人地址： </w:t>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9"/>
      </w:pPr>
      <w:r>
        <w:rPr>
          <w:rFonts w:hint="eastAsia" w:ascii="宋体" w:hAnsi="宋体" w:eastAsia="宋体" w:cs="宋体"/>
          <w:b/>
          <w:i w:val="0"/>
          <w:iCs w:val="0"/>
          <w:color w:val="auto"/>
          <w:sz w:val="36"/>
          <w:szCs w:val="24"/>
          <w:highlight w:val="none"/>
          <w:u w:val="none"/>
        </w:rPr>
        <w:t xml:space="preserve">法定代表人：</w:t>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9"/>
      </w:pPr>
      <w:r>
        <w:rPr>
          <w:rFonts w:hint="eastAsia" w:ascii="宋体" w:hAnsi="宋体" w:eastAsia="宋体" w:cs="宋体"/>
          <w:b/>
          <w:i w:val="0"/>
          <w:iCs w:val="0"/>
          <w:color w:val="auto"/>
          <w:sz w:val="36"/>
          <w:szCs w:val="24"/>
          <w:highlight w:val="none"/>
          <w:u w:val="none"/>
        </w:rPr>
        <w:t xml:space="preserve">委托代理人（委托代理时填写）：</w:t>
      </w:r>
      <w:r>
        <w:rPr>
          <w:color w:val="auto"/>
          <w:highlight w:val="none"/>
        </w:rPr>
      </w:r>
      <w:r/>
    </w:p>
    <w:p>
      <w:pPr>
        <w:ind w:left="0" w:right="0" w:firstLine="1084"/>
        <w:keepLines w:val="0"/>
        <w:keepNext w:val="0"/>
        <w:pageBreakBefore w:val="0"/>
        <w:spacing w:line="360" w:lineRule="auto"/>
        <w:widowControl w:val="off"/>
        <w:rPr>
          <w:rFonts w:hint="eastAsia" w:ascii="宋体" w:hAnsi="宋体" w:eastAsia="宋体" w:cs="宋体"/>
          <w:b/>
          <w:i w:val="0"/>
          <w:iCs w:val="0"/>
          <w:color w:val="auto"/>
          <w:sz w:val="36"/>
          <w:szCs w:val="24"/>
          <w:highlight w:val="none"/>
          <w:u w:val="none"/>
        </w:rPr>
        <w:outlineLvl w:val="9"/>
      </w:pPr>
      <w:r>
        <w:rPr>
          <w:rFonts w:hint="eastAsia" w:ascii="宋体" w:hAnsi="宋体" w:eastAsia="宋体" w:cs="宋体"/>
          <w:b/>
          <w:i w:val="0"/>
          <w:iCs w:val="0"/>
          <w:color w:val="auto"/>
          <w:sz w:val="36"/>
          <w:szCs w:val="24"/>
          <w:highlight w:val="none"/>
          <w:u w:val="none"/>
        </w:rPr>
        <w:t xml:space="preserve">日      期：</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i w:val="0"/>
          <w:iCs w:val="0"/>
          <w:color w:val="auto"/>
          <w:sz w:val="36"/>
          <w:szCs w:val="20"/>
          <w:highlight w:val="none"/>
          <w:u w:val="none"/>
        </w:rPr>
        <w:br w:type="page" w:clear="all"/>
      </w:r>
      <w:bookmarkStart w:id="44" w:name="_Toc139966431"/>
      <w:r>
        <w:rPr>
          <w:color w:val="auto"/>
          <w:highlight w:val="none"/>
        </w:rPr>
      </w:r>
      <w:bookmarkStart w:id="45" w:name="_Toc139967215"/>
      <w:r>
        <w:rPr>
          <w:rFonts w:hint="eastAsia" w:ascii="宋体" w:hAnsi="宋体" w:eastAsia="宋体" w:cs="宋体"/>
          <w:i w:val="0"/>
          <w:iCs w:val="0"/>
          <w:color w:val="auto"/>
          <w:sz w:val="24"/>
          <w:szCs w:val="24"/>
          <w:highlight w:val="none"/>
          <w:u w:val="none"/>
        </w:rPr>
        <w:t xml:space="preserve">格式1、响应函</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t xml:space="preserve">响应函</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致：</w:t>
      </w:r>
      <w:r>
        <w:rPr>
          <w:rFonts w:hint="eastAsia" w:ascii="宋体" w:hAnsi="宋体" w:eastAsia="宋体" w:cs="宋体"/>
          <w:i w:val="0"/>
          <w:iCs w:val="0"/>
          <w:color w:val="auto"/>
          <w:sz w:val="24"/>
          <w:szCs w:val="24"/>
          <w:highlight w:val="none"/>
          <w:u w:val="none"/>
          <w:lang w:eastAsia="zh-CN"/>
        </w:rPr>
        <w:t xml:space="preserve">连云港市公安局</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根据贵方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标段（标段编号：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招标文件</w:t>
      </w:r>
      <w:r>
        <w:rPr>
          <w:rFonts w:hint="eastAsia" w:ascii="宋体" w:hAnsi="宋体" w:eastAsia="宋体" w:cs="宋体"/>
          <w:i w:val="0"/>
          <w:iCs w:val="0"/>
          <w:color w:val="auto"/>
          <w:sz w:val="24"/>
          <w:szCs w:val="24"/>
          <w:highlight w:val="none"/>
          <w:u w:val="none"/>
        </w:rPr>
        <w:t xml:space="preserve">，正式授权下述签字人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全权代表</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参加贵方组织的采购活动，按照</w:t>
      </w:r>
      <w:r>
        <w:rPr>
          <w:rFonts w:hint="eastAsia" w:ascii="宋体" w:hAnsi="宋体" w:eastAsia="宋体" w:cs="宋体"/>
          <w:i w:val="0"/>
          <w:iCs w:val="0"/>
          <w:color w:val="auto"/>
          <w:sz w:val="24"/>
          <w:szCs w:val="24"/>
          <w:highlight w:val="none"/>
          <w:u w:val="none"/>
          <w:lang w:eastAsia="zh-CN"/>
        </w:rPr>
        <w:t xml:space="preserve">招标文件</w:t>
      </w:r>
      <w:r>
        <w:rPr>
          <w:rFonts w:hint="eastAsia" w:ascii="宋体" w:hAnsi="宋体" w:eastAsia="宋体" w:cs="宋体"/>
          <w:i w:val="0"/>
          <w:iCs w:val="0"/>
          <w:color w:val="auto"/>
          <w:sz w:val="24"/>
          <w:szCs w:val="24"/>
          <w:highlight w:val="none"/>
          <w:u w:val="none"/>
        </w:rPr>
        <w:t xml:space="preserve">要求提交</w:t>
      </w:r>
      <w:r>
        <w:rPr>
          <w:rFonts w:hint="eastAsia" w:ascii="宋体" w:hAnsi="宋体" w:eastAsia="宋体" w:cs="宋体"/>
          <w:i w:val="0"/>
          <w:iCs w:val="0"/>
          <w:color w:val="auto"/>
          <w:sz w:val="24"/>
          <w:szCs w:val="24"/>
          <w:highlight w:val="none"/>
          <w:u w:val="none"/>
          <w:lang w:eastAsia="zh-CN"/>
        </w:rPr>
        <w:t xml:space="preserve">投标文件</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据此函，签字人兹宣布同意如下：</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1.按</w:t>
      </w:r>
      <w:r>
        <w:rPr>
          <w:rFonts w:hint="eastAsia" w:ascii="宋体" w:hAnsi="宋体" w:eastAsia="宋体" w:cs="宋体"/>
          <w:i w:val="0"/>
          <w:iCs w:val="0"/>
          <w:color w:val="auto"/>
          <w:sz w:val="24"/>
          <w:szCs w:val="24"/>
          <w:highlight w:val="none"/>
          <w:u w:val="none"/>
          <w:lang w:eastAsia="zh-CN"/>
        </w:rPr>
        <w:t xml:space="preserve">招标文件</w:t>
      </w:r>
      <w:r>
        <w:rPr>
          <w:rFonts w:hint="eastAsia" w:ascii="宋体" w:hAnsi="宋体" w:eastAsia="宋体" w:cs="宋体"/>
          <w:i w:val="0"/>
          <w:iCs w:val="0"/>
          <w:color w:val="auto"/>
          <w:sz w:val="24"/>
          <w:szCs w:val="24"/>
          <w:highlight w:val="none"/>
          <w:u w:val="none"/>
        </w:rPr>
        <w:t xml:space="preserve">项目需求提交响应报价，报价、</w:t>
      </w:r>
      <w:r>
        <w:rPr>
          <w:rFonts w:hint="eastAsia" w:ascii="宋体" w:hAnsi="宋体" w:eastAsia="宋体" w:cs="宋体"/>
          <w:i w:val="0"/>
          <w:iCs w:val="0"/>
          <w:color w:val="auto"/>
          <w:sz w:val="24"/>
          <w:szCs w:val="24"/>
          <w:highlight w:val="none"/>
          <w:u w:val="none"/>
          <w:lang w:val="en-US" w:eastAsia="zh-CN"/>
        </w:rPr>
        <w:t xml:space="preserve">服务</w:t>
      </w:r>
      <w:r>
        <w:rPr>
          <w:rFonts w:hint="eastAsia" w:ascii="宋体" w:hAnsi="宋体" w:eastAsia="宋体" w:cs="宋体"/>
          <w:i w:val="0"/>
          <w:iCs w:val="0"/>
          <w:color w:val="auto"/>
          <w:sz w:val="24"/>
          <w:szCs w:val="24"/>
          <w:highlight w:val="none"/>
          <w:u w:val="none"/>
        </w:rPr>
        <w:t xml:space="preserve">期等详见开标一览表。</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2.我方同意在本标段</w:t>
      </w:r>
      <w:r>
        <w:rPr>
          <w:rFonts w:hint="eastAsia" w:ascii="宋体" w:hAnsi="宋体" w:eastAsia="宋体" w:cs="宋体"/>
          <w:i w:val="0"/>
          <w:iCs w:val="0"/>
          <w:color w:val="auto"/>
          <w:sz w:val="24"/>
          <w:szCs w:val="24"/>
          <w:highlight w:val="none"/>
          <w:u w:val="none"/>
          <w:lang w:eastAsia="zh-CN"/>
        </w:rPr>
        <w:t xml:space="preserve">招标文件</w:t>
      </w:r>
      <w:r>
        <w:rPr>
          <w:rFonts w:hint="eastAsia" w:ascii="宋体" w:hAnsi="宋体" w:eastAsia="宋体" w:cs="宋体"/>
          <w:i w:val="0"/>
          <w:iCs w:val="0"/>
          <w:color w:val="auto"/>
          <w:sz w:val="24"/>
          <w:szCs w:val="24"/>
          <w:highlight w:val="none"/>
          <w:u w:val="none"/>
        </w:rPr>
        <w:t xml:space="preserve">中规定的</w:t>
      </w:r>
      <w:r>
        <w:rPr>
          <w:rFonts w:hint="eastAsia" w:ascii="宋体" w:hAnsi="宋体" w:eastAsia="宋体" w:cs="宋体"/>
          <w:i w:val="0"/>
          <w:iCs w:val="0"/>
          <w:color w:val="auto"/>
          <w:sz w:val="24"/>
          <w:szCs w:val="24"/>
          <w:highlight w:val="none"/>
          <w:u w:val="none"/>
          <w:lang w:eastAsia="zh-CN"/>
        </w:rPr>
        <w:t xml:space="preserve">投标文件</w:t>
      </w:r>
      <w:r>
        <w:rPr>
          <w:rFonts w:hint="eastAsia" w:ascii="宋体" w:hAnsi="宋体" w:eastAsia="宋体" w:cs="宋体"/>
          <w:i w:val="0"/>
          <w:iCs w:val="0"/>
          <w:color w:val="auto"/>
          <w:sz w:val="24"/>
          <w:szCs w:val="24"/>
          <w:highlight w:val="none"/>
          <w:u w:val="none"/>
        </w:rPr>
        <w:t xml:space="preserve">递交截止之日起60天内遵守本</w:t>
      </w:r>
      <w:r>
        <w:rPr>
          <w:rFonts w:hint="eastAsia" w:ascii="宋体" w:hAnsi="宋体" w:eastAsia="宋体" w:cs="宋体"/>
          <w:i w:val="0"/>
          <w:iCs w:val="0"/>
          <w:color w:val="auto"/>
          <w:sz w:val="24"/>
          <w:szCs w:val="24"/>
          <w:highlight w:val="none"/>
          <w:u w:val="none"/>
          <w:lang w:eastAsia="zh-CN"/>
        </w:rPr>
        <w:t xml:space="preserve">投标文件</w:t>
      </w:r>
      <w:r>
        <w:rPr>
          <w:rFonts w:hint="eastAsia" w:ascii="宋体" w:hAnsi="宋体" w:eastAsia="宋体" w:cs="宋体"/>
          <w:i w:val="0"/>
          <w:iCs w:val="0"/>
          <w:color w:val="auto"/>
          <w:sz w:val="24"/>
          <w:szCs w:val="24"/>
          <w:highlight w:val="none"/>
          <w:u w:val="none"/>
        </w:rPr>
        <w:t xml:space="preserve">中的承诺且在此期限期满之前均具有约束力。</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3.我方承诺已经具备《中华人民共和国政府采购法》中规定的参加政府采购活动的投标人应当具备的条件：</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(1)具有独立承担民事责任的能力；</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(2)具有良好的商业信誉和健全的财务会计制度；</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(3)具有履行合同所必需的设备和专业技术能力；</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(4)有依法缴纳税收和社会保障资金的良好记录；</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(5)参加此项采购活动前三年内，在经营活动中没有重大违法记录。</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4.我方根据</w:t>
      </w:r>
      <w:r>
        <w:rPr>
          <w:rFonts w:hint="eastAsia" w:ascii="宋体" w:hAnsi="宋体" w:eastAsia="宋体" w:cs="宋体"/>
          <w:i w:val="0"/>
          <w:iCs w:val="0"/>
          <w:color w:val="auto"/>
          <w:sz w:val="24"/>
          <w:szCs w:val="24"/>
          <w:highlight w:val="none"/>
          <w:u w:val="none"/>
          <w:lang w:eastAsia="zh-CN"/>
        </w:rPr>
        <w:t xml:space="preserve">招标文件</w:t>
      </w:r>
      <w:r>
        <w:rPr>
          <w:rFonts w:hint="eastAsia" w:ascii="宋体" w:hAnsi="宋体" w:eastAsia="宋体" w:cs="宋体"/>
          <w:i w:val="0"/>
          <w:iCs w:val="0"/>
          <w:color w:val="auto"/>
          <w:sz w:val="24"/>
          <w:szCs w:val="24"/>
          <w:highlight w:val="none"/>
          <w:u w:val="none"/>
        </w:rPr>
        <w:t xml:space="preserve">的规定，承担完成合同的责任和义务。</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5.我方已详细审核</w:t>
      </w:r>
      <w:r>
        <w:rPr>
          <w:rFonts w:hint="eastAsia" w:ascii="宋体" w:hAnsi="宋体" w:eastAsia="宋体" w:cs="宋体"/>
          <w:i w:val="0"/>
          <w:iCs w:val="0"/>
          <w:color w:val="auto"/>
          <w:sz w:val="24"/>
          <w:szCs w:val="24"/>
          <w:highlight w:val="none"/>
          <w:u w:val="none"/>
          <w:lang w:eastAsia="zh-CN"/>
        </w:rPr>
        <w:t xml:space="preserve">招标文件</w:t>
      </w:r>
      <w:r>
        <w:rPr>
          <w:rFonts w:hint="eastAsia" w:ascii="宋体" w:hAnsi="宋体" w:eastAsia="宋体" w:cs="宋体"/>
          <w:i w:val="0"/>
          <w:iCs w:val="0"/>
          <w:color w:val="auto"/>
          <w:sz w:val="24"/>
          <w:szCs w:val="24"/>
          <w:highlight w:val="none"/>
          <w:u w:val="none"/>
        </w:rPr>
        <w:t xml:space="preserve">，我方知道必须放弃提出含糊不清或误解问题的权利。</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6.如果在</w:t>
      </w:r>
      <w:r>
        <w:rPr>
          <w:rFonts w:hint="eastAsia" w:ascii="宋体" w:hAnsi="宋体" w:eastAsia="宋体" w:cs="宋体"/>
          <w:i w:val="0"/>
          <w:iCs w:val="0"/>
          <w:color w:val="auto"/>
          <w:sz w:val="24"/>
          <w:szCs w:val="24"/>
          <w:highlight w:val="none"/>
          <w:u w:val="none"/>
          <w:lang w:eastAsia="zh-CN"/>
        </w:rPr>
        <w:t xml:space="preserve">投标文件</w:t>
      </w:r>
      <w:r>
        <w:rPr>
          <w:rFonts w:hint="eastAsia" w:ascii="宋体" w:hAnsi="宋体" w:eastAsia="宋体" w:cs="宋体"/>
          <w:i w:val="0"/>
          <w:iCs w:val="0"/>
          <w:color w:val="auto"/>
          <w:sz w:val="24"/>
          <w:szCs w:val="24"/>
          <w:highlight w:val="none"/>
          <w:u w:val="none"/>
        </w:rPr>
        <w:t xml:space="preserve">有效期内撤回或者有其他违约行为，我方的保证金可被贵方全部或部分没收。</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7.同意应贵方要求提供与本次采购活动有关的任何数据或资料。</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8.我方完全理解，最低报价不是中标（成交）的唯一条件。</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9.若贵方需要，我方愿意提供我方作出的一切承诺的证明材料。</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10.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(1)提供虚假材料谋取中标、成交的；</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(2)采取不正当手段诋毁、排挤其他投标人的；</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(3)与采购人、其他投标人或者采购代理机构恶意串通的；</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(4)向采购人、采购代理机构行贿或者提供其他不正当利益的；</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(5)在招标采购过程中与采购人进行协商谈判的；</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(6)拒绝有关部门监督检查或提供虚假情况的。</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 </w:t>
      </w:r>
      <w:r>
        <w:rPr>
          <w:color w:val="auto"/>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投标人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 </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 </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注：未按照本响应函的格式要求填写的，将造成非实质响应，从而导致该</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响应无效。</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i w:val="0"/>
          <w:iCs w:val="0"/>
          <w:color w:val="auto"/>
          <w:sz w:val="28"/>
          <w:szCs w:val="20"/>
          <w:highlight w:val="none"/>
          <w:u w:val="none"/>
        </w:rPr>
        <w:br w:type="page" w:clear="all"/>
      </w:r>
      <w:r>
        <w:rPr>
          <w:rFonts w:hint="eastAsia" w:ascii="宋体" w:hAnsi="宋体" w:eastAsia="宋体" w:cs="宋体"/>
          <w:i w:val="0"/>
          <w:iCs w:val="0"/>
          <w:color w:val="auto"/>
          <w:sz w:val="24"/>
          <w:szCs w:val="24"/>
          <w:highlight w:val="none"/>
          <w:u w:val="none"/>
        </w:rPr>
        <w:t xml:space="preserve">格式2、开标一览表</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t xml:space="preserve">开标一览表</w:t>
      </w:r>
      <w:r>
        <w:rPr>
          <w:color w:val="auto"/>
          <w:highlight w:val="none"/>
        </w:rPr>
      </w:r>
      <w:r/>
    </w:p>
    <w:p>
      <w:pPr>
        <w:ind w:left="0" w:right="0" w:firstLine="72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标段编号： </w:t>
      </w:r>
      <w:r>
        <w:rPr>
          <w:color w:val="auto"/>
          <w:highlight w:val="none"/>
        </w:rPr>
      </w:r>
      <w:r/>
    </w:p>
    <w:p>
      <w:pPr>
        <w:ind w:left="0" w:right="0" w:firstLine="720"/>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标段名称：</w:t>
      </w:r>
      <w:r>
        <w:rPr>
          <w:color w:val="auto"/>
          <w:highlight w:val="none"/>
        </w:rPr>
      </w:r>
      <w:r/>
    </w:p>
    <w:p>
      <w:pPr>
        <w:ind w:left="0" w:right="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bl>
      <w:tblPr>
        <w:tblStyle w:val="79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45"/>
        <w:gridCol w:w="6177"/>
      </w:tblGrid>
      <w:tr>
        <w:trPr>
          <w:cantSplit/>
          <w:jc w:val="center"/>
          <w:trHeight w:val="1310"/>
        </w:trPr>
        <w:tc>
          <w:tcPr>
            <w:tcW w:w="1790"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28"/>
                <w:szCs w:val="28"/>
                <w:highlight w:val="none"/>
                <w:u w:val="none"/>
              </w:rPr>
              <w:outlineLvl w:val="9"/>
            </w:pPr>
            <w:r>
              <w:rPr>
                <w:rFonts w:hint="eastAsia" w:ascii="宋体" w:hAnsi="宋体" w:eastAsia="宋体" w:cs="宋体"/>
                <w:bCs/>
                <w:i w:val="0"/>
                <w:iCs w:val="0"/>
                <w:color w:val="auto"/>
                <w:sz w:val="28"/>
                <w:szCs w:val="28"/>
                <w:highlight w:val="none"/>
                <w:u w:val="none"/>
              </w:rPr>
              <w:t xml:space="preserve">标题</w:t>
            </w:r>
            <w:r>
              <w:rPr>
                <w:color w:val="auto"/>
                <w:highlight w:val="none"/>
              </w:rPr>
            </w:r>
            <w:r/>
          </w:p>
        </w:tc>
        <w:tc>
          <w:tcPr>
            <w:tcW w:w="320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i w:val="0"/>
                <w:iCs w:val="0"/>
                <w:color w:val="auto"/>
                <w:sz w:val="28"/>
                <w:szCs w:val="28"/>
                <w:highlight w:val="none"/>
                <w:u w:val="none"/>
              </w:rPr>
              <w:outlineLvl w:val="9"/>
            </w:pPr>
            <w:r>
              <w:rPr>
                <w:rFonts w:hint="eastAsia" w:ascii="宋体" w:hAnsi="宋体" w:eastAsia="宋体" w:cs="宋体"/>
                <w:i w:val="0"/>
                <w:iCs w:val="0"/>
                <w:color w:val="auto"/>
                <w:sz w:val="28"/>
                <w:szCs w:val="28"/>
                <w:highlight w:val="none"/>
                <w:u w:val="none"/>
              </w:rPr>
              <w:t xml:space="preserve">内容</w:t>
            </w:r>
            <w:r>
              <w:rPr>
                <w:color w:val="auto"/>
                <w:highlight w:val="none"/>
              </w:rPr>
            </w:r>
            <w:r/>
          </w:p>
        </w:tc>
      </w:tr>
      <w:tr>
        <w:trPr>
          <w:cantSplit/>
          <w:jc w:val="center"/>
          <w:trHeight w:val="1310"/>
        </w:trPr>
        <w:tc>
          <w:tcPr>
            <w:tcW w:w="1790"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28"/>
                <w:szCs w:val="28"/>
                <w:highlight w:val="none"/>
                <w:u w:val="none"/>
              </w:rPr>
              <w:outlineLvl w:val="9"/>
            </w:pPr>
            <w:r>
              <w:rPr>
                <w:rFonts w:hint="eastAsia" w:ascii="宋体" w:hAnsi="宋体" w:eastAsia="宋体" w:cs="宋体"/>
                <w:bCs/>
                <w:i w:val="0"/>
                <w:iCs w:val="0"/>
                <w:color w:val="auto"/>
                <w:sz w:val="28"/>
                <w:szCs w:val="28"/>
                <w:highlight w:val="none"/>
                <w:u w:val="none"/>
              </w:rPr>
              <w:t xml:space="preserve">投标报价</w:t>
            </w:r>
            <w:r>
              <w:rPr>
                <w:color w:val="auto"/>
                <w:highlight w:val="none"/>
              </w:rPr>
            </w:r>
            <w:r/>
          </w:p>
        </w:tc>
        <w:tc>
          <w:tcPr>
            <w:tcW w:w="320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i w:val="0"/>
                <w:iCs w:val="0"/>
                <w:color w:val="auto"/>
                <w:sz w:val="28"/>
                <w:szCs w:val="28"/>
                <w:highlight w:val="none"/>
                <w:u w:val="none"/>
              </w:rPr>
              <w:outlineLvl w:val="9"/>
            </w:pPr>
            <w:r>
              <w:rPr>
                <w:rFonts w:hint="eastAsia" w:ascii="宋体" w:hAnsi="宋体" w:eastAsia="宋体" w:cs="宋体"/>
                <w:i w:val="0"/>
                <w:iCs w:val="0"/>
                <w:color w:val="auto"/>
                <w:sz w:val="28"/>
                <w:szCs w:val="28"/>
                <w:highlight w:val="none"/>
                <w:u w:val="none"/>
                <w:lang w:val="en-US" w:eastAsia="zh-CN"/>
              </w:rPr>
              <w:t xml:space="preserve">         元</w:t>
            </w:r>
            <w:r>
              <w:rPr>
                <w:color w:val="auto"/>
                <w:highlight w:val="none"/>
              </w:rPr>
            </w:r>
            <w:r/>
          </w:p>
        </w:tc>
      </w:tr>
      <w:tr>
        <w:trPr>
          <w:cantSplit/>
          <w:jc w:val="center"/>
          <w:trHeight w:val="1310"/>
        </w:trPr>
        <w:tc>
          <w:tcPr>
            <w:tcW w:w="1790"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eastAsia="宋体" w:cs="宋体"/>
                <w:bCs/>
                <w:i w:val="0"/>
                <w:iCs w:val="0"/>
                <w:color w:val="auto"/>
                <w:sz w:val="28"/>
                <w:szCs w:val="28"/>
                <w:highlight w:val="none"/>
                <w:u w:val="none"/>
              </w:rPr>
              <w:outlineLvl w:val="9"/>
            </w:pPr>
            <w:r>
              <w:rPr>
                <w:rFonts w:hint="eastAsia" w:ascii="宋体" w:hAnsi="宋体" w:eastAsia="宋体" w:cs="宋体"/>
                <w:bCs/>
                <w:i w:val="0"/>
                <w:iCs w:val="0"/>
                <w:color w:val="auto"/>
                <w:sz w:val="28"/>
                <w:szCs w:val="28"/>
                <w:highlight w:val="none"/>
                <w:u w:val="none"/>
                <w:lang w:val="en-US" w:eastAsia="zh-CN"/>
              </w:rPr>
              <w:t xml:space="preserve">服务期限</w:t>
            </w:r>
            <w:r>
              <w:rPr>
                <w:color w:val="auto"/>
                <w:highlight w:val="none"/>
              </w:rPr>
            </w:r>
            <w:r/>
          </w:p>
        </w:tc>
        <w:tc>
          <w:tcPr>
            <w:tcW w:w="3209"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i w:val="0"/>
                <w:iCs w:val="0"/>
                <w:color w:val="auto"/>
                <w:sz w:val="28"/>
                <w:szCs w:val="28"/>
                <w:highlight w:val="none"/>
                <w:u w:val="none"/>
              </w:rPr>
              <w:outlineLvl w:val="9"/>
            </w:pPr>
            <w:r>
              <w:rPr>
                <w:rFonts w:hint="eastAsia" w:ascii="宋体" w:hAnsi="宋体" w:eastAsia="宋体" w:cs="宋体"/>
                <w:i w:val="0"/>
                <w:iCs w:val="0"/>
                <w:color w:val="auto"/>
                <w:sz w:val="28"/>
                <w:szCs w:val="28"/>
                <w:highlight w:val="none"/>
                <w:u w:val="none"/>
                <w:lang w:val="en-US" w:eastAsia="zh-CN"/>
              </w:rPr>
              <w:t xml:space="preserve">自初验合格后1年</w:t>
            </w:r>
            <w:r>
              <w:rPr>
                <w:color w:val="auto"/>
                <w:highlight w:val="none"/>
              </w:rPr>
            </w:r>
            <w:r/>
          </w:p>
        </w:tc>
      </w:tr>
    </w:tbl>
    <w:p>
      <w:pPr>
        <w:ind w:left="0" w:right="0" w:firstLine="420"/>
        <w:jc w:val="left"/>
        <w:keepLines w:val="0"/>
        <w:keepNext w:val="0"/>
        <w:pageBreakBefore w:val="0"/>
        <w:spacing w:line="360" w:lineRule="auto"/>
        <w:widowControl w:val="off"/>
        <w:rPr>
          <w:rFonts w:hint="eastAsia" w:ascii="宋体" w:hAnsi="宋体" w:eastAsia="宋体" w:cs="宋体"/>
          <w:bCs/>
          <w:i w:val="0"/>
          <w:iCs w:val="0"/>
          <w:color w:val="auto"/>
          <w:szCs w:val="24"/>
          <w:highlight w:val="none"/>
          <w:u w:val="none"/>
        </w:rPr>
        <w:outlineLvl w:val="9"/>
      </w:pPr>
      <w:r>
        <w:rPr>
          <w:rFonts w:hint="eastAsia" w:ascii="宋体" w:hAnsi="宋体" w:eastAsia="宋体" w:cs="宋体"/>
          <w:bCs/>
          <w:i w:val="0"/>
          <w:iCs w:val="0"/>
          <w:color w:val="auto"/>
          <w:szCs w:val="24"/>
          <w:highlight w:val="none"/>
          <w:u w:val="none"/>
        </w:rPr>
      </w:r>
      <w:r>
        <w:rPr>
          <w:color w:val="auto"/>
          <w:highlight w:val="none"/>
        </w:rPr>
      </w:r>
      <w:r/>
    </w:p>
    <w:p>
      <w:pPr>
        <w:ind w:left="0" w:right="0" w:firstLine="420"/>
        <w:jc w:val="left"/>
        <w:keepLines w:val="0"/>
        <w:keepNext w:val="0"/>
        <w:pageBreakBefore w:val="0"/>
        <w:spacing w:line="360" w:lineRule="auto"/>
        <w:widowControl w:val="off"/>
        <w:rPr>
          <w:rFonts w:hint="eastAsia" w:ascii="宋体" w:hAnsi="宋体" w:eastAsia="宋体" w:cs="宋体"/>
          <w:bCs/>
          <w:i w:val="0"/>
          <w:iCs w:val="0"/>
          <w:color w:val="auto"/>
          <w:szCs w:val="24"/>
          <w:highlight w:val="none"/>
          <w:u w:val="none"/>
        </w:rPr>
        <w:outlineLvl w:val="9"/>
      </w:pPr>
      <w:r>
        <w:rPr>
          <w:rFonts w:hint="eastAsia" w:ascii="宋体" w:hAnsi="宋体" w:eastAsia="宋体" w:cs="宋体"/>
          <w:bCs/>
          <w:i w:val="0"/>
          <w:iCs w:val="0"/>
          <w:color w:val="auto"/>
          <w:szCs w:val="24"/>
          <w:highlight w:val="none"/>
          <w:u w:val="none"/>
        </w:rPr>
      </w:r>
      <w:r>
        <w:rPr>
          <w:color w:val="auto"/>
          <w:highlight w:val="none"/>
        </w:rPr>
      </w:r>
      <w:r/>
    </w:p>
    <w:p>
      <w:pPr>
        <w:ind w:left="0" w:right="0" w:firstLine="420"/>
        <w:jc w:val="left"/>
        <w:keepLines w:val="0"/>
        <w:keepNext w:val="0"/>
        <w:pageBreakBefore w:val="0"/>
        <w:spacing w:line="360" w:lineRule="auto"/>
        <w:widowControl w:val="off"/>
        <w:rPr>
          <w:rFonts w:hint="eastAsia" w:ascii="宋体" w:hAnsi="宋体" w:eastAsia="宋体" w:cs="宋体"/>
          <w:bCs/>
          <w:i w:val="0"/>
          <w:iCs w:val="0"/>
          <w:color w:val="auto"/>
          <w:szCs w:val="24"/>
          <w:highlight w:val="none"/>
          <w:u w:val="none"/>
        </w:rPr>
        <w:outlineLvl w:val="9"/>
      </w:pPr>
      <w:r>
        <w:rPr>
          <w:rFonts w:hint="eastAsia" w:ascii="宋体" w:hAnsi="宋体" w:eastAsia="宋体" w:cs="宋体"/>
          <w:bCs/>
          <w:i w:val="0"/>
          <w:iCs w:val="0"/>
          <w:color w:val="auto"/>
          <w:szCs w:val="24"/>
          <w:highlight w:val="none"/>
          <w:u w:val="none"/>
        </w:rPr>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投标人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numPr>
          <w:ilvl w:val="0"/>
          <w:numId w:val="0"/>
        </w:numPr>
        <w:ind w:left="0" w:right="0"/>
        <w:keepLines w:val="0"/>
        <w:keepNext w:val="0"/>
        <w:pageBreakBefore w:val="0"/>
        <w:spacing w:line="360" w:lineRule="auto"/>
        <w:widowControl w:val="off"/>
        <w:tabs>
          <w:tab w:val="left" w:pos="1021" w:leader="none"/>
        </w:tabs>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sz w:val="32"/>
          <w:szCs w:val="20"/>
          <w:highlight w:val="none"/>
          <w:u w:val="none"/>
        </w:rPr>
        <w:br w:type="page" w:clear="all"/>
      </w:r>
      <w:r>
        <w:rPr>
          <w:rFonts w:hint="eastAsia" w:ascii="宋体" w:hAnsi="宋体" w:eastAsia="宋体" w:cs="宋体"/>
          <w:i w:val="0"/>
          <w:iCs w:val="0"/>
          <w:color w:val="auto"/>
          <w:sz w:val="24"/>
          <w:szCs w:val="24"/>
          <w:highlight w:val="none"/>
          <w:u w:val="none"/>
        </w:rPr>
        <w:t xml:space="preserve">格式3、</w:t>
      </w:r>
      <w:r>
        <w:rPr>
          <w:rFonts w:hint="eastAsia" w:ascii="宋体" w:hAnsi="宋体" w:eastAsia="宋体" w:cs="宋体"/>
          <w:b w:val="0"/>
          <w:i w:val="0"/>
          <w:iCs w:val="0"/>
          <w:color w:val="auto"/>
          <w:sz w:val="24"/>
          <w:szCs w:val="24"/>
          <w:highlight w:val="none"/>
          <w:u w:val="none"/>
        </w:rPr>
        <w:t xml:space="preserve">财务状况报告及税收、社会保障资金缴纳情况承诺函</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t xml:space="preserve">财务状况报告及税收、社会保障资金缴纳情况承诺函</w:t>
      </w:r>
      <w:r>
        <w:rPr>
          <w:color w:val="auto"/>
          <w:highlight w:val="none"/>
        </w:rPr>
      </w:r>
      <w:r/>
    </w:p>
    <w:p>
      <w:pPr>
        <w:pStyle w:val="999"/>
        <w:ind w:left="0" w:right="0"/>
        <w:keepLines w:val="0"/>
        <w:keepNext w:val="0"/>
        <w:pageBreakBefore w:val="0"/>
        <w:spacing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致：【采购单位】</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我方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投标人</w:t>
      </w:r>
      <w:r>
        <w:rPr>
          <w:rFonts w:hint="eastAsia" w:ascii="宋体" w:hAnsi="宋体" w:eastAsia="宋体" w:cs="宋体"/>
          <w:i w:val="0"/>
          <w:iCs w:val="0"/>
          <w:color w:val="auto"/>
          <w:sz w:val="24"/>
          <w:szCs w:val="24"/>
          <w:highlight w:val="none"/>
          <w:u w:val="single"/>
        </w:rPr>
        <w:t xml:space="preserve">名称 </w:t>
      </w:r>
      <w:r>
        <w:rPr>
          <w:rFonts w:hint="eastAsia" w:ascii="宋体" w:hAnsi="宋体" w:eastAsia="宋体" w:cs="宋体"/>
          <w:i w:val="0"/>
          <w:iCs w:val="0"/>
          <w:color w:val="auto"/>
          <w:sz w:val="24"/>
          <w:szCs w:val="24"/>
          <w:highlight w:val="none"/>
          <w:u w:val="none"/>
        </w:rPr>
        <w:t xml:space="preserve">参加</w:t>
      </w:r>
      <w:r>
        <w:rPr>
          <w:rFonts w:hint="eastAsia" w:ascii="宋体" w:hAnsi="宋体" w:eastAsia="宋体" w:cs="宋体"/>
          <w:i w:val="0"/>
          <w:iCs w:val="0"/>
          <w:color w:val="auto"/>
          <w:sz w:val="24"/>
          <w:szCs w:val="24"/>
          <w:highlight w:val="none"/>
          <w:u w:val="single"/>
        </w:rPr>
        <w:t xml:space="preserve">【标段名称】</w:t>
      </w:r>
      <w:r>
        <w:rPr>
          <w:rFonts w:hint="eastAsia" w:ascii="宋体" w:hAnsi="宋体" w:eastAsia="宋体" w:cs="宋体"/>
          <w:i w:val="0"/>
          <w:iCs w:val="0"/>
          <w:color w:val="auto"/>
          <w:sz w:val="24"/>
          <w:szCs w:val="24"/>
          <w:highlight w:val="none"/>
          <w:u w:val="none"/>
        </w:rPr>
        <w:t xml:space="preserve">（项目编号：</w:t>
      </w:r>
      <w:r>
        <w:rPr>
          <w:rFonts w:hint="eastAsia" w:ascii="宋体" w:hAnsi="宋体" w:eastAsia="宋体" w:cs="宋体"/>
          <w:i w:val="0"/>
          <w:iCs w:val="0"/>
          <w:color w:val="auto"/>
          <w:sz w:val="24"/>
          <w:szCs w:val="24"/>
          <w:highlight w:val="none"/>
          <w:u w:val="single"/>
        </w:rPr>
        <w:t xml:space="preserve">【标段编号】</w:t>
      </w:r>
      <w:r>
        <w:rPr>
          <w:rFonts w:hint="eastAsia" w:ascii="宋体" w:hAnsi="宋体" w:eastAsia="宋体" w:cs="宋体"/>
          <w:i w:val="0"/>
          <w:iCs w:val="0"/>
          <w:color w:val="auto"/>
          <w:sz w:val="24"/>
          <w:szCs w:val="24"/>
          <w:highlight w:val="none"/>
          <w:u w:val="none"/>
        </w:rPr>
        <w:t xml:space="preserve">）采购，根据《关于简化政府采购</w:t>
      </w:r>
      <w:r>
        <w:rPr>
          <w:rFonts w:hint="eastAsia" w:ascii="宋体" w:hAnsi="宋体" w:eastAsia="宋体" w:cs="宋体"/>
          <w:i w:val="0"/>
          <w:iCs w:val="0"/>
          <w:color w:val="auto"/>
          <w:sz w:val="24"/>
          <w:szCs w:val="24"/>
          <w:highlight w:val="none"/>
          <w:u w:val="none"/>
          <w:lang w:eastAsia="zh-CN"/>
        </w:rPr>
        <w:t xml:space="preserve">投标人</w:t>
      </w:r>
      <w:r>
        <w:rPr>
          <w:rFonts w:hint="eastAsia" w:ascii="宋体" w:hAnsi="宋体" w:eastAsia="宋体" w:cs="宋体"/>
          <w:i w:val="0"/>
          <w:iCs w:val="0"/>
          <w:color w:val="auto"/>
          <w:sz w:val="24"/>
          <w:szCs w:val="24"/>
          <w:highlight w:val="none"/>
          <w:u w:val="none"/>
        </w:rPr>
        <w:t xml:space="preserve">资格审查有关事项的通知》（连财购〔2023〕4号），我方承诺具备《中华人民共和国政府采购法》第二十二条第（二）、第（四）项，《中华人民共和国政府采购法实施条例》第十七条第（二）项规定条件的，具体包括：</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（1）具有良好的商业信誉和健全的财务会计制度（财务状况报告）；</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（2）有依法缴纳税收和社会保障资金的良好记录。</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特此承诺</w:t>
      </w:r>
      <w:r>
        <w:rPr>
          <w:rFonts w:hint="eastAsia" w:ascii="宋体" w:hAnsi="宋体" w:eastAsia="宋体" w:cs="宋体"/>
          <w:i w:val="0"/>
          <w:iCs w:val="0"/>
          <w:color w:val="auto"/>
          <w:sz w:val="24"/>
          <w:szCs w:val="24"/>
          <w:highlight w:val="none"/>
          <w:u w:val="none"/>
          <w:lang w:eastAsia="zh-CN"/>
        </w:rPr>
        <w:t xml:space="preserve">。</w:t>
      </w:r>
      <w:r>
        <w:rPr>
          <w:color w:val="auto"/>
          <w:highlight w:val="none"/>
        </w:rPr>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r>
      <w:r>
        <w:rPr>
          <w:color w:val="auto"/>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投标人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ectPr>
          <w:footnotePr/>
          <w:endnotePr/>
          <w:type w:val="nextPage"/>
          <w:pgSz w:w="11906" w:h="16838" w:orient="portrait"/>
          <w:pgMar w:top="1134" w:right="1134" w:bottom="1134" w:left="1134" w:header="720" w:footer="720" w:gutter="0"/>
          <w:cols w:num="1" w:sep="0" w:space="720" w:equalWidth="1"/>
          <w:docGrid w:linePitch="360"/>
        </w:sect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i w:val="0"/>
          <w:iCs w:val="0"/>
          <w:color w:val="auto"/>
          <w:sz w:val="24"/>
          <w:szCs w:val="24"/>
          <w:highlight w:val="none"/>
          <w:u w:val="none"/>
        </w:rPr>
        <w:t xml:space="preserve">格式</w:t>
      </w: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、中小企业声明函</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t xml:space="preserve">中小企业声明函</w:t>
      </w:r>
      <w:r>
        <w:rPr>
          <w:color w:val="auto"/>
          <w:highlight w:val="none"/>
        </w:rPr>
      </w:r>
      <w:r/>
    </w:p>
    <w:p>
      <w:pPr>
        <w:ind w:left="0" w:right="0"/>
        <w:jc w:val="both"/>
        <w:keepLines w:val="0"/>
        <w:keepNext w:val="0"/>
        <w:pageBreakBefore w:val="0"/>
        <w:spacing w:line="360" w:lineRule="auto"/>
        <w:widowControl w:val="off"/>
        <w:tabs>
          <w:tab w:val="left" w:pos="360" w:leader="none"/>
        </w:tabs>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本公司郑重声明，根据《政府采购促进中小企业发展管理办法》（财库﹝2020﹞46号）的规定，本公司参加</w:t>
      </w:r>
      <w:r>
        <w:rPr>
          <w:rFonts w:hint="eastAsia" w:ascii="宋体" w:hAnsi="宋体" w:eastAsia="宋体" w:cs="宋体"/>
          <w:i w:val="0"/>
          <w:iCs w:val="0"/>
          <w:color w:val="auto"/>
          <w:sz w:val="24"/>
          <w:szCs w:val="24"/>
          <w:highlight w:val="none"/>
          <w:u w:val="single"/>
        </w:rPr>
        <w:t xml:space="preserve">（单位名称）</w:t>
      </w:r>
      <w:r>
        <w:rPr>
          <w:rFonts w:hint="eastAsia" w:ascii="宋体" w:hAnsi="宋体" w:eastAsia="宋体" w:cs="宋体"/>
          <w:i w:val="0"/>
          <w:iCs w:val="0"/>
          <w:color w:val="auto"/>
          <w:sz w:val="24"/>
          <w:szCs w:val="24"/>
          <w:highlight w:val="none"/>
          <w:u w:val="none"/>
        </w:rPr>
        <w:t xml:space="preserve">的</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u w:val="none"/>
        </w:rPr>
        <w:t xml:space="preserve">采购活动，服务全部由符合政策要求的中小企业承接。</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single"/>
        </w:rPr>
        <w:t xml:space="preserve">（标的名称） </w:t>
      </w:r>
      <w:r>
        <w:rPr>
          <w:rFonts w:hint="eastAsia" w:ascii="宋体" w:hAnsi="宋体" w:eastAsia="宋体" w:cs="宋体"/>
          <w:i w:val="0"/>
          <w:iCs w:val="0"/>
          <w:color w:val="auto"/>
          <w:sz w:val="24"/>
          <w:szCs w:val="24"/>
          <w:highlight w:val="none"/>
          <w:u w:val="none"/>
        </w:rPr>
        <w:t xml:space="preserve">，属于</w:t>
      </w:r>
      <w:r>
        <w:rPr>
          <w:rFonts w:hint="eastAsia" w:ascii="宋体" w:hAnsi="宋体" w:eastAsia="宋体" w:cs="宋体"/>
          <w:i w:val="0"/>
          <w:iCs w:val="0"/>
          <w:color w:val="auto"/>
          <w:sz w:val="24"/>
          <w:szCs w:val="24"/>
          <w:highlight w:val="none"/>
          <w:u w:val="single"/>
        </w:rPr>
        <w:t xml:space="preserve">（</w:t>
      </w:r>
      <w:r>
        <w:rPr>
          <w:rFonts w:hint="eastAsia" w:ascii="宋体" w:hAnsi="宋体" w:eastAsia="宋体" w:cs="宋体"/>
          <w:i w:val="0"/>
          <w:iCs w:val="0"/>
          <w:color w:val="auto"/>
          <w:sz w:val="24"/>
          <w:szCs w:val="24"/>
          <w:highlight w:val="none"/>
          <w:u w:val="single"/>
          <w:lang w:eastAsia="zh-CN"/>
        </w:rPr>
        <w:t xml:space="preserve">招标文件</w:t>
      </w:r>
      <w:r>
        <w:rPr>
          <w:rFonts w:hint="eastAsia" w:ascii="宋体" w:hAnsi="宋体" w:eastAsia="宋体" w:cs="宋体"/>
          <w:i w:val="0"/>
          <w:iCs w:val="0"/>
          <w:color w:val="auto"/>
          <w:sz w:val="24"/>
          <w:szCs w:val="24"/>
          <w:highlight w:val="none"/>
          <w:u w:val="single"/>
        </w:rPr>
        <w:t xml:space="preserve">中明确的所属行业） </w:t>
      </w:r>
      <w:r>
        <w:rPr>
          <w:rFonts w:hint="eastAsia" w:ascii="宋体" w:hAnsi="宋体" w:eastAsia="宋体" w:cs="宋体"/>
          <w:i w:val="0"/>
          <w:iCs w:val="0"/>
          <w:color w:val="auto"/>
          <w:sz w:val="24"/>
          <w:szCs w:val="24"/>
          <w:highlight w:val="none"/>
          <w:u w:val="none"/>
        </w:rPr>
        <w:t xml:space="preserve">行业；承接企业为</w:t>
      </w:r>
      <w:r>
        <w:rPr>
          <w:rFonts w:hint="eastAsia" w:ascii="宋体" w:hAnsi="宋体" w:eastAsia="宋体" w:cs="宋体"/>
          <w:i w:val="0"/>
          <w:iCs w:val="0"/>
          <w:color w:val="auto"/>
          <w:sz w:val="24"/>
          <w:szCs w:val="24"/>
          <w:highlight w:val="none"/>
          <w:u w:val="single"/>
        </w:rPr>
        <w:t xml:space="preserve">（企业名称）</w:t>
      </w:r>
      <w:r>
        <w:rPr>
          <w:rFonts w:hint="eastAsia" w:ascii="宋体" w:hAnsi="宋体" w:eastAsia="宋体" w:cs="宋体"/>
          <w:i w:val="0"/>
          <w:iCs w:val="0"/>
          <w:color w:val="auto"/>
          <w:sz w:val="24"/>
          <w:szCs w:val="24"/>
          <w:highlight w:val="none"/>
          <w:u w:val="none"/>
        </w:rPr>
        <w:t xml:space="preserve">，从业人员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万元，属于</w:t>
      </w:r>
      <w:r>
        <w:rPr>
          <w:rFonts w:hint="eastAsia" w:ascii="宋体" w:hAnsi="宋体" w:eastAsia="宋体" w:cs="宋体"/>
          <w:i w:val="0"/>
          <w:iCs w:val="0"/>
          <w:color w:val="auto"/>
          <w:sz w:val="24"/>
          <w:szCs w:val="24"/>
          <w:highlight w:val="none"/>
          <w:u w:val="single"/>
        </w:rPr>
        <w:t xml:space="preserve">（中型企业、小型企业、微型企业）</w:t>
      </w:r>
      <w:r>
        <w:rPr>
          <w:rFonts w:hint="eastAsia" w:ascii="宋体" w:hAnsi="宋体" w:eastAsia="宋体" w:cs="宋体"/>
          <w:i w:val="0"/>
          <w:iCs w:val="0"/>
          <w:color w:val="auto"/>
          <w:sz w:val="24"/>
          <w:szCs w:val="24"/>
          <w:highlight w:val="none"/>
          <w:u w:val="none"/>
        </w:rPr>
        <w:t xml:space="preserve">。 </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以上企业，不属于大企业的分支机构，不存在控股股东为大企业的情形，也不存在与大企业的负责人为同一人的情形。</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本企业对上述声明内容的真实性负责。如有虚假，将依法承担相应责任。 </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9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声明人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firstLine="492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填报说明：</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1、从业人员、营业收入、资产总额</w:t>
      </w:r>
      <w:r>
        <w:rPr>
          <w:rFonts w:hint="eastAsia" w:ascii="宋体" w:hAnsi="宋体" w:eastAsia="宋体" w:cs="宋体"/>
          <w:i w:val="0"/>
          <w:iCs w:val="0"/>
          <w:color w:val="auto"/>
          <w:sz w:val="24"/>
          <w:highlight w:val="none"/>
          <w:u w:val="none"/>
        </w:rPr>
        <w:t xml:space="preserve">填报上一年度数据，无上一年度数据的新成立企业可不填报。</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2、请</w:t>
      </w:r>
      <w:r>
        <w:rPr>
          <w:rFonts w:hint="eastAsia" w:ascii="宋体" w:hAnsi="宋体" w:eastAsia="宋体" w:cs="宋体"/>
          <w:i w:val="0"/>
          <w:iCs w:val="0"/>
          <w:color w:val="auto"/>
          <w:sz w:val="24"/>
          <w:szCs w:val="24"/>
          <w:highlight w:val="none"/>
          <w:u w:val="none"/>
          <w:lang w:val="en-US" w:eastAsia="zh-CN"/>
        </w:rPr>
        <w:t xml:space="preserve">投标人</w:t>
      </w:r>
      <w:r>
        <w:rPr>
          <w:rFonts w:hint="eastAsia" w:ascii="宋体" w:hAnsi="宋体" w:eastAsia="宋体" w:cs="宋体"/>
          <w:i w:val="0"/>
          <w:iCs w:val="0"/>
          <w:color w:val="auto"/>
          <w:sz w:val="24"/>
          <w:szCs w:val="24"/>
          <w:highlight w:val="none"/>
          <w:u w:val="none"/>
        </w:rPr>
        <w:t xml:space="preserve">如实填写，所填内容将作为评审的依据。其内容填写须与报价明细表一致，如填写不完整或不一致，将不享受扶持政策。</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3、中标</w:t>
      </w:r>
      <w:r>
        <w:rPr>
          <w:rFonts w:hint="eastAsia" w:ascii="宋体" w:hAnsi="宋体" w:eastAsia="宋体" w:cs="宋体"/>
          <w:i w:val="0"/>
          <w:iCs w:val="0"/>
          <w:color w:val="auto"/>
          <w:sz w:val="24"/>
          <w:szCs w:val="24"/>
          <w:highlight w:val="none"/>
          <w:u w:val="none"/>
          <w:lang w:val="en-US" w:eastAsia="zh-CN"/>
        </w:rPr>
        <w:t xml:space="preserve">人</w:t>
      </w:r>
      <w:r>
        <w:rPr>
          <w:rFonts w:hint="eastAsia" w:ascii="宋体" w:hAnsi="宋体" w:eastAsia="宋体" w:cs="宋体"/>
          <w:i w:val="0"/>
          <w:iCs w:val="0"/>
          <w:color w:val="auto"/>
          <w:sz w:val="24"/>
          <w:szCs w:val="24"/>
          <w:highlight w:val="none"/>
          <w:u w:val="none"/>
        </w:rPr>
        <w:t xml:space="preserve">的《中小企业声明函》随中标结果公开。</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ectPr>
          <w:footnotePr/>
          <w:endnotePr/>
          <w:type w:val="nextPage"/>
          <w:pgSz w:w="11906" w:h="16838" w:orient="portrait"/>
          <w:pgMar w:top="1134" w:right="1134" w:bottom="1134" w:left="1134" w:header="720" w:footer="720" w:gutter="0"/>
          <w:cols w:num="1" w:sep="0" w:space="720" w:equalWidth="1"/>
          <w:docGrid w:linePitch="360"/>
        </w:sect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i w:val="0"/>
          <w:iCs w:val="0"/>
          <w:color w:val="auto"/>
          <w:sz w:val="24"/>
          <w:szCs w:val="24"/>
          <w:highlight w:val="none"/>
          <w:u w:val="none"/>
        </w:rPr>
        <w:t xml:space="preserve">格式</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、残疾人福利性企业声明函</w:t>
      </w:r>
      <w:r>
        <w:rPr>
          <w:color w:val="auto"/>
          <w:highlight w:val="none"/>
        </w:rPr>
      </w:r>
      <w:r/>
    </w:p>
    <w:p>
      <w:pPr>
        <w:ind w:left="0" w:right="0"/>
        <w:jc w:val="left"/>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jc w:val="center"/>
        <w:spacing w:line="360" w:lineRule="auto"/>
        <w:rPr>
          <w:rFonts w:hint="eastAsia" w:ascii="宋体" w:hAnsi="宋体" w:eastAsia="宋体" w:cs="宋体"/>
          <w:i w:val="0"/>
          <w:iCs w:val="0"/>
          <w:color w:val="auto"/>
          <w:sz w:val="36"/>
          <w:szCs w:val="28"/>
          <w:highlight w:val="none"/>
          <w:u w:val="none"/>
        </w:rPr>
      </w:pPr>
      <w:r>
        <w:rPr>
          <w:rFonts w:hint="eastAsia" w:ascii="宋体" w:hAnsi="宋体" w:eastAsia="宋体" w:cs="宋体"/>
          <w:i w:val="0"/>
          <w:iCs w:val="0"/>
          <w:color w:val="auto"/>
          <w:sz w:val="36"/>
          <w:szCs w:val="28"/>
          <w:highlight w:val="none"/>
          <w:u w:val="none"/>
        </w:rPr>
        <w:t xml:space="preserve">残疾人福利性单位声明函</w:t>
      </w:r>
      <w:r>
        <w:rPr>
          <w:color w:val="auto"/>
          <w:highlight w:val="none"/>
        </w:rPr>
      </w:r>
      <w:r/>
    </w:p>
    <w:p>
      <w:pPr>
        <w:ind w:firstLine="480"/>
        <w:spacing w:line="360" w:lineRule="auto"/>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color w:val="auto"/>
          <w:highlight w:val="none"/>
        </w:rPr>
      </w:r>
      <w:r/>
    </w:p>
    <w:p>
      <w:pPr>
        <w:ind w:firstLine="480"/>
        <w:spacing w:line="360" w:lineRule="auto"/>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本单位对上述声明的真实性负责。如有虚假，将依法承担相应责任。</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i w:val="0"/>
          <w:iCs w:val="0"/>
          <w:color w:val="auto"/>
          <w:sz w:val="24"/>
          <w:szCs w:val="24"/>
          <w:highlight w:val="none"/>
          <w:u w:val="none"/>
        </w:rPr>
        <w:t xml:space="preserve">　　　　　　　　　　　　　　　　</w:t>
      </w:r>
      <w:r>
        <w:rPr>
          <w:rFonts w:hint="eastAsia" w:ascii="宋体" w:hAnsi="宋体" w:eastAsia="宋体" w:cs="宋体"/>
          <w:bCs/>
          <w:color w:val="auto"/>
          <w:sz w:val="24"/>
          <w:highlight w:val="none"/>
          <w:lang w:val="en-US" w:eastAsia="zh-CN"/>
        </w:rPr>
        <w:t xml:space="preserve">声明人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ind w:firstLine="432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
          <w:i w:val="0"/>
          <w:iCs w:val="0"/>
          <w:color w:val="auto"/>
          <w:sz w:val="22"/>
          <w:szCs w:val="21"/>
          <w:highlight w:val="none"/>
          <w:u w:val="none"/>
        </w:rPr>
        <w:outlineLvl w:val="9"/>
      </w:pPr>
      <w:r>
        <w:rPr>
          <w:rFonts w:hint="eastAsia" w:ascii="宋体" w:hAnsi="宋体" w:eastAsia="宋体" w:cs="宋体"/>
          <w:b/>
          <w:i w:val="0"/>
          <w:iCs w:val="0"/>
          <w:color w:val="auto"/>
          <w:sz w:val="22"/>
          <w:szCs w:val="21"/>
          <w:highlight w:val="none"/>
          <w:u w:val="none"/>
        </w:rPr>
      </w:r>
      <w:r>
        <w:rPr>
          <w:color w:val="auto"/>
          <w:highlight w:val="none"/>
        </w:rPr>
      </w:r>
      <w:r/>
    </w:p>
    <w:p>
      <w:pPr>
        <w:ind w:left="0" w:right="0" w:firstLine="442"/>
        <w:keepLines w:val="0"/>
        <w:keepNext w:val="0"/>
        <w:pageBreakBefore w:val="0"/>
        <w:spacing w:line="360" w:lineRule="auto"/>
        <w:widowControl w:val="off"/>
        <w:rPr>
          <w:rFonts w:hint="eastAsia" w:ascii="宋体" w:hAnsi="宋体" w:eastAsia="宋体" w:cs="宋体"/>
          <w:b/>
          <w:i w:val="0"/>
          <w:iCs w:val="0"/>
          <w:color w:val="auto"/>
          <w:sz w:val="22"/>
          <w:szCs w:val="21"/>
          <w:highlight w:val="none"/>
          <w:u w:val="none"/>
        </w:rPr>
        <w:outlineLvl w:val="9"/>
      </w:pPr>
      <w:r>
        <w:rPr>
          <w:rFonts w:hint="eastAsia" w:ascii="宋体" w:hAnsi="宋体" w:eastAsia="宋体" w:cs="宋体"/>
          <w:b/>
          <w:i w:val="0"/>
          <w:iCs w:val="0"/>
          <w:color w:val="auto"/>
          <w:sz w:val="22"/>
          <w:szCs w:val="21"/>
          <w:highlight w:val="none"/>
          <w:u w:val="none"/>
        </w:rPr>
      </w:r>
      <w:r>
        <w:rPr>
          <w:color w:val="auto"/>
          <w:highlight w:val="none"/>
        </w:rPr>
      </w:r>
      <w:r/>
    </w:p>
    <w:p>
      <w:pPr>
        <w:ind w:left="0" w:right="0" w:firstLine="442"/>
        <w:keepLines w:val="0"/>
        <w:keepNext w:val="0"/>
        <w:pageBreakBefore w:val="0"/>
        <w:spacing w:line="360" w:lineRule="auto"/>
        <w:widowControl w:val="off"/>
        <w:rPr>
          <w:rFonts w:hint="eastAsia" w:ascii="宋体" w:hAnsi="宋体" w:eastAsia="宋体" w:cs="宋体"/>
          <w:b/>
          <w:i w:val="0"/>
          <w:iCs w:val="0"/>
          <w:color w:val="auto"/>
          <w:sz w:val="22"/>
          <w:szCs w:val="21"/>
          <w:highlight w:val="none"/>
          <w:u w:val="none"/>
        </w:rPr>
        <w:outlineLvl w:val="9"/>
      </w:pPr>
      <w:r>
        <w:rPr>
          <w:rFonts w:hint="eastAsia" w:ascii="宋体" w:hAnsi="宋体" w:eastAsia="宋体" w:cs="宋体"/>
          <w:b/>
          <w:i w:val="0"/>
          <w:iCs w:val="0"/>
          <w:color w:val="auto"/>
          <w:sz w:val="22"/>
          <w:szCs w:val="21"/>
          <w:highlight w:val="none"/>
          <w:u w:val="none"/>
        </w:rPr>
      </w:r>
      <w:r>
        <w:rPr>
          <w:color w:val="auto"/>
          <w:highlight w:val="none"/>
        </w:rPr>
      </w:r>
      <w:r/>
    </w:p>
    <w:p>
      <w:pPr>
        <w:ind w:left="0" w:right="0" w:firstLine="442"/>
        <w:keepLines w:val="0"/>
        <w:keepNext w:val="0"/>
        <w:pageBreakBefore w:val="0"/>
        <w:spacing w:line="360" w:lineRule="auto"/>
        <w:widowControl w:val="off"/>
        <w:rPr>
          <w:rFonts w:hint="eastAsia" w:ascii="宋体" w:hAnsi="宋体" w:eastAsia="宋体" w:cs="宋体"/>
          <w:b/>
          <w:i w:val="0"/>
          <w:iCs w:val="0"/>
          <w:color w:val="auto"/>
          <w:sz w:val="22"/>
          <w:szCs w:val="21"/>
          <w:highlight w:val="none"/>
          <w:u w:val="none"/>
        </w:rPr>
        <w:outlineLvl w:val="9"/>
      </w:pPr>
      <w:r>
        <w:rPr>
          <w:rFonts w:hint="eastAsia" w:ascii="宋体" w:hAnsi="宋体" w:eastAsia="宋体" w:cs="宋体"/>
          <w:b/>
          <w:i w:val="0"/>
          <w:iCs w:val="0"/>
          <w:color w:val="auto"/>
          <w:sz w:val="22"/>
          <w:szCs w:val="21"/>
          <w:highlight w:val="none"/>
          <w:u w:val="none"/>
        </w:rPr>
      </w:r>
      <w:r>
        <w:rPr>
          <w:color w:val="auto"/>
          <w:highlight w:val="none"/>
        </w:rPr>
      </w:r>
      <w:r/>
    </w:p>
    <w:p>
      <w:pPr>
        <w:ind w:left="0" w:right="0" w:firstLine="442"/>
        <w:keepLines w:val="0"/>
        <w:keepNext w:val="0"/>
        <w:pageBreakBefore w:val="0"/>
        <w:spacing w:line="360" w:lineRule="auto"/>
        <w:widowControl w:val="off"/>
        <w:rPr>
          <w:rFonts w:hint="eastAsia" w:ascii="宋体" w:hAnsi="宋体" w:eastAsia="宋体" w:cs="宋体"/>
          <w:b/>
          <w:i w:val="0"/>
          <w:iCs w:val="0"/>
          <w:color w:val="auto"/>
          <w:sz w:val="22"/>
          <w:szCs w:val="21"/>
          <w:highlight w:val="none"/>
          <w:u w:val="none"/>
        </w:rPr>
        <w:outlineLvl w:val="9"/>
      </w:pPr>
      <w:r>
        <w:rPr>
          <w:rFonts w:hint="eastAsia" w:ascii="宋体" w:hAnsi="宋体" w:eastAsia="宋体" w:cs="宋体"/>
          <w:b/>
          <w:i w:val="0"/>
          <w:iCs w:val="0"/>
          <w:color w:val="auto"/>
          <w:sz w:val="22"/>
          <w:szCs w:val="21"/>
          <w:highlight w:val="none"/>
          <w:u w:val="none"/>
        </w:rPr>
      </w:r>
      <w:r>
        <w:rPr>
          <w:color w:val="auto"/>
          <w:highlight w:val="none"/>
        </w:rPr>
      </w:r>
      <w:r/>
    </w:p>
    <w:p>
      <w:pPr>
        <w:ind w:left="0" w:right="0" w:firstLine="442"/>
        <w:keepLines w:val="0"/>
        <w:keepNext w:val="0"/>
        <w:pageBreakBefore w:val="0"/>
        <w:spacing w:line="360" w:lineRule="auto"/>
        <w:widowControl w:val="off"/>
        <w:rPr>
          <w:rFonts w:hint="eastAsia" w:ascii="宋体" w:hAnsi="宋体" w:eastAsia="宋体" w:cs="宋体"/>
          <w:b/>
          <w:i w:val="0"/>
          <w:iCs w:val="0"/>
          <w:color w:val="auto"/>
          <w:sz w:val="22"/>
          <w:szCs w:val="21"/>
          <w:highlight w:val="none"/>
          <w:u w:val="none"/>
        </w:rPr>
        <w:outlineLvl w:val="9"/>
      </w:pPr>
      <w:r>
        <w:rPr>
          <w:rFonts w:hint="eastAsia" w:ascii="宋体" w:hAnsi="宋体" w:eastAsia="宋体" w:cs="宋体"/>
          <w:b/>
          <w:i w:val="0"/>
          <w:iCs w:val="0"/>
          <w:color w:val="auto"/>
          <w:sz w:val="22"/>
          <w:szCs w:val="21"/>
          <w:highlight w:val="none"/>
          <w:u w:val="none"/>
        </w:rPr>
      </w:r>
      <w:r>
        <w:rPr>
          <w:color w:val="auto"/>
          <w:highlight w:val="none"/>
        </w:rPr>
      </w:r>
      <w:r/>
    </w:p>
    <w:p>
      <w:pPr>
        <w:ind w:left="0" w:right="0" w:firstLine="442"/>
        <w:keepLines w:val="0"/>
        <w:keepNext w:val="0"/>
        <w:pageBreakBefore w:val="0"/>
        <w:spacing w:line="360" w:lineRule="auto"/>
        <w:widowControl w:val="off"/>
        <w:rPr>
          <w:rFonts w:hint="eastAsia" w:ascii="宋体" w:hAnsi="宋体" w:eastAsia="宋体" w:cs="宋体"/>
          <w:b/>
          <w:i w:val="0"/>
          <w:iCs w:val="0"/>
          <w:color w:val="auto"/>
          <w:sz w:val="22"/>
          <w:szCs w:val="21"/>
          <w:highlight w:val="none"/>
          <w:u w:val="none"/>
        </w:rPr>
        <w:outlineLvl w:val="9"/>
      </w:pPr>
      <w:r>
        <w:rPr>
          <w:rFonts w:hint="eastAsia" w:ascii="宋体" w:hAnsi="宋体" w:eastAsia="宋体" w:cs="宋体"/>
          <w:b/>
          <w:i w:val="0"/>
          <w:iCs w:val="0"/>
          <w:color w:val="auto"/>
          <w:sz w:val="22"/>
          <w:szCs w:val="21"/>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u w:val="none"/>
        </w:rPr>
        <w:outlineLvl w:val="9"/>
      </w:pPr>
      <w:r>
        <w:rPr>
          <w:rFonts w:hint="eastAsia" w:ascii="宋体" w:hAnsi="宋体" w:eastAsia="宋体" w:cs="宋体"/>
          <w:bCs/>
          <w:i w:val="0"/>
          <w:iCs w:val="0"/>
          <w:color w:val="auto"/>
          <w:sz w:val="24"/>
          <w:szCs w:val="24"/>
          <w:highlight w:val="none"/>
          <w:u w:val="none"/>
        </w:rPr>
        <w:t xml:space="preserve">填报说明：</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u w:val="none"/>
        </w:rPr>
        <w:outlineLvl w:val="9"/>
      </w:pPr>
      <w:r>
        <w:rPr>
          <w:rFonts w:hint="eastAsia" w:ascii="宋体" w:hAnsi="宋体" w:eastAsia="宋体" w:cs="宋体"/>
          <w:bCs/>
          <w:i w:val="0"/>
          <w:iCs w:val="0"/>
          <w:color w:val="auto"/>
          <w:sz w:val="24"/>
          <w:szCs w:val="24"/>
          <w:highlight w:val="none"/>
          <w:u w:val="none"/>
        </w:rPr>
        <w:t xml:space="preserve">1、请</w:t>
      </w:r>
      <w:r>
        <w:rPr>
          <w:rFonts w:hint="eastAsia" w:ascii="宋体" w:hAnsi="宋体" w:eastAsia="宋体" w:cs="宋体"/>
          <w:bCs/>
          <w:i w:val="0"/>
          <w:iCs w:val="0"/>
          <w:color w:val="auto"/>
          <w:sz w:val="24"/>
          <w:szCs w:val="24"/>
          <w:highlight w:val="none"/>
          <w:u w:val="none"/>
          <w:lang w:val="en-US" w:eastAsia="zh-CN"/>
        </w:rPr>
        <w:t xml:space="preserve">投标人</w:t>
      </w:r>
      <w:r>
        <w:rPr>
          <w:rFonts w:hint="eastAsia" w:ascii="宋体" w:hAnsi="宋体" w:eastAsia="宋体" w:cs="宋体"/>
          <w:bCs/>
          <w:i w:val="0"/>
          <w:iCs w:val="0"/>
          <w:color w:val="auto"/>
          <w:sz w:val="24"/>
          <w:szCs w:val="24"/>
          <w:highlight w:val="none"/>
          <w:u w:val="none"/>
        </w:rPr>
        <w:t xml:space="preserve">如实填写，所填内容将作为评审的依据。</w:t>
      </w:r>
      <w:r>
        <w:rPr>
          <w:rFonts w:hint="eastAsia" w:ascii="宋体" w:hAnsi="宋体" w:eastAsia="宋体" w:cs="宋体"/>
          <w:i w:val="0"/>
          <w:iCs w:val="0"/>
          <w:color w:val="auto"/>
          <w:sz w:val="24"/>
          <w:szCs w:val="24"/>
          <w:highlight w:val="none"/>
          <w:u w:val="none"/>
        </w:rPr>
        <w:t xml:space="preserve">其内容填写须与报价明细表一致，如填写不完整或不一致，将不享受扶</w:t>
      </w:r>
      <w:r>
        <w:rPr>
          <w:rFonts w:hint="eastAsia" w:ascii="宋体" w:hAnsi="宋体" w:eastAsia="宋体" w:cs="宋体"/>
          <w:bCs/>
          <w:i w:val="0"/>
          <w:iCs w:val="0"/>
          <w:color w:val="auto"/>
          <w:sz w:val="24"/>
          <w:szCs w:val="24"/>
          <w:highlight w:val="none"/>
          <w:u w:val="none"/>
        </w:rPr>
        <w:t xml:space="preserve">持政策。</w:t>
      </w:r>
      <w:r>
        <w:rPr>
          <w:color w:val="auto"/>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Cs/>
          <w:i w:val="0"/>
          <w:iCs w:val="0"/>
          <w:color w:val="auto"/>
          <w:sz w:val="24"/>
          <w:szCs w:val="24"/>
          <w:highlight w:val="none"/>
          <w:u w:val="none"/>
        </w:rPr>
        <w:t xml:space="preserve">2、中标</w:t>
      </w:r>
      <w:r>
        <w:rPr>
          <w:rFonts w:hint="eastAsia" w:ascii="宋体" w:hAnsi="宋体" w:eastAsia="宋体" w:cs="宋体"/>
          <w:bCs/>
          <w:i w:val="0"/>
          <w:iCs w:val="0"/>
          <w:color w:val="auto"/>
          <w:sz w:val="24"/>
          <w:szCs w:val="24"/>
          <w:highlight w:val="none"/>
          <w:u w:val="none"/>
          <w:lang w:val="en-US" w:eastAsia="zh-CN"/>
        </w:rPr>
        <w:t xml:space="preserve">人</w:t>
      </w:r>
      <w:r>
        <w:rPr>
          <w:rFonts w:hint="eastAsia" w:ascii="宋体" w:hAnsi="宋体" w:eastAsia="宋体" w:cs="宋体"/>
          <w:bCs/>
          <w:i w:val="0"/>
          <w:iCs w:val="0"/>
          <w:color w:val="auto"/>
          <w:sz w:val="24"/>
          <w:szCs w:val="24"/>
          <w:highlight w:val="none"/>
          <w:u w:val="none"/>
        </w:rPr>
        <w:t xml:space="preserve">的《残疾人福利性单位声明函》随中标结果公开。</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br w:type="page" w:clear="all"/>
      </w:r>
      <w:bookmarkStart w:id="46" w:name="_Toc5858"/>
      <w:r>
        <w:rPr>
          <w:color w:val="auto"/>
          <w:highlight w:val="none"/>
        </w:rPr>
      </w:r>
      <w:bookmarkStart w:id="47" w:name="_Toc14083"/>
      <w:r>
        <w:rPr>
          <w:color w:val="auto"/>
          <w:highlight w:val="none"/>
        </w:rPr>
      </w:r>
      <w:bookmarkStart w:id="48" w:name="_Toc29935"/>
      <w:r>
        <w:rPr>
          <w:color w:val="auto"/>
          <w:highlight w:val="none"/>
        </w:rPr>
      </w:r>
      <w:bookmarkStart w:id="49" w:name="_Toc24180"/>
      <w:r>
        <w:rPr>
          <w:rFonts w:hint="eastAsia" w:ascii="宋体" w:hAnsi="宋体" w:eastAsia="宋体" w:cs="宋体"/>
          <w:i w:val="0"/>
          <w:iCs w:val="0"/>
          <w:color w:val="auto"/>
          <w:sz w:val="24"/>
          <w:szCs w:val="24"/>
          <w:highlight w:val="none"/>
          <w:u w:val="none"/>
        </w:rPr>
        <w:t xml:space="preserve">格式</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、具备履行合同所必需的设备和专业技术能力的声明及证明材料</w:t>
      </w:r>
      <w:bookmarkEnd w:id="46"/>
      <w:r>
        <w:rPr>
          <w:color w:val="auto"/>
          <w:highlight w:val="none"/>
        </w:rPr>
      </w:r>
      <w:bookmarkEnd w:id="47"/>
      <w:r>
        <w:rPr>
          <w:color w:val="auto"/>
          <w:highlight w:val="none"/>
        </w:rPr>
      </w:r>
      <w:bookmarkEnd w:id="48"/>
      <w:r>
        <w:rPr>
          <w:color w:val="auto"/>
          <w:highlight w:val="none"/>
        </w:rPr>
      </w:r>
      <w:bookmarkEnd w:id="49"/>
      <w:r>
        <w:rPr>
          <w:color w:val="auto"/>
          <w:highlight w:val="none"/>
        </w:rPr>
      </w:r>
      <w:r/>
    </w:p>
    <w:p>
      <w:pPr>
        <w:ind w:left="0" w:right="0"/>
        <w:jc w:val="left"/>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t xml:space="preserve">具备履行合同所必需的设备和专业技术能力的声明</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single"/>
        </w:rPr>
        <w:t xml:space="preserve">（</w:t>
      </w:r>
      <w:r>
        <w:rPr>
          <w:rFonts w:hint="eastAsia" w:ascii="宋体" w:hAnsi="宋体" w:eastAsia="宋体" w:cs="宋体"/>
          <w:i w:val="0"/>
          <w:iCs w:val="0"/>
          <w:color w:val="auto"/>
          <w:sz w:val="24"/>
          <w:szCs w:val="24"/>
          <w:highlight w:val="none"/>
          <w:u w:val="single"/>
          <w:lang w:val="en-US" w:eastAsia="zh-CN"/>
        </w:rPr>
        <w:t xml:space="preserve">投标人</w:t>
      </w:r>
      <w:r>
        <w:rPr>
          <w:rFonts w:hint="eastAsia" w:ascii="宋体" w:hAnsi="宋体" w:eastAsia="宋体" w:cs="宋体"/>
          <w:i w:val="0"/>
          <w:iCs w:val="0"/>
          <w:color w:val="auto"/>
          <w:sz w:val="24"/>
          <w:szCs w:val="24"/>
          <w:highlight w:val="none"/>
          <w:u w:val="single"/>
        </w:rPr>
        <w:t xml:space="preserve">名称）</w:t>
      </w:r>
      <w:r>
        <w:rPr>
          <w:rFonts w:hint="eastAsia" w:ascii="宋体" w:hAnsi="宋体" w:eastAsia="宋体" w:cs="宋体"/>
          <w:i w:val="0"/>
          <w:iCs w:val="0"/>
          <w:color w:val="auto"/>
          <w:sz w:val="24"/>
          <w:szCs w:val="24"/>
          <w:highlight w:val="none"/>
          <w:u w:val="none"/>
        </w:rPr>
        <w:t xml:space="preserve">郑重声明：我单位具备履行本项采购合同所必需的设备和专业技术能力，为履行本项采购合同我单位具备如下主要设备和主要专业技术能力：</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主要设备有：</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主要专业技术能力有：</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none"/>
        </w:rPr>
        <w:t xml:space="preserve">。</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注：须附证明材料。</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投标人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firstLine="422"/>
        <w:keepLines w:val="0"/>
        <w:keepNext w:val="0"/>
        <w:pageBreakBefore w:val="0"/>
        <w:spacing w:line="360" w:lineRule="auto"/>
        <w:widowControl w:val="off"/>
        <w:rPr>
          <w:rFonts w:hint="eastAsia" w:ascii="宋体" w:hAnsi="宋体" w:eastAsia="宋体" w:cs="宋体"/>
          <w:b/>
          <w:i w:val="0"/>
          <w:iCs w:val="0"/>
          <w:color w:val="auto"/>
          <w:szCs w:val="24"/>
          <w:highlight w:val="none"/>
          <w:u w:val="none"/>
        </w:rPr>
        <w:outlineLvl w:val="9"/>
      </w:pPr>
      <w:r>
        <w:rPr>
          <w:rFonts w:hint="eastAsia" w:ascii="宋体" w:hAnsi="宋体" w:eastAsia="宋体" w:cs="宋体"/>
          <w:b/>
          <w:i w:val="0"/>
          <w:iCs w:val="0"/>
          <w:color w:val="auto"/>
          <w:szCs w:val="24"/>
          <w:highlight w:val="none"/>
          <w:u w:val="none"/>
        </w:rPr>
      </w:r>
      <w:r>
        <w:rPr>
          <w:color w:val="auto"/>
          <w:highlight w:val="none"/>
        </w:rPr>
      </w:r>
      <w:r/>
    </w:p>
    <w:p>
      <w:pPr>
        <w:ind w:left="0" w:right="0" w:firstLine="422"/>
        <w:keepLines w:val="0"/>
        <w:keepNext w:val="0"/>
        <w:pageBreakBefore w:val="0"/>
        <w:spacing w:line="360" w:lineRule="auto"/>
        <w:widowControl w:val="off"/>
        <w:rPr>
          <w:rFonts w:hint="eastAsia" w:ascii="宋体" w:hAnsi="宋体" w:eastAsia="宋体" w:cs="宋体"/>
          <w:b/>
          <w:i w:val="0"/>
          <w:iCs w:val="0"/>
          <w:color w:val="auto"/>
          <w:szCs w:val="24"/>
          <w:highlight w:val="none"/>
          <w:u w:val="none"/>
        </w:rPr>
        <w:outlineLvl w:val="9"/>
      </w:pPr>
      <w:r>
        <w:rPr>
          <w:rFonts w:hint="eastAsia" w:ascii="宋体" w:hAnsi="宋体" w:eastAsia="宋体" w:cs="宋体"/>
          <w:b/>
          <w:i w:val="0"/>
          <w:iCs w:val="0"/>
          <w:color w:val="auto"/>
          <w:szCs w:val="24"/>
          <w:highlight w:val="none"/>
          <w:u w:val="none"/>
        </w:rPr>
      </w:r>
      <w:r>
        <w:rPr>
          <w:color w:val="auto"/>
          <w:highlight w:val="none"/>
        </w:rPr>
      </w:r>
      <w:r/>
    </w:p>
    <w:p>
      <w:pPr>
        <w:ind w:left="0" w:right="0" w:firstLine="422"/>
        <w:keepLines w:val="0"/>
        <w:keepNext w:val="0"/>
        <w:pageBreakBefore w:val="0"/>
        <w:spacing w:line="360" w:lineRule="auto"/>
        <w:widowControl w:val="off"/>
        <w:rPr>
          <w:rFonts w:hint="eastAsia" w:ascii="宋体" w:hAnsi="宋体" w:eastAsia="宋体" w:cs="宋体"/>
          <w:b/>
          <w:i w:val="0"/>
          <w:iCs w:val="0"/>
          <w:color w:val="auto"/>
          <w:szCs w:val="24"/>
          <w:highlight w:val="none"/>
          <w:u w:val="none"/>
        </w:rPr>
        <w:outlineLvl w:val="9"/>
      </w:pPr>
      <w:r>
        <w:rPr>
          <w:rFonts w:hint="eastAsia" w:ascii="宋体" w:hAnsi="宋体" w:eastAsia="宋体" w:cs="宋体"/>
          <w:b/>
          <w:i w:val="0"/>
          <w:iCs w:val="0"/>
          <w:color w:val="auto"/>
          <w:szCs w:val="24"/>
          <w:highlight w:val="none"/>
          <w:u w:val="none"/>
        </w:rPr>
      </w:r>
      <w:r>
        <w:rPr>
          <w:color w:val="auto"/>
          <w:highlight w:val="none"/>
        </w:rPr>
      </w:r>
      <w:r/>
    </w:p>
    <w:p>
      <w:pPr>
        <w:ind w:left="0" w:right="0" w:firstLine="422"/>
        <w:keepLines w:val="0"/>
        <w:keepNext w:val="0"/>
        <w:pageBreakBefore w:val="0"/>
        <w:spacing w:line="360" w:lineRule="auto"/>
        <w:widowControl w:val="off"/>
        <w:rPr>
          <w:rFonts w:hint="eastAsia" w:ascii="宋体" w:hAnsi="宋体" w:eastAsia="宋体" w:cs="宋体"/>
          <w:b/>
          <w:i w:val="0"/>
          <w:iCs w:val="0"/>
          <w:color w:val="auto"/>
          <w:szCs w:val="24"/>
          <w:highlight w:val="none"/>
          <w:u w:val="none"/>
        </w:rPr>
        <w:outlineLvl w:val="9"/>
      </w:pPr>
      <w:r>
        <w:rPr>
          <w:rFonts w:hint="eastAsia" w:ascii="宋体" w:hAnsi="宋体" w:eastAsia="宋体" w:cs="宋体"/>
          <w:b/>
          <w:i w:val="0"/>
          <w:iCs w:val="0"/>
          <w:color w:val="auto"/>
          <w:szCs w:val="24"/>
          <w:highlight w:val="none"/>
          <w:u w:val="none"/>
        </w:rPr>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i w:val="0"/>
          <w:iCs w:val="0"/>
          <w:color w:val="auto"/>
          <w:sz w:val="28"/>
          <w:szCs w:val="20"/>
          <w:highlight w:val="none"/>
          <w:u w:val="none"/>
        </w:rPr>
        <w:br w:type="page" w:clear="all"/>
      </w:r>
      <w:r>
        <w:rPr>
          <w:rFonts w:hint="eastAsia" w:ascii="宋体" w:hAnsi="宋体" w:eastAsia="宋体" w:cs="宋体"/>
          <w:i w:val="0"/>
          <w:iCs w:val="0"/>
          <w:color w:val="auto"/>
          <w:sz w:val="24"/>
          <w:szCs w:val="24"/>
          <w:highlight w:val="none"/>
          <w:u w:val="none"/>
        </w:rPr>
        <w:t xml:space="preserve">格式</w:t>
      </w:r>
      <w:r>
        <w:rPr>
          <w:rFonts w:hint="eastAsia" w:ascii="宋体" w:hAnsi="宋体" w:eastAsia="宋体" w:cs="宋体"/>
          <w:i w:val="0"/>
          <w:iCs w:val="0"/>
          <w:color w:val="auto"/>
          <w:sz w:val="24"/>
          <w:szCs w:val="24"/>
          <w:highlight w:val="none"/>
          <w:u w:val="none"/>
          <w:lang w:val="en-US" w:eastAsia="zh-CN"/>
        </w:rPr>
        <w:t xml:space="preserve">7</w:t>
      </w:r>
      <w:r>
        <w:rPr>
          <w:rFonts w:hint="eastAsia" w:ascii="宋体" w:hAnsi="宋体" w:eastAsia="宋体" w:cs="宋体"/>
          <w:i w:val="0"/>
          <w:iCs w:val="0"/>
          <w:color w:val="auto"/>
          <w:sz w:val="24"/>
          <w:szCs w:val="24"/>
          <w:highlight w:val="none"/>
          <w:u w:val="none"/>
        </w:rPr>
        <w:t xml:space="preserve">、参加政府采购活动前3年内在经营活动中没有重大违法记录的书面声明</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Cs w:val="24"/>
          <w:highlight w:val="none"/>
          <w:u w:val="none"/>
        </w:rPr>
        <w:outlineLvl w:val="9"/>
      </w:pPr>
      <w:r>
        <w:rPr>
          <w:rFonts w:hint="eastAsia" w:ascii="宋体" w:hAnsi="宋体" w:eastAsia="宋体" w:cs="宋体"/>
          <w:i w:val="0"/>
          <w:iCs w:val="0"/>
          <w:color w:val="auto"/>
          <w:szCs w:val="24"/>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t xml:space="preserve">声  明</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我公司郑重声明：参加本次政府采购活动前3年内，我公司在经营活动中没有因违法经营受到刑事处罚或者责令停产停业、吊销许可证或者执照、较大数额罚款等行政处罚。</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u w:val="none"/>
        </w:rPr>
        <w:outlineLvl w:val="9"/>
      </w:pPr>
      <w:r>
        <w:rPr>
          <w:rFonts w:hint="eastAsia" w:ascii="宋体" w:hAnsi="宋体" w:eastAsia="宋体" w:cs="宋体"/>
          <w:bCs/>
          <w:i w:val="0"/>
          <w:iCs w:val="0"/>
          <w:color w:val="auto"/>
          <w:sz w:val="24"/>
          <w:szCs w:val="24"/>
          <w:highlight w:val="none"/>
          <w:u w:val="none"/>
        </w:rPr>
      </w:r>
      <w:r>
        <w:rPr>
          <w:color w:val="auto"/>
          <w:highlight w:val="none"/>
        </w:rPr>
      </w:r>
      <w:r/>
    </w:p>
    <w:p>
      <w:pPr>
        <w:ind w:firstLine="48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投标人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0"/>
          <w:highlight w:val="none"/>
          <w:u w:val="none"/>
        </w:rPr>
        <w:outlineLvl w:val="9"/>
      </w:pPr>
      <w:r>
        <w:rPr>
          <w:rFonts w:hint="eastAsia" w:ascii="宋体" w:hAnsi="宋体" w:eastAsia="宋体" w:cs="宋体"/>
          <w:b/>
          <w:i w:val="0"/>
          <w:iCs w:val="0"/>
          <w:color w:val="auto"/>
          <w:sz w:val="28"/>
          <w:szCs w:val="20"/>
          <w:highlight w:val="none"/>
          <w:u w:val="none"/>
        </w:rPr>
        <w:br w:type="page" w:clear="all"/>
      </w:r>
      <w:r>
        <w:rPr>
          <w:rFonts w:hint="eastAsia" w:ascii="宋体" w:hAnsi="宋体" w:eastAsia="宋体" w:cs="宋体"/>
          <w:i w:val="0"/>
          <w:iCs w:val="0"/>
          <w:color w:val="auto"/>
          <w:sz w:val="24"/>
          <w:szCs w:val="24"/>
          <w:highlight w:val="none"/>
          <w:u w:val="none"/>
        </w:rPr>
        <w:t xml:space="preserve">格式</w:t>
      </w:r>
      <w:r>
        <w:rPr>
          <w:rFonts w:hint="eastAsia" w:ascii="宋体" w:hAnsi="宋体" w:eastAsia="宋体" w:cs="宋体"/>
          <w:i w:val="0"/>
          <w:iCs w:val="0"/>
          <w:color w:val="auto"/>
          <w:sz w:val="24"/>
          <w:szCs w:val="24"/>
          <w:highlight w:val="none"/>
          <w:u w:val="none"/>
          <w:lang w:val="en-US" w:eastAsia="zh-CN"/>
        </w:rPr>
        <w:t xml:space="preserve">8</w:t>
      </w:r>
      <w:r>
        <w:rPr>
          <w:rFonts w:hint="eastAsia" w:ascii="宋体" w:hAnsi="宋体" w:eastAsia="宋体" w:cs="宋体"/>
          <w:i w:val="0"/>
          <w:iCs w:val="0"/>
          <w:color w:val="auto"/>
          <w:sz w:val="24"/>
          <w:szCs w:val="24"/>
          <w:highlight w:val="none"/>
          <w:u w:val="none"/>
        </w:rPr>
        <w:t xml:space="preserve">、法定代表人授权委托书与法定代表人（单位负责人）身份证明</w:t>
      </w:r>
      <w:r>
        <w:rPr>
          <w:color w:val="auto"/>
          <w:highlight w:val="none"/>
        </w:rPr>
      </w:r>
      <w:r/>
    </w:p>
    <w:p>
      <w:pPr>
        <w:ind w:right="0"/>
        <w:jc w:val="both"/>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r>
      <w:r>
        <w:rPr>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授权委托书</w:t>
      </w:r>
      <w:r>
        <w:rPr>
          <w:color w:val="auto"/>
          <w:highlight w:val="none"/>
        </w:rPr>
      </w:r>
      <w:r/>
    </w:p>
    <w:p>
      <w:pPr>
        <w:pStyle w:val="824"/>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u w:val="single"/>
        </w:rPr>
        <w:t xml:space="preserve">项目名称  </w:t>
      </w: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u w:val="single"/>
        </w:rPr>
        <w:t xml:space="preserve">项目编号  </w:t>
      </w:r>
      <w:r>
        <w:rPr>
          <w:rFonts w:hint="eastAsia" w:ascii="宋体" w:hAnsi="宋体" w:eastAsia="宋体" w:cs="宋体"/>
          <w:color w:val="auto"/>
          <w:highlight w:val="none"/>
        </w:rPr>
        <w:t xml:space="preserve">）采购活动的合法代理人，以本单位名义全权处理一切与该项目采购有关的事务。</w:t>
      </w:r>
      <w:r>
        <w:rPr>
          <w:color w:val="auto"/>
          <w:highlight w:val="none"/>
        </w:rPr>
      </w:r>
      <w:r/>
    </w:p>
    <w:p>
      <w:pPr>
        <w:pStyle w:val="824"/>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rPr>
          <w:color w:val="auto"/>
          <w:highlight w:val="none"/>
        </w:rPr>
      </w:r>
      <w:r/>
    </w:p>
    <w:p>
      <w:pPr>
        <w:pStyle w:val="824"/>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color w:val="auto"/>
          <w:highlight w:val="none"/>
        </w:rPr>
      </w:r>
      <w:r/>
    </w:p>
    <w:p>
      <w:pPr>
        <w:pStyle w:val="824"/>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color w:val="auto"/>
          <w:highlight w:val="none"/>
        </w:rPr>
      </w:r>
      <w:r/>
    </w:p>
    <w:p>
      <w:pPr>
        <w:pStyle w:val="824"/>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rPr>
          <w:color w:val="auto"/>
          <w:highlight w:val="none"/>
        </w:rPr>
      </w:r>
      <w:r/>
    </w:p>
    <w:p>
      <w:pPr>
        <w:pStyle w:val="824"/>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color w:val="auto"/>
          <w:highlight w:val="none"/>
        </w:rPr>
      </w:r>
      <w:r/>
    </w:p>
    <w:p>
      <w:pPr>
        <w:ind w:firstLine="480"/>
        <w:spacing w:line="360" w:lineRule="auto"/>
        <w:tabs>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color w:val="auto"/>
          <w:highlight w:val="none"/>
        </w:rPr>
      </w:r>
      <w:r/>
    </w:p>
    <w:p>
      <w:pPr>
        <w:ind w:firstLine="480"/>
        <w:spacing w:line="360" w:lineRule="auto"/>
        <w:tabs>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rPr>
          <w:color w:val="auto"/>
          <w:highlight w:val="none"/>
        </w:rPr>
      </w:r>
      <w:r/>
    </w:p>
    <w:tbl>
      <w:tblPr>
        <w:tblStyle w:val="79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0"/>
        <w:gridCol w:w="4794"/>
      </w:tblGrid>
      <w:tr>
        <w:trPr>
          <w:jc w:val="center"/>
          <w:trHeight w:val="1399"/>
        </w:trPr>
        <w:tc>
          <w:tcPr>
            <w:tcW w:w="2537" w:type="pct"/>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c>
          <w:tcPr>
            <w:tcW w:w="2462" w:type="pct"/>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rPr>
          <w:color w:val="auto"/>
          <w:highlight w:val="none"/>
        </w:rPr>
      </w:r>
      <w:r/>
    </w:p>
    <w:tbl>
      <w:tblPr>
        <w:tblStyle w:val="79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0"/>
        <w:gridCol w:w="4794"/>
      </w:tblGrid>
      <w:tr>
        <w:trPr>
          <w:jc w:val="center"/>
          <w:trHeight w:val="1399"/>
        </w:trPr>
        <w:tc>
          <w:tcPr>
            <w:tcW w:w="2537" w:type="pct"/>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c>
          <w:tcPr>
            <w:tcW w:w="2462" w:type="pct"/>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r>
    </w:tbl>
    <w:p>
      <w:pPr>
        <w:jc w:val="left"/>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填报说明：</w:t>
      </w:r>
      <w:r>
        <w:rPr>
          <w:color w:val="auto"/>
          <w:highlight w:val="none"/>
        </w:rPr>
      </w:r>
      <w:r/>
    </w:p>
    <w:p>
      <w:pPr>
        <w:ind w:firstLine="480"/>
        <w:jc w:val="left"/>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1、若</w:t>
      </w:r>
      <w:r>
        <w:rPr>
          <w:rFonts w:hint="eastAsia" w:ascii="宋体" w:hAnsi="宋体" w:eastAsia="宋体" w:cs="宋体"/>
          <w:color w:val="auto"/>
          <w:szCs w:val="16"/>
          <w:highlight w:val="none"/>
          <w:lang w:eastAsia="zh-CN"/>
        </w:rPr>
        <w:t xml:space="preserve">投标人</w:t>
      </w:r>
      <w:r>
        <w:rPr>
          <w:rFonts w:hint="eastAsia" w:ascii="宋体" w:hAnsi="宋体" w:eastAsia="宋体" w:cs="宋体"/>
          <w:color w:val="auto"/>
          <w:szCs w:val="16"/>
          <w:highlight w:val="none"/>
        </w:rPr>
        <w:t xml:space="preserve">为事业单位或其他组织或分支机构（仅当</w:t>
      </w:r>
      <w:r>
        <w:rPr>
          <w:rFonts w:hint="eastAsia" w:ascii="宋体" w:hAnsi="宋体" w:eastAsia="宋体" w:cs="宋体"/>
          <w:color w:val="auto"/>
          <w:szCs w:val="16"/>
          <w:highlight w:val="none"/>
          <w:lang w:val="en-US" w:eastAsia="zh-CN"/>
        </w:rPr>
        <w:t xml:space="preserve">招标</w:t>
      </w:r>
      <w:r>
        <w:rPr>
          <w:rFonts w:hint="eastAsia" w:ascii="宋体" w:hAnsi="宋体" w:eastAsia="宋体" w:cs="宋体"/>
          <w:color w:val="auto"/>
          <w:szCs w:val="16"/>
          <w:highlight w:val="none"/>
        </w:rPr>
        <w:t xml:space="preserve">文件注明允许分支机构投标的），则法定代表人（单位负责人）处的签署人可为单位负责人。</w:t>
      </w:r>
      <w:r>
        <w:rPr>
          <w:color w:val="auto"/>
          <w:highlight w:val="none"/>
        </w:rPr>
      </w:r>
      <w:r/>
    </w:p>
    <w:p>
      <w:pPr>
        <w:ind w:firstLine="480"/>
        <w:jc w:val="left"/>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2、若</w:t>
      </w:r>
      <w:r>
        <w:rPr>
          <w:rFonts w:hint="eastAsia" w:ascii="宋体" w:hAnsi="宋体" w:eastAsia="宋体" w:cs="宋体"/>
          <w:color w:val="auto"/>
          <w:szCs w:val="16"/>
          <w:highlight w:val="none"/>
          <w:lang w:eastAsia="zh-CN"/>
        </w:rPr>
        <w:t xml:space="preserve">投标文件</w:t>
      </w:r>
      <w:r>
        <w:rPr>
          <w:rFonts w:hint="eastAsia" w:ascii="宋体" w:hAnsi="宋体" w:eastAsia="宋体" w:cs="宋体"/>
          <w:color w:val="auto"/>
          <w:szCs w:val="16"/>
          <w:highlight w:val="none"/>
        </w:rPr>
        <w:t xml:space="preserve">中全部签字之处均为法定代表人（单位负责人）本人签署，则可不提供本《授权委托书》，但须提供《法定代表人（单位负责人）身份证明》。</w:t>
      </w:r>
      <w:r>
        <w:rPr>
          <w:color w:val="auto"/>
          <w:highlight w:val="none"/>
        </w:rPr>
      </w:r>
      <w:r/>
    </w:p>
    <w:p>
      <w:pPr>
        <w:ind w:firstLine="48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3、</w:t>
      </w:r>
      <w:r>
        <w:rPr>
          <w:rFonts w:hint="eastAsia" w:ascii="宋体" w:hAnsi="宋体" w:eastAsia="宋体" w:cs="宋体"/>
          <w:color w:val="auto"/>
          <w:szCs w:val="16"/>
          <w:highlight w:val="none"/>
          <w:lang w:eastAsia="zh-CN"/>
        </w:rPr>
        <w:t xml:space="preserve">投标人</w:t>
      </w:r>
      <w:r>
        <w:rPr>
          <w:rFonts w:hint="eastAsia" w:ascii="宋体" w:hAnsi="宋体" w:eastAsia="宋体" w:cs="宋体"/>
          <w:color w:val="auto"/>
          <w:szCs w:val="16"/>
          <w:highlight w:val="none"/>
        </w:rPr>
        <w:t xml:space="preserve">为自然人的情形，可不提供本《授权委托书》。</w:t>
      </w:r>
      <w:r>
        <w:rPr>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法定代表人（单位负责人）身份证明</w:t>
      </w:r>
      <w:r>
        <w:rPr>
          <w:color w:val="auto"/>
          <w:highlight w:val="none"/>
        </w:rPr>
      </w:r>
      <w:r/>
    </w:p>
    <w:p>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rPr>
          <w:color w:val="auto"/>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 </w:t>
      </w:r>
      <w:r>
        <w:rPr>
          <w:color w:val="auto"/>
          <w:highlight w:val="none"/>
        </w:rPr>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rPr>
          <w:color w:val="auto"/>
          <w:highlight w:val="none"/>
        </w:rPr>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性别：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年龄：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职务：</w:t>
      </w:r>
      <w:r>
        <w:rPr>
          <w:color w:val="auto"/>
          <w:highlight w:val="none"/>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的法定代表人（单位负责人）。</w:t>
      </w:r>
      <w:r>
        <w:rPr>
          <w:color w:val="auto"/>
          <w:highlight w:val="none"/>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rPr>
          <w:color w:val="auto"/>
          <w:highlight w:val="none"/>
        </w:rPr>
      </w:r>
      <w:r/>
    </w:p>
    <w:tbl>
      <w:tblPr>
        <w:tblStyle w:val="79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0"/>
        <w:gridCol w:w="4794"/>
      </w:tblGrid>
      <w:tr>
        <w:trPr>
          <w:jc w:val="center"/>
          <w:trHeight w:val="1399"/>
        </w:trPr>
        <w:tc>
          <w:tcPr>
            <w:tcW w:w="2537" w:type="pct"/>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c>
          <w:tcPr>
            <w:tcW w:w="2462" w:type="pct"/>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r>
    </w:tbl>
    <w:p>
      <w:pPr>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rPr>
          <w:color w:val="auto"/>
          <w:highlight w:val="none"/>
        </w:rPr>
      </w:r>
      <w:r/>
    </w:p>
    <w:p>
      <w:pPr>
        <w:pStyle w:val="824"/>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w:t>
      </w:r>
      <w:r>
        <w:rPr>
          <w:rFonts w:hint="eastAsia" w:ascii="宋体" w:hAnsi="宋体" w:eastAsia="宋体" w:cs="宋体"/>
          <w:color w:val="auto"/>
          <w:highlight w:val="none"/>
          <w:u w:val="single"/>
        </w:rPr>
        <w:t xml:space="preserve">（加盖CA电子公章）</w:t>
      </w:r>
      <w:r>
        <w:rPr>
          <w:color w:val="auto"/>
          <w:highlight w:val="none"/>
        </w:rPr>
      </w:r>
      <w:r/>
    </w:p>
    <w:p>
      <w:pPr>
        <w:pStyle w:val="824"/>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rPr>
          <w:color w:val="auto"/>
          <w:highlight w:val="none"/>
        </w:rPr>
      </w:r>
      <w:r/>
    </w:p>
    <w:p>
      <w:pPr>
        <w:pStyle w:val="824"/>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rPr>
          <w:color w:val="auto"/>
          <w:highlight w:val="none"/>
        </w:rPr>
      </w:r>
      <w:r/>
    </w:p>
    <w:p>
      <w:pPr>
        <w:pStyle w:val="999"/>
        <w:ind w:left="0" w:right="0"/>
        <w:keepLines w:val="0"/>
        <w:keepNext w:val="0"/>
        <w:pageBreakBefore w:val="0"/>
        <w:spacing w:line="360" w:lineRule="auto"/>
        <w:widowControl w:val="off"/>
        <w:rPr>
          <w:rFonts w:hint="eastAsia" w:ascii="宋体" w:hAnsi="宋体" w:eastAsia="宋体" w:cs="宋体"/>
          <w:b/>
          <w:bCs/>
          <w:i w:val="0"/>
          <w:iCs w:val="0"/>
          <w:color w:val="auto"/>
          <w:sz w:val="24"/>
          <w:highlight w:val="none"/>
          <w:u w:val="none"/>
        </w:rPr>
        <w:outlineLvl w:val="9"/>
      </w:pPr>
      <w:r>
        <w:rPr>
          <w:rFonts w:hint="eastAsia" w:ascii="宋体" w:hAnsi="宋体" w:eastAsia="宋体" w:cs="宋体"/>
          <w:b/>
          <w:bCs/>
          <w:i w:val="0"/>
          <w:iCs w:val="0"/>
          <w:color w:val="auto"/>
          <w:sz w:val="24"/>
          <w:highlight w:val="none"/>
          <w:u w:val="none"/>
        </w:rPr>
      </w:r>
      <w:r>
        <w:rPr>
          <w:color w:val="auto"/>
          <w:highlight w:val="none"/>
        </w:rPr>
      </w:r>
      <w:r/>
    </w:p>
    <w:p>
      <w:pPr>
        <w:pStyle w:val="803"/>
        <w:ind w:left="0"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sectPr>
          <w:footnotePr/>
          <w:endnotePr/>
          <w:type w:val="nextPage"/>
          <w:pgSz w:w="11906" w:h="16838" w:orient="portrait"/>
          <w:pgMar w:top="1440" w:right="1080" w:bottom="1440" w:left="1080" w:header="851" w:footer="992" w:gutter="0"/>
          <w:cols w:num="1" w:sep="0" w:space="0" w:equalWidth="1"/>
          <w:docGrid w:linePitch="360"/>
        </w:sectPr>
        <w:outlineLvl w:val="9"/>
      </w:pPr>
      <w:r>
        <w:rPr>
          <w:rFonts w:hint="eastAsia" w:ascii="宋体" w:hAnsi="宋体" w:eastAsia="宋体" w:cs="宋体"/>
          <w:b/>
          <w:i w:val="0"/>
          <w:iCs w:val="0"/>
          <w:color w:val="auto"/>
          <w:sz w:val="28"/>
          <w:szCs w:val="20"/>
          <w:highlight w:val="none"/>
          <w:u w:val="none"/>
        </w:rPr>
        <w:br w:type="page" w:clear="all"/>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Cs/>
          <w:i w:val="0"/>
          <w:iCs w:val="0"/>
          <w:color w:val="auto"/>
          <w:sz w:val="32"/>
          <w:szCs w:val="21"/>
          <w:highlight w:val="none"/>
          <w:u w:val="none"/>
        </w:rPr>
        <w:outlineLvl w:val="9"/>
      </w:pPr>
      <w:r>
        <w:rPr>
          <w:rFonts w:hint="eastAsia" w:ascii="宋体" w:hAnsi="宋体" w:eastAsia="宋体" w:cs="宋体"/>
          <w:i w:val="0"/>
          <w:iCs w:val="0"/>
          <w:color w:val="auto"/>
          <w:sz w:val="24"/>
          <w:szCs w:val="24"/>
          <w:highlight w:val="none"/>
          <w:u w:val="none"/>
        </w:rPr>
        <w:t xml:space="preserve">格式</w:t>
      </w: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、商务条款偏离表</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t xml:space="preserve">商务条款偏离表</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请逐条对应</w:t>
      </w:r>
      <w:r>
        <w:rPr>
          <w:rFonts w:hint="eastAsia" w:ascii="宋体" w:hAnsi="宋体" w:eastAsia="宋体" w:cs="宋体"/>
          <w:i w:val="0"/>
          <w:iCs w:val="0"/>
          <w:color w:val="auto"/>
          <w:sz w:val="24"/>
          <w:szCs w:val="24"/>
          <w:highlight w:val="none"/>
          <w:u w:val="none"/>
          <w:lang w:eastAsia="zh-CN"/>
        </w:rPr>
        <w:t xml:space="preserve">招标文件</w:t>
      </w:r>
      <w:r>
        <w:rPr>
          <w:rFonts w:hint="eastAsia" w:ascii="宋体" w:hAnsi="宋体" w:eastAsia="宋体" w:cs="宋体"/>
          <w:i w:val="0"/>
          <w:iCs w:val="0"/>
          <w:color w:val="auto"/>
          <w:sz w:val="24"/>
          <w:szCs w:val="24"/>
          <w:highlight w:val="none"/>
          <w:u w:val="none"/>
        </w:rPr>
        <w:t xml:space="preserve">“项目需求”等内容要求的商务条件，填写该表。</w:t>
      </w:r>
      <w:r>
        <w:rPr>
          <w:color w:val="auto"/>
          <w:highlight w:val="none"/>
        </w:rPr>
      </w:r>
      <w:r/>
    </w:p>
    <w:tbl>
      <w:tblPr>
        <w:tblStyle w:val="7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2929"/>
        <w:gridCol w:w="3088"/>
        <w:gridCol w:w="2580"/>
      </w:tblGrid>
      <w:tr>
        <w:trPr>
          <w:jc w:val="center"/>
          <w:trHeight w:val="491"/>
        </w:trPr>
        <w:tc>
          <w:tcPr>
            <w:tcW w:w="583"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项号</w:t>
            </w:r>
            <w:r>
              <w:rPr>
                <w:color w:val="auto"/>
                <w:highlight w:val="none"/>
              </w:rPr>
            </w:r>
            <w:r/>
          </w:p>
        </w:tc>
        <w:tc>
          <w:tcPr>
            <w:tcW w:w="150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招标文件</w:t>
            </w:r>
            <w:r>
              <w:rPr>
                <w:rFonts w:hint="eastAsia" w:ascii="宋体" w:hAnsi="宋体" w:eastAsia="宋体" w:cs="宋体"/>
                <w:i w:val="0"/>
                <w:iCs w:val="0"/>
                <w:color w:val="auto"/>
                <w:sz w:val="24"/>
                <w:szCs w:val="24"/>
                <w:highlight w:val="none"/>
                <w:u w:val="none"/>
              </w:rPr>
              <w:t xml:space="preserve">的商务条款</w:t>
            </w:r>
            <w:r>
              <w:rPr>
                <w:color w:val="auto"/>
                <w:highlight w:val="none"/>
              </w:rPr>
            </w:r>
            <w:r/>
          </w:p>
        </w:tc>
        <w:tc>
          <w:tcPr>
            <w:tcW w:w="158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eastAsia="zh-CN"/>
              </w:rPr>
              <w:t xml:space="preserve">投标文件</w:t>
            </w:r>
            <w:r>
              <w:rPr>
                <w:rFonts w:hint="eastAsia" w:ascii="宋体" w:hAnsi="宋体" w:eastAsia="宋体" w:cs="宋体"/>
                <w:i w:val="0"/>
                <w:iCs w:val="0"/>
                <w:color w:val="auto"/>
                <w:sz w:val="24"/>
                <w:szCs w:val="24"/>
                <w:highlight w:val="none"/>
                <w:u w:val="none"/>
              </w:rPr>
              <w:t xml:space="preserve">的商务条款</w:t>
            </w:r>
            <w:r>
              <w:rPr>
                <w:color w:val="auto"/>
                <w:highlight w:val="none"/>
              </w:rPr>
            </w:r>
            <w:r/>
          </w:p>
        </w:tc>
        <w:tc>
          <w:tcPr>
            <w:tcW w:w="1325"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偏离说明</w:t>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r>
        <w:trPr>
          <w:jc w:val="center"/>
          <w:trHeight w:val="491"/>
        </w:trPr>
        <w:tc>
          <w:tcPr>
            <w:tcW w:w="583"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04"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586"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c>
          <w:tcPr>
            <w:tcW w:w="1325" w:type="pct"/>
            <w:textDirection w:val="lrTb"/>
            <w:noWrap w:val="false"/>
          </w:tcPr>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tc>
      </w:tr>
    </w:tbl>
    <w:p>
      <w:pPr>
        <w:ind w:left="0" w:right="0" w:firstLine="480"/>
        <w:keepLines w:val="0"/>
        <w:keepNext w:val="0"/>
        <w:pageBreakBefore w:val="0"/>
        <w:spacing w:line="360" w:lineRule="auto"/>
        <w:widowControl w:val="off"/>
        <w:rPr>
          <w:rFonts w:hint="eastAsia" w:ascii="宋体" w:hAnsi="宋体" w:eastAsia="宋体" w:cs="宋体"/>
          <w:i w:val="0"/>
          <w:iCs w:val="0"/>
          <w:color w:val="auto"/>
          <w:szCs w:val="20"/>
          <w:highlight w:val="none"/>
          <w:u w:val="none"/>
        </w:rPr>
        <w:outlineLvl w:val="9"/>
      </w:pPr>
      <w:r>
        <w:rPr>
          <w:rFonts w:hint="eastAsia" w:ascii="宋体" w:hAnsi="宋体" w:eastAsia="宋体" w:cs="宋体"/>
          <w:i w:val="0"/>
          <w:iCs w:val="0"/>
          <w:color w:val="auto"/>
          <w:sz w:val="24"/>
          <w:szCs w:val="24"/>
          <w:highlight w:val="none"/>
          <w:u w:val="none"/>
        </w:rPr>
        <w:t xml:space="preserve">注：“偏离说明”填写“正偏离”“负偏离”或“无偏离”。</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firstLine="420"/>
        <w:keepLines w:val="0"/>
        <w:keepNext w:val="0"/>
        <w:pageBreakBefore w:val="0"/>
        <w:spacing w:line="360" w:lineRule="auto"/>
        <w:widowControl w:val="off"/>
        <w:rPr>
          <w:rFonts w:hint="eastAsia" w:ascii="宋体" w:hAnsi="宋体" w:eastAsia="宋体" w:cs="宋体"/>
          <w:i w:val="0"/>
          <w:iCs w:val="0"/>
          <w:color w:val="auto"/>
          <w:szCs w:val="20"/>
          <w:highlight w:val="none"/>
          <w:u w:val="none"/>
        </w:rPr>
        <w:outlineLvl w:val="9"/>
      </w:pPr>
      <w:r>
        <w:rPr>
          <w:rFonts w:hint="eastAsia" w:ascii="宋体" w:hAnsi="宋体" w:eastAsia="宋体" w:cs="宋体"/>
          <w:i w:val="0"/>
          <w:iCs w:val="0"/>
          <w:color w:val="auto"/>
          <w:szCs w:val="20"/>
          <w:highlight w:val="none"/>
          <w:u w:val="none"/>
        </w:rPr>
      </w:r>
      <w:r>
        <w:rPr>
          <w:color w:val="auto"/>
          <w:highlight w:val="none"/>
        </w:rPr>
      </w:r>
      <w:r/>
    </w:p>
    <w:p>
      <w:pPr>
        <w:numPr>
          <w:ilvl w:val="0"/>
          <w:numId w:val="0"/>
        </w:numPr>
        <w:jc w:val="both"/>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i w:val="0"/>
          <w:iCs w:val="0"/>
          <w:color w:val="auto"/>
          <w:sz w:val="28"/>
          <w:szCs w:val="20"/>
          <w:highlight w:val="none"/>
          <w:u w:val="none"/>
        </w:rPr>
        <w:br w:type="page" w:clear="all"/>
      </w:r>
      <w:r>
        <w:rPr>
          <w:rFonts w:hint="eastAsia" w:ascii="宋体" w:hAnsi="宋体" w:eastAsia="宋体" w:cs="宋体"/>
          <w:i w:val="0"/>
          <w:iCs w:val="0"/>
          <w:color w:val="auto"/>
          <w:sz w:val="24"/>
          <w:szCs w:val="24"/>
          <w:highlight w:val="none"/>
          <w:u w:val="none"/>
        </w:rPr>
        <w:t xml:space="preserve">格式1</w:t>
      </w:r>
      <w:r>
        <w:rPr>
          <w:rFonts w:hint="eastAsia" w:ascii="宋体" w:hAnsi="宋体" w:eastAsia="宋体" w:cs="宋体"/>
          <w:i w:val="0"/>
          <w:iCs w:val="0"/>
          <w:color w:val="auto"/>
          <w:sz w:val="24"/>
          <w:szCs w:val="24"/>
          <w:highlight w:val="none"/>
          <w:u w:val="none"/>
          <w:lang w:val="en-US" w:eastAsia="zh-CN"/>
        </w:rPr>
        <w:t xml:space="preserve">0</w:t>
      </w:r>
      <w:r>
        <w:rPr>
          <w:rFonts w:hint="eastAsia" w:ascii="宋体" w:hAnsi="宋体" w:eastAsia="宋体" w:cs="宋体"/>
          <w:i w:val="0"/>
          <w:iCs w:val="0"/>
          <w:color w:val="auto"/>
          <w:sz w:val="24"/>
          <w:szCs w:val="24"/>
          <w:highlight w:val="none"/>
          <w:u w:val="none"/>
        </w:rPr>
        <w:t xml:space="preserve">、技术条款偏离表</w:t>
      </w:r>
      <w:r>
        <w:rPr>
          <w:color w:val="auto"/>
          <w:highlight w:val="none"/>
        </w:rPr>
      </w:r>
      <w:r/>
    </w:p>
    <w:p>
      <w:pPr>
        <w:numPr>
          <w:ilvl w:val="0"/>
          <w:numId w:val="0"/>
        </w:numPr>
        <w:jc w:val="center"/>
        <w:spacing w:line="360" w:lineRule="auto"/>
        <w:rPr>
          <w:rFonts w:hint="eastAsia" w:ascii="宋体" w:hAnsi="宋体" w:eastAsia="宋体" w:cs="宋体"/>
          <w:b/>
          <w:bCs/>
          <w:color w:val="auto"/>
          <w:sz w:val="32"/>
          <w:szCs w:val="22"/>
          <w:highlight w:val="none"/>
        </w:rPr>
      </w:pPr>
      <w:r>
        <w:rPr>
          <w:rFonts w:hint="eastAsia" w:ascii="宋体" w:hAnsi="宋体" w:eastAsia="宋体" w:cs="宋体"/>
          <w:b/>
          <w:bCs/>
          <w:color w:val="auto"/>
          <w:sz w:val="32"/>
          <w:szCs w:val="22"/>
          <w:highlight w:val="none"/>
          <w:lang w:val="en-US" w:eastAsia="zh-CN"/>
        </w:rPr>
        <w:t xml:space="preserve">技术条款偏离表</w:t>
      </w:r>
      <w:r>
        <w:rPr>
          <w:color w:val="auto"/>
          <w:highlight w:val="none"/>
        </w:rPr>
      </w:r>
      <w:r/>
    </w:p>
    <w:p>
      <w:pPr>
        <w:pStyle w:val="808"/>
        <w:ind w:left="0" w:firstLine="24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逐条对应招标</w:t>
      </w:r>
      <w:r>
        <w:rPr>
          <w:rFonts w:hint="eastAsia" w:ascii="宋体" w:hAnsi="宋体" w:eastAsia="宋体" w:cs="宋体"/>
          <w:b/>
          <w:bCs/>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“项目需求”中内容要求的技术条件，填写该表。</w:t>
      </w:r>
      <w:r>
        <w:rPr>
          <w:color w:val="auto"/>
          <w:highlight w:val="none"/>
        </w:rPr>
      </w:r>
      <w:r/>
    </w:p>
    <w:tbl>
      <w:tblPr>
        <w:tblStyle w:val="7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3278"/>
        <w:gridCol w:w="3278"/>
        <w:gridCol w:w="2244"/>
      </w:tblGrid>
      <w:tr>
        <w:trPr>
          <w:jc w:val="center"/>
          <w:trHeight w:val="614"/>
        </w:trPr>
        <w:tc>
          <w:tcPr>
            <w:tcW w:w="479" w:type="pct"/>
            <w:vAlign w:val="center"/>
            <w:textDirection w:val="lrTb"/>
            <w:noWrap w:val="false"/>
          </w:tcPr>
          <w:p>
            <w:pPr>
              <w:pStyle w:val="808"/>
              <w:ind w:left="0" w:firstLine="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项号</w:t>
            </w:r>
            <w:r>
              <w:rPr>
                <w:color w:val="auto"/>
                <w:highlight w:val="none"/>
              </w:rPr>
            </w:r>
            <w:r/>
          </w:p>
        </w:tc>
        <w:tc>
          <w:tcPr>
            <w:tcW w:w="1683" w:type="pct"/>
            <w:vAlign w:val="center"/>
            <w:textDirection w:val="lrTb"/>
            <w:noWrap w:val="false"/>
          </w:tcPr>
          <w:p>
            <w:pPr>
              <w:pStyle w:val="808"/>
              <w:ind w:left="0" w:firstLine="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的要求</w:t>
            </w:r>
            <w:r>
              <w:rPr>
                <w:color w:val="auto"/>
                <w:highlight w:val="none"/>
              </w:rPr>
            </w:r>
            <w:r/>
          </w:p>
        </w:tc>
        <w:tc>
          <w:tcPr>
            <w:tcW w:w="1683" w:type="pct"/>
            <w:vAlign w:val="center"/>
            <w:textDirection w:val="lrTb"/>
            <w:noWrap w:val="false"/>
          </w:tcPr>
          <w:p>
            <w:pPr>
              <w:pStyle w:val="808"/>
              <w:ind w:left="0" w:firstLine="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的响应情况</w:t>
            </w:r>
            <w:r>
              <w:rPr>
                <w:color w:val="auto"/>
                <w:highlight w:val="none"/>
              </w:rPr>
            </w:r>
            <w:r/>
          </w:p>
        </w:tc>
        <w:tc>
          <w:tcPr>
            <w:tcW w:w="1152" w:type="pct"/>
            <w:vAlign w:val="center"/>
            <w:textDirection w:val="lrTb"/>
            <w:noWrap w:val="false"/>
          </w:tcPr>
          <w:p>
            <w:pPr>
              <w:pStyle w:val="808"/>
              <w:ind w:left="0" w:firstLine="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rPr>
                <w:color w:val="auto"/>
                <w:highlight w:val="none"/>
              </w:rPr>
            </w:r>
            <w:r/>
          </w:p>
        </w:tc>
      </w:tr>
      <w:tr>
        <w:trPr>
          <w:jc w:val="center"/>
          <w:trHeight w:val="614"/>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jc w:val="center"/>
          <w:trHeight w:val="614"/>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jc w:val="center"/>
          <w:trHeight w:val="603"/>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jc w:val="center"/>
          <w:trHeight w:val="614"/>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jc w:val="center"/>
          <w:trHeight w:val="614"/>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jc w:val="center"/>
          <w:trHeight w:val="614"/>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jc w:val="center"/>
          <w:trHeight w:val="614"/>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jc w:val="center"/>
          <w:trHeight w:val="614"/>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jc w:val="center"/>
          <w:trHeight w:val="614"/>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jc w:val="center"/>
          <w:trHeight w:val="626"/>
        </w:trPr>
        <w:tc>
          <w:tcPr>
            <w:tcW w:w="479"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683"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152" w:type="pct"/>
            <w:vAlign w:val="center"/>
            <w:textDirection w:val="lrTb"/>
            <w:noWrap w:val="false"/>
          </w:tcPr>
          <w:p>
            <w:pPr>
              <w:pStyle w:val="808"/>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bl>
    <w:p>
      <w:pPr>
        <w:pStyle w:val="8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“偏离说明”填写“正偏离”“负偏离”或“无偏离”。</w:t>
      </w:r>
      <w:r>
        <w:rPr>
          <w:color w:val="auto"/>
          <w:highlight w:val="none"/>
        </w:rPr>
      </w:r>
      <w:r/>
    </w:p>
    <w:p>
      <w:pPr>
        <w:pStyle w:val="808"/>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2.行数不够，可自行添加。</w:t>
      </w:r>
      <w:r>
        <w:rPr>
          <w:color w:val="auto"/>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b/>
          <w:i w:val="0"/>
          <w:iCs w:val="0"/>
          <w:color w:val="auto"/>
          <w:sz w:val="28"/>
          <w:szCs w:val="21"/>
          <w:highlight w:val="none"/>
          <w:u w:val="none"/>
        </w:rPr>
        <w:outlineLvl w:val="9"/>
      </w:pPr>
      <w:r>
        <w:rPr>
          <w:rFonts w:hint="eastAsia" w:ascii="宋体" w:hAnsi="宋体" w:eastAsia="宋体" w:cs="宋体"/>
          <w:b/>
          <w:i w:val="0"/>
          <w:iCs w:val="0"/>
          <w:color w:val="auto"/>
          <w:sz w:val="28"/>
          <w:szCs w:val="21"/>
          <w:highlight w:val="none"/>
          <w:u w:val="none"/>
        </w:rPr>
      </w:r>
      <w:r>
        <w:rPr>
          <w:color w:val="auto"/>
          <w:highlight w:val="none"/>
        </w:rPr>
      </w:r>
      <w:r/>
    </w:p>
    <w:p>
      <w:pPr>
        <w:pStyle w:val="80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r/>
    </w:p>
    <w:p>
      <w:pPr>
        <w:pStyle w:val="808"/>
        <w:ind w:left="0" w:firstLine="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格式1</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项目团队人员一览表</w:t>
      </w:r>
      <w:r>
        <w:rPr>
          <w:color w:val="auto"/>
          <w:highlight w:val="none"/>
        </w:rPr>
      </w:r>
      <w:r/>
    </w:p>
    <w:p>
      <w:pPr>
        <w:pStyle w:val="798"/>
        <w:ind w:left="0" w:firstLine="0"/>
        <w:jc w:val="center"/>
        <w:spacing w:line="360" w:lineRule="auto"/>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t xml:space="preserve">项目团队人员一览表</w:t>
      </w:r>
      <w:r>
        <w:rPr>
          <w:color w:val="auto"/>
          <w:highlight w:val="none"/>
        </w:rPr>
      </w:r>
      <w:r/>
    </w:p>
    <w:tbl>
      <w:tblPr>
        <w:tblStyle w:val="79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2"/>
        <w:gridCol w:w="1393"/>
        <w:gridCol w:w="2762"/>
        <w:gridCol w:w="2123"/>
        <w:gridCol w:w="2172"/>
      </w:tblGrid>
      <w:tr>
        <w:trPr>
          <w:jc w:val="center"/>
          <w:trHeight w:val="930"/>
        </w:trPr>
        <w:tc>
          <w:tcPr>
            <w:tcW w:w="65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本项目拟任职务</w:t>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工作经历</w:t>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资格证书</w:t>
            </w:r>
            <w:r>
              <w:rPr>
                <w:color w:val="auto"/>
                <w:highlight w:val="none"/>
              </w:rPr>
            </w:r>
            <w:r/>
          </w:p>
        </w:tc>
      </w:tr>
      <w:tr>
        <w:trPr>
          <w:jc w:val="center"/>
          <w:trHeight w:val="729"/>
        </w:trPr>
        <w:tc>
          <w:tcPr>
            <w:tcW w:w="659"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29"/>
        </w:trPr>
        <w:tc>
          <w:tcPr>
            <w:tcW w:w="659"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29"/>
        </w:trPr>
        <w:tc>
          <w:tcPr>
            <w:tcW w:w="659"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29"/>
        </w:trPr>
        <w:tc>
          <w:tcPr>
            <w:tcW w:w="659"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29"/>
        </w:trPr>
        <w:tc>
          <w:tcPr>
            <w:tcW w:w="659"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29"/>
        </w:trPr>
        <w:tc>
          <w:tcPr>
            <w:tcW w:w="659"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29"/>
        </w:trPr>
        <w:tc>
          <w:tcPr>
            <w:tcW w:w="659"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29"/>
        </w:trPr>
        <w:tc>
          <w:tcPr>
            <w:tcW w:w="659"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29"/>
        </w:trPr>
        <w:tc>
          <w:tcPr>
            <w:tcW w:w="659"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7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18"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090"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115" w:type="pct"/>
            <w:vAlign w:val="center"/>
            <w:textDirection w:val="lrTb"/>
            <w:noWrap w:val="false"/>
          </w:tcPr>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bl>
    <w:p>
      <w:pPr>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rPr>
          <w:color w:val="auto"/>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jc w:val="both"/>
        <w:spacing w:before="312" w:after="312"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格式1</w:t>
      </w:r>
      <w:r>
        <w:rPr>
          <w:rFonts w:hint="eastAsia" w:ascii="宋体" w:hAnsi="宋体" w:eastAsia="宋体" w:cs="宋体"/>
          <w:i w:val="0"/>
          <w:iCs w:val="0"/>
          <w:color w:val="auto"/>
          <w:sz w:val="24"/>
          <w:szCs w:val="24"/>
          <w:highlight w:val="none"/>
          <w:u w:val="none"/>
          <w:lang w:val="en-US" w:eastAsia="zh-CN"/>
        </w:rPr>
        <w:t xml:space="preserve">2、类似项目业绩一览表</w:t>
      </w:r>
      <w:r>
        <w:rPr>
          <w:color w:val="auto"/>
          <w:highlight w:val="none"/>
        </w:rPr>
      </w:r>
      <w:r/>
    </w:p>
    <w:p>
      <w:pPr>
        <w:jc w:val="center"/>
        <w:spacing w:before="312" w:after="312"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类似项目业绩一览表</w:t>
      </w:r>
      <w:r>
        <w:rPr>
          <w:color w:val="auto"/>
          <w:highlight w:val="none"/>
        </w:rPr>
      </w:r>
      <w:r/>
    </w:p>
    <w:tbl>
      <w:tblPr>
        <w:tblStyle w:val="79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81"/>
        <w:gridCol w:w="2856"/>
        <w:gridCol w:w="2496"/>
        <w:gridCol w:w="1588"/>
        <w:gridCol w:w="1613"/>
      </w:tblGrid>
      <w:tr>
        <w:trPr>
          <w:jc w:val="center"/>
          <w:trHeight w:val="753"/>
        </w:trPr>
        <w:tc>
          <w:tcPr>
            <w:tcW w:w="606" w:type="pct"/>
            <w:vAlign w:val="center"/>
            <w:textDirection w:val="lrTb"/>
            <w:noWrap w:val="false"/>
          </w:tcPr>
          <w:p>
            <w:pPr>
              <w:pStyle w:val="808"/>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p>
        </w:tc>
        <w:tc>
          <w:tcPr>
            <w:tcW w:w="1466" w:type="pct"/>
            <w:vAlign w:val="center"/>
            <w:textDirection w:val="lrTb"/>
            <w:noWrap w:val="false"/>
          </w:tcPr>
          <w:p>
            <w:pPr>
              <w:pStyle w:val="808"/>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rPr>
                <w:color w:val="auto"/>
                <w:highlight w:val="none"/>
              </w:rPr>
            </w:r>
            <w:r/>
          </w:p>
        </w:tc>
        <w:tc>
          <w:tcPr>
            <w:tcW w:w="1281" w:type="pct"/>
            <w:vAlign w:val="center"/>
            <w:textDirection w:val="lrTb"/>
            <w:noWrap w:val="false"/>
          </w:tcPr>
          <w:p>
            <w:pPr>
              <w:pStyle w:val="808"/>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rPr>
                <w:color w:val="auto"/>
                <w:highlight w:val="none"/>
              </w:rPr>
            </w:r>
            <w:r/>
          </w:p>
        </w:tc>
        <w:tc>
          <w:tcPr>
            <w:tcW w:w="815" w:type="pct"/>
            <w:vAlign w:val="center"/>
            <w:textDirection w:val="lrTb"/>
            <w:noWrap w:val="false"/>
          </w:tcPr>
          <w:p>
            <w:pPr>
              <w:pStyle w:val="808"/>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rPr>
                <w:color w:val="auto"/>
                <w:highlight w:val="none"/>
              </w:rPr>
            </w:r>
            <w:r/>
          </w:p>
        </w:tc>
        <w:tc>
          <w:tcPr>
            <w:tcW w:w="828" w:type="pct"/>
            <w:vAlign w:val="center"/>
            <w:textDirection w:val="lrTb"/>
            <w:noWrap w:val="false"/>
          </w:tcPr>
          <w:p>
            <w:pPr>
              <w:pStyle w:val="808"/>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53"/>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r>
        <w:trPr>
          <w:jc w:val="center"/>
          <w:trHeight w:val="772"/>
        </w:trPr>
        <w:tc>
          <w:tcPr>
            <w:tcW w:w="60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466"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1281"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15"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c>
          <w:tcPr>
            <w:tcW w:w="828" w:type="pct"/>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r/>
          </w:p>
        </w:tc>
      </w:tr>
    </w:tbl>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后附：按评分标准要求提供类似合同业绩，表格不够自行添加。</w:t>
      </w:r>
      <w:r>
        <w:rPr>
          <w:color w:val="auto"/>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highlight w:val="none"/>
          <w:u w:val="single"/>
        </w:rPr>
        <w:t xml:space="preserve">加盖CA电子公章</w:t>
      </w:r>
      <w:r>
        <w:rPr>
          <w:rFonts w:hint="eastAsia" w:ascii="宋体" w:hAnsi="宋体" w:eastAsia="宋体" w:cs="宋体"/>
          <w:bCs/>
          <w:color w:val="auto"/>
          <w:sz w:val="24"/>
          <w:highlight w:val="none"/>
          <w:u w:val="single"/>
        </w:rPr>
        <w:t xml:space="preserve">）</w:t>
      </w:r>
      <w:r>
        <w:rPr>
          <w:color w:val="auto"/>
          <w:highlight w:val="none"/>
        </w:rPr>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rPr>
          <w:color w:val="auto"/>
          <w:highlight w:val="none"/>
        </w:rPr>
      </w:r>
      <w:r/>
    </w:p>
    <w:p>
      <w:pPr>
        <w:ind w:right="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jc w:val="both"/>
        <w:keepLines w:val="0"/>
        <w:keepNext w:val="0"/>
        <w:pageBreakBefore w:val="0"/>
        <w:spacing w:line="360" w:lineRule="auto"/>
        <w:widowControl w:val="off"/>
        <w:rPr>
          <w:rFonts w:hint="eastAsia" w:ascii="宋体" w:hAnsi="宋体" w:eastAsia="宋体" w:cs="宋体"/>
          <w:color w:val="auto"/>
          <w:sz w:val="29"/>
          <w:highlight w:val="none"/>
        </w:rPr>
      </w:pPr>
      <w:r>
        <w:rPr>
          <w:rFonts w:hint="eastAsia" w:ascii="宋体" w:hAnsi="宋体" w:eastAsia="宋体" w:cs="宋体"/>
          <w:b/>
          <w:i w:val="0"/>
          <w:iCs w:val="0"/>
          <w:color w:val="auto"/>
          <w:sz w:val="28"/>
          <w:szCs w:val="20"/>
          <w:highlight w:val="none"/>
          <w:u w:val="none"/>
        </w:rPr>
        <w:br w:type="page" w:clear="all"/>
      </w:r>
      <w:r>
        <w:rPr>
          <w:rFonts w:hint="eastAsia" w:ascii="宋体" w:hAnsi="宋体" w:eastAsia="宋体" w:cs="宋体"/>
          <w:i w:val="0"/>
          <w:iCs w:val="0"/>
          <w:color w:val="auto"/>
          <w:sz w:val="24"/>
          <w:szCs w:val="24"/>
          <w:highlight w:val="none"/>
          <w:u w:val="none"/>
          <w:lang w:val="en-US" w:eastAsia="zh-CN"/>
        </w:rPr>
        <w:t xml:space="preserve">格式13、分包意向协议书（如有）</w:t>
      </w:r>
      <w:r>
        <w:rPr>
          <w:color w:val="auto"/>
          <w:highlight w:val="none"/>
        </w:rPr>
      </w:r>
      <w:r/>
    </w:p>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i w:val="0"/>
          <w:iCs w:val="0"/>
          <w:color w:val="auto"/>
          <w:sz w:val="28"/>
          <w:szCs w:val="28"/>
          <w:highlight w:val="none"/>
          <w:u w:val="none"/>
          <w:lang w:val="en-US" w:eastAsia="zh-CN"/>
        </w:rPr>
        <w:t xml:space="preserve">分包意向协议书</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立约方</w:t>
      </w:r>
      <w:r>
        <w:rPr>
          <w:rFonts w:hint="eastAsia" w:ascii="宋体" w:hAnsi="宋体" w:eastAsia="宋体" w:cs="宋体"/>
          <w:color w:val="auto"/>
          <w:sz w:val="24"/>
          <w:szCs w:val="24"/>
          <w:highlight w:val="none"/>
          <w:u w:val="single"/>
        </w:rPr>
        <w:t xml:space="preserve">：（甲公司全称）</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（乙公司全称）</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（······公司全称）</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（甲公司全称）、（乙公司全称）、（······公司全称）</w:t>
      </w:r>
      <w:r>
        <w:rPr>
          <w:rFonts w:hint="eastAsia" w:ascii="宋体" w:hAnsi="宋体" w:eastAsia="宋体" w:cs="宋体"/>
          <w:color w:val="auto"/>
          <w:sz w:val="24"/>
          <w:szCs w:val="24"/>
          <w:highlight w:val="none"/>
        </w:rPr>
        <w:t xml:space="preserve">自愿达成分包意向，参加</w:t>
      </w:r>
      <w:r>
        <w:rPr>
          <w:rFonts w:hint="eastAsia" w:ascii="宋体" w:hAnsi="宋体" w:eastAsia="宋体" w:cs="宋体"/>
          <w:color w:val="auto"/>
          <w:sz w:val="24"/>
          <w:szCs w:val="24"/>
          <w:highlight w:val="none"/>
          <w:u w:val="single"/>
        </w:rPr>
        <w:t xml:space="preserve">（采购项目名称）（采购项目编号）</w:t>
      </w:r>
      <w:r>
        <w:rPr>
          <w:rFonts w:hint="eastAsia" w:ascii="宋体" w:hAnsi="宋体" w:eastAsia="宋体" w:cs="宋体"/>
          <w:color w:val="auto"/>
          <w:sz w:val="24"/>
          <w:szCs w:val="24"/>
          <w:highlight w:val="none"/>
        </w:rPr>
        <w:t xml:space="preserve">的响应活动。经各方充分协商一致，就项目的响应和合同实施阶段的有关事务协商一致订立意向如下：</w:t>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一、分包意向各方关系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（甲公司全称）为投标方、（乙公司全称）、（······公司全称）</w:t>
      </w:r>
      <w:r>
        <w:rPr>
          <w:rFonts w:hint="eastAsia" w:ascii="宋体" w:hAnsi="宋体" w:eastAsia="宋体" w:cs="宋体"/>
          <w:color w:val="auto"/>
          <w:sz w:val="24"/>
          <w:szCs w:val="24"/>
          <w:highlight w:val="none"/>
        </w:rPr>
        <w:t xml:space="preserve">为分包意向投标人，</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以投标人的身份参加本项目的响应。若中标，</w:t>
      </w:r>
      <w:r>
        <w:rPr>
          <w:rFonts w:hint="eastAsia" w:ascii="宋体" w:hAnsi="宋体" w:eastAsia="宋体" w:cs="宋体"/>
          <w:color w:val="auto"/>
          <w:sz w:val="24"/>
          <w:szCs w:val="24"/>
          <w:highlight w:val="none"/>
          <w:u w:val="single"/>
        </w:rPr>
        <w:t xml:space="preserve">（甲公司全称）与采购人</w:t>
      </w:r>
      <w:r>
        <w:rPr>
          <w:rFonts w:hint="eastAsia" w:ascii="宋体" w:hAnsi="宋体" w:eastAsia="宋体" w:cs="宋体"/>
          <w:color w:val="auto"/>
          <w:sz w:val="24"/>
          <w:szCs w:val="24"/>
          <w:highlight w:val="none"/>
        </w:rPr>
        <w:t xml:space="preserve">签订政府采购合同。承接分包意向的各投标人与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签订分包合同。</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就采购项目和分包项目向采购人负责，分包投标人就分包项目承担责任。</w:t>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二、有关事项约定如下：</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1．如中标，分包投标人分别与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签订合同书，并就中标项目分包部分承担法律责任；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2．分包意向投标人1</w:t>
      </w:r>
      <w:r>
        <w:rPr>
          <w:rFonts w:hint="eastAsia" w:ascii="宋体" w:hAnsi="宋体" w:eastAsia="宋体" w:cs="宋体"/>
          <w:color w:val="auto"/>
          <w:sz w:val="24"/>
          <w:szCs w:val="24"/>
          <w:highlight w:val="none"/>
          <w:u w:val="single"/>
        </w:rPr>
        <w:t xml:space="preserve">（公司全称）为（请填写：大型、中型、小型、微型）企业</w:t>
      </w:r>
      <w:r>
        <w:rPr>
          <w:rFonts w:hint="eastAsia" w:ascii="宋体" w:hAnsi="宋体" w:eastAsia="宋体" w:cs="宋体"/>
          <w:color w:val="auto"/>
          <w:sz w:val="24"/>
          <w:szCs w:val="24"/>
          <w:highlight w:val="none"/>
        </w:rPr>
        <w:t xml:space="preserve">，将承担适宜分包部分</w:t>
      </w:r>
      <w:r>
        <w:rPr>
          <w:rFonts w:hint="eastAsia" w:ascii="宋体" w:hAnsi="宋体" w:eastAsia="宋体" w:cs="宋体"/>
          <w:color w:val="auto"/>
          <w:sz w:val="24"/>
          <w:szCs w:val="24"/>
          <w:highlight w:val="none"/>
          <w:u w:val="single"/>
        </w:rPr>
        <w:t xml:space="preserve">（具体分包内容）</w:t>
      </w:r>
      <w:r>
        <w:rPr>
          <w:rFonts w:hint="eastAsia" w:ascii="宋体" w:hAnsi="宋体" w:eastAsia="宋体" w:cs="宋体"/>
          <w:color w:val="auto"/>
          <w:sz w:val="24"/>
          <w:szCs w:val="24"/>
          <w:highlight w:val="none"/>
        </w:rPr>
        <w:t xml:space="preserve">占合同总金额＿％的工作内容。</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3．分包意向投标人2</w:t>
      </w:r>
      <w:r>
        <w:rPr>
          <w:rFonts w:hint="eastAsia" w:ascii="宋体" w:hAnsi="宋体" w:eastAsia="宋体" w:cs="宋体"/>
          <w:color w:val="auto"/>
          <w:sz w:val="24"/>
          <w:szCs w:val="24"/>
          <w:highlight w:val="none"/>
          <w:u w:val="single"/>
        </w:rPr>
        <w:t xml:space="preserve">（公司全称）为（请填写：大型、中型、小型、微型）企业</w:t>
      </w:r>
      <w:r>
        <w:rPr>
          <w:rFonts w:hint="eastAsia" w:ascii="宋体" w:hAnsi="宋体" w:eastAsia="宋体" w:cs="宋体"/>
          <w:color w:val="auto"/>
          <w:sz w:val="24"/>
          <w:szCs w:val="24"/>
          <w:highlight w:val="none"/>
        </w:rPr>
        <w:t xml:space="preserve">，将承担适宜分包部分</w:t>
      </w:r>
      <w:r>
        <w:rPr>
          <w:rFonts w:hint="eastAsia" w:ascii="宋体" w:hAnsi="宋体" w:eastAsia="宋体" w:cs="宋体"/>
          <w:color w:val="auto"/>
          <w:sz w:val="24"/>
          <w:szCs w:val="24"/>
          <w:highlight w:val="none"/>
          <w:u w:val="single"/>
        </w:rPr>
        <w:t xml:space="preserve">（具体分包内容）占</w:t>
      </w: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％的工作内容。</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三、接受分包的企业与分包企业之间的关系：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1．分包意向投标人1</w:t>
      </w:r>
      <w:r>
        <w:rPr>
          <w:rFonts w:hint="eastAsia" w:ascii="宋体" w:hAnsi="宋体" w:eastAsia="宋体" w:cs="宋体"/>
          <w:color w:val="auto"/>
          <w:sz w:val="24"/>
          <w:szCs w:val="24"/>
          <w:highlight w:val="none"/>
          <w:u w:val="single"/>
        </w:rPr>
        <w:t xml:space="preserve">（公司全称）</w:t>
      </w:r>
      <w:r>
        <w:rPr>
          <w:rFonts w:hint="eastAsia" w:ascii="宋体" w:hAnsi="宋体" w:eastAsia="宋体" w:cs="宋体"/>
          <w:color w:val="auto"/>
          <w:sz w:val="24"/>
          <w:szCs w:val="24"/>
          <w:highlight w:val="none"/>
        </w:rPr>
        <w:t xml:space="preserve">与分包企业之间</w:t>
      </w:r>
      <w:r>
        <w:rPr>
          <w:rFonts w:hint="eastAsia" w:ascii="宋体" w:hAnsi="宋体" w:eastAsia="宋体" w:cs="宋体"/>
          <w:color w:val="auto"/>
          <w:sz w:val="24"/>
          <w:szCs w:val="24"/>
          <w:highlight w:val="none"/>
          <w:u w:val="single"/>
        </w:rPr>
        <w:t xml:space="preserve">（请填写：是否存在）</w:t>
      </w:r>
      <w:r>
        <w:rPr>
          <w:rFonts w:hint="eastAsia" w:ascii="宋体" w:hAnsi="宋体" w:eastAsia="宋体" w:cs="宋体"/>
          <w:color w:val="auto"/>
          <w:sz w:val="24"/>
          <w:szCs w:val="24"/>
          <w:highlight w:val="none"/>
        </w:rPr>
        <w:t xml:space="preserve">直接控股、管理关系的情形。</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2．分包意向投标人2</w:t>
      </w:r>
      <w:r>
        <w:rPr>
          <w:rFonts w:hint="eastAsia" w:ascii="宋体" w:hAnsi="宋体" w:eastAsia="宋体" w:cs="宋体"/>
          <w:color w:val="auto"/>
          <w:sz w:val="24"/>
          <w:szCs w:val="24"/>
          <w:highlight w:val="none"/>
          <w:u w:val="single"/>
        </w:rPr>
        <w:t xml:space="preserve">（公司全称）</w:t>
      </w:r>
      <w:r>
        <w:rPr>
          <w:rFonts w:hint="eastAsia" w:ascii="宋体" w:hAnsi="宋体" w:eastAsia="宋体" w:cs="宋体"/>
          <w:color w:val="auto"/>
          <w:sz w:val="24"/>
          <w:szCs w:val="24"/>
          <w:highlight w:val="none"/>
        </w:rPr>
        <w:t xml:space="preserve">与分包企业之间</w:t>
      </w:r>
      <w:r>
        <w:rPr>
          <w:rFonts w:hint="eastAsia" w:ascii="宋体" w:hAnsi="宋体" w:eastAsia="宋体" w:cs="宋体"/>
          <w:color w:val="auto"/>
          <w:sz w:val="24"/>
          <w:szCs w:val="24"/>
          <w:highlight w:val="none"/>
          <w:u w:val="single"/>
        </w:rPr>
        <w:t xml:space="preserve">（请填写：是否存在）</w:t>
      </w:r>
      <w:r>
        <w:rPr>
          <w:rFonts w:hint="eastAsia" w:ascii="宋体" w:hAnsi="宋体" w:eastAsia="宋体" w:cs="宋体"/>
          <w:color w:val="auto"/>
          <w:sz w:val="24"/>
          <w:szCs w:val="24"/>
          <w:highlight w:val="none"/>
        </w:rPr>
        <w:t xml:space="preserve">直接控股、管理关系的情形。</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四、如因违约过失责任而导致采购人经济损失或被索赔时，</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同意无条件优先清偿采购人的一切债务和经济赔偿。</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五、如中标，分包意向投标人不得以任何理由提出终止本意向协议。</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六、本意向书自签署之日起生效，有效期内有效，如获中标资格，有效期延续至合同履行完毕之日。</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甲公司全称：（盖章）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乙公司全称：（盖章）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······公司全称（盖章）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1.各方成员应在本意向书上共同盖章确认。</w:t>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2.本意向书内容将作为签订合同的附件之一。</w:t>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3.按照第一章 投标邀请 资格条件：（二）落实政府采购政策需满足的资格要求，提供对应的《中小企业声明函》等证明材料。</w:t>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4.适宜分包部分详见分项报价表。</w:t>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5.分包协议中所填写的比例如与投标分项报价表中经计算得出的比例不一致，投标人将承担一切不利后果。</w:t>
      </w:r>
      <w:r>
        <w:rPr>
          <w:color w:val="auto"/>
          <w:highlight w:val="none"/>
        </w:rPr>
      </w:r>
      <w:r/>
    </w:p>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br w:type="page" w:clear="all"/>
      </w:r>
      <w:r>
        <w:rPr>
          <w:color w:val="auto"/>
          <w:highlight w:val="none"/>
        </w:rPr>
      </w:r>
      <w:r/>
    </w:p>
    <w:p>
      <w:pPr>
        <w:ind w:left="0" w:right="0"/>
        <w:keepLines w:val="0"/>
        <w:keepNext w:val="0"/>
        <w:pageBreakBefore w:val="0"/>
        <w:spacing w:line="360" w:lineRule="auto"/>
        <w:widowControl w:val="off"/>
        <w:rPr>
          <w:rFonts w:hint="eastAsia" w:ascii="宋体" w:hAnsi="宋体" w:eastAsia="宋体" w:cs="宋体"/>
          <w:i w:val="0"/>
          <w:iCs w:val="0"/>
          <w:color w:val="auto"/>
          <w:sz w:val="28"/>
          <w:szCs w:val="20"/>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格式14、</w:t>
      </w:r>
      <w:r>
        <w:rPr>
          <w:rFonts w:hint="eastAsia" w:ascii="宋体" w:hAnsi="宋体" w:eastAsia="宋体" w:cs="宋体"/>
          <w:i w:val="0"/>
          <w:iCs w:val="0"/>
          <w:color w:val="auto"/>
          <w:sz w:val="24"/>
          <w:szCs w:val="24"/>
          <w:highlight w:val="none"/>
          <w:u w:val="none"/>
        </w:rPr>
        <w:t xml:space="preserve">项目需求响应</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Cs/>
          <w:i w:val="0"/>
          <w:iCs w:val="0"/>
          <w:color w:val="auto"/>
          <w:sz w:val="36"/>
          <w:szCs w:val="28"/>
          <w:highlight w:val="none"/>
          <w:u w:val="none"/>
        </w:rPr>
        <w:outlineLvl w:val="9"/>
      </w:pPr>
      <w:r>
        <w:rPr>
          <w:rFonts w:hint="eastAsia" w:ascii="宋体" w:hAnsi="宋体" w:eastAsia="宋体" w:cs="宋体"/>
          <w:bCs/>
          <w:i w:val="0"/>
          <w:iCs w:val="0"/>
          <w:color w:val="auto"/>
          <w:sz w:val="36"/>
          <w:szCs w:val="28"/>
          <w:highlight w:val="none"/>
          <w:u w:val="none"/>
        </w:rPr>
        <w:t xml:space="preserve">项目需求响应</w:t>
      </w:r>
      <w:r>
        <w:rPr>
          <w:color w:val="auto"/>
          <w:highlight w:val="none"/>
        </w:rPr>
      </w:r>
      <w:r/>
    </w:p>
    <w:p>
      <w:pPr>
        <w:ind w:right="0"/>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（请按“项目需求”要求自行填写，格式自定）</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color w:val="auto"/>
          <w:highlight w:val="none"/>
        </w:rPr>
      </w:r>
      <w:bookmarkStart w:id="50" w:name="_Toc249"/>
      <w:r>
        <w:rPr>
          <w:color w:val="auto"/>
          <w:highlight w:val="none"/>
        </w:rPr>
      </w:r>
      <w:bookmarkStart w:id="51" w:name="_Toc762"/>
      <w:r>
        <w:rPr>
          <w:color w:val="auto"/>
          <w:highlight w:val="none"/>
        </w:rPr>
      </w:r>
      <w:bookmarkStart w:id="52" w:name="_Toc32237"/>
      <w:r>
        <w:rPr>
          <w:color w:val="auto"/>
          <w:highlight w:val="none"/>
        </w:rPr>
      </w:r>
      <w:bookmarkStart w:id="53" w:name="_Toc29361"/>
      <w:r>
        <w:rPr>
          <w:color w:val="auto"/>
          <w:highlight w:val="none"/>
        </w:rPr>
      </w:r>
      <w:bookmarkStart w:id="54" w:name="_Toc25828"/>
      <w:r>
        <w:rPr>
          <w:color w:val="auto"/>
          <w:highlight w:val="none"/>
        </w:rPr>
      </w:r>
      <w:bookmarkStart w:id="55" w:name="_Toc10615"/>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jc w:val="center"/>
        <w:spacing w:line="360" w:lineRule="auto"/>
        <w:rPr>
          <w:rFonts w:hint="eastAsia" w:ascii="宋体" w:hAnsi="宋体" w:eastAsia="宋体" w:cs="宋体"/>
          <w:b/>
          <w:bCs w:val="0"/>
          <w:color w:val="auto"/>
          <w:sz w:val="40"/>
          <w:szCs w:val="32"/>
          <w:highlight w:val="none"/>
        </w:rPr>
        <w:outlineLvl w:val="0"/>
      </w:pPr>
      <w:r>
        <w:rPr>
          <w:color w:val="auto"/>
          <w:highlight w:val="none"/>
        </w:rPr>
      </w:r>
      <w:bookmarkStart w:id="56" w:name="_Toc15268"/>
      <w:r>
        <w:rPr>
          <w:color w:val="auto"/>
          <w:highlight w:val="none"/>
        </w:rPr>
      </w:r>
      <w:bookmarkStart w:id="57" w:name="_Toc17227"/>
      <w:r>
        <w:rPr>
          <w:rFonts w:hint="eastAsia" w:ascii="宋体" w:hAnsi="宋体" w:eastAsia="宋体" w:cs="宋体"/>
          <w:b/>
          <w:bCs w:val="0"/>
          <w:color w:val="auto"/>
          <w:sz w:val="40"/>
          <w:szCs w:val="32"/>
          <w:highlight w:val="none"/>
        </w:rPr>
        <w:t xml:space="preserve">质疑函范本</w:t>
      </w:r>
      <w:bookmarkEnd w:id="56"/>
      <w:r>
        <w:rPr>
          <w:color w:val="auto"/>
          <w:highlight w:val="none"/>
        </w:rPr>
      </w:r>
      <w:bookmarkEnd w:id="57"/>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color w:val="auto"/>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rPr>
          <w:color w:val="auto"/>
          <w:highlight w:val="none"/>
        </w:rPr>
      </w:r>
      <w:r/>
    </w:p>
    <w:p>
      <w:pPr>
        <w:ind w:firstLine="480"/>
        <w:jc w:val="left"/>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b/>
          <w:i w:val="0"/>
          <w:iCs w:val="0"/>
          <w:color w:val="auto"/>
          <w:sz w:val="36"/>
          <w:szCs w:val="20"/>
          <w:highlight w:val="none"/>
          <w:u w:val="none"/>
        </w:rPr>
        <w:outlineLvl w:val="0"/>
      </w:pPr>
      <w:r>
        <w:rPr>
          <w:rFonts w:hint="eastAsia" w:ascii="宋体" w:hAnsi="宋体" w:eastAsia="宋体" w:cs="宋体"/>
          <w:b/>
          <w:i w:val="0"/>
          <w:iCs w:val="0"/>
          <w:color w:val="auto"/>
          <w:sz w:val="36"/>
          <w:szCs w:val="20"/>
          <w:highlight w:val="none"/>
          <w:u w:val="none"/>
        </w:rPr>
        <w:t xml:space="preserve">第五章 合同专用条款表</w:t>
      </w:r>
      <w:bookmarkEnd w:id="50"/>
      <w:r>
        <w:rPr>
          <w:color w:val="auto"/>
          <w:highlight w:val="none"/>
        </w:rPr>
      </w:r>
      <w:bookmarkEnd w:id="51"/>
      <w:r>
        <w:rPr>
          <w:color w:val="auto"/>
          <w:highlight w:val="none"/>
        </w:rPr>
      </w:r>
      <w:bookmarkEnd w:id="52"/>
      <w:r>
        <w:rPr>
          <w:color w:val="auto"/>
          <w:highlight w:val="none"/>
        </w:rPr>
      </w:r>
      <w:bookmarkEnd w:id="53"/>
      <w:r>
        <w:rPr>
          <w:color w:val="auto"/>
          <w:highlight w:val="none"/>
        </w:rPr>
      </w:r>
      <w:bookmarkEnd w:id="54"/>
      <w:r>
        <w:rPr>
          <w:color w:val="auto"/>
          <w:highlight w:val="none"/>
        </w:rPr>
      </w:r>
      <w:bookmarkEnd w:id="55"/>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本表是对第三章“政府采购合同格式”的补充和修改。如果两者之间有抵触，以本专用条款表为准。</w:t>
      </w:r>
      <w:r>
        <w:rPr>
          <w:color w:val="auto"/>
          <w:highlight w:val="none"/>
        </w:rPr>
      </w:r>
      <w:r/>
    </w:p>
    <w:tbl>
      <w:tblPr>
        <w:tblStyle w:val="79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8649"/>
      </w:tblGrid>
      <w:tr>
        <w:trPr>
          <w:jc w:val="center"/>
          <w:trHeight w:val="691"/>
        </w:trPr>
        <w:tc>
          <w:tcPr>
            <w:tcW w:w="55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条款号</w:t>
            </w:r>
            <w:r>
              <w:rPr>
                <w:color w:val="auto"/>
                <w:highlight w:val="none"/>
              </w:rPr>
            </w:r>
            <w:r/>
          </w:p>
        </w:tc>
        <w:tc>
          <w:tcPr>
            <w:tcW w:w="444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内容</w:t>
            </w:r>
            <w:r>
              <w:rPr>
                <w:color w:val="auto"/>
                <w:highlight w:val="none"/>
              </w:rPr>
            </w:r>
            <w:r/>
          </w:p>
        </w:tc>
      </w:tr>
      <w:tr>
        <w:trPr>
          <w:jc w:val="center"/>
          <w:trHeight w:val="564"/>
        </w:trPr>
        <w:tc>
          <w:tcPr>
            <w:tcW w:w="55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highlight w:val="none"/>
                <w:u w:val="none"/>
              </w:rPr>
              <w:t xml:space="preserve">6</w:t>
            </w:r>
            <w:r>
              <w:rPr>
                <w:rFonts w:hint="eastAsia" w:ascii="宋体" w:hAnsi="宋体" w:eastAsia="宋体" w:cs="宋体"/>
                <w:i w:val="0"/>
                <w:iCs w:val="0"/>
                <w:color w:val="auto"/>
                <w:sz w:val="24"/>
                <w:highlight w:val="none"/>
                <w:u w:val="none"/>
                <w:lang w:val="en-US" w:eastAsia="zh-CN"/>
              </w:rPr>
              <w:t xml:space="preserve">.1</w:t>
            </w:r>
            <w:r>
              <w:rPr>
                <w:color w:val="auto"/>
                <w:highlight w:val="none"/>
              </w:rPr>
            </w:r>
            <w:r/>
          </w:p>
        </w:tc>
        <w:tc>
          <w:tcPr>
            <w:tcW w:w="4442" w:type="pct"/>
            <w:vAlign w:val="center"/>
            <w:textDirection w:val="lrTb"/>
            <w:noWrap w:val="false"/>
          </w:tcPr>
          <w:p>
            <w:pPr>
              <w:pStyle w:val="1029"/>
              <w:ind w:left="0" w:right="0"/>
              <w:keepLines w:val="0"/>
              <w:keepNext w:val="0"/>
              <w:pageBreakBefore w:val="0"/>
              <w:spacing w:line="240" w:lineRule="auto"/>
              <w:widowControl w:val="off"/>
              <w:tabs>
                <w:tab w:val="left" w:pos="6739" w:leader="none"/>
              </w:tabs>
              <w:rPr>
                <w:rFonts w:hint="eastAsia" w:ascii="宋体" w:hAnsi="宋体" w:eastAsia="宋体" w:cs="宋体"/>
                <w:b/>
                <w:i w:val="0"/>
                <w:iCs w:val="0"/>
                <w:color w:val="auto"/>
                <w:sz w:val="24"/>
                <w:highlight w:val="none"/>
                <w:u w:val="none"/>
              </w:rPr>
              <w:outlineLvl w:val="9"/>
            </w:pPr>
            <w:r>
              <w:rPr>
                <w:rFonts w:hint="eastAsia" w:ascii="宋体" w:hAnsi="宋体" w:eastAsia="宋体" w:cs="宋体"/>
                <w:b w:val="0"/>
                <w:bCs/>
                <w:i w:val="0"/>
                <w:iCs w:val="0"/>
                <w:color w:val="auto"/>
                <w:sz w:val="24"/>
                <w:highlight w:val="none"/>
                <w:u w:val="none"/>
              </w:rPr>
              <w:t xml:space="preserve">履约保证金：本项目不收取履约保证金。</w:t>
            </w:r>
            <w:r>
              <w:rPr>
                <w:color w:val="auto"/>
                <w:highlight w:val="none"/>
              </w:rPr>
            </w:r>
            <w:r/>
          </w:p>
        </w:tc>
      </w:tr>
      <w:tr>
        <w:trPr>
          <w:jc w:val="center"/>
          <w:trHeight w:val="550"/>
        </w:trPr>
        <w:tc>
          <w:tcPr>
            <w:tcW w:w="55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8.1</w:t>
            </w:r>
            <w:r>
              <w:rPr>
                <w:color w:val="auto"/>
                <w:highlight w:val="none"/>
              </w:rPr>
            </w:r>
            <w:r/>
          </w:p>
        </w:tc>
        <w:tc>
          <w:tcPr>
            <w:tcW w:w="444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服务期限</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自初验合格后1年</w:t>
            </w:r>
            <w:r>
              <w:rPr>
                <w:rFonts w:hint="eastAsia" w:ascii="宋体" w:hAnsi="宋体" w:eastAsia="宋体" w:cs="宋体"/>
                <w:i w:val="0"/>
                <w:iCs w:val="0"/>
                <w:color w:val="auto"/>
                <w:sz w:val="24"/>
                <w:szCs w:val="24"/>
                <w:highlight w:val="none"/>
                <w:u w:val="none"/>
              </w:rPr>
              <w:t xml:space="preserve">。</w:t>
            </w:r>
            <w:r>
              <w:rPr>
                <w:color w:val="auto"/>
                <w:highlight w:val="none"/>
              </w:rPr>
            </w:r>
            <w:r/>
          </w:p>
        </w:tc>
      </w:tr>
      <w:tr>
        <w:trPr>
          <w:jc w:val="center"/>
          <w:trHeight w:val="956"/>
        </w:trPr>
        <w:tc>
          <w:tcPr>
            <w:tcW w:w="55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lang w:val="en-US" w:eastAsia="zh-CN"/>
              </w:rPr>
              <w:t xml:space="preserve">9</w:t>
            </w:r>
            <w:r>
              <w:rPr>
                <w:color w:val="auto"/>
                <w:highlight w:val="none"/>
              </w:rPr>
            </w:r>
            <w:r/>
          </w:p>
        </w:tc>
        <w:tc>
          <w:tcPr>
            <w:tcW w:w="444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9.1 交付期：每个交付节点满足项目需求或采购人要求。   </w:t>
            </w:r>
            <w:r>
              <w:rPr>
                <w:color w:val="auto"/>
                <w:highlight w:val="none"/>
              </w:rPr>
            </w:r>
            <w:r/>
          </w:p>
          <w:p>
            <w:pPr>
              <w:ind w:left="0" w:right="0"/>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9.2 交付方式：现场交付。</w:t>
            </w:r>
            <w:r>
              <w:rPr>
                <w:color w:val="auto"/>
                <w:highlight w:val="none"/>
              </w:rPr>
            </w:r>
            <w:r/>
          </w:p>
          <w:p>
            <w:pPr>
              <w:ind w:left="0" w:right="0"/>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9.3 交付地点：采购人指定地点。</w:t>
            </w:r>
            <w:r>
              <w:rPr>
                <w:color w:val="auto"/>
                <w:highlight w:val="none"/>
              </w:rPr>
            </w:r>
            <w:r/>
          </w:p>
        </w:tc>
      </w:tr>
      <w:tr>
        <w:trPr>
          <w:jc w:val="center"/>
          <w:trHeight w:val="1067"/>
        </w:trPr>
        <w:tc>
          <w:tcPr>
            <w:tcW w:w="55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highlight w:val="none"/>
                <w:u w:val="none"/>
                <w:lang w:val="en-US" w:eastAsia="zh-CN"/>
              </w:rPr>
              <w:t xml:space="preserve">10.1</w:t>
            </w:r>
            <w:r>
              <w:rPr>
                <w:color w:val="auto"/>
                <w:highlight w:val="none"/>
              </w:rPr>
            </w:r>
            <w:r/>
          </w:p>
        </w:tc>
        <w:tc>
          <w:tcPr>
            <w:tcW w:w="444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sz w:val="24"/>
                <w:szCs w:val="24"/>
                <w:highlight w:val="none"/>
                <w:u w:val="none"/>
              </w:rPr>
              <w:t xml:space="preserve">★付款方式：合同签订且乙方完成全部服务账号开通、环境配置及上线调试工作后支付合同金额的20%；整体服务开通使用稳定试运行10个日历日并完成初验后支付至合同金额的85%；服务期满并完成项目终验及审计后，支付至审定金额的100%。</w:t>
            </w:r>
            <w:r>
              <w:rPr>
                <w:color w:val="auto"/>
                <w:highlight w:val="none"/>
              </w:rPr>
            </w:r>
            <w:r/>
          </w:p>
        </w:tc>
      </w:tr>
      <w:tr>
        <w:trPr>
          <w:jc w:val="center"/>
          <w:trHeight w:val="742"/>
        </w:trPr>
        <w:tc>
          <w:tcPr>
            <w:tcBorders>
              <w:bottom w:val="single" w:color="auto" w:sz="4" w:space="0"/>
            </w:tcBorders>
            <w:tcW w:w="557"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highlight w:val="none"/>
                <w:u w:val="none"/>
              </w:rPr>
              <w:t xml:space="preserve">1</w:t>
            </w:r>
            <w:r>
              <w:rPr>
                <w:rFonts w:hint="eastAsia" w:ascii="宋体" w:hAnsi="宋体" w:eastAsia="宋体" w:cs="宋体"/>
                <w:i w:val="0"/>
                <w:iCs w:val="0"/>
                <w:color w:val="auto"/>
                <w:sz w:val="24"/>
                <w:highlight w:val="none"/>
                <w:u w:val="none"/>
                <w:lang w:val="en-US" w:eastAsia="zh-CN"/>
              </w:rPr>
              <w:t xml:space="preserve">5</w:t>
            </w:r>
            <w:r>
              <w:rPr>
                <w:color w:val="auto"/>
                <w:highlight w:val="none"/>
              </w:rPr>
            </w:r>
            <w:r/>
          </w:p>
        </w:tc>
        <w:tc>
          <w:tcPr>
            <w:tcBorders>
              <w:bottom w:val="single" w:color="auto" w:sz="4" w:space="0"/>
            </w:tcBorders>
            <w:tcW w:w="444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违约责任：</w:t>
            </w:r>
            <w:r>
              <w:rPr>
                <w:color w:val="auto"/>
                <w:highlight w:val="none"/>
              </w:rPr>
            </w:r>
            <w:r/>
          </w:p>
          <w:p>
            <w:pPr>
              <w:ind w:left="0" w:right="0"/>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具体违约条款及其它未尽事宜，将在双方签订合同时议定。</w:t>
            </w:r>
            <w:r>
              <w:rPr>
                <w:color w:val="auto"/>
                <w:highlight w:val="none"/>
              </w:rPr>
            </w:r>
            <w:r/>
          </w:p>
        </w:tc>
      </w:tr>
    </w:tbl>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t xml:space="preserve">注：招标文件中标注★号的部分为实质性要求和条件（由采购人根据实际情况设置），投标人必须作出满足或者优于原要求和条件的响应，否则投标无效。</w:t>
      </w:r>
      <w:r>
        <w:rPr>
          <w:color w:val="auto"/>
          <w:highlight w:val="none"/>
        </w:rPr>
      </w:r>
      <w:r/>
    </w:p>
    <w:p>
      <w:pPr>
        <w:ind w:left="0" w:right="0"/>
        <w:jc w:val="center"/>
        <w:keepLines w:val="0"/>
        <w:keepNext w:val="0"/>
        <w:pageBreakBefore w:val="0"/>
        <w:spacing w:line="360" w:lineRule="auto"/>
        <w:widowControl w:val="off"/>
        <w:rPr>
          <w:rFonts w:hint="eastAsia" w:ascii="宋体" w:hAnsi="宋体" w:eastAsia="宋体" w:cs="宋体"/>
          <w:i w:val="0"/>
          <w:iCs w:val="0"/>
          <w:color w:val="auto"/>
          <w:sz w:val="36"/>
          <w:szCs w:val="20"/>
          <w:highlight w:val="none"/>
          <w:u w:val="none"/>
        </w:rPr>
        <w:outlineLvl w:val="0"/>
      </w:pPr>
      <w:r>
        <w:rPr>
          <w:rFonts w:hint="eastAsia" w:ascii="宋体" w:hAnsi="宋体" w:eastAsia="宋体" w:cs="宋体"/>
          <w:bCs/>
          <w:i w:val="0"/>
          <w:iCs w:val="0"/>
          <w:color w:val="auto"/>
          <w:sz w:val="36"/>
          <w:szCs w:val="20"/>
          <w:highlight w:val="none"/>
          <w:u w:val="none"/>
        </w:rPr>
        <w:br w:type="page" w:clear="all"/>
      </w:r>
      <w:bookmarkEnd w:id="44"/>
      <w:r>
        <w:rPr>
          <w:color w:val="auto"/>
          <w:highlight w:val="none"/>
        </w:rPr>
      </w:r>
      <w:bookmarkEnd w:id="45"/>
      <w:r>
        <w:rPr>
          <w:color w:val="auto"/>
          <w:highlight w:val="none"/>
        </w:rPr>
      </w:r>
      <w:bookmarkStart w:id="58" w:name="_Toc7676"/>
      <w:r>
        <w:rPr>
          <w:color w:val="auto"/>
          <w:highlight w:val="none"/>
        </w:rPr>
      </w:r>
      <w:bookmarkStart w:id="59" w:name="_Toc17023"/>
      <w:r>
        <w:rPr>
          <w:color w:val="auto"/>
          <w:highlight w:val="none"/>
        </w:rPr>
      </w:r>
      <w:bookmarkStart w:id="60" w:name="_Toc15482"/>
      <w:r>
        <w:rPr>
          <w:color w:val="auto"/>
          <w:highlight w:val="none"/>
        </w:rPr>
      </w:r>
      <w:bookmarkStart w:id="61" w:name="_Toc30149"/>
      <w:r>
        <w:rPr>
          <w:color w:val="auto"/>
          <w:highlight w:val="none"/>
        </w:rPr>
      </w:r>
      <w:bookmarkStart w:id="62" w:name="_Toc1044"/>
      <w:r>
        <w:rPr>
          <w:color w:val="auto"/>
          <w:highlight w:val="none"/>
        </w:rPr>
      </w:r>
      <w:bookmarkStart w:id="63" w:name="_Toc513622230"/>
      <w:r>
        <w:rPr>
          <w:color w:val="auto"/>
          <w:highlight w:val="none"/>
        </w:rPr>
      </w:r>
      <w:bookmarkStart w:id="64" w:name="_Toc2658"/>
      <w:r>
        <w:rPr>
          <w:rFonts w:hint="eastAsia" w:ascii="宋体" w:hAnsi="宋体" w:eastAsia="宋体" w:cs="宋体"/>
          <w:b/>
          <w:bCs/>
          <w:i w:val="0"/>
          <w:iCs w:val="0"/>
          <w:color w:val="auto"/>
          <w:sz w:val="44"/>
          <w:szCs w:val="22"/>
          <w:highlight w:val="none"/>
          <w:u w:val="none"/>
        </w:rPr>
        <w:t xml:space="preserve">第六章 项目需求</w:t>
      </w:r>
      <w:bookmarkEnd w:id="58"/>
      <w:r>
        <w:rPr>
          <w:color w:val="auto"/>
          <w:highlight w:val="none"/>
        </w:rPr>
      </w:r>
      <w:bookmarkEnd w:id="59"/>
      <w:r>
        <w:rPr>
          <w:color w:val="auto"/>
          <w:highlight w:val="none"/>
        </w:rPr>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b/>
          <w:bCs/>
          <w:i w:val="0"/>
          <w:iCs w:val="0"/>
          <w:color w:val="auto"/>
          <w:sz w:val="24"/>
          <w:szCs w:val="24"/>
          <w:highlight w:val="none"/>
          <w:u w:val="none"/>
        </w:rPr>
        <w:t xml:space="preserve">说明：</w:t>
      </w:r>
      <w:r>
        <w:rPr>
          <w:rFonts w:hint="eastAsia" w:ascii="宋体" w:hAnsi="宋体" w:eastAsia="宋体" w:cs="宋体"/>
          <w:i w:val="0"/>
          <w:iCs w:val="0"/>
          <w:color w:val="auto"/>
          <w:sz w:val="24"/>
          <w:highlight w:val="none"/>
          <w:u w:val="none"/>
        </w:rPr>
        <w:t xml:space="preserve">本项目采购方式为</w:t>
      </w:r>
      <w:r>
        <w:rPr>
          <w:rFonts w:hint="eastAsia" w:ascii="宋体" w:hAnsi="宋体" w:eastAsia="宋体" w:cs="宋体"/>
          <w:i w:val="0"/>
          <w:iCs w:val="0"/>
          <w:color w:val="auto"/>
          <w:sz w:val="24"/>
          <w:highlight w:val="none"/>
          <w:u w:val="none"/>
          <w:lang w:val="en-US" w:eastAsia="zh-CN"/>
        </w:rPr>
        <w:t xml:space="preserve">公开招标</w:t>
      </w:r>
      <w:r>
        <w:rPr>
          <w:rFonts w:hint="eastAsia" w:ascii="宋体" w:hAnsi="宋体" w:eastAsia="宋体" w:cs="宋体"/>
          <w:i w:val="0"/>
          <w:iCs w:val="0"/>
          <w:color w:val="auto"/>
          <w:sz w:val="24"/>
          <w:highlight w:val="none"/>
          <w:u w:val="none"/>
        </w:rPr>
        <w:t xml:space="preserve">，项目属性为</w:t>
      </w:r>
      <w:r>
        <w:rPr>
          <w:rFonts w:hint="eastAsia" w:ascii="宋体" w:hAnsi="宋体" w:eastAsia="宋体" w:cs="宋体"/>
          <w:b/>
          <w:bCs/>
          <w:i w:val="0"/>
          <w:iCs w:val="0"/>
          <w:color w:val="auto"/>
          <w:sz w:val="24"/>
          <w:highlight w:val="none"/>
          <w:u w:val="single"/>
          <w:lang w:val="en-US" w:eastAsia="zh-CN"/>
        </w:rPr>
        <w:t xml:space="preserve">服务</w:t>
      </w:r>
      <w:r>
        <w:rPr>
          <w:rFonts w:hint="eastAsia" w:ascii="宋体" w:hAnsi="宋体" w:eastAsia="宋体" w:cs="宋体"/>
          <w:i w:val="0"/>
          <w:iCs w:val="0"/>
          <w:color w:val="auto"/>
          <w:sz w:val="24"/>
          <w:highlight w:val="none"/>
          <w:u w:val="none"/>
        </w:rPr>
        <w:t xml:space="preserve">，采购标的对应的中小企业划分标准所属行业</w:t>
      </w:r>
      <w:r>
        <w:rPr>
          <w:rFonts w:hint="eastAsia" w:ascii="宋体" w:hAnsi="宋体" w:eastAsia="宋体" w:cs="宋体"/>
          <w:b/>
          <w:color w:val="auto"/>
          <w:sz w:val="24"/>
          <w:szCs w:val="24"/>
          <w:highlight w:val="none"/>
          <w:u w:val="single"/>
        </w:rPr>
        <w:t xml:space="preserve">软件和信息技术服务业</w:t>
      </w:r>
      <w:r>
        <w:rPr>
          <w:rFonts w:hint="eastAsia" w:ascii="宋体" w:hAnsi="宋体" w:eastAsia="宋体" w:cs="宋体"/>
          <w:i w:val="0"/>
          <w:iCs w:val="0"/>
          <w:color w:val="auto"/>
          <w:sz w:val="24"/>
          <w:highlight w:val="none"/>
          <w:u w:val="none"/>
        </w:rPr>
        <w:t xml:space="preserve">。</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lang w:val="en-US" w:eastAsia="zh-CN"/>
        </w:rPr>
        <w:t xml:space="preserve">本项目需求中标注★号的款项为实质性要求和条件，由采购人根据实际情况设置，投标人必须逐条明确作出满足实质性要求和条件的响应，否则按照无效响应处理。</w:t>
      </w:r>
      <w:r>
        <w:rPr>
          <w:color w:val="auto"/>
          <w:highlight w:val="none"/>
        </w:rPr>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0"/>
          <w:highlight w:val="none"/>
        </w:rPr>
      </w:pPr>
      <w:r>
        <w:rPr>
          <w:color w:val="auto"/>
          <w:highlight w:val="none"/>
        </w:rPr>
      </w:r>
      <w:bookmarkStart w:id="65" w:name="_Toc513622231"/>
      <w:r>
        <w:rPr>
          <w:color w:val="auto"/>
          <w:highlight w:val="none"/>
        </w:rPr>
      </w:r>
      <w:bookmarkStart w:id="66" w:name="_Toc139967217"/>
      <w:r>
        <w:rPr>
          <w:color w:val="auto"/>
          <w:highlight w:val="none"/>
        </w:rPr>
      </w:r>
      <w:bookmarkStart w:id="67" w:name="_Toc139966433"/>
      <w:r>
        <w:rPr>
          <w:rFonts w:hint="eastAsia" w:ascii="宋体" w:hAnsi="宋体" w:eastAsia="宋体" w:cs="宋体"/>
          <w:b/>
          <w:color w:val="auto"/>
          <w:sz w:val="24"/>
          <w:szCs w:val="20"/>
          <w:highlight w:val="none"/>
          <w:lang w:val="en-US" w:eastAsia="zh-CN" w:bidi="ar-SA"/>
        </w:rPr>
        <w:t xml:space="preserve">一、项目背景</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为持续助力打击新型涉网、涉诈犯罪案件，提升警力资源利用效率和新型犯罪案件打击防范水平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现进行</w:t>
      </w:r>
      <w:r>
        <w:rPr>
          <w:rFonts w:hint="eastAsia" w:ascii="宋体" w:hAnsi="宋体" w:eastAsia="宋体" w:cs="宋体"/>
          <w:color w:val="auto"/>
          <w:sz w:val="24"/>
          <w:szCs w:val="24"/>
          <w:highlight w:val="none"/>
        </w:rPr>
        <w:t xml:space="preserve">外部数据服务采购</w:t>
      </w:r>
      <w:r>
        <w:rPr>
          <w:rFonts w:hint="eastAsia" w:ascii="宋体" w:hAnsi="宋体" w:eastAsia="宋体" w:cs="宋体"/>
          <w:color w:val="auto"/>
          <w:sz w:val="24"/>
          <w:szCs w:val="24"/>
          <w:highlight w:val="none"/>
          <w:lang w:eastAsia="zh-CN"/>
        </w:rPr>
        <w:t xml:space="preserve">。</w:t>
      </w:r>
      <w:r>
        <w:rPr>
          <w:color w:val="auto"/>
          <w:highlight w:val="none"/>
        </w:rPr>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lang w:val="en-US" w:eastAsia="zh-CN" w:bidi="ar-SA"/>
        </w:rPr>
        <w:t xml:space="preserve">二、项目概况</w:t>
      </w:r>
      <w:r>
        <w:rPr>
          <w:color w:val="auto"/>
          <w:highlight w:val="none"/>
        </w:rPr>
      </w:r>
      <w:r/>
    </w:p>
    <w:p>
      <w:pPr>
        <w:ind w:left="0" w:right="0" w:firstLine="482"/>
        <w:jc w:val="both"/>
        <w:spacing w:after="0" w:line="360" w:lineRule="auto"/>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lang w:val="en-US" w:eastAsia="zh-CN" w:bidi="ar-SA"/>
        </w:rPr>
        <w:t xml:space="preserve">在案件侦破工作过程中，通过互联网大数据系统平台赋能，有效地在终端维度开展线索核查、情报预警、目标侦控等工作，提升线索梳理能力和案件侦破效率。</w:t>
      </w:r>
      <w:r>
        <w:rPr>
          <w:color w:val="auto"/>
          <w:highlight w:val="none"/>
        </w:rPr>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lang w:val="en-US" w:eastAsia="zh-CN" w:bidi="ar-SA"/>
        </w:rPr>
        <w:t xml:space="preserve">三、服务技术要求</w:t>
      </w:r>
      <w:r>
        <w:rPr>
          <w:color w:val="auto"/>
          <w:highlight w:val="none"/>
        </w:rPr>
      </w:r>
      <w:r/>
    </w:p>
    <w:p>
      <w:pPr>
        <w:ind w:left="0" w:right="0" w:firstLine="482"/>
        <w:jc w:val="both"/>
        <w:spacing w:after="0" w:line="360" w:lineRule="auto"/>
        <w:widowControl w:val="off"/>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lang w:val="en-US" w:eastAsia="zh-CN" w:bidi="ar-SA"/>
        </w:rPr>
        <w:t xml:space="preserve">连云港市公安局外部数据支撑服务（2026年度）方案由9类16个服务组成，各项服务均以功能指标和性能参数为采购标准，不限定具体品牌或产品名称，投标人可提供具有同等功能性能的产品或服务。</w:t>
      </w:r>
      <w:r>
        <w:rPr>
          <w:color w:val="auto"/>
          <w:highlight w:val="none"/>
        </w:rPr>
      </w:r>
      <w:r/>
    </w:p>
    <w:tbl>
      <w:tblPr>
        <w:tblStyle w:val="8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5224"/>
        <w:gridCol w:w="1512"/>
        <w:gridCol w:w="2258"/>
      </w:tblGrid>
      <w:tr>
        <w:trPr>
          <w:trHeight w:val="55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序号</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color w:val="auto"/>
                <w:sz w:val="24"/>
                <w:highlight w:val="none"/>
                <w:lang w:bidi="ar"/>
              </w:rPr>
              <w:t xml:space="preserve">数据（服务）名称</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账号数量</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大数据辅助分析查询服务（高级版，具备多维度数据关联分析、人员画像、轨迹研判等功能）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5</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340"/>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2</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大数据辅助分析数据接口服务（支持标准化API调用）</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数据接口</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3</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default" w:ascii="宋体" w:hAnsi="宋体" w:eastAsia="宋体" w:cs="宋体"/>
                <w:b w:val="0"/>
                <w:bCs/>
                <w:color w:val="auto"/>
                <w:sz w:val="24"/>
                <w:szCs w:val="20"/>
                <w:highlight w:val="none"/>
                <w:vertAlign w:val="baseline"/>
                <w:lang w:val="en-US" w:eastAsia="zh-CN" w:bidi="ar-SA"/>
              </w:rPr>
              <w:t xml:space="preserve">智能研判分析服务（高级版，具备案件线索智能挖掘、关联关系图谱分析等功能）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2</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4</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基础信息查询服务（具备人员、车辆等基础信息快速查询及比对功能）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3</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265"/>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5</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反诈业务智能分析（高级版）</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3</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6</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情报大数据智能研判系统（高级版+数据接口服务）</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1+数据接口</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7</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JD</w:t>
            </w:r>
            <w:r>
              <w:rPr>
                <w:rFonts w:hint="default" w:ascii="宋体" w:hAnsi="宋体" w:eastAsia="宋体" w:cs="宋体"/>
                <w:b w:val="0"/>
                <w:bCs/>
                <w:color w:val="auto"/>
                <w:sz w:val="24"/>
                <w:szCs w:val="20"/>
                <w:highlight w:val="none"/>
                <w:vertAlign w:val="baseline"/>
                <w:lang w:val="en-US" w:eastAsia="zh-CN" w:bidi="ar-SA"/>
              </w:rPr>
              <w:t xml:space="preserve">大数据服务</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8</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虚拟货币案件智能研判服务（优化版，具备链上交易追踪、地址聚类分析、资金流向可视化等功能）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2</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9</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涉网新型行为分析查询服务（优化版，具备网络行为特征分析、涉网犯罪线索发现等功能）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2</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10</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反诈追踪分析服务（具备涉诈账号定位、资金链路分析、协同研判支撑等功能）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tabs>
                <w:tab w:val="left" w:pos="537" w:leader="none"/>
              </w:tabs>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2</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11</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风险防控智能研判服务（数据接口+优化版账号，具备风险人员识别、异常行为预警、多维数据碰撞分析等功能）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2+数据接口</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12</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专项数据查询服务</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13</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开源信息聚合分析数据查询服务（具备开源信息自动采集、关键词监测、舆情线索分析等功能）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14</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风险意图识别分析服务（涉稳版，具备重点人员行为监测、风险等级评估、预警信息推送等功能）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tabs>
                <w:tab w:val="left" w:pos="770" w:leader="none"/>
                <w:tab w:val="center" w:pos="1893" w:leader="none"/>
              </w:tabs>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2</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tabs>
                <w:tab w:val="left" w:pos="770" w:leader="none"/>
                <w:tab w:val="center" w:pos="1893" w:leader="none"/>
              </w:tabs>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15</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社交账号落查分析服务</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r>
        <w:trPr>
          <w:trHeight w:val="113"/>
        </w:trPr>
        <w:tc>
          <w:tcPr>
            <w:tcW w:w="74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16</w:t>
            </w:r>
            <w:r>
              <w:rPr>
                <w:color w:val="auto"/>
                <w:highlight w:val="none"/>
              </w:rPr>
            </w:r>
            <w:r/>
          </w:p>
        </w:tc>
        <w:tc>
          <w:tcPr>
            <w:tcW w:w="5224"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企业大数据查询服务（具备企业工商信息查询、关联关系分析、风险企业识别等功能）</w:t>
            </w:r>
            <w:r>
              <w:rPr>
                <w:color w:val="auto"/>
                <w:highlight w:val="none"/>
              </w:rPr>
            </w:r>
            <w:r/>
          </w:p>
        </w:tc>
        <w:tc>
          <w:tcPr>
            <w:tcW w:w="1512" w:type="dxa"/>
            <w:vAlign w:val="center"/>
            <w:textDirection w:val="lrTb"/>
            <w:noWrap w:val="false"/>
          </w:tcPr>
          <w:p>
            <w:pPr>
              <w:ind w:right="0"/>
              <w:jc w:val="center"/>
              <w:keepLines w:val="0"/>
              <w:keepNext w:val="0"/>
              <w:pageBreakBefore w:val="0"/>
              <w:spacing w:after="0" w:line="240" w:lineRule="auto"/>
              <w:widowControl w:val="off"/>
              <w:rPr>
                <w:rFonts w:hint="default"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3</w:t>
            </w:r>
            <w:r>
              <w:rPr>
                <w:color w:val="auto"/>
                <w:highlight w:val="none"/>
              </w:rPr>
            </w:r>
            <w:r/>
          </w:p>
        </w:tc>
        <w:tc>
          <w:tcPr>
            <w:tcW w:w="2258" w:type="dxa"/>
            <w:vAlign w:val="center"/>
            <w:textDirection w:val="lrTb"/>
            <w:noWrap w:val="false"/>
          </w:tcPr>
          <w:p>
            <w:pPr>
              <w:ind w:right="0"/>
              <w:jc w:val="center"/>
              <w:keepLines w:val="0"/>
              <w:keepNext w:val="0"/>
              <w:pageBreakBefore w:val="0"/>
              <w:spacing w:after="0" w:line="240" w:lineRule="auto"/>
              <w:widowControl w:val="off"/>
              <w:rPr>
                <w:rFonts w:hint="eastAsia" w:ascii="宋体" w:hAnsi="宋体" w:eastAsia="宋体" w:cs="宋体"/>
                <w:b w:val="0"/>
                <w:bCs/>
                <w:color w:val="auto"/>
                <w:sz w:val="24"/>
                <w:szCs w:val="20"/>
                <w:highlight w:val="none"/>
                <w:vertAlign w:val="baseline"/>
              </w:rPr>
            </w:pPr>
            <w:r>
              <w:rPr>
                <w:rFonts w:hint="eastAsia" w:ascii="宋体" w:hAnsi="宋体" w:eastAsia="宋体" w:cs="宋体"/>
                <w:b w:val="0"/>
                <w:bCs/>
                <w:color w:val="auto"/>
                <w:sz w:val="24"/>
                <w:szCs w:val="20"/>
                <w:highlight w:val="none"/>
                <w:vertAlign w:val="baseline"/>
                <w:lang w:val="en-US" w:eastAsia="zh-CN" w:bidi="ar-SA"/>
              </w:rPr>
              <w:t xml:space="preserve">查询次数详见附件</w:t>
            </w:r>
            <w:r>
              <w:rPr>
                <w:color w:val="auto"/>
                <w:highlight w:val="none"/>
              </w:rPr>
            </w:r>
            <w:r/>
          </w:p>
        </w:tc>
      </w:tr>
    </w:tbl>
    <w:p>
      <w:pPr>
        <w:ind w:left="0" w:right="0" w:firstLine="482"/>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注：详细的技术要求</w:t>
      </w:r>
      <w:r>
        <w:rPr>
          <w:rFonts w:hint="eastAsia" w:ascii="宋体" w:hAnsi="宋体" w:eastAsia="宋体" w:cs="宋体"/>
          <w:b/>
          <w:bCs/>
          <w:cap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人员须携带授权书证明、保密承诺书文件（格式见招标文件附件）于法定工作时间内自行前往连云港市公安局大数据实战支队拷取，拷取前请提前联系。联系人：汪警官，电话：15861238521。如投标人未领取详细清单，视同已充分了解本项目全部情况。</w:t>
      </w:r>
      <w:r>
        <w:rPr>
          <w:color w:val="auto"/>
          <w:highlight w:val="none"/>
        </w:rPr>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★四、进度要求：</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本次项目涉及的侦查研判类数据支撑平台服务，无需在本地部署任何设备，仅需要准备可连接互联网的笔记本，根据手册安装相应的VPN客户端即可工作。本项目建设具体实施进度如下：</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接采购人书面通知之日起 3 个工作日内完成服务账号开通、包含环境配置及上线调试工作；交付工作完成后，系统进入 10 个日历日试运行阶段，试运行期满向采购人提交初验申请。</w:t>
      </w:r>
      <w:r>
        <w:rPr>
          <w:color w:val="auto"/>
          <w:highlight w:val="none"/>
        </w:rPr>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运行服务要求：</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1、本项目包含的各项数据服务运行期为1年，自初验合格之日起至服务期限结束之日止，在运行服务期内，须提供下列服务：</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1.1提供7*24小时技术支持服务（包括故障排除、性能调优、技术咨询等，并负责处理、协调）。</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1.2服务期间，账号权限归属人可根据连云港市公安局需求进行调整。</w:t>
      </w:r>
      <w:r>
        <w:rPr>
          <w:color w:val="auto"/>
          <w:highlight w:val="none"/>
        </w:rPr>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2、服务期考核内容：</w:t>
      </w:r>
      <w:r>
        <w:rPr>
          <w:color w:val="auto"/>
          <w:highlight w:val="none"/>
        </w:rPr>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人根据采购人的要求开展服务工作，采购人对每季度的工作质量进行考核，考核结果作为服务期内支付余款的依据。中标人应详细了解省市两级相关考核要求，积极配合采购人完成上级考核工作并达到考核等次要求。</w:t>
      </w:r>
      <w:r>
        <w:rPr>
          <w:color w:val="auto"/>
          <w:highlight w:val="none"/>
        </w:rPr>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2.1服务期内若服务出现问题，影响采购人或其他业务警种使用，中标人超过2小时未解决的，每次扣2000元，超过6小时未解决的，每次扣5000元，超过12小时未解决的，每次扣10000元。</w:t>
      </w:r>
      <w:r>
        <w:rPr>
          <w:color w:val="auto"/>
          <w:highlight w:val="none"/>
        </w:rPr>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2.2因系统故障或中标人保障不到位，影响省厅对采购人或其他业务警种年度考核，导致成绩低于全省平均位次的，每次扣2万元。</w:t>
      </w:r>
      <w:r>
        <w:rPr>
          <w:color w:val="auto"/>
          <w:highlight w:val="none"/>
        </w:rPr>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2.3因中标人原因导致数据泄露事故发生的，每一次扣1万元，相关事故造成重大影响及损失的，中标人承担全部责任并赔偿损失。</w:t>
      </w:r>
      <w:r>
        <w:rPr>
          <w:color w:val="auto"/>
          <w:highlight w:val="none"/>
        </w:rPr>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确保已采购服务延续性。已采购数据服务因任何原因停止原产品服务，导致服务期未满前不能继续使用原服务，中标人应负责提供同类满足要求的产品并无缝衔接，确保服务期内满足采购人业务使用。确无同类可替代产品的，应书面说明情况，并按照未完成服务的时间的1.5倍核减对应费用。</w:t>
      </w:r>
      <w:r>
        <w:rPr>
          <w:color w:val="auto"/>
          <w:highlight w:val="none"/>
        </w:rPr>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六、服务标准</w:t>
      </w:r>
      <w:r>
        <w:rPr>
          <w:color w:val="auto"/>
          <w:highlight w:val="none"/>
        </w:rPr>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1</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bidi="ar"/>
        </w:rPr>
        <w:t xml:space="preserve">可靠性</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系统为SaaS服务，在本地落实功能部署、测试，</w:t>
      </w:r>
      <w:r>
        <w:rPr>
          <w:rFonts w:hint="eastAsia" w:ascii="宋体" w:hAnsi="宋体" w:eastAsia="宋体" w:cs="宋体"/>
          <w:color w:val="auto"/>
          <w:sz w:val="24"/>
          <w:szCs w:val="24"/>
          <w:highlight w:val="none"/>
          <w:lang w:val="en-US" w:eastAsia="zh-CN"/>
        </w:rPr>
        <w:t xml:space="preserve">对于部署在互联网的服务，</w:t>
      </w:r>
      <w:r>
        <w:rPr>
          <w:rFonts w:hint="eastAsia" w:ascii="宋体" w:hAnsi="宋体" w:eastAsia="宋体" w:cs="宋体"/>
          <w:color w:val="auto"/>
          <w:sz w:val="24"/>
          <w:szCs w:val="24"/>
          <w:highlight w:val="none"/>
        </w:rPr>
        <w:t xml:space="preserve">通过互联网在本地PC或笔记本电脑等设备上安装相应的VPN客户端开展查询、分析、比对等服务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对于部署在公安内网的服务，由数字证书登录，数据不出内网</w:t>
      </w:r>
      <w:r>
        <w:rPr>
          <w:rFonts w:hint="eastAsia" w:ascii="宋体" w:hAnsi="宋体" w:eastAsia="宋体" w:cs="宋体"/>
          <w:color w:val="auto"/>
          <w:sz w:val="24"/>
          <w:szCs w:val="24"/>
          <w:highlight w:val="none"/>
        </w:rPr>
        <w:t xml:space="preserve">。系统必须稳定、可靠，不因系统本身的原因造成死机、停止等故障，有系统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应用软件层次</w:t>
      </w:r>
      <w:r>
        <w:rPr>
          <w:rFonts w:hint="eastAsia" w:ascii="宋体" w:hAnsi="宋体" w:eastAsia="宋体" w:cs="宋体"/>
          <w:color w:val="auto"/>
          <w:sz w:val="24"/>
          <w:szCs w:val="24"/>
          <w:highlight w:val="none"/>
          <w:lang w:val="en-US" w:eastAsia="zh-CN"/>
        </w:rPr>
        <w:t xml:space="preserve">及数据系统备份</w:t>
      </w:r>
      <w:r>
        <w:rPr>
          <w:rFonts w:hint="eastAsia" w:ascii="宋体" w:hAnsi="宋体" w:eastAsia="宋体" w:cs="宋体"/>
          <w:color w:val="auto"/>
          <w:sz w:val="24"/>
          <w:szCs w:val="24"/>
          <w:highlight w:val="none"/>
        </w:rPr>
        <w:t xml:space="preserve">策略，系统保证7*24小时不间断工作，并满足以下可靠性要求： </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（1）平均故障间隔时间(MTBF)：年平均故障间隔时间应大于 7200 小时（300 天）</w:t>
      </w:r>
      <w:r>
        <w:rPr>
          <w:rFonts w:hint="eastAsia" w:ascii="宋体" w:hAnsi="宋体" w:eastAsia="宋体" w:cs="宋体"/>
          <w:color w:val="auto"/>
          <w:sz w:val="24"/>
          <w:szCs w:val="24"/>
          <w:highlight w:val="none"/>
          <w:lang w:eastAsia="zh-CN"/>
        </w:rPr>
        <w:t xml:space="preserve">。</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（2）系统平均故障修复时间 MTTR：MTTR≤ 1 小时。故障修复时间的起始点从故障开始时间开始计算。</w:t>
      </w:r>
      <w:r>
        <w:rPr>
          <w:color w:val="auto"/>
          <w:highlight w:val="none"/>
        </w:rPr>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2</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bidi="ar"/>
        </w:rPr>
        <w:t xml:space="preserve">易用性</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管理员操作：具有远程系统管理和维护功能，界面设计最大程度满足实用需求；具有良好的管理、监控手段，可对系统各模块、操作系统、数据库及应用等进行管理监控。</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用户操作：提供方便的系统安装程序，智能化采集流程，操作简单，提供友好、方便的功能界面。尽量减少用户输入信息量，提高数据信息共享程度，提供充分帮助信息，指导用户操作。</w:t>
      </w:r>
      <w:bookmarkStart w:id="68" w:name="_Toc25185430"/>
      <w:r>
        <w:rPr>
          <w:color w:val="auto"/>
          <w:highlight w:val="none"/>
        </w:rPr>
      </w:r>
      <w:bookmarkStart w:id="69" w:name="_Toc467779673"/>
      <w:r>
        <w:rPr>
          <w:color w:val="auto"/>
          <w:highlight w:val="none"/>
        </w:rPr>
      </w:r>
      <w:bookmarkStart w:id="70" w:name="_Toc3925316"/>
      <w:r>
        <w:rPr>
          <w:color w:val="auto"/>
          <w:highlight w:val="none"/>
        </w:rPr>
      </w:r>
      <w:r/>
    </w:p>
    <w:p>
      <w:pPr>
        <w:ind w:firstLine="450"/>
        <w:jc w:val="both"/>
        <w:spacing w:after="0" w:line="360" w:lineRule="auto"/>
        <w:widowControl w:val="off"/>
        <w:rPr>
          <w:rFonts w:hint="eastAsia" w:ascii="宋体" w:hAnsi="宋体" w:eastAsia="宋体" w:cs="宋体"/>
          <w:b/>
          <w:color w:val="auto"/>
          <w:spacing w:val="-8"/>
          <w:sz w:val="24"/>
          <w:szCs w:val="24"/>
          <w:highlight w:val="none"/>
        </w:rPr>
      </w:pPr>
      <w:r>
        <w:rPr>
          <w:rFonts w:hint="eastAsia" w:ascii="宋体" w:hAnsi="宋体" w:eastAsia="宋体" w:cs="宋体"/>
          <w:b/>
          <w:bCs/>
          <w:color w:val="auto"/>
          <w:spacing w:val="-8"/>
          <w:sz w:val="24"/>
          <w:szCs w:val="24"/>
          <w:highlight w:val="none"/>
          <w:lang w:val="en-US" w:eastAsia="zh-CN" w:bidi="ar"/>
        </w:rPr>
        <w:t xml:space="preserve">3、可维护性</w:t>
      </w:r>
      <w:bookmarkEnd w:id="68"/>
      <w:r>
        <w:rPr>
          <w:color w:val="auto"/>
          <w:highlight w:val="none"/>
        </w:rPr>
      </w:r>
      <w:bookmarkEnd w:id="69"/>
      <w:r>
        <w:rPr>
          <w:color w:val="auto"/>
          <w:highlight w:val="none"/>
        </w:rPr>
      </w:r>
      <w:bookmarkEnd w:id="70"/>
      <w:r>
        <w:rPr>
          <w:color w:val="auto"/>
          <w:highlight w:val="none"/>
        </w:rPr>
      </w:r>
      <w:r/>
    </w:p>
    <w:p>
      <w:pPr>
        <w:ind w:firstLine="480"/>
        <w:jc w:val="both"/>
        <w:spacing w:after="0" w:line="360" w:lineRule="auto"/>
        <w:widowControl w:val="off"/>
        <w:rPr>
          <w:rFonts w:hint="eastAsia" w:ascii="宋体" w:hAnsi="宋体" w:eastAsia="宋体" w:cs="宋体"/>
          <w:b/>
          <w:color w:val="auto"/>
          <w:spacing w:val="-8"/>
          <w:sz w:val="24"/>
          <w:szCs w:val="24"/>
          <w:highlight w:val="none"/>
        </w:rPr>
      </w:pPr>
      <w:r>
        <w:rPr>
          <w:rFonts w:hint="eastAsia" w:ascii="宋体" w:hAnsi="宋体" w:eastAsia="宋体" w:cs="宋体"/>
          <w:b w:val="0"/>
          <w:color w:val="auto"/>
          <w:spacing w:val="0"/>
          <w:sz w:val="24"/>
          <w:szCs w:val="24"/>
          <w:highlight w:val="none"/>
          <w:lang w:val="en-US" w:eastAsia="zh-CN" w:bidi="ar-SA"/>
        </w:rPr>
        <w:t xml:space="preserve">具备成熟的信息系统维护能力，系统设计应充分考虑系统的可维护性，便于对系统的统一管理和升级，便于对系统的设置、更换和调整，便于对系统的监控、故障隔离、故障排除、以及升级维护等。系统的可维护性主要体现在分析模型的不断迭代、新模型的研制等，不断提升风险人员的发现能力。软件可维护性还要求体系结构清楚，易理解，同时，管理界面友好，易操作。</w:t>
      </w:r>
      <w:r>
        <w:rPr>
          <w:color w:val="auto"/>
          <w:highlight w:val="none"/>
        </w:rPr>
      </w:r>
      <w:r/>
    </w:p>
    <w:p>
      <w:pPr>
        <w:ind w:firstLine="450"/>
        <w:jc w:val="both"/>
        <w:keepLines w:val="0"/>
        <w:keepNext w:val="0"/>
        <w:pageBreakBefore w:val="0"/>
        <w:spacing w:after="0" w:line="360" w:lineRule="auto"/>
        <w:widowControl w:val="off"/>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lang w:val="en-US" w:eastAsia="zh-CN" w:bidi="ar"/>
        </w:rPr>
        <w:t xml:space="preserve">4、安全性</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具备统一完善的多级安全机制设置，符合国家安全保密的机制、用户验证、访问控制等规定，拒绝非法用户和合法用户越权操作，避免系统数据遭到破坏，防止系统数据被窃取和</w:t>
      </w:r>
      <w:r>
        <w:rPr>
          <w:rFonts w:hint="eastAsia" w:ascii="宋体" w:hAnsi="宋体" w:eastAsia="宋体" w:cs="宋体"/>
          <w:color w:val="auto"/>
          <w:sz w:val="24"/>
          <w:szCs w:val="24"/>
          <w:highlight w:val="none"/>
          <w:lang w:bidi="ar"/>
        </w:rPr>
        <w:t xml:space="preserve">篡改，确保信息的安全传输、存储、访问。</w:t>
      </w:r>
      <w:r>
        <w:rPr>
          <w:color w:val="auto"/>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公安机关案件信息属于公安内部信息，要求系统具备信息安全保障能力。保障案件信息储存、传输、运算、应用的安全。</w:t>
      </w:r>
      <w:r>
        <w:rPr>
          <w:color w:val="auto"/>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使用人登录系统需要布控或者查询相关人员信息时，需要开通系统使用时授权的审批人进行审批，审批人登录及审批也需要绑定的手机号验证码进行验证，审批人审批后才能进行操作系统相关功能。保证系统使用过程中的数据安全。</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账号安全管理方面将严格实行“谁使用、谁审批、谁负责”的安全管理制度，使用人与审批人捆绑，每一次查询都责任到人，确保账号安全管理制度的强化落实。</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针对查询终端，定期进行打补丁及查杀病毒等措施以确保安全管理。</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中标人需按照采购人要求，定期提供全量查询日志，确保每一次使用的查询人、查询内容、查询时间等均记录在册、留痕存档。</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数据安全保障方面，因国家法律法规要求，采购人有权主动终止项目；中标人需在国家法律法规的构架下进行，确保数据服务合法合规，引起的一切法律后果由中标人承担。</w:t>
      </w:r>
      <w:r>
        <w:rPr>
          <w:color w:val="auto"/>
          <w:highlight w:val="none"/>
        </w:rPr>
      </w:r>
      <w:r/>
    </w:p>
    <w:p>
      <w:pPr>
        <w:numPr>
          <w:ilvl w:val="0"/>
          <w:numId w:val="0"/>
        </w:num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七、人员配备要求：</w:t>
      </w:r>
      <w:r>
        <w:rPr>
          <w:color w:val="auto"/>
          <w:highlight w:val="none"/>
        </w:rPr>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保障</w:t>
      </w:r>
      <w:r>
        <w:rPr>
          <w:color w:val="auto"/>
          <w:highlight w:val="none"/>
        </w:rPr>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中标人应在项目</w:t>
      </w:r>
      <w:r>
        <w:rPr>
          <w:rFonts w:hint="eastAsia" w:ascii="宋体" w:hAnsi="宋体" w:eastAsia="宋体" w:cs="宋体"/>
          <w:b/>
          <w:bCs/>
          <w:color w:val="auto"/>
          <w:sz w:val="24"/>
          <w:szCs w:val="24"/>
          <w:highlight w:val="none"/>
          <w:lang w:val="en-US" w:eastAsia="zh-CN"/>
        </w:rPr>
        <w:t xml:space="preserve">所需数据服务开通</w:t>
      </w:r>
      <w:r>
        <w:rPr>
          <w:rFonts w:hint="eastAsia" w:ascii="宋体" w:hAnsi="宋体" w:eastAsia="宋体" w:cs="宋体"/>
          <w:b/>
          <w:bCs/>
          <w:color w:val="auto"/>
          <w:sz w:val="24"/>
          <w:szCs w:val="24"/>
          <w:highlight w:val="none"/>
        </w:rPr>
        <w:t xml:space="preserve">完成</w:t>
      </w:r>
      <w:r>
        <w:rPr>
          <w:rFonts w:hint="eastAsia" w:ascii="宋体" w:hAnsi="宋体" w:eastAsia="宋体" w:cs="宋体"/>
          <w:b/>
          <w:bCs/>
          <w:color w:val="auto"/>
          <w:sz w:val="24"/>
          <w:szCs w:val="24"/>
          <w:highlight w:val="none"/>
          <w:lang w:val="en-US" w:eastAsia="zh-CN"/>
        </w:rPr>
        <w:t xml:space="preserve">至服务期限结束的期间内，</w:t>
      </w:r>
      <w:r>
        <w:rPr>
          <w:rFonts w:hint="eastAsia" w:ascii="宋体" w:hAnsi="宋体" w:eastAsia="宋体" w:cs="宋体"/>
          <w:b/>
          <w:bCs/>
          <w:color w:val="auto"/>
          <w:sz w:val="24"/>
          <w:szCs w:val="24"/>
          <w:highlight w:val="none"/>
        </w:rPr>
        <w:t xml:space="preserve">提供至少1名专业技术人员</w:t>
      </w:r>
      <w:r>
        <w:rPr>
          <w:rFonts w:hint="eastAsia" w:ascii="宋体" w:hAnsi="宋体" w:eastAsia="宋体" w:cs="宋体"/>
          <w:b/>
          <w:bCs/>
          <w:color w:val="auto"/>
          <w:sz w:val="24"/>
          <w:szCs w:val="24"/>
          <w:highlight w:val="none"/>
          <w:lang w:val="en-US" w:eastAsia="zh-CN"/>
        </w:rPr>
        <w:t xml:space="preserve">7*24小时技术保障，技术保障</w:t>
      </w:r>
      <w:r>
        <w:rPr>
          <w:rFonts w:hint="eastAsia" w:ascii="宋体" w:hAnsi="宋体" w:eastAsia="宋体" w:cs="宋体"/>
          <w:b/>
          <w:bCs/>
          <w:color w:val="auto"/>
          <w:sz w:val="24"/>
          <w:szCs w:val="24"/>
          <w:highlight w:val="none"/>
        </w:rPr>
        <w:t xml:space="preserve">内容包括</w:t>
      </w:r>
      <w:r>
        <w:rPr>
          <w:rFonts w:hint="eastAsia" w:ascii="宋体" w:hAnsi="宋体" w:eastAsia="宋体" w:cs="宋体"/>
          <w:b/>
          <w:bCs/>
          <w:color w:val="auto"/>
          <w:sz w:val="24"/>
          <w:szCs w:val="24"/>
          <w:highlight w:val="none"/>
          <w:lang w:val="en-US" w:eastAsia="zh-CN"/>
        </w:rPr>
        <w:t xml:space="preserve">但不限于数据服务</w:t>
      </w:r>
      <w:r>
        <w:rPr>
          <w:rFonts w:hint="eastAsia" w:ascii="宋体" w:hAnsi="宋体" w:eastAsia="宋体" w:cs="宋体"/>
          <w:b/>
          <w:bCs/>
          <w:color w:val="auto"/>
          <w:sz w:val="24"/>
          <w:szCs w:val="24"/>
          <w:highlight w:val="none"/>
        </w:rPr>
        <w:t xml:space="preserve">日常巡检、用户使用培训、</w:t>
      </w:r>
      <w:r>
        <w:rPr>
          <w:rFonts w:hint="eastAsia" w:ascii="宋体" w:hAnsi="宋体" w:eastAsia="宋体" w:cs="宋体"/>
          <w:b/>
          <w:bCs/>
          <w:color w:val="auto"/>
          <w:sz w:val="24"/>
          <w:szCs w:val="24"/>
          <w:highlight w:val="none"/>
          <w:lang w:val="en-US" w:eastAsia="zh-CN"/>
        </w:rPr>
        <w:t xml:space="preserve">业务研判</w:t>
      </w:r>
      <w:r>
        <w:rPr>
          <w:rFonts w:hint="eastAsia" w:ascii="宋体" w:hAnsi="宋体" w:eastAsia="宋体" w:cs="宋体"/>
          <w:b/>
          <w:bCs/>
          <w:color w:val="auto"/>
          <w:sz w:val="24"/>
          <w:szCs w:val="24"/>
          <w:highlight w:val="none"/>
        </w:rPr>
        <w:t xml:space="preserve">支撑等服务。中标人应保证</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人员具有相应的技术能力，符合采购人要求，否则采购人有权要求中标人更换人员。</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1.1服务</w:t>
      </w:r>
      <w:r>
        <w:rPr>
          <w:rFonts w:hint="eastAsia" w:ascii="宋体" w:hAnsi="宋体" w:eastAsia="宋体" w:cs="宋体"/>
          <w:color w:val="auto"/>
          <w:sz w:val="24"/>
          <w:szCs w:val="24"/>
          <w:highlight w:val="none"/>
        </w:rPr>
        <w:t xml:space="preserve">人员考核</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现场工作，应服从采购人现场相关管理及</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val="en-US" w:eastAsia="zh-CN"/>
        </w:rPr>
        <w:t xml:space="preserve">服务人员应电话随时保持畅通，实时响应采购人技术需求，</w:t>
      </w:r>
      <w:r>
        <w:rPr>
          <w:rFonts w:hint="eastAsia" w:ascii="宋体" w:hAnsi="宋体" w:eastAsia="宋体" w:cs="宋体"/>
          <w:color w:val="auto"/>
          <w:sz w:val="24"/>
          <w:szCs w:val="24"/>
          <w:highlight w:val="none"/>
        </w:rPr>
        <w:t xml:space="preserve">未按要求</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的，每发现1次扣300元，累计扣除。</w:t>
      </w: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投标人中标</w:t>
      </w:r>
      <w:r>
        <w:rPr>
          <w:rFonts w:hint="eastAsia" w:ascii="宋体" w:hAnsi="宋体" w:eastAsia="宋体" w:cs="宋体"/>
          <w:b/>
          <w:color w:val="auto"/>
          <w:sz w:val="24"/>
          <w:szCs w:val="24"/>
          <w:highlight w:val="none"/>
          <w:lang w:val="en-US" w:eastAsia="zh-CN"/>
        </w:rPr>
        <w:t xml:space="preserve">后</w:t>
      </w:r>
      <w:r>
        <w:rPr>
          <w:rFonts w:hint="eastAsia" w:ascii="宋体" w:hAnsi="宋体" w:eastAsia="宋体" w:cs="宋体"/>
          <w:b/>
          <w:color w:val="auto"/>
          <w:sz w:val="24"/>
          <w:szCs w:val="24"/>
          <w:highlight w:val="none"/>
        </w:rPr>
        <w:t xml:space="preserve">，项目负责人不得随意更换，如有特殊原因需更换，须提前10天</w:t>
      </w:r>
      <w:r>
        <w:rPr>
          <w:rFonts w:hint="eastAsia" w:ascii="宋体" w:hAnsi="宋体" w:eastAsia="宋体" w:cs="宋体"/>
          <w:b/>
          <w:color w:val="auto"/>
          <w:sz w:val="24"/>
          <w:szCs w:val="24"/>
          <w:highlight w:val="none"/>
          <w:lang w:val="en-US" w:eastAsia="zh-CN"/>
        </w:rPr>
        <w:t xml:space="preserve">书面</w:t>
      </w:r>
      <w:r>
        <w:rPr>
          <w:rFonts w:hint="eastAsia" w:ascii="宋体" w:hAnsi="宋体" w:eastAsia="宋体" w:cs="宋体"/>
          <w:b/>
          <w:color w:val="auto"/>
          <w:sz w:val="24"/>
          <w:szCs w:val="24"/>
          <w:highlight w:val="none"/>
        </w:rPr>
        <w:t xml:space="preserve">通知，经采购人同意后，方可更换。</w:t>
      </w:r>
      <w:r>
        <w:rPr>
          <w:color w:val="auto"/>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项目负责人：作为本项目的全权对接人，在整个项目实施全过程中，负责与采购人保持密切沟通，制定涵盖任务分类、实施周期等要素的详细实施计划，并全程跟进项目进度。同时，须建立健全保障项目顺利实施的各项管理制度和质量保证体系，完善支撑服务及保障队伍组织体系，确保项目各阶段目标高效达成</w:t>
      </w:r>
      <w:r>
        <w:rPr>
          <w:rFonts w:hint="eastAsia" w:ascii="宋体" w:hAnsi="宋体" w:eastAsia="宋体" w:cs="宋体"/>
          <w:color w:val="auto"/>
          <w:sz w:val="24"/>
          <w:szCs w:val="24"/>
          <w:highlight w:val="none"/>
          <w:lang w:eastAsia="zh-CN"/>
        </w:rPr>
        <w:t xml:space="preserve">。</w:t>
      </w:r>
      <w:r>
        <w:rPr>
          <w:color w:val="auto"/>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项目团队成员：团队配置应涵盖网络安全、数据安全、信息安全风险评估等关键岗位，并在项目组织中明确各岗位职责边界，确保分工清晰、协作有序。参与本项目的全体技术人员须具备高度的服务意识与责任感，全力保障项目顺利实施。</w:t>
      </w:r>
      <w:r>
        <w:rPr>
          <w:color w:val="auto"/>
          <w:highlight w:val="none"/>
        </w:rPr>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八、培训要求：</w:t>
      </w:r>
      <w:bookmarkStart w:id="71" w:name="_Toc15251"/>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项目提供免费培训服务，明确对不同层次的操作人员进行专业理论和实际操作技能的培训内容，逐步提高技术人员业务知识水平和数据分析的能力，具体培训时间、地点、培训人数等由采购人指定。</w:t>
      </w:r>
      <w:r>
        <w:rPr>
          <w:color w:val="auto"/>
          <w:highlight w:val="none"/>
        </w:rPr>
      </w:r>
      <w:r/>
    </w:p>
    <w:p>
      <w:pPr>
        <w:ind w:firstLine="480"/>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bidi="ar-SA"/>
        </w:rPr>
        <w:t xml:space="preserve">1、培训对象</w:t>
      </w:r>
      <w:bookmarkEnd w:id="71"/>
      <w:r>
        <w:rPr>
          <w:rFonts w:hint="eastAsia" w:ascii="宋体" w:hAnsi="宋体" w:eastAsia="宋体" w:cs="宋体"/>
          <w:color w:val="auto"/>
          <w:sz w:val="24"/>
          <w:szCs w:val="24"/>
          <w:highlight w:val="none"/>
          <w:lang w:val="en-US" w:eastAsia="zh-CN" w:bidi="ar-SA"/>
        </w:rPr>
        <w:t xml:space="preserve">：包括但不限于具有审批权限的领导、项目中各系统的使用人员、系统管理人员。</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color w:val="auto"/>
          <w:highlight w:val="none"/>
        </w:rPr>
      </w:r>
      <w:bookmarkStart w:id="72" w:name="_Toc29631"/>
      <w:r>
        <w:rPr>
          <w:rFonts w:hint="eastAsia" w:ascii="宋体" w:hAnsi="宋体" w:eastAsia="宋体" w:cs="宋体"/>
          <w:color w:val="auto"/>
          <w:sz w:val="24"/>
          <w:szCs w:val="24"/>
          <w:highlight w:val="none"/>
          <w:lang w:val="en-US" w:eastAsia="zh-CN" w:bidi="ar-SA"/>
        </w:rPr>
        <w:t xml:space="preserve">2、培训方式：培训方式采用集中培训、现场培训相结合的方式，针对不同层次的人员，开设不同的培训课程和确定培训方式。</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3、培训内容</w:t>
      </w:r>
      <w:bookmarkEnd w:id="72"/>
      <w:r>
        <w:rPr>
          <w:rFonts w:hint="eastAsia" w:ascii="宋体" w:hAnsi="宋体" w:eastAsia="宋体" w:cs="宋体"/>
          <w:color w:val="auto"/>
          <w:sz w:val="24"/>
          <w:szCs w:val="24"/>
          <w:highlight w:val="none"/>
          <w:lang w:val="en-US" w:eastAsia="zh-CN" w:bidi="ar-SA"/>
        </w:rPr>
        <w:t xml:space="preserve">：培训的目的是保证相关人员了解、掌握本系统所涉及的各种技术，更有效和更全面地应用、管理系统。对于领导，通过培训，使领导能掌握其日常工作所用系统各功能模块的使用，掌握审批步骤；对于项目中各系统的使用人员，通过培训，能掌握其日常工作所用系统各功能模块的使用；对于系统管理人员，即在项目实施建设过程中主要参与全过程实施的各专业工程师与技术开发人员和系统维护人员，通过培训，掌握系统的基本维护和日常管理工作，当系统出现一般性问题时，通过培训的系统管理人员能及时解决问题，不影响系统的使用。</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4、培训师资：原厂专业资深工程师、专业资格人员和行业专家等。</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5、培训教材：投标人需结合项目建设需求，细化培训方案，针对各个建设模块组织相应的培训内容与课程编制，形成纸质、电子及视频教材，并交采购人留存。</w:t>
      </w:r>
      <w:r>
        <w:rPr>
          <w:color w:val="auto"/>
          <w:highlight w:val="none"/>
        </w:rPr>
      </w:r>
      <w:r/>
    </w:p>
    <w:p>
      <w:pPr>
        <w:ind w:firstLine="480"/>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6、培训规模：自合同签订之日起至服务期限结束之日止内不少于2次，每次培训人数不少于2人。</w:t>
      </w:r>
      <w:r>
        <w:rPr>
          <w:color w:val="auto"/>
          <w:highlight w:val="none"/>
        </w:rPr>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九、验收要求：</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验收：项目整体服务开通使用，连续稳定运行10个日历日后，中标人可提出初验申请，如验收不能通过，中标人应在验收会议规定的整改期限内对存在问题进行整改，直至达到合格标准，方能通过验收。服务期满，中标人可提出终验申请，经采购人同意，由采购人组织相关专家等进行终验，如验收不能通过，中标人应在验收会议规定的整改期限内对存在问题进行整改，直至达到合格标准，方能通过验收。如有必要，采购人邀请参加本项目的其他投标人或第三方专业机构及专家参与验收，相关意见将作为验收书的参考资料。</w:t>
      </w:r>
      <w:r>
        <w:rPr>
          <w:rFonts w:hint="eastAsia" w:asciiTheme="minorEastAsia" w:hAnsiTheme="minorEastAsia" w:cstheme="minorEastAsia"/>
          <w:caps/>
          <w:color w:val="auto"/>
          <w:sz w:val="24"/>
          <w:szCs w:val="24"/>
          <w:highlight w:val="none"/>
        </w:rPr>
        <w:t xml:space="preserve">验收、检测、测评等</w:t>
      </w:r>
      <w:r>
        <w:rPr>
          <w:rFonts w:hint="eastAsia" w:ascii="宋体" w:hAnsi="宋体" w:eastAsia="宋体" w:cs="宋体"/>
          <w:color w:val="auto"/>
          <w:sz w:val="24"/>
          <w:szCs w:val="24"/>
          <w:highlight w:val="none"/>
          <w:lang w:val="en-US" w:eastAsia="zh-CN" w:bidi="ar-SA"/>
        </w:rPr>
        <w:t xml:space="preserve">所需费用由中标人承担。</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1、验收标准：符合相关国家标准和行业标准的规定；符合本合同及政府采购招标文件中规定的各项标准和要求。</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本服务内容任一项验收不合格的，中标人应负责在采购人限定的期限内完成整改，因整改而导致的费用和损失由中标人自行承担，若导致项目逾期的，中标人承担逾期违约责任。中标人未按采购人要求进行整改或经三次整改仍不合格的，视为中标人违约，采购人有权解除本合同，给采购人造成损失的，中标人应赔偿一切直接、间接损失。</w:t>
      </w:r>
      <w:r>
        <w:rPr>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采购人所有验收意见将以书面形式做出，因此除非采购人书面明示通过验收，否则任何其他行为（包括但不限于采购人对单个、多个服务内容接收、发布、上线、使用、测试、付款等行为）均不代表采购人已验收合格。</w:t>
      </w:r>
      <w:r>
        <w:rPr>
          <w:color w:val="auto"/>
          <w:highlight w:val="none"/>
        </w:rPr>
      </w:r>
      <w:r/>
    </w:p>
    <w:p>
      <w:pPr>
        <w:ind w:firstLine="48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具体验收要求包括但不限于如下：</w:t>
      </w:r>
      <w:r>
        <w:rPr>
          <w:color w:val="auto"/>
          <w:highlight w:val="none"/>
        </w:rPr>
      </w:r>
      <w:r/>
    </w:p>
    <w:p>
      <w:pPr>
        <w:ind w:firstLine="48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lang w:val="en-US" w:eastAsia="zh-CN"/>
        </w:rPr>
        <w:t xml:space="preserve">3.1</w:t>
      </w:r>
      <w:r>
        <w:rPr>
          <w:rFonts w:hint="eastAsia" w:ascii="宋体" w:hAnsi="宋体" w:eastAsia="宋体" w:cs="宋体"/>
          <w:caps/>
          <w:color w:val="auto"/>
          <w:sz w:val="24"/>
          <w:szCs w:val="24"/>
          <w:highlight w:val="none"/>
          <w:lang w:val="zh-CN"/>
        </w:rPr>
        <w:t xml:space="preserve">进行验收测试前，中标人完成以下准备工作：</w:t>
      </w:r>
      <w:r>
        <w:rPr>
          <w:color w:val="auto"/>
          <w:highlight w:val="none"/>
        </w:rPr>
      </w:r>
      <w:r/>
    </w:p>
    <w:p>
      <w:pPr>
        <w:ind w:firstLine="48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lang w:val="zh-CN"/>
        </w:rPr>
        <w:t xml:space="preserve">（1）项目应交付的所有过程性文档（包括但不限于</w:t>
      </w:r>
      <w:r>
        <w:rPr>
          <w:rFonts w:hint="eastAsia" w:ascii="宋体" w:hAnsi="宋体" w:eastAsia="宋体" w:cs="宋体"/>
          <w:caps/>
          <w:color w:val="auto"/>
          <w:sz w:val="24"/>
          <w:szCs w:val="24"/>
          <w:highlight w:val="none"/>
          <w:lang w:val="en-US" w:eastAsia="zh-CN"/>
        </w:rPr>
        <w:t xml:space="preserve">运行维护类</w:t>
      </w:r>
      <w:r>
        <w:rPr>
          <w:rFonts w:hint="eastAsia" w:ascii="宋体" w:hAnsi="宋体" w:eastAsia="宋体" w:cs="宋体"/>
          <w:caps/>
          <w:color w:val="auto"/>
          <w:sz w:val="24"/>
          <w:szCs w:val="24"/>
          <w:highlight w:val="none"/>
          <w:lang w:val="zh-CN"/>
        </w:rPr>
        <w:t xml:space="preserve">文档、</w:t>
      </w:r>
      <w:r>
        <w:rPr>
          <w:rFonts w:hint="eastAsia" w:ascii="宋体" w:hAnsi="宋体" w:eastAsia="宋体" w:cs="宋体"/>
          <w:caps/>
          <w:color w:val="auto"/>
          <w:sz w:val="24"/>
          <w:szCs w:val="24"/>
          <w:highlight w:val="none"/>
          <w:lang w:val="en-US" w:eastAsia="zh-CN"/>
        </w:rPr>
        <w:t xml:space="preserve">服务保障类文档、</w:t>
      </w:r>
      <w:r>
        <w:rPr>
          <w:rFonts w:hint="eastAsia" w:ascii="宋体" w:hAnsi="宋体" w:eastAsia="宋体" w:cs="宋体"/>
          <w:caps/>
          <w:color w:val="auto"/>
          <w:sz w:val="24"/>
          <w:szCs w:val="24"/>
          <w:highlight w:val="none"/>
          <w:lang w:val="zh-CN"/>
        </w:rPr>
        <w:t xml:space="preserve">项目验收类文档等）；</w:t>
      </w:r>
      <w:r>
        <w:rPr>
          <w:color w:val="auto"/>
          <w:highlight w:val="none"/>
        </w:rPr>
      </w:r>
      <w:r/>
    </w:p>
    <w:p>
      <w:pPr>
        <w:ind w:firstLine="48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lang w:val="zh-CN"/>
        </w:rPr>
        <w:t xml:space="preserve">（2）所有项目全过程文件材料及验收材料需按照相关要求进行档案收集、整理和归档工作。</w:t>
      </w:r>
      <w:r>
        <w:rPr>
          <w:color w:val="auto"/>
          <w:highlight w:val="none"/>
        </w:rPr>
      </w:r>
      <w:r/>
    </w:p>
    <w:p>
      <w:pPr>
        <w:ind w:firstLine="48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lang w:val="en-US" w:eastAsia="zh-CN"/>
        </w:rPr>
        <w:t xml:space="preserve">3.2</w:t>
      </w:r>
      <w:r>
        <w:rPr>
          <w:rFonts w:hint="eastAsia" w:ascii="宋体" w:hAnsi="宋体" w:eastAsia="宋体" w:cs="宋体"/>
          <w:caps/>
          <w:color w:val="auto"/>
          <w:sz w:val="24"/>
          <w:szCs w:val="24"/>
          <w:highlight w:val="none"/>
          <w:lang w:val="zh-CN"/>
        </w:rPr>
        <w:t xml:space="preserve">中标人项目整体服务开通使用，连续稳定运行10个日历日后可申请</w:t>
      </w:r>
      <w:r>
        <w:rPr>
          <w:rFonts w:hint="eastAsia" w:ascii="宋体" w:hAnsi="宋体" w:eastAsia="宋体" w:cs="宋体"/>
          <w:caps/>
          <w:color w:val="auto"/>
          <w:sz w:val="24"/>
          <w:szCs w:val="24"/>
          <w:highlight w:val="none"/>
          <w:lang w:val="en-US" w:eastAsia="zh-CN"/>
        </w:rPr>
        <w:t xml:space="preserve">初验</w:t>
      </w:r>
      <w:r>
        <w:rPr>
          <w:rFonts w:hint="eastAsia" w:ascii="宋体" w:hAnsi="宋体" w:eastAsia="宋体" w:cs="宋体"/>
          <w:caps/>
          <w:color w:val="auto"/>
          <w:sz w:val="24"/>
          <w:szCs w:val="24"/>
          <w:highlight w:val="none"/>
          <w:lang w:val="zh-CN"/>
        </w:rPr>
        <w:t xml:space="preserve">。</w:t>
      </w:r>
      <w:r>
        <w:rPr>
          <w:rFonts w:hint="eastAsia" w:ascii="宋体" w:hAnsi="宋体" w:eastAsia="宋体" w:cs="宋体"/>
          <w:caps/>
          <w:color w:val="auto"/>
          <w:sz w:val="24"/>
          <w:szCs w:val="24"/>
          <w:highlight w:val="none"/>
          <w:lang w:val="en-US" w:eastAsia="zh-CN"/>
        </w:rPr>
        <w:t xml:space="preserve">验收</w:t>
      </w:r>
      <w:r>
        <w:rPr>
          <w:rFonts w:hint="eastAsia" w:ascii="宋体" w:hAnsi="宋体" w:eastAsia="宋体" w:cs="宋体"/>
          <w:caps/>
          <w:color w:val="auto"/>
          <w:sz w:val="24"/>
          <w:szCs w:val="24"/>
          <w:highlight w:val="none"/>
          <w:lang w:val="zh-CN"/>
        </w:rPr>
        <w:t xml:space="preserve">由采购人组织，验收内容如下：</w:t>
      </w:r>
      <w:r>
        <w:rPr>
          <w:color w:val="auto"/>
          <w:highlight w:val="none"/>
        </w:rPr>
      </w:r>
      <w:r/>
    </w:p>
    <w:p>
      <w:pPr>
        <w:ind w:firstLine="48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lang w:val="zh-CN"/>
        </w:rPr>
        <w:t xml:space="preserve">（1）项目验收小组由采购人邀请的专家组成，依据采购人对信息化项目相关管理办法，对项目开展综合评价验收；</w:t>
      </w:r>
      <w:r>
        <w:rPr>
          <w:color w:val="auto"/>
          <w:highlight w:val="none"/>
        </w:rPr>
      </w:r>
      <w:r/>
    </w:p>
    <w:p>
      <w:pPr>
        <w:ind w:firstLine="48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lang w:val="zh-CN"/>
        </w:rPr>
        <w:t xml:space="preserve">（2）</w:t>
      </w:r>
      <w:r>
        <w:rPr>
          <w:rFonts w:hint="eastAsia" w:ascii="宋体" w:hAnsi="宋体" w:eastAsia="宋体" w:cs="宋体"/>
          <w:caps/>
          <w:color w:val="auto"/>
          <w:sz w:val="24"/>
          <w:szCs w:val="24"/>
          <w:highlight w:val="none"/>
          <w:lang w:val="en-US" w:eastAsia="zh-CN"/>
        </w:rPr>
        <w:t xml:space="preserve">功能</w:t>
      </w:r>
      <w:r>
        <w:rPr>
          <w:rFonts w:hint="eastAsia" w:ascii="宋体" w:hAnsi="宋体" w:eastAsia="宋体" w:cs="宋体"/>
          <w:caps/>
          <w:color w:val="auto"/>
          <w:sz w:val="24"/>
          <w:szCs w:val="24"/>
          <w:highlight w:val="none"/>
          <w:lang w:val="zh-CN"/>
        </w:rPr>
        <w:t xml:space="preserve">评价验收</w:t>
      </w:r>
      <w:r>
        <w:rPr>
          <w:rFonts w:hint="eastAsia" w:ascii="宋体" w:hAnsi="宋体" w:eastAsia="宋体" w:cs="宋体"/>
          <w:caps/>
          <w:color w:val="auto"/>
          <w:sz w:val="24"/>
          <w:szCs w:val="24"/>
          <w:highlight w:val="none"/>
          <w:lang w:val="en-US" w:eastAsia="zh-CN"/>
        </w:rPr>
        <w:t xml:space="preserve">：</w:t>
      </w:r>
      <w:r>
        <w:rPr>
          <w:rFonts w:hint="eastAsia" w:ascii="宋体" w:hAnsi="宋体" w:eastAsia="宋体" w:cs="宋体"/>
          <w:caps/>
          <w:color w:val="auto"/>
          <w:sz w:val="24"/>
          <w:szCs w:val="24"/>
          <w:highlight w:val="none"/>
          <w:lang w:val="zh-CN"/>
        </w:rPr>
        <w:t xml:space="preserve">主要围绕</w:t>
      </w:r>
      <w:r>
        <w:rPr>
          <w:rFonts w:hint="eastAsia" w:ascii="宋体" w:hAnsi="宋体" w:eastAsia="宋体" w:cs="宋体"/>
          <w:caps/>
          <w:color w:val="auto"/>
          <w:sz w:val="24"/>
          <w:szCs w:val="24"/>
          <w:highlight w:val="none"/>
          <w:lang w:val="en-US" w:eastAsia="zh-CN"/>
        </w:rPr>
        <w:t xml:space="preserve">各数据服务</w:t>
      </w:r>
      <w:r>
        <w:rPr>
          <w:rFonts w:hint="eastAsia" w:ascii="宋体" w:hAnsi="宋体" w:eastAsia="宋体" w:cs="宋体"/>
          <w:caps/>
          <w:color w:val="auto"/>
          <w:sz w:val="24"/>
          <w:szCs w:val="24"/>
          <w:highlight w:val="none"/>
          <w:lang w:val="zh-CN"/>
        </w:rPr>
        <w:t xml:space="preserve">与详细业务需求是否一致，</w:t>
      </w:r>
      <w:r>
        <w:rPr>
          <w:rFonts w:hint="eastAsia" w:ascii="宋体" w:hAnsi="宋体" w:eastAsia="宋体" w:cs="宋体"/>
          <w:caps/>
          <w:color w:val="auto"/>
          <w:sz w:val="24"/>
          <w:szCs w:val="24"/>
          <w:highlight w:val="none"/>
          <w:lang w:val="en-US" w:eastAsia="zh-CN"/>
        </w:rPr>
        <w:t xml:space="preserve">数据服务</w:t>
      </w:r>
      <w:r>
        <w:rPr>
          <w:rFonts w:hint="eastAsia" w:ascii="宋体" w:hAnsi="宋体" w:eastAsia="宋体" w:cs="宋体"/>
          <w:caps/>
          <w:color w:val="auto"/>
          <w:sz w:val="24"/>
          <w:szCs w:val="24"/>
          <w:highlight w:val="none"/>
          <w:lang w:val="zh-CN"/>
        </w:rPr>
        <w:t xml:space="preserve">是否达到规定的指标等；</w:t>
      </w:r>
      <w:r>
        <w:rPr>
          <w:color w:val="auto"/>
          <w:highlight w:val="none"/>
        </w:rPr>
      </w:r>
      <w:r/>
    </w:p>
    <w:p>
      <w:pPr>
        <w:ind w:firstLine="48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lang w:val="zh-CN"/>
        </w:rPr>
        <w:t xml:space="preserve">（</w:t>
      </w:r>
      <w:r>
        <w:rPr>
          <w:rFonts w:hint="eastAsia" w:ascii="宋体" w:hAnsi="宋体" w:eastAsia="宋体" w:cs="宋体"/>
          <w:caps/>
          <w:color w:val="auto"/>
          <w:sz w:val="24"/>
          <w:szCs w:val="24"/>
          <w:highlight w:val="none"/>
          <w:lang w:val="en-US" w:eastAsia="zh-CN"/>
        </w:rPr>
        <w:t xml:space="preserve">3</w:t>
      </w:r>
      <w:r>
        <w:rPr>
          <w:rFonts w:hint="eastAsia" w:ascii="宋体" w:hAnsi="宋体" w:eastAsia="宋体" w:cs="宋体"/>
          <w:cap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核心基础功能测试：按照设计文档中对应功能的设计要求，抽取典型应用场景</w:t>
      </w:r>
      <w:r>
        <w:rPr>
          <w:rFonts w:hint="eastAsia" w:ascii="宋体" w:hAnsi="宋体" w:eastAsia="宋体" w:cs="宋体"/>
          <w:color w:val="auto"/>
          <w:sz w:val="24"/>
          <w:szCs w:val="24"/>
          <w:highlight w:val="none"/>
          <w:lang w:val="en-US" w:eastAsia="zh-CN"/>
        </w:rPr>
        <w:t xml:space="preserve">分别进行</w:t>
      </w:r>
      <w:r>
        <w:rPr>
          <w:rFonts w:hint="eastAsia" w:ascii="宋体" w:hAnsi="宋体" w:eastAsia="宋体" w:cs="宋体"/>
          <w:color w:val="auto"/>
          <w:sz w:val="24"/>
          <w:szCs w:val="24"/>
          <w:highlight w:val="none"/>
          <w:lang w:val="zh-CN"/>
        </w:rPr>
        <w:t xml:space="preserve">测试，</w:t>
      </w:r>
      <w:r>
        <w:rPr>
          <w:rFonts w:hint="eastAsia" w:ascii="宋体" w:hAnsi="宋体" w:eastAsia="宋体" w:cs="宋体"/>
          <w:color w:val="auto"/>
          <w:sz w:val="24"/>
          <w:szCs w:val="24"/>
          <w:highlight w:val="none"/>
          <w:lang w:val="en-US" w:eastAsia="zh-CN"/>
        </w:rPr>
        <w:t xml:space="preserve">测试设计</w:t>
      </w:r>
      <w:r>
        <w:rPr>
          <w:rFonts w:hint="eastAsia" w:ascii="宋体" w:hAnsi="宋体" w:eastAsia="宋体" w:cs="宋体"/>
          <w:color w:val="auto"/>
          <w:sz w:val="24"/>
          <w:szCs w:val="24"/>
          <w:highlight w:val="none"/>
          <w:lang w:val="zh-CN"/>
        </w:rPr>
        <w:t xml:space="preserve">要求的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zh-CN"/>
        </w:rPr>
        <w:t xml:space="preserve">能</w:t>
      </w:r>
      <w:r>
        <w:rPr>
          <w:rFonts w:hint="eastAsia" w:ascii="宋体" w:hAnsi="宋体" w:eastAsia="宋体" w:cs="宋体"/>
          <w:color w:val="auto"/>
          <w:sz w:val="24"/>
          <w:szCs w:val="24"/>
          <w:highlight w:val="none"/>
          <w:lang w:val="en-US" w:eastAsia="zh-CN"/>
        </w:rPr>
        <w:t xml:space="preserve">否完整使用。</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aps/>
          <w:color w:val="auto"/>
          <w:sz w:val="24"/>
          <w:szCs w:val="24"/>
          <w:highlight w:val="none"/>
          <w:lang w:val="zh-CN" w:eastAsia="zh-CN"/>
        </w:rPr>
        <w:t xml:space="preserve">上述验收</w:t>
      </w:r>
      <w:r>
        <w:rPr>
          <w:rFonts w:hint="eastAsia" w:ascii="宋体" w:hAnsi="宋体" w:eastAsia="宋体" w:cs="宋体"/>
          <w:caps/>
          <w:color w:val="auto"/>
          <w:sz w:val="24"/>
          <w:szCs w:val="24"/>
          <w:highlight w:val="none"/>
          <w:lang w:val="en-US" w:eastAsia="zh-CN"/>
        </w:rPr>
        <w:t xml:space="preserve">过程中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aps/>
          <w:color w:val="auto"/>
          <w:sz w:val="24"/>
          <w:szCs w:val="24"/>
          <w:highlight w:val="none"/>
          <w:lang w:val="zh-CN"/>
        </w:rPr>
        <w:t xml:space="preserve">如果发现</w:t>
      </w:r>
      <w:r>
        <w:rPr>
          <w:rFonts w:hint="eastAsia" w:ascii="宋体" w:hAnsi="宋体" w:eastAsia="宋体" w:cs="宋体"/>
          <w:caps/>
          <w:color w:val="auto"/>
          <w:sz w:val="24"/>
          <w:szCs w:val="24"/>
          <w:highlight w:val="none"/>
          <w:lang w:val="en-US" w:eastAsia="zh-CN"/>
        </w:rPr>
        <w:t xml:space="preserve">服务内容</w:t>
      </w:r>
      <w:r>
        <w:rPr>
          <w:rFonts w:hint="eastAsia" w:ascii="宋体" w:hAnsi="宋体" w:eastAsia="宋体" w:cs="宋体"/>
          <w:caps/>
          <w:color w:val="auto"/>
          <w:sz w:val="24"/>
          <w:szCs w:val="24"/>
          <w:highlight w:val="none"/>
          <w:lang w:val="zh-CN"/>
        </w:rPr>
        <w:t xml:space="preserve">、性能指标、</w:t>
      </w:r>
      <w:r>
        <w:rPr>
          <w:rFonts w:hint="eastAsia" w:ascii="宋体" w:hAnsi="宋体" w:eastAsia="宋体" w:cs="宋体"/>
          <w:caps/>
          <w:color w:val="auto"/>
          <w:sz w:val="24"/>
          <w:szCs w:val="24"/>
          <w:highlight w:val="none"/>
          <w:lang w:val="en-US" w:eastAsia="zh-CN"/>
        </w:rPr>
        <w:t xml:space="preserve">各类测试</w:t>
      </w:r>
      <w:r>
        <w:rPr>
          <w:rFonts w:hint="eastAsia" w:ascii="宋体" w:hAnsi="宋体" w:eastAsia="宋体" w:cs="宋体"/>
          <w:caps/>
          <w:color w:val="auto"/>
          <w:sz w:val="24"/>
          <w:szCs w:val="24"/>
          <w:highlight w:val="none"/>
          <w:lang w:val="zh-CN"/>
        </w:rPr>
        <w:t xml:space="preserve">不</w:t>
      </w:r>
      <w:r>
        <w:rPr>
          <w:rFonts w:hint="eastAsia" w:ascii="宋体" w:hAnsi="宋体" w:eastAsia="宋体" w:cs="宋体"/>
          <w:caps/>
          <w:color w:val="auto"/>
          <w:sz w:val="24"/>
          <w:szCs w:val="24"/>
          <w:highlight w:val="none"/>
          <w:lang w:val="en-US" w:eastAsia="zh-CN"/>
        </w:rPr>
        <w:t xml:space="preserve">合格</w:t>
      </w:r>
      <w:r>
        <w:rPr>
          <w:rFonts w:hint="eastAsia" w:ascii="宋体" w:hAnsi="宋体" w:eastAsia="宋体" w:cs="宋体"/>
          <w:caps/>
          <w:color w:val="auto"/>
          <w:sz w:val="24"/>
          <w:szCs w:val="24"/>
          <w:highlight w:val="none"/>
          <w:lang w:val="zh-CN"/>
        </w:rPr>
        <w:t xml:space="preserve">，</w:t>
      </w:r>
      <w:r>
        <w:rPr>
          <w:rFonts w:hint="eastAsia" w:ascii="宋体" w:hAnsi="宋体" w:eastAsia="宋体" w:cs="宋体"/>
          <w:caps/>
          <w:color w:val="auto"/>
          <w:sz w:val="24"/>
          <w:szCs w:val="24"/>
          <w:highlight w:val="none"/>
          <w:lang w:val="en-US" w:eastAsia="zh-CN"/>
        </w:rPr>
        <w:t xml:space="preserve">经中标人整改后仍不符合要求的，</w:t>
      </w:r>
      <w:r>
        <w:rPr>
          <w:rFonts w:hint="eastAsia" w:ascii="宋体" w:hAnsi="宋体" w:eastAsia="宋体" w:cs="宋体"/>
          <w:caps/>
          <w:color w:val="auto"/>
          <w:sz w:val="24"/>
          <w:szCs w:val="24"/>
          <w:highlight w:val="none"/>
          <w:lang w:val="zh-CN"/>
        </w:rPr>
        <w:t xml:space="preserve">采购人有权按合同规定提出索赔。</w:t>
      </w:r>
      <w:r>
        <w:rPr>
          <w:color w:val="auto"/>
          <w:highlight w:val="none"/>
        </w:rPr>
      </w:r>
      <w:r/>
    </w:p>
    <w:p>
      <w:pPr>
        <w:pStyle w:val="808"/>
        <w:ind w:firstLine="482"/>
        <w:spacing w:line="360" w:lineRule="auto"/>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lang w:val="en-US" w:eastAsia="zh-CN"/>
        </w:rPr>
        <w:t xml:space="preserve">十</w:t>
      </w:r>
      <w:r>
        <w:rPr>
          <w:rFonts w:hint="eastAsia" w:ascii="宋体" w:hAnsi="宋体" w:eastAsia="宋体" w:cs="宋体"/>
          <w:b/>
          <w:i w:val="0"/>
          <w:iCs w:val="0"/>
          <w:color w:val="auto"/>
          <w:sz w:val="24"/>
          <w:szCs w:val="24"/>
          <w:highlight w:val="none"/>
          <w:u w:val="none"/>
        </w:rPr>
        <w:t xml:space="preserve">、商务条款</w:t>
      </w:r>
      <w:r>
        <w:rPr>
          <w:color w:val="auto"/>
          <w:highlight w:val="none"/>
        </w:rPr>
      </w:r>
      <w:r/>
    </w:p>
    <w:p>
      <w:pPr>
        <w:ind w:firstLine="480"/>
        <w:spacing w:line="360" w:lineRule="auto"/>
        <w:rPr>
          <w:rFonts w:hint="eastAsia" w:ascii="宋体" w:hAnsi="宋体" w:eastAsia="宋体" w:cs="宋体"/>
          <w:bCs/>
          <w:i w:val="0"/>
          <w:iCs w:val="0"/>
          <w:color w:val="auto"/>
          <w:sz w:val="24"/>
          <w:highlight w:val="none"/>
          <w:u w:val="none"/>
        </w:rPr>
      </w:pPr>
      <w:r>
        <w:rPr>
          <w:rFonts w:hint="eastAsia" w:ascii="宋体" w:hAnsi="宋体" w:eastAsia="宋体" w:cs="宋体"/>
          <w:bCs/>
          <w:i w:val="0"/>
          <w:iCs w:val="0"/>
          <w:color w:val="auto"/>
          <w:sz w:val="24"/>
          <w:highlight w:val="none"/>
          <w:u w:val="none"/>
          <w:lang w:val="en-US" w:eastAsia="zh-CN"/>
        </w:rPr>
        <w:t xml:space="preserve">1、</w:t>
      </w:r>
      <w:r>
        <w:rPr>
          <w:rFonts w:hint="eastAsia" w:ascii="宋体" w:hAnsi="宋体" w:eastAsia="宋体" w:cs="宋体"/>
          <w:bCs/>
          <w:i w:val="0"/>
          <w:iCs w:val="0"/>
          <w:color w:val="auto"/>
          <w:sz w:val="24"/>
          <w:highlight w:val="none"/>
          <w:u w:val="none"/>
        </w:rPr>
        <w:t xml:space="preserve">合同履行期限</w:t>
      </w:r>
      <w:r>
        <w:rPr>
          <w:rFonts w:hint="eastAsia" w:ascii="宋体" w:hAnsi="宋体" w:eastAsia="宋体" w:cs="宋体"/>
          <w:bCs/>
          <w:i w:val="0"/>
          <w:iCs w:val="0"/>
          <w:color w:val="auto"/>
          <w:sz w:val="24"/>
          <w:highlight w:val="none"/>
          <w:u w:val="none"/>
          <w:lang w:eastAsia="zh-CN"/>
        </w:rPr>
        <w:t xml:space="preserve">（</w:t>
      </w:r>
      <w:r>
        <w:rPr>
          <w:rFonts w:hint="eastAsia" w:ascii="宋体" w:hAnsi="宋体" w:eastAsia="宋体" w:cs="宋体"/>
          <w:bCs/>
          <w:i w:val="0"/>
          <w:iCs w:val="0"/>
          <w:color w:val="auto"/>
          <w:sz w:val="24"/>
          <w:highlight w:val="none"/>
          <w:u w:val="none"/>
          <w:lang w:val="en-US" w:eastAsia="zh-CN"/>
        </w:rPr>
        <w:t xml:space="preserve">服务期限</w:t>
      </w:r>
      <w:r>
        <w:rPr>
          <w:rFonts w:hint="eastAsia" w:ascii="宋体" w:hAnsi="宋体" w:eastAsia="宋体" w:cs="宋体"/>
          <w:bCs/>
          <w:i w:val="0"/>
          <w:iCs w:val="0"/>
          <w:color w:val="auto"/>
          <w:sz w:val="24"/>
          <w:highlight w:val="none"/>
          <w:u w:val="none"/>
          <w:lang w:eastAsia="zh-CN"/>
        </w:rPr>
        <w:t xml:space="preserve">）</w:t>
      </w:r>
      <w:r>
        <w:rPr>
          <w:rFonts w:hint="eastAsia" w:ascii="宋体" w:hAnsi="宋体" w:eastAsia="宋体" w:cs="宋体"/>
          <w:bCs/>
          <w:i w:val="0"/>
          <w:iCs w:val="0"/>
          <w:color w:val="auto"/>
          <w:sz w:val="24"/>
          <w:highlight w:val="none"/>
          <w:u w:val="none"/>
        </w:rPr>
        <w:t xml:space="preserve">：</w:t>
      </w:r>
      <w:r>
        <w:rPr>
          <w:rFonts w:hint="eastAsia" w:ascii="宋体" w:hAnsi="宋体" w:eastAsia="宋体" w:cs="宋体"/>
          <w:bCs/>
          <w:i w:val="0"/>
          <w:iCs w:val="0"/>
          <w:color w:val="auto"/>
          <w:sz w:val="24"/>
          <w:highlight w:val="none"/>
          <w:u w:val="none"/>
          <w:lang w:eastAsia="zh-CN"/>
        </w:rPr>
        <w:t xml:space="preserve">自初验合格后1年</w:t>
      </w:r>
      <w:r>
        <w:rPr>
          <w:rFonts w:hint="eastAsia" w:ascii="宋体" w:hAnsi="宋体" w:eastAsia="宋体" w:cs="宋体"/>
          <w:b w:val="0"/>
          <w:bCs/>
          <w:color w:val="auto"/>
          <w:sz w:val="24"/>
          <w:szCs w:val="24"/>
          <w:highlight w:val="none"/>
          <w:lang w:val="en-US" w:eastAsia="zh-CN"/>
        </w:rPr>
        <w:t xml:space="preserve">。</w:t>
      </w:r>
      <w:r>
        <w:rPr>
          <w:color w:val="auto"/>
          <w:highlight w:val="none"/>
        </w:rPr>
      </w:r>
      <w:r/>
    </w:p>
    <w:p>
      <w:pPr>
        <w:ind w:firstLine="480"/>
        <w:spacing w:line="360" w:lineRule="auto"/>
        <w:rPr>
          <w:rFonts w:hint="eastAsia" w:ascii="宋体" w:hAnsi="宋体" w:eastAsia="宋体" w:cs="宋体"/>
          <w:bCs/>
          <w:i w:val="0"/>
          <w:iCs w:val="0"/>
          <w:color w:val="auto"/>
          <w:sz w:val="24"/>
          <w:highlight w:val="none"/>
          <w:u w:val="none"/>
        </w:rPr>
      </w:pPr>
      <w:r>
        <w:rPr>
          <w:rFonts w:hint="eastAsia" w:ascii="宋体" w:hAnsi="宋体" w:eastAsia="宋体" w:cs="宋体"/>
          <w:bCs/>
          <w:i w:val="0"/>
          <w:iCs w:val="0"/>
          <w:color w:val="auto"/>
          <w:sz w:val="24"/>
          <w:highlight w:val="none"/>
          <w:u w:val="none"/>
          <w:lang w:val="en-US" w:eastAsia="zh-CN"/>
        </w:rPr>
        <w:t xml:space="preserve">2、</w:t>
      </w:r>
      <w:r>
        <w:rPr>
          <w:rFonts w:hint="eastAsia" w:ascii="宋体" w:hAnsi="宋体" w:eastAsia="宋体" w:cs="宋体"/>
          <w:bCs/>
          <w:i w:val="0"/>
          <w:iCs w:val="0"/>
          <w:color w:val="auto"/>
          <w:sz w:val="24"/>
          <w:highlight w:val="none"/>
          <w:u w:val="none"/>
        </w:rPr>
        <w:t xml:space="preserve">服务地点</w:t>
      </w:r>
      <w:r>
        <w:rPr>
          <w:rFonts w:hint="eastAsia" w:ascii="宋体" w:hAnsi="宋体" w:eastAsia="宋体" w:cs="宋体"/>
          <w:bCs/>
          <w:i w:val="0"/>
          <w:iCs w:val="0"/>
          <w:color w:val="auto"/>
          <w:sz w:val="24"/>
          <w:highlight w:val="none"/>
          <w:u w:val="none"/>
          <w:lang w:eastAsia="zh-CN"/>
        </w:rPr>
        <w:t xml:space="preserve">：采购人指定地点。</w:t>
      </w:r>
      <w:r>
        <w:rPr>
          <w:color w:val="auto"/>
          <w:highlight w:val="none"/>
        </w:rPr>
      </w:r>
      <w:r/>
    </w:p>
    <w:p>
      <w:pPr>
        <w:pStyle w:val="803"/>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Cs/>
          <w:i w:val="0"/>
          <w:iCs w:val="0"/>
          <w:color w:val="auto"/>
          <w:sz w:val="24"/>
          <w:szCs w:val="24"/>
          <w:highlight w:val="none"/>
          <w:u w:val="none"/>
          <w:lang w:val="en-US" w:eastAsia="zh-CN"/>
        </w:rPr>
        <w:t xml:space="preserve">3</w:t>
      </w:r>
      <w:r>
        <w:rPr>
          <w:rFonts w:hint="eastAsia" w:ascii="宋体" w:hAnsi="宋体" w:eastAsia="宋体" w:cs="宋体"/>
          <w:bCs/>
          <w:i w:val="0"/>
          <w:iCs w:val="0"/>
          <w:color w:val="auto"/>
          <w:sz w:val="24"/>
          <w:szCs w:val="24"/>
          <w:highlight w:val="none"/>
          <w:u w:val="none"/>
        </w:rPr>
        <w:t xml:space="preserve">、付款方式：合同签订且乙方完成全部服务账号开通、环境配置及上线调试工作后支付合同金额的20%；整体服务开通使用稳定试运行10个日历日并完成初验后支付至合同金额的85%；服务期满并完成项目终验及审计后，支付至审定金额的100%。每次付款时</w:t>
      </w:r>
      <w:r>
        <w:rPr>
          <w:rFonts w:hint="eastAsia" w:ascii="宋体" w:hAnsi="宋体" w:eastAsia="宋体" w:cs="宋体"/>
          <w:bCs/>
          <w:i w:val="0"/>
          <w:iCs w:val="0"/>
          <w:color w:val="auto"/>
          <w:sz w:val="24"/>
          <w:szCs w:val="24"/>
          <w:highlight w:val="none"/>
          <w:u w:val="none"/>
          <w:lang w:val="en-US" w:eastAsia="zh-CN"/>
        </w:rPr>
        <w:t xml:space="preserve">中标人</w:t>
      </w:r>
      <w:r>
        <w:rPr>
          <w:rFonts w:hint="eastAsia" w:ascii="宋体" w:hAnsi="宋体" w:eastAsia="宋体" w:cs="宋体"/>
          <w:bCs/>
          <w:i w:val="0"/>
          <w:iCs w:val="0"/>
          <w:color w:val="auto"/>
          <w:sz w:val="24"/>
          <w:szCs w:val="24"/>
          <w:highlight w:val="none"/>
          <w:u w:val="none"/>
        </w:rPr>
        <w:t xml:space="preserve">提前提供正规发票。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b/>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4</w:t>
      </w:r>
      <w:r>
        <w:rPr>
          <w:rFonts w:hint="eastAsia" w:ascii="宋体" w:hAnsi="宋体" w:eastAsia="宋体" w:cs="宋体"/>
          <w:i w:val="0"/>
          <w:iCs w:val="0"/>
          <w:color w:val="auto"/>
          <w:sz w:val="24"/>
          <w:highlight w:val="none"/>
          <w:u w:val="none"/>
        </w:rPr>
        <w:t xml:space="preserve">、履约保证金：本项目不收取履约保证金。 </w:t>
      </w:r>
      <w:r>
        <w:rPr>
          <w:color w:val="auto"/>
          <w:highlight w:val="none"/>
        </w:rPr>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lang w:val="en-US" w:eastAsia="zh-CN"/>
        </w:rPr>
        <w:t xml:space="preserve">十一、报价要求</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投标报价包括测试、验收、培训、保险、人工费用、管理、质保、税费、利润、完成合同所需的一切本身和不可或缺的所有工作开支，政策性文件规定及合同包含的所有风险、责任和管理等各项全部费用</w:t>
      </w:r>
      <w:r>
        <w:rPr>
          <w:rFonts w:hint="eastAsia" w:ascii="宋体" w:hAnsi="宋体" w:eastAsia="宋体" w:cs="宋体"/>
          <w:i w:val="0"/>
          <w:iCs w:val="0"/>
          <w:color w:val="auto"/>
          <w:sz w:val="24"/>
          <w:highlight w:val="none"/>
          <w:u w:val="none"/>
          <w:lang w:eastAsia="zh-CN"/>
        </w:rPr>
        <w:t xml:space="preserve">。</w:t>
      </w:r>
      <w:r>
        <w:rPr>
          <w:color w:val="auto"/>
          <w:highlight w:val="none"/>
        </w:rPr>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lang w:val="en-US" w:eastAsia="zh-CN"/>
        </w:rPr>
        <w:t xml:space="preserve">十二、安全要求</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default" w:ascii="宋体" w:hAnsi="宋体" w:eastAsia="宋体" w:cs="宋体"/>
          <w:i w:val="0"/>
          <w:iCs w:val="0"/>
          <w:color w:val="auto"/>
          <w:sz w:val="24"/>
          <w:highlight w:val="none"/>
          <w:u w:val="none"/>
          <w:lang w:val="en-US" w:eastAsia="zh-CN"/>
        </w:rPr>
        <w:t xml:space="preserve">中标人在人员进场后须立即与采购人签订保密协议，并签订安全责任书，所有运维参与项目人员需签订保密协议、安全责任书。在履行项目运维期间，发生安全事故等，相关责任由中标人百分百承担。</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default" w:ascii="宋体" w:hAnsi="宋体" w:eastAsia="宋体" w:cs="宋体"/>
          <w:i w:val="0"/>
          <w:iCs w:val="0"/>
          <w:color w:val="auto"/>
          <w:sz w:val="24"/>
          <w:highlight w:val="none"/>
          <w:u w:val="none"/>
          <w:lang w:val="en-US" w:eastAsia="zh-CN"/>
        </w:rPr>
        <w:t xml:space="preserve">1、要严格遵循安全保密工作规范，在满足</w:t>
      </w:r>
      <w:r>
        <w:rPr>
          <w:rFonts w:hint="eastAsia" w:ascii="宋体" w:hAnsi="宋体" w:eastAsia="宋体" w:cs="宋体"/>
          <w:i w:val="0"/>
          <w:iCs w:val="0"/>
          <w:color w:val="auto"/>
          <w:sz w:val="24"/>
          <w:highlight w:val="none"/>
          <w:u w:val="none"/>
          <w:lang w:val="en-US" w:eastAsia="zh-CN"/>
        </w:rPr>
        <w:t xml:space="preserve">服务</w:t>
      </w:r>
      <w:r>
        <w:rPr>
          <w:rFonts w:hint="default" w:ascii="宋体" w:hAnsi="宋体" w:eastAsia="宋体" w:cs="宋体"/>
          <w:i w:val="0"/>
          <w:iCs w:val="0"/>
          <w:color w:val="auto"/>
          <w:sz w:val="24"/>
          <w:highlight w:val="none"/>
          <w:u w:val="none"/>
          <w:lang w:val="en-US" w:eastAsia="zh-CN"/>
        </w:rPr>
        <w:t xml:space="preserve">工作的同时，有足够的技术手段防止信息滥用，有效保护公民隐私和警务秘密。</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2</w:t>
      </w:r>
      <w:r>
        <w:rPr>
          <w:rFonts w:hint="default" w:ascii="宋体" w:hAnsi="宋体" w:eastAsia="宋体" w:cs="宋体"/>
          <w:i w:val="0"/>
          <w:iCs w:val="0"/>
          <w:color w:val="auto"/>
          <w:sz w:val="24"/>
          <w:highlight w:val="none"/>
          <w:u w:val="none"/>
          <w:lang w:val="en-US" w:eastAsia="zh-CN"/>
        </w:rPr>
        <w:t xml:space="preserve">、严禁“一机两用”、网络违规互联，违者一律先断网、查扣涉事设备，再依规严肃处理。</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3</w:t>
      </w:r>
      <w:r>
        <w:rPr>
          <w:rFonts w:hint="default" w:ascii="宋体" w:hAnsi="宋体" w:eastAsia="宋体" w:cs="宋体"/>
          <w:i w:val="0"/>
          <w:iCs w:val="0"/>
          <w:color w:val="auto"/>
          <w:sz w:val="24"/>
          <w:highlight w:val="none"/>
          <w:u w:val="none"/>
          <w:lang w:val="en-US" w:eastAsia="zh-CN"/>
        </w:rPr>
        <w:t xml:space="preserve">、严禁越权查询警务信息、公民个人信息或利用公安信息系统从事与工作无关的事项，违者一律取消或限制授权，依规严肃处理。</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4</w:t>
      </w:r>
      <w:r>
        <w:rPr>
          <w:rFonts w:hint="default" w:ascii="宋体" w:hAnsi="宋体" w:eastAsia="宋体" w:cs="宋体"/>
          <w:i w:val="0"/>
          <w:iCs w:val="0"/>
          <w:color w:val="auto"/>
          <w:sz w:val="24"/>
          <w:highlight w:val="none"/>
          <w:u w:val="none"/>
          <w:lang w:val="en-US" w:eastAsia="zh-CN"/>
        </w:rPr>
        <w:t xml:space="preserve">、严禁私自下载、拷贝、传输或在互联网留存警务数据，违者一律先查扣数据和设备，控制扩散范围，再依规依法严肃处理。</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5</w:t>
      </w:r>
      <w:r>
        <w:rPr>
          <w:rFonts w:hint="default" w:ascii="宋体" w:hAnsi="宋体" w:eastAsia="宋体" w:cs="宋体"/>
          <w:i w:val="0"/>
          <w:iCs w:val="0"/>
          <w:color w:val="auto"/>
          <w:sz w:val="24"/>
          <w:highlight w:val="none"/>
          <w:u w:val="none"/>
          <w:lang w:val="en-US" w:eastAsia="zh-CN"/>
        </w:rPr>
        <w:t xml:space="preserve">、严禁泄露、传播或者未经批准对外提供警务工作秘密和公民个人隐私等不应对外公开的信息，违者一律按照失、泄密依规依法严肃处理。</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6</w:t>
      </w:r>
      <w:r>
        <w:rPr>
          <w:rFonts w:hint="default" w:ascii="宋体" w:hAnsi="宋体" w:eastAsia="宋体" w:cs="宋体"/>
          <w:i w:val="0"/>
          <w:iCs w:val="0"/>
          <w:color w:val="auto"/>
          <w:sz w:val="24"/>
          <w:highlight w:val="none"/>
          <w:u w:val="none"/>
          <w:lang w:val="en-US" w:eastAsia="zh-CN"/>
        </w:rPr>
        <w:t xml:space="preserve">、严禁未经批准摄录涉及警务信息的显示设备、公开宣传或与无关人员谈论警务信息系统及数据、利用非警用通信工具传输警务数据或交流具体警务工作内容，违者一律按照失、泄密依规严肃处理。</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7</w:t>
      </w:r>
      <w:r>
        <w:rPr>
          <w:rFonts w:hint="default" w:ascii="宋体" w:hAnsi="宋体" w:eastAsia="宋体" w:cs="宋体"/>
          <w:i w:val="0"/>
          <w:iCs w:val="0"/>
          <w:color w:val="auto"/>
          <w:sz w:val="24"/>
          <w:highlight w:val="none"/>
          <w:u w:val="none"/>
          <w:lang w:val="en-US" w:eastAsia="zh-CN"/>
        </w:rPr>
        <w:t xml:space="preserve">、严禁未经批准或以虚假证明材料进行数据增删改操作，违者一律依规严肃处理。</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8</w:t>
      </w:r>
      <w:r>
        <w:rPr>
          <w:rFonts w:hint="default" w:ascii="宋体" w:hAnsi="宋体" w:eastAsia="宋体" w:cs="宋体"/>
          <w:i w:val="0"/>
          <w:iCs w:val="0"/>
          <w:color w:val="auto"/>
          <w:sz w:val="24"/>
          <w:highlight w:val="none"/>
          <w:u w:val="none"/>
          <w:lang w:val="en-US" w:eastAsia="zh-CN"/>
        </w:rPr>
        <w:t xml:space="preserve">、严禁向无关人员提供警务信息系统、数据库的账号密码或使用授权，因工作需要提供给技术开发维护单位和人员的，必须严格履行审批手续，全程纳入监管，违者一律依规严肃追究建设管理单位和授权人的责任。</w:t>
      </w:r>
      <w:r>
        <w:rPr>
          <w:color w:val="auto"/>
          <w:highlight w:val="none"/>
        </w:rPr>
      </w:r>
      <w:r/>
    </w:p>
    <w:p>
      <w:pPr>
        <w:ind w:firstLine="480"/>
        <w:keepLines w:val="0"/>
        <w:keepNext w:val="0"/>
        <w:pageBreakBefore w:val="0"/>
        <w:spacing w:line="360" w:lineRule="auto"/>
        <w:widowControl w:val="off"/>
        <w:rPr>
          <w:rFonts w:hint="default"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9</w:t>
      </w:r>
      <w:r>
        <w:rPr>
          <w:rFonts w:hint="default" w:ascii="宋体" w:hAnsi="宋体" w:eastAsia="宋体" w:cs="宋体"/>
          <w:i w:val="0"/>
          <w:iCs w:val="0"/>
          <w:color w:val="auto"/>
          <w:sz w:val="24"/>
          <w:highlight w:val="none"/>
          <w:u w:val="none"/>
          <w:lang w:val="en-US" w:eastAsia="zh-CN"/>
        </w:rPr>
        <w:t xml:space="preserve">、严禁在警务信息系统中预留系统后门、植入病毒木马或擅自扫描、探测、入侵公安信息网及信息系统、数据库，违者一律按照破坏计算机信息系统或非法获取计算机信息系统数据依法严肃处理。</w:t>
      </w:r>
      <w:bookmarkEnd w:id="65"/>
      <w:r>
        <w:rPr>
          <w:color w:val="auto"/>
          <w:highlight w:val="none"/>
        </w:rPr>
      </w:r>
      <w:r/>
    </w:p>
    <w:p>
      <w:pPr>
        <w:ind w:right="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color w:val="auto"/>
          <w:highlight w:val="none"/>
        </w:rPr>
      </w:r>
      <w:bookmarkStart w:id="73" w:name="_Toc18326"/>
      <w:r>
        <w:rPr>
          <w:color w:val="auto"/>
          <w:highlight w:val="none"/>
        </w:rPr>
      </w:r>
      <w:bookmarkEnd w:id="73"/>
      <w:r>
        <w:rPr>
          <w:color w:val="auto"/>
          <w:highlight w:val="none"/>
        </w:rPr>
      </w:r>
      <w:r/>
    </w:p>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br w:type="page" w:clear="all"/>
      </w:r>
      <w:r>
        <w:rPr>
          <w:color w:val="auto"/>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bCs/>
          <w:i w:val="0"/>
          <w:iCs w:val="0"/>
          <w:color w:val="auto"/>
          <w:sz w:val="44"/>
          <w:szCs w:val="44"/>
          <w:highlight w:val="none"/>
          <w:u w:val="none"/>
        </w:rPr>
        <w:outlineLvl w:val="0"/>
      </w:pPr>
      <w:r>
        <w:rPr>
          <w:color w:val="auto"/>
          <w:highlight w:val="none"/>
        </w:rPr>
      </w:r>
      <w:bookmarkStart w:id="74" w:name="_Toc23551"/>
      <w:r>
        <w:rPr>
          <w:color w:val="auto"/>
          <w:highlight w:val="none"/>
        </w:rPr>
      </w:r>
      <w:bookmarkStart w:id="75" w:name="_Toc505"/>
      <w:r>
        <w:rPr>
          <w:color w:val="auto"/>
          <w:highlight w:val="none"/>
        </w:rPr>
      </w:r>
      <w:bookmarkStart w:id="76" w:name="_Toc10997"/>
      <w:r>
        <w:rPr>
          <w:color w:val="auto"/>
          <w:highlight w:val="none"/>
        </w:rPr>
      </w:r>
      <w:bookmarkStart w:id="77" w:name="_Toc31526"/>
      <w:r>
        <w:rPr>
          <w:color w:val="auto"/>
          <w:highlight w:val="none"/>
        </w:rPr>
      </w:r>
      <w:bookmarkStart w:id="78" w:name="_Toc32630"/>
      <w:r>
        <w:rPr>
          <w:rFonts w:hint="eastAsia" w:ascii="宋体" w:hAnsi="宋体" w:eastAsia="宋体" w:cs="宋体"/>
          <w:b/>
          <w:bCs/>
          <w:i w:val="0"/>
          <w:iCs w:val="0"/>
          <w:color w:val="auto"/>
          <w:sz w:val="44"/>
          <w:szCs w:val="44"/>
          <w:highlight w:val="none"/>
          <w:u w:val="none"/>
        </w:rPr>
        <w:t xml:space="preserve">第七章</w:t>
      </w:r>
      <w:r>
        <w:rPr>
          <w:rFonts w:hint="eastAsia" w:ascii="宋体" w:hAnsi="宋体" w:eastAsia="宋体" w:cs="宋体"/>
          <w:b/>
          <w:bCs/>
          <w:i w:val="0"/>
          <w:iCs w:val="0"/>
          <w:color w:val="auto"/>
          <w:sz w:val="44"/>
          <w:szCs w:val="44"/>
          <w:highlight w:val="none"/>
          <w:u w:val="none"/>
          <w:lang w:val="en-US" w:eastAsia="zh-CN"/>
        </w:rPr>
        <w:t xml:space="preserve"> </w:t>
      </w:r>
      <w:r>
        <w:rPr>
          <w:rFonts w:hint="eastAsia" w:ascii="宋体" w:hAnsi="宋体" w:eastAsia="宋体" w:cs="宋体"/>
          <w:b/>
          <w:bCs/>
          <w:i w:val="0"/>
          <w:iCs w:val="0"/>
          <w:color w:val="auto"/>
          <w:sz w:val="44"/>
          <w:szCs w:val="44"/>
          <w:highlight w:val="none"/>
          <w:u w:val="none"/>
        </w:rPr>
        <w:t xml:space="preserve">评标办法</w:t>
      </w:r>
      <w:bookmarkEnd w:id="74"/>
      <w:r>
        <w:rPr>
          <w:color w:val="auto"/>
          <w:highlight w:val="none"/>
        </w:rPr>
      </w:r>
      <w:bookmarkEnd w:id="75"/>
      <w:r>
        <w:rPr>
          <w:color w:val="auto"/>
          <w:highlight w:val="none"/>
        </w:rPr>
      </w:r>
      <w:bookmarkEnd w:id="76"/>
      <w:r>
        <w:rPr>
          <w:color w:val="auto"/>
          <w:highlight w:val="none"/>
        </w:rPr>
      </w:r>
      <w:bookmarkEnd w:id="77"/>
      <w:r>
        <w:rPr>
          <w:color w:val="auto"/>
          <w:highlight w:val="none"/>
        </w:rPr>
      </w:r>
      <w:bookmarkEnd w:id="78"/>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一、</w:t>
      </w:r>
      <w:r>
        <w:rPr>
          <w:rFonts w:hint="eastAsia" w:ascii="宋体" w:hAnsi="宋体" w:eastAsia="宋体" w:cs="宋体"/>
          <w:b/>
          <w:bCs/>
          <w:i w:val="0"/>
          <w:iCs w:val="0"/>
          <w:color w:val="auto"/>
          <w:sz w:val="24"/>
          <w:szCs w:val="24"/>
          <w:highlight w:val="none"/>
          <w:u w:val="none"/>
        </w:rPr>
        <w:t xml:space="preserve">评标委员会构成</w:t>
      </w:r>
      <w:r>
        <w:rPr>
          <w:rFonts w:hint="eastAsia" w:ascii="宋体" w:hAnsi="宋体" w:eastAsia="宋体" w:cs="宋体"/>
          <w:b/>
          <w:i w:val="0"/>
          <w:iCs w:val="0"/>
          <w:color w:val="auto"/>
          <w:sz w:val="24"/>
          <w:szCs w:val="24"/>
          <w:highlight w:val="none"/>
          <w:u w:val="none"/>
        </w:rPr>
        <w:t xml:space="preserve">：</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本采购项目评标委员会的评委由采购人代表、相关专家组成。</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二、</w:t>
      </w:r>
      <w:r>
        <w:rPr>
          <w:rFonts w:hint="eastAsia" w:ascii="宋体" w:hAnsi="宋体" w:eastAsia="宋体" w:cs="宋体"/>
          <w:b/>
          <w:bCs/>
          <w:i w:val="0"/>
          <w:iCs w:val="0"/>
          <w:color w:val="auto"/>
          <w:sz w:val="24"/>
          <w:szCs w:val="24"/>
          <w:highlight w:val="none"/>
          <w:u w:val="none"/>
        </w:rPr>
        <w:t xml:space="preserve">评标方法</w:t>
      </w:r>
      <w:r>
        <w:rPr>
          <w:rFonts w:hint="eastAsia" w:ascii="宋体" w:hAnsi="宋体" w:eastAsia="宋体" w:cs="宋体"/>
          <w:b/>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rPr>
        <w:t xml:space="preserve"> </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本项目评标方法采用综合评分法。综合评分法，是指投标文件满足招标文件全部实质性要求，且按照评审因素的量化指标评审得分最高的投标人为中标候选人的评标方法。</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三、</w:t>
      </w:r>
      <w:r>
        <w:rPr>
          <w:rFonts w:hint="eastAsia" w:ascii="宋体" w:hAnsi="宋体" w:eastAsia="宋体" w:cs="宋体"/>
          <w:b/>
          <w:bCs/>
          <w:i w:val="0"/>
          <w:iCs w:val="0"/>
          <w:color w:val="auto"/>
          <w:sz w:val="24"/>
          <w:szCs w:val="24"/>
          <w:highlight w:val="none"/>
          <w:u w:val="none"/>
        </w:rPr>
        <w:t xml:space="preserve">评标原则</w:t>
      </w:r>
      <w:r>
        <w:rPr>
          <w:rFonts w:hint="eastAsia" w:ascii="宋体" w:hAnsi="宋体" w:eastAsia="宋体" w:cs="宋体"/>
          <w:b/>
          <w:i w:val="0"/>
          <w:iCs w:val="0"/>
          <w:color w:val="auto"/>
          <w:sz w:val="24"/>
          <w:szCs w:val="24"/>
          <w:highlight w:val="none"/>
          <w:u w:val="none"/>
        </w:rPr>
        <w:t xml:space="preserve">：</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color w:val="auto"/>
          <w:highlight w:val="none"/>
        </w:rPr>
      </w:r>
      <w:r/>
    </w:p>
    <w:p>
      <w:pPr>
        <w:ind w:left="0" w:right="0" w:firstLine="482"/>
        <w:keepLines w:val="0"/>
        <w:keepNext w:val="0"/>
        <w:pageBreakBefore w:val="0"/>
        <w:spacing w:line="360" w:lineRule="auto"/>
        <w:widowControl w:val="off"/>
        <w:rPr>
          <w:rFonts w:hint="eastAsia" w:ascii="宋体" w:hAnsi="宋体" w:eastAsia="宋体" w:cs="宋体"/>
          <w:b/>
          <w:bCs/>
          <w:i w:val="0"/>
          <w:iCs w:val="0"/>
          <w:color w:val="auto"/>
          <w:sz w:val="24"/>
          <w:highlight w:val="none"/>
          <w:u w:val="none"/>
        </w:rPr>
        <w:outlineLvl w:val="9"/>
      </w:pPr>
      <w:r>
        <w:rPr>
          <w:rFonts w:hint="eastAsia" w:ascii="宋体" w:hAnsi="宋体" w:eastAsia="宋体" w:cs="宋体"/>
          <w:b/>
          <w:bCs/>
          <w:i w:val="0"/>
          <w:iCs w:val="0"/>
          <w:color w:val="auto"/>
          <w:sz w:val="24"/>
          <w:highlight w:val="none"/>
          <w:u w:val="none"/>
        </w:rPr>
        <w:t xml:space="preserve">四、资格审查</w:t>
      </w:r>
      <w:r>
        <w:rPr>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t xml:space="preserve">本项目采用资格后审</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需按以下要求提供资格审查资料</w:t>
      </w:r>
      <w:r>
        <w:rPr>
          <w:rFonts w:hint="eastAsia" w:ascii="宋体" w:hAnsi="宋体" w:eastAsia="宋体" w:cs="宋体"/>
          <w:i w:val="0"/>
          <w:iCs w:val="0"/>
          <w:color w:val="auto"/>
          <w:sz w:val="24"/>
          <w:szCs w:val="24"/>
          <w:highlight w:val="none"/>
          <w:u w:val="none"/>
        </w:rPr>
        <w:t xml:space="preserve">：</w:t>
      </w:r>
      <w:r>
        <w:rPr>
          <w:color w:val="auto"/>
          <w:highlight w:val="none"/>
        </w:rPr>
      </w:r>
      <w:r/>
    </w:p>
    <w:tbl>
      <w:tblPr>
        <w:tblStyle w:val="795"/>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6098"/>
        <w:gridCol w:w="2125"/>
        <w:gridCol w:w="802"/>
      </w:tblGrid>
      <w:tr>
        <w:trPr>
          <w:jc w:val="center"/>
          <w:trHeight w:val="415"/>
        </w:trPr>
        <w:tc>
          <w:tcPr>
            <w:tcW w:w="36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序号</w:t>
            </w:r>
            <w:r>
              <w:rPr>
                <w:color w:val="auto"/>
                <w:highlight w:val="none"/>
              </w:rPr>
            </w:r>
            <w:r/>
          </w:p>
        </w:tc>
        <w:tc>
          <w:tcPr>
            <w:tcW w:w="313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资料名称</w:t>
            </w:r>
            <w:r>
              <w:rPr>
                <w:color w:val="auto"/>
                <w:highlight w:val="none"/>
              </w:rPr>
            </w:r>
            <w:r/>
          </w:p>
        </w:tc>
        <w:tc>
          <w:tcPr>
            <w:tcW w:w="109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提供方式</w:t>
            </w:r>
            <w:r>
              <w:rPr>
                <w:color w:val="auto"/>
                <w:highlight w:val="none"/>
              </w:rPr>
            </w:r>
            <w:r/>
          </w:p>
        </w:tc>
        <w:tc>
          <w:tcPr>
            <w:tcW w:w="41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备注</w:t>
            </w:r>
            <w:r>
              <w:rPr>
                <w:color w:val="auto"/>
                <w:highlight w:val="none"/>
              </w:rPr>
            </w:r>
            <w:r/>
          </w:p>
        </w:tc>
      </w:tr>
      <w:tr>
        <w:trPr>
          <w:jc w:val="center"/>
          <w:trHeight w:val="428"/>
        </w:trPr>
        <w:tc>
          <w:tcPr>
            <w:tcW w:w="36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1</w:t>
            </w:r>
            <w:r>
              <w:rPr>
                <w:color w:val="auto"/>
                <w:highlight w:val="none"/>
              </w:rPr>
            </w:r>
            <w:r/>
          </w:p>
        </w:tc>
        <w:tc>
          <w:tcPr>
            <w:tcW w:w="3134"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法人或者其他组织的营业执照</w:t>
            </w:r>
            <w:r>
              <w:rPr>
                <w:color w:val="auto"/>
                <w:highlight w:val="none"/>
              </w:rPr>
            </w:r>
            <w:r/>
          </w:p>
        </w:tc>
        <w:tc>
          <w:tcPr>
            <w:tcW w:w="109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提供原件扫描件</w:t>
            </w:r>
            <w:r>
              <w:rPr>
                <w:color w:val="auto"/>
                <w:highlight w:val="none"/>
              </w:rPr>
            </w:r>
            <w:r/>
          </w:p>
        </w:tc>
        <w:tc>
          <w:tcPr>
            <w:tcW w:w="41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r>
            <w:r>
              <w:rPr>
                <w:color w:val="auto"/>
                <w:highlight w:val="none"/>
              </w:rPr>
            </w:r>
            <w:r/>
          </w:p>
        </w:tc>
      </w:tr>
      <w:tr>
        <w:trPr>
          <w:jc w:val="center"/>
          <w:trHeight w:val="567"/>
        </w:trPr>
        <w:tc>
          <w:tcPr>
            <w:tcW w:w="36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2</w:t>
            </w:r>
            <w:r>
              <w:rPr>
                <w:color w:val="auto"/>
                <w:highlight w:val="none"/>
              </w:rPr>
            </w:r>
            <w:r/>
          </w:p>
        </w:tc>
        <w:tc>
          <w:tcPr>
            <w:tcW w:w="3134"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具有良好的商业信誉和健全的财务会计制度</w:t>
            </w:r>
            <w:r>
              <w:rPr>
                <w:color w:val="auto"/>
                <w:highlight w:val="none"/>
              </w:rPr>
            </w:r>
            <w:r/>
          </w:p>
        </w:tc>
        <w:tc>
          <w:tcPr>
            <w:tcW w:w="109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提供原件扫描件</w:t>
            </w:r>
            <w:r>
              <w:rPr>
                <w:rFonts w:hint="eastAsia" w:ascii="宋体" w:hAnsi="宋体" w:eastAsia="宋体" w:cs="宋体"/>
                <w:i w:val="0"/>
                <w:iCs w:val="0"/>
                <w:color w:val="auto"/>
                <w:sz w:val="24"/>
                <w:highlight w:val="none"/>
                <w:u w:val="none"/>
                <w:lang w:val="en-US" w:eastAsia="zh-CN"/>
              </w:rPr>
              <w:t xml:space="preserve">或承诺函</w:t>
            </w:r>
            <w:r>
              <w:rPr>
                <w:color w:val="auto"/>
                <w:highlight w:val="none"/>
              </w:rPr>
            </w:r>
            <w:r/>
          </w:p>
        </w:tc>
        <w:tc>
          <w:tcPr>
            <w:tcW w:w="41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r>
            <w:r>
              <w:rPr>
                <w:color w:val="auto"/>
                <w:highlight w:val="none"/>
              </w:rPr>
            </w:r>
            <w:r/>
          </w:p>
        </w:tc>
      </w:tr>
      <w:tr>
        <w:trPr>
          <w:jc w:val="center"/>
          <w:trHeight w:val="567"/>
        </w:trPr>
        <w:tc>
          <w:tcPr>
            <w:tcW w:w="36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3</w:t>
            </w:r>
            <w:r>
              <w:rPr>
                <w:color w:val="auto"/>
                <w:highlight w:val="none"/>
              </w:rPr>
            </w:r>
            <w:r/>
          </w:p>
        </w:tc>
        <w:tc>
          <w:tcPr>
            <w:tcW w:w="3134"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依法缴纳税收和社会保障资金的相关证明材料</w:t>
            </w:r>
            <w:r>
              <w:rPr>
                <w:color w:val="auto"/>
                <w:highlight w:val="none"/>
              </w:rPr>
            </w:r>
            <w:r/>
          </w:p>
        </w:tc>
        <w:tc>
          <w:tcPr>
            <w:tcW w:w="109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提供原件扫描件</w:t>
            </w:r>
            <w:r>
              <w:rPr>
                <w:rFonts w:hint="eastAsia" w:ascii="宋体" w:hAnsi="宋体" w:eastAsia="宋体" w:cs="宋体"/>
                <w:i w:val="0"/>
                <w:iCs w:val="0"/>
                <w:color w:val="auto"/>
                <w:sz w:val="24"/>
                <w:highlight w:val="none"/>
                <w:u w:val="none"/>
                <w:lang w:val="en-US" w:eastAsia="zh-CN"/>
              </w:rPr>
              <w:t xml:space="preserve">或承诺函</w:t>
            </w:r>
            <w:r>
              <w:rPr>
                <w:color w:val="auto"/>
                <w:highlight w:val="none"/>
              </w:rPr>
            </w:r>
            <w:r/>
          </w:p>
        </w:tc>
        <w:tc>
          <w:tcPr>
            <w:tcW w:w="41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r>
            <w:r>
              <w:rPr>
                <w:color w:val="auto"/>
                <w:highlight w:val="none"/>
              </w:rPr>
            </w:r>
            <w:r/>
          </w:p>
        </w:tc>
      </w:tr>
      <w:tr>
        <w:trPr>
          <w:jc w:val="center"/>
          <w:trHeight w:val="449"/>
        </w:trPr>
        <w:tc>
          <w:tcPr>
            <w:tcW w:w="36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4</w:t>
            </w:r>
            <w:r>
              <w:rPr>
                <w:color w:val="auto"/>
                <w:highlight w:val="none"/>
              </w:rPr>
            </w:r>
            <w:r/>
          </w:p>
        </w:tc>
        <w:tc>
          <w:tcPr>
            <w:tcW w:w="3134"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具备履行合同所必需的设备和专业技术能力的声明及证明材料</w:t>
            </w:r>
            <w:r>
              <w:rPr>
                <w:color w:val="auto"/>
                <w:highlight w:val="none"/>
              </w:rPr>
            </w:r>
            <w:r/>
          </w:p>
        </w:tc>
        <w:tc>
          <w:tcPr>
            <w:tcW w:w="109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提供声明及证明材料</w:t>
            </w:r>
            <w:r>
              <w:rPr>
                <w:color w:val="auto"/>
                <w:highlight w:val="none"/>
              </w:rPr>
            </w:r>
            <w:r/>
          </w:p>
        </w:tc>
        <w:tc>
          <w:tcPr>
            <w:tcW w:w="41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r>
            <w:r>
              <w:rPr>
                <w:color w:val="auto"/>
                <w:highlight w:val="none"/>
              </w:rPr>
            </w:r>
            <w:r/>
          </w:p>
        </w:tc>
      </w:tr>
      <w:tr>
        <w:trPr>
          <w:jc w:val="center"/>
          <w:trHeight w:val="471"/>
        </w:trPr>
        <w:tc>
          <w:tcPr>
            <w:tcW w:w="36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5</w:t>
            </w:r>
            <w:r>
              <w:rPr>
                <w:color w:val="auto"/>
                <w:highlight w:val="none"/>
              </w:rPr>
            </w:r>
            <w:r/>
          </w:p>
        </w:tc>
        <w:tc>
          <w:tcPr>
            <w:tcW w:w="3134"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参加政府采购活动前三年内在经营活动中没有重大违法记录的书面声明</w:t>
            </w:r>
            <w:r>
              <w:rPr>
                <w:color w:val="auto"/>
                <w:highlight w:val="none"/>
              </w:rPr>
            </w:r>
            <w:r/>
          </w:p>
        </w:tc>
        <w:tc>
          <w:tcPr>
            <w:tcW w:w="109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提供书面声明</w:t>
            </w:r>
            <w:r>
              <w:rPr>
                <w:color w:val="auto"/>
                <w:highlight w:val="none"/>
              </w:rPr>
            </w:r>
            <w:r/>
          </w:p>
        </w:tc>
        <w:tc>
          <w:tcPr>
            <w:tcW w:w="41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r>
            <w:r>
              <w:rPr>
                <w:color w:val="auto"/>
                <w:highlight w:val="none"/>
              </w:rPr>
            </w:r>
            <w:r/>
          </w:p>
        </w:tc>
      </w:tr>
      <w:tr>
        <w:trPr>
          <w:jc w:val="center"/>
          <w:trHeight w:val="471"/>
        </w:trPr>
        <w:tc>
          <w:tcPr>
            <w:tcW w:w="36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lang w:val="en-US" w:eastAsia="zh-CN"/>
              </w:rPr>
              <w:t xml:space="preserve">6</w:t>
            </w:r>
            <w:r>
              <w:rPr>
                <w:color w:val="auto"/>
                <w:highlight w:val="none"/>
              </w:rPr>
            </w:r>
            <w:r/>
          </w:p>
        </w:tc>
        <w:tc>
          <w:tcPr>
            <w:tcW w:w="3134"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szCs w:val="22"/>
                <w:highlight w:val="none"/>
                <w:u w:val="none"/>
              </w:rPr>
              <w:outlineLvl w:val="9"/>
            </w:pPr>
            <w:r>
              <w:rPr>
                <w:rFonts w:hint="eastAsia" w:ascii="宋体" w:hAnsi="宋体" w:eastAsia="宋体" w:cs="宋体"/>
                <w:i w:val="0"/>
                <w:iCs w:val="0"/>
                <w:color w:val="auto"/>
                <w:sz w:val="24"/>
                <w:szCs w:val="22"/>
                <w:highlight w:val="none"/>
                <w:u w:val="none"/>
                <w:lang w:val="en-US" w:eastAsia="zh-CN" w:bidi="ar-SA"/>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color w:val="auto"/>
                <w:highlight w:val="none"/>
              </w:rPr>
            </w:r>
            <w:r/>
          </w:p>
        </w:tc>
        <w:tc>
          <w:tcPr>
            <w:tcW w:w="109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lang w:val="en-US" w:eastAsia="zh-CN"/>
              </w:rPr>
              <w:t xml:space="preserve">投标</w:t>
            </w:r>
            <w:r>
              <w:rPr>
                <w:rFonts w:hint="eastAsia" w:ascii="宋体" w:hAnsi="宋体" w:eastAsia="宋体" w:cs="宋体"/>
                <w:i w:val="0"/>
                <w:iCs w:val="0"/>
                <w:color w:val="auto"/>
                <w:sz w:val="24"/>
                <w:highlight w:val="none"/>
                <w:u w:val="none"/>
              </w:rPr>
              <w:t xml:space="preserve">文件中无需提供证明材料</w:t>
            </w:r>
            <w:r>
              <w:rPr>
                <w:color w:val="auto"/>
                <w:highlight w:val="none"/>
              </w:rPr>
            </w:r>
            <w:r/>
          </w:p>
        </w:tc>
        <w:tc>
          <w:tcPr>
            <w:tcW w:w="41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r>
            <w:r>
              <w:rPr>
                <w:color w:val="auto"/>
                <w:highlight w:val="none"/>
              </w:rPr>
            </w:r>
            <w:r/>
          </w:p>
        </w:tc>
      </w:tr>
      <w:tr>
        <w:trPr>
          <w:jc w:val="center"/>
          <w:trHeight w:val="440"/>
        </w:trPr>
        <w:tc>
          <w:tcPr>
            <w:tcW w:w="362"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lang w:val="en-US" w:eastAsia="zh-CN"/>
              </w:rPr>
              <w:t xml:space="preserve">7</w:t>
            </w:r>
            <w:r>
              <w:rPr>
                <w:color w:val="auto"/>
                <w:highlight w:val="none"/>
              </w:rPr>
            </w:r>
            <w:r/>
          </w:p>
        </w:tc>
        <w:tc>
          <w:tcPr>
            <w:tcW w:w="3134"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szCs w:val="22"/>
                <w:highlight w:val="none"/>
                <w:u w:val="none"/>
              </w:rPr>
              <w:outlineLvl w:val="9"/>
            </w:pPr>
            <w:r>
              <w:rPr>
                <w:rFonts w:hint="eastAsia" w:ascii="宋体" w:hAnsi="宋体" w:eastAsia="宋体" w:cs="宋体"/>
                <w:i w:val="0"/>
                <w:iCs w:val="0"/>
                <w:color w:val="auto"/>
                <w:sz w:val="24"/>
                <w:highlight w:val="none"/>
                <w:u w:val="none"/>
              </w:rPr>
              <w:t xml:space="preserve">法人授权委托书、授权代理人身份证（授权委托人参加提供）</w:t>
            </w:r>
            <w:r>
              <w:rPr>
                <w:color w:val="auto"/>
                <w:highlight w:val="none"/>
              </w:rPr>
            </w:r>
            <w:r/>
          </w:p>
        </w:tc>
        <w:tc>
          <w:tcPr>
            <w:tcW w:w="1092"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t xml:space="preserve">提供原件扫描件</w:t>
            </w:r>
            <w:r>
              <w:rPr>
                <w:color w:val="auto"/>
                <w:highlight w:val="none"/>
              </w:rPr>
            </w:r>
            <w:r/>
          </w:p>
        </w:tc>
        <w:tc>
          <w:tcPr>
            <w:tcW w:w="41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i w:val="0"/>
                <w:iCs w:val="0"/>
                <w:color w:val="auto"/>
                <w:sz w:val="24"/>
                <w:highlight w:val="none"/>
                <w:u w:val="none"/>
              </w:rPr>
            </w:r>
            <w:r>
              <w:rPr>
                <w:color w:val="auto"/>
                <w:highlight w:val="none"/>
              </w:rPr>
            </w:r>
            <w:r/>
          </w:p>
        </w:tc>
      </w:tr>
      <w:tr>
        <w:trPr>
          <w:jc w:val="center"/>
          <w:trHeight w:val="440"/>
        </w:trPr>
        <w:tc>
          <w:tcPr>
            <w:gridSpan w:val="4"/>
            <w:tcW w:w="5000"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i w:val="0"/>
                <w:iCs w:val="0"/>
                <w:color w:val="auto"/>
                <w:sz w:val="24"/>
                <w:highlight w:val="none"/>
                <w:u w:val="none"/>
              </w:rPr>
              <w:outlineLvl w:val="9"/>
            </w:pPr>
            <w:r>
              <w:rPr>
                <w:rFonts w:hint="eastAsia" w:ascii="宋体" w:hAnsi="宋体" w:eastAsia="宋体" w:cs="宋体"/>
                <w:b/>
                <w:i w:val="0"/>
                <w:iCs w:val="0"/>
                <w:color w:val="auto"/>
                <w:sz w:val="24"/>
                <w:highlight w:val="none"/>
                <w:u w:val="none"/>
              </w:rPr>
              <w:t xml:space="preserve">注：根据连财购〔2023〕4号文件精神，第（2）、（3）项可以提供《财务状况报告及税收、社会保障资金缴纳情况承诺函》，未按上述要求上传不全者，则资格审查视为不合格。</w:t>
            </w:r>
            <w:r>
              <w:rPr>
                <w:color w:val="auto"/>
                <w:highlight w:val="none"/>
              </w:rPr>
            </w:r>
            <w:r/>
          </w:p>
        </w:tc>
      </w:tr>
    </w:tbl>
    <w:p>
      <w:pPr>
        <w:ind w:left="0" w:right="0" w:firstLine="48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outlineLvl w:val="9"/>
      </w:pPr>
      <w:r>
        <w:rPr>
          <w:rFonts w:hint="eastAsia" w:ascii="宋体" w:hAnsi="宋体" w:eastAsia="宋体" w:cs="宋体"/>
          <w:b/>
          <w:i w:val="0"/>
          <w:iCs w:val="0"/>
          <w:color w:val="auto"/>
          <w:sz w:val="24"/>
          <w:szCs w:val="24"/>
          <w:highlight w:val="none"/>
          <w:u w:val="none"/>
        </w:rPr>
        <w:t xml:space="preserve">五、</w:t>
      </w:r>
      <w:r>
        <w:rPr>
          <w:rFonts w:hint="eastAsia" w:ascii="宋体" w:hAnsi="宋体" w:eastAsia="宋体" w:cs="宋体"/>
          <w:b/>
          <w:bCs/>
          <w:i w:val="0"/>
          <w:iCs w:val="0"/>
          <w:color w:val="auto"/>
          <w:sz w:val="24"/>
          <w:szCs w:val="24"/>
          <w:highlight w:val="none"/>
          <w:u w:val="none"/>
        </w:rPr>
        <w:t xml:space="preserve">评标标准</w:t>
      </w:r>
      <w:r>
        <w:rPr>
          <w:rFonts w:hint="eastAsia" w:ascii="宋体" w:hAnsi="宋体" w:eastAsia="宋体" w:cs="宋体"/>
          <w:b/>
          <w:i w:val="0"/>
          <w:iCs w:val="0"/>
          <w:color w:val="auto"/>
          <w:sz w:val="24"/>
          <w:szCs w:val="24"/>
          <w:highlight w:val="none"/>
          <w:u w:val="none"/>
        </w:rPr>
        <w:t xml:space="preserve">：</w:t>
      </w:r>
      <w:bookmarkEnd w:id="66"/>
      <w:r>
        <w:rPr>
          <w:color w:val="auto"/>
          <w:highlight w:val="none"/>
        </w:rPr>
      </w:r>
      <w:bookmarkEnd w:id="67"/>
      <w:r>
        <w:rPr>
          <w:color w:val="auto"/>
          <w:highlight w:val="none"/>
        </w:rPr>
      </w:r>
      <w:r/>
    </w:p>
    <w:p>
      <w:pPr>
        <w:pStyle w:val="805"/>
        <w:ind w:left="0" w:right="0" w:firstLine="480"/>
        <w:jc w:val="both"/>
        <w:keepLines w:val="0"/>
        <w:keepNext w:val="0"/>
        <w:pageBreakBefore w:val="0"/>
        <w:spacing w:after="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（一）评标时，评标委员会以招标文件为评标依据，评标委员会各成员独立对每个投标人的投</w:t>
      </w:r>
      <w:r>
        <w:rPr>
          <w:rFonts w:hint="eastAsia" w:ascii="宋体" w:hAnsi="宋体" w:eastAsia="宋体" w:cs="宋体"/>
          <w:bCs/>
          <w:color w:val="auto"/>
          <w:sz w:val="24"/>
          <w:szCs w:val="24"/>
          <w:highlight w:val="none"/>
        </w:rPr>
        <w:t xml:space="preserve">标文件进行评价，并汇总每个投标人的得分。</w:t>
      </w:r>
      <w:r>
        <w:rPr>
          <w:color w:val="auto"/>
          <w:highlight w:val="none"/>
        </w:rPr>
      </w:r>
      <w:r/>
    </w:p>
    <w:p>
      <w:pPr>
        <w:pStyle w:val="805"/>
        <w:ind w:left="0" w:right="0" w:firstLine="480"/>
        <w:jc w:val="both"/>
        <w:keepLines w:val="0"/>
        <w:keepNext w:val="0"/>
        <w:pageBreakBefore w:val="0"/>
        <w:spacing w:after="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（二）本项目评分总分为100分，按四舍五入取至小数点后两位。</w:t>
      </w:r>
      <w:r>
        <w:rPr>
          <w:color w:val="auto"/>
          <w:highlight w:val="none"/>
        </w:rPr>
      </w:r>
      <w:r/>
    </w:p>
    <w:p>
      <w:pPr>
        <w:pStyle w:val="805"/>
        <w:ind w:left="0" w:right="0" w:firstLine="480"/>
        <w:jc w:val="both"/>
        <w:keepLines w:val="0"/>
        <w:keepNext w:val="0"/>
        <w:pageBreakBefore w:val="0"/>
        <w:spacing w:after="0" w:line="360" w:lineRule="auto"/>
        <w:widowControl w:val="off"/>
        <w:rPr>
          <w:rFonts w:hint="default"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（三）总得分=价格分+技术分</w:t>
      </w:r>
      <w:r>
        <w:rPr>
          <w:rFonts w:hint="eastAsia" w:ascii="宋体" w:hAnsi="宋体" w:eastAsia="宋体" w:cs="宋体"/>
          <w:bCs/>
          <w:color w:val="auto"/>
          <w:sz w:val="24"/>
          <w:szCs w:val="24"/>
          <w:highlight w:val="none"/>
          <w:lang w:val="en-US" w:eastAsia="zh-CN"/>
        </w:rPr>
        <w:t xml:space="preserve">+商务分</w:t>
      </w:r>
      <w:r>
        <w:rPr>
          <w:color w:val="auto"/>
          <w:highlight w:val="none"/>
        </w:rPr>
      </w:r>
      <w:r/>
    </w:p>
    <w:p>
      <w:pPr>
        <w:pStyle w:val="805"/>
        <w:ind w:left="0" w:right="0" w:firstLine="480"/>
        <w:jc w:val="both"/>
        <w:keepLines w:val="0"/>
        <w:keepNext w:val="0"/>
        <w:pageBreakBefore w:val="0"/>
        <w:spacing w:after="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i w:val="0"/>
          <w:iCs w:val="0"/>
          <w:color w:val="auto"/>
          <w:sz w:val="24"/>
          <w:szCs w:val="24"/>
          <w:highlight w:val="none"/>
          <w:u w:val="none"/>
        </w:rPr>
        <w:t xml:space="preserve">。</w:t>
      </w:r>
      <w:r>
        <w:rPr>
          <w:color w:val="auto"/>
          <w:highlight w:val="none"/>
        </w:rPr>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724"/>
        <w:gridCol w:w="7904"/>
      </w:tblGrid>
      <w:tr>
        <w:trPr>
          <w:jc w:val="center"/>
          <w:trHeight w:val="486"/>
        </w:trPr>
        <w:tc>
          <w:tcPr>
            <w:gridSpan w:val="3"/>
            <w:tcW w:w="50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评分标准</w:t>
            </w:r>
            <w:r>
              <w:rPr>
                <w:color w:val="auto"/>
                <w:highlight w:val="none"/>
              </w:rPr>
            </w:r>
            <w:r/>
          </w:p>
        </w:tc>
      </w:tr>
      <w:tr>
        <w:trPr>
          <w:jc w:val="center"/>
          <w:trHeight w:val="90"/>
        </w:trPr>
        <w:tc>
          <w:tcPr>
            <w:gridSpan w:val="2"/>
            <w:tcW w:w="9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分值构成</w:t>
            </w:r>
            <w:r>
              <w:rPr>
                <w:color w:val="auto"/>
                <w:highlight w:val="none"/>
              </w:rPr>
            </w:r>
            <w:r/>
          </w:p>
          <w:p>
            <w:pPr>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(总分100分)</w:t>
            </w:r>
            <w:r>
              <w:rPr>
                <w:color w:val="auto"/>
                <w:highlight w:val="none"/>
              </w:rPr>
            </w:r>
            <w:r/>
          </w:p>
        </w:tc>
        <w:tc>
          <w:tcPr>
            <w:tcW w:w="405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报价部分：</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    技术部分：</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分    商务部分：</w:t>
            </w:r>
            <w:r>
              <w:rPr>
                <w:rFonts w:hint="eastAsia" w:ascii="宋体" w:hAnsi="宋体" w:eastAsia="宋体" w:cs="宋体"/>
                <w:color w:val="auto"/>
                <w:szCs w:val="21"/>
                <w:highlight w:val="none"/>
                <w:lang w:val="en-US" w:eastAsia="zh-CN"/>
              </w:rPr>
              <w:t xml:space="preserve">45</w:t>
            </w:r>
            <w:r>
              <w:rPr>
                <w:rFonts w:hint="eastAsia" w:ascii="宋体" w:hAnsi="宋体" w:eastAsia="宋体" w:cs="宋体"/>
                <w:color w:val="auto"/>
                <w:szCs w:val="21"/>
                <w:highlight w:val="none"/>
              </w:rPr>
              <w:t xml:space="preserve">分</w:t>
            </w:r>
            <w:r>
              <w:rPr>
                <w:color w:val="auto"/>
                <w:highlight w:val="none"/>
              </w:rPr>
            </w:r>
            <w:r/>
          </w:p>
        </w:tc>
      </w:tr>
      <w:tr>
        <w:trPr>
          <w:jc w:val="center"/>
          <w:trHeight w:val="751"/>
        </w:trPr>
        <w:tc>
          <w:tcPr>
            <w:tcW w:w="56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报价评分</w:t>
            </w:r>
            <w:r>
              <w:rPr>
                <w:color w:val="auto"/>
                <w:highlight w:val="none"/>
              </w:rPr>
            </w:r>
            <w:r/>
          </w:p>
        </w:tc>
        <w:tc>
          <w:tcPr>
            <w:tcW w:w="3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w:t>
            </w:r>
            <w:r>
              <w:rPr>
                <w:color w:val="auto"/>
                <w:highlight w:val="none"/>
              </w:rPr>
            </w:r>
            <w:r/>
          </w:p>
        </w:tc>
        <w:tc>
          <w:tcPr>
            <w:tcW w:w="4058" w:type="pct"/>
            <w:vAlign w:val="center"/>
            <w:textDirection w:val="lrTb"/>
            <w:noWrap w:val="false"/>
          </w:tcPr>
          <w:p>
            <w:pPr>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价格分统一采用低价优先法计算，即满足招标文件要求且投标价格最低的投标报价为评标基准价，其价格分为满分。其他投标人的价格分统一按照下列公式计算：</w:t>
            </w:r>
            <w:r>
              <w:rPr>
                <w:color w:val="auto"/>
                <w:highlight w:val="none"/>
              </w:rPr>
            </w:r>
            <w:r/>
          </w:p>
          <w:p>
            <w:pPr>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投标报价得分=（评标基准价/投标报价）×</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评标过程中，不得去掉报价中的最高报价和最低报价。</w:t>
            </w:r>
            <w:r>
              <w:rPr>
                <w:color w:val="auto"/>
                <w:highlight w:val="none"/>
              </w:rPr>
            </w:r>
            <w:r/>
          </w:p>
        </w:tc>
      </w:tr>
      <w:tr>
        <w:trPr>
          <w:jc w:val="center"/>
          <w:trHeight w:val="484"/>
        </w:trPr>
        <w:tc>
          <w:tcPr>
            <w:gridSpan w:val="3"/>
            <w:tcW w:w="50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技术部分</w:t>
            </w:r>
            <w:r>
              <w:rPr>
                <w:color w:val="auto"/>
                <w:highlight w:val="none"/>
              </w:rPr>
            </w:r>
            <w:r/>
          </w:p>
        </w:tc>
      </w:tr>
      <w:tr>
        <w:trPr>
          <w:jc w:val="center"/>
          <w:trHeight w:val="90"/>
        </w:trPr>
        <w:tc>
          <w:tcPr>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需求分析方案</w:t>
            </w:r>
            <w:r>
              <w:rPr>
                <w:color w:val="auto"/>
                <w:highlight w:val="none"/>
              </w:rPr>
            </w:r>
            <w:r/>
          </w:p>
        </w:tc>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color w:val="auto"/>
                <w:highlight w:val="none"/>
              </w:rPr>
            </w:r>
            <w:r/>
          </w:p>
        </w:tc>
        <w:tc>
          <w:tcPr>
            <w:tcW w:w="790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投标人提供需求分析方案。内容至少包含但不限于结合本地侦查研判类数据支撑平台服务建设现状阐述，对本项目需求及系统的技术、部署有深入的分析研究。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（1）本地现状分析（1.5分）：方案明确阐述连云港市公安局现有侦查研判类数据支撑平台的建设现状、已部署系统类型及使用情况，得1.5分；仅作一般性描述的得0.5分；未阐述的不得分。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（2）项目需求理解（1.5分）：方案准确识别本项目16项数据服务的核心业务需求，逐项说明各项服务的应用场景和业务价值，得1.5分；仅</w:t>
            </w:r>
            <w:bookmarkStart w:id="79" w:name="_GoBack"/>
            <w:r>
              <w:rPr>
                <w:color w:val="auto"/>
                <w:highlight w:val="none"/>
              </w:rPr>
            </w:r>
            <w:bookmarkEnd w:id="79"/>
            <w:r>
              <w:rPr>
                <w:rFonts w:hint="eastAsia" w:ascii="宋体" w:hAnsi="宋体" w:eastAsia="宋体" w:cs="宋体"/>
                <w:color w:val="auto"/>
                <w:szCs w:val="21"/>
                <w:highlight w:val="none"/>
              </w:rPr>
              <w:t xml:space="preserve">部分说明的得0.5分；未阐述的不得分。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（3）技术架构分析（1.5分）：方案对数据服务的技术架构（含SaaS部署模式、VPN接入方式、数据传输安全机制等）进行具体分析，提出至少3项技术要点，得1.5分；仅作一般性描述的得0.5分；未阐述的不得分。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（4）部署实施方案（1.5分）：方案明确账号开通、环境配置、上线调试的具体实施步骤和时间节点（须与招标文件3个工作日要求一致），得1.5分；仅作一般性描述的得0.5分；未阐述的不得分。</w:t>
            </w:r>
            <w:r>
              <w:rPr>
                <w:color w:val="auto"/>
                <w:highlight w:val="none"/>
              </w:rPr>
            </w:r>
            <w:r/>
          </w:p>
        </w:tc>
      </w:tr>
      <w:tr>
        <w:trPr>
          <w:jc w:val="center"/>
          <w:trHeight w:val="484"/>
        </w:trPr>
        <w:tc>
          <w:tcPr>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项目实施方案</w:t>
            </w:r>
            <w:r>
              <w:rPr>
                <w:color w:val="auto"/>
                <w:highlight w:val="none"/>
              </w:rPr>
            </w:r>
            <w:r/>
          </w:p>
        </w:tc>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color w:val="auto"/>
                <w:highlight w:val="none"/>
              </w:rPr>
            </w:r>
            <w:r/>
          </w:p>
        </w:tc>
        <w:tc>
          <w:tcPr>
            <w:tcW w:w="790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投标人提供实施方案。内容包含但不限于组织架构、各项管理制度、工作计划进度安排、人员工作职责、技术保障措施等。</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（1）组织架构（1.2分）：方案明确项目组织架构，设置项目负责人、技术保障人员、培训服务人员等具体岗位，明确各岗位人数及职责分工，得1.2分；岗位设置不完整的得0.4分；未阐述的不得分。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（2）管理制度（1.2分）：方案制定至少3项项目管理制度（如考勤管理制度、保密管理制度、服务响应制度等），每项制度明确管理流程和责任主体，得1.2分；制度少于3项的得0.4分；未阐述的不得分。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进度计划（1.2分）：方案制定详细的项目进度计划表，明确账号开通（3个工作日内）、试运行（10个日历日）、初验、服务期运维等关键里程碑节点及对应完成时间，得1.2分；进度计划不完整的得0.4分；未阐述的不得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（4）人员职责（1.2分）：方案明确项目负责人、技术保障人员等各岗位的具体工作职责，每项职责描述具体可考核，得1.2分；职责描述笼统的得0.4分；未阐述的不得分。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（5）技术保障（1.2分）：方案制定至少3项技术保障措施（如7×24小时技术支持、故障分级响应机制、定期巡检制度等），每项措施明确响应时间和处理流程，得1.2分；措施少于3项的得0.4分；未阐述的不得分。</w:t>
            </w:r>
            <w:r>
              <w:rPr>
                <w:color w:val="auto"/>
                <w:highlight w:val="none"/>
              </w:rPr>
            </w:r>
            <w:r/>
          </w:p>
        </w:tc>
      </w:tr>
      <w:tr>
        <w:trPr>
          <w:jc w:val="center"/>
          <w:trHeight w:val="484"/>
        </w:trPr>
        <w:tc>
          <w:tcPr>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重难点分析及质量保证措施</w:t>
            </w:r>
            <w:r>
              <w:rPr>
                <w:color w:val="auto"/>
                <w:highlight w:val="none"/>
              </w:rPr>
            </w:r>
            <w:r/>
          </w:p>
        </w:tc>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color w:val="auto"/>
                <w:highlight w:val="none"/>
              </w:rPr>
            </w:r>
            <w:r/>
          </w:p>
        </w:tc>
        <w:tc>
          <w:tcPr>
            <w:tcW w:w="790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投标人提供重难点分析及质量保证措施。内容包含但不限于数据服务中重难点分析、关键技术应用以及质量保证措施、工作预期目标等内容。</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重难点分析（1.5分）：方案识别本项目至少3项重点或难点问题（如多源数据融合查询、数据安全与隐私保护、7×24小时服务连续性保障等），逐项分析问题成因及影响，得1.5分；重难点少于3项的得0.5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关键技术应用（1.5分）：方案针对上述重难点提出至少3项关键技术或解决方案（如数据加密传输技术、多平台统一身份认证技术、故障自动切换技术等），每项技术说明具体实现方式，得1.5分；技术方案少于3项的得0.5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量保证措施（1.5分）：方案制定至少3项质量保证措施（如数据准确率≥99%、系统可用率≥99.9%、故障响应时间≤1小时等量化指标），每项措施明确考核标准和检查方式，得1.5分；措施少于3项或未量化的得0.5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（4）工作预期目标（1.5分）：方案明确项目实施的预期目标，包括服务开通时效、系统稳定性指标、用户满意度目标等至少3项可量化目标，得1.5分；目标未量化或少于3项的得0.5分；未阐述的不得分。</w:t>
            </w:r>
            <w:r>
              <w:rPr>
                <w:color w:val="auto"/>
                <w:highlight w:val="none"/>
              </w:rPr>
            </w:r>
            <w:r/>
          </w:p>
        </w:tc>
      </w:tr>
      <w:tr>
        <w:trPr>
          <w:jc w:val="center"/>
          <w:trHeight w:val="484"/>
        </w:trPr>
        <w:tc>
          <w:tcPr>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服务方案</w:t>
            </w:r>
            <w:r>
              <w:rPr>
                <w:color w:val="auto"/>
                <w:highlight w:val="none"/>
              </w:rPr>
            </w:r>
            <w:r/>
          </w:p>
        </w:tc>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6分</w:t>
            </w:r>
            <w:r>
              <w:rPr>
                <w:color w:val="auto"/>
                <w:highlight w:val="none"/>
              </w:rPr>
            </w:r>
            <w:r/>
          </w:p>
        </w:tc>
        <w:tc>
          <w:tcPr>
            <w:tcW w:w="790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投标人提供服务方案。内容包括但不限于服务内容、服务措施、文档资料管理、信息安全及其它风险控制措施等内容。</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（1）服务内容（1.5分）：方案逐项列出16项数据服务的具体服务内容，明确每项服务的账号数量、查询权限、服务周期等要素，得1.5分；服务内容不完整的得0.5分；未阐述的不得分。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服务措施（1.5分）：方案制定至少3项具体服务措施（如7×24小时技术支持热线、定期上门巡检服务、季度服务质量报告等），每项措施明确服务频次和响应标准，得1.5分；措施少于3项的得0.5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文档资料管理（1.5分）：方案制定文档资料管理制度，明确项目过程文档（如运维记录、故障处理报告、培训记录、查询日志等）的分类标准、归档流程和保存期限（不少于1年），得1.5分；制度不完整的得0.5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信息安全及风险控制（1.5分）：方案制定至少3项信息安全及风险控制措施（如数据传输加密、访问权限分级管理、操作日志全量审计、数据泄露应急预案等），每项措施明确具体执行方式，得1.5分；措施少于3项的得0.5分；未阐述的不得分。</w:t>
            </w:r>
            <w:r>
              <w:rPr>
                <w:color w:val="auto"/>
                <w:highlight w:val="none"/>
              </w:rPr>
            </w:r>
            <w:r/>
          </w:p>
        </w:tc>
      </w:tr>
      <w:tr>
        <w:trPr>
          <w:jc w:val="center"/>
          <w:trHeight w:val="484"/>
        </w:trPr>
        <w:tc>
          <w:tcPr>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培训方案</w:t>
            </w:r>
            <w:r>
              <w:rPr>
                <w:color w:val="auto"/>
                <w:highlight w:val="none"/>
              </w:rPr>
            </w:r>
            <w:r/>
          </w:p>
        </w:tc>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6分</w:t>
            </w:r>
            <w:r>
              <w:rPr>
                <w:color w:val="auto"/>
                <w:highlight w:val="none"/>
              </w:rPr>
            </w:r>
            <w:r/>
          </w:p>
        </w:tc>
        <w:tc>
          <w:tcPr>
            <w:tcW w:w="790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投标人提供培训方案。方案包括但不限于培训对象与内容、培训目标、培训地点、课时安排等内容。</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（1）培训对象（1.2分）：方案明确培训对象范围，涵盖具有审批权限的领导、系统使用人员、系统管理人员等3类人员，每类人员说明培训重点，得1.2分；培训对象不完整的得0.4分；未阐述的不得分。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培训内容（1.2分）：方案针对不同培训对象制定差异化培训课程，至少包含系统功能操作、审批流程、日常维护管理、常见故障处理等4个模块，每个模块说明具体培训内容，得1.2分；培训模块少于4个的得0.4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（3）培训目标（1.2分）：方案明确培训目标，包括参训人员考核通过率（如≥90%）、独立操作能力达标率等至少2项可量化目标，得1.2分；目标未量化的得0.4分；未阐述的不得分。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（4）培训地点及方式（1.2分）：方案明确培训地点（采购人指定地点）和培训方式（集中培训与现场培训相结合），说明每种方式的适用场景和组织方式，得1.2分；描述不完整的得0.4分；未阐述的不得分。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课时安排（1.2分）：方案制定详细的课时安排表，明确培训总次数（不少于2次）、每次培训时长（不少于4课时）、每次培训人数（不少于2人）及具体时间安排，得1.2分；课时安排不完整的得0.4分；未阐述的不得分。</w:t>
            </w:r>
            <w:r>
              <w:rPr>
                <w:color w:val="auto"/>
                <w:highlight w:val="none"/>
              </w:rPr>
            </w:r>
            <w:r/>
          </w:p>
        </w:tc>
      </w:tr>
      <w:tr>
        <w:trPr>
          <w:jc w:val="center"/>
          <w:trHeight w:val="484"/>
        </w:trPr>
        <w:tc>
          <w:tcPr>
            <w:tcW w:w="110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合理化建议</w:t>
            </w:r>
            <w:r>
              <w:rPr>
                <w:color w:val="auto"/>
                <w:highlight w:val="none"/>
              </w:rPr>
            </w:r>
            <w:r/>
          </w:p>
        </w:tc>
        <w:tc>
          <w:tcPr>
            <w:tcW w:w="72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5分</w:t>
            </w:r>
            <w:r>
              <w:rPr>
                <w:color w:val="auto"/>
                <w:highlight w:val="none"/>
              </w:rPr>
            </w:r>
            <w:r/>
          </w:p>
        </w:tc>
        <w:tc>
          <w:tcPr>
            <w:tcW w:w="790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投标人充分理解项目实施要求及难点，提出合理化建议。</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（1）建议针对性（2分）：建议须针对本项目特定技术难点或管理流程提出优化方案，提出至少2条针对性建议，每条建议说明针对的具体问题，得2分；建议仅1条或针对性不强的得0.5分；未阐述的不得分。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（2）建议完整性（2分）：每条建议须包含问题描述、实施方案、预期效益、成本影响等4个要素，要素完整的每条得1分，最高得2分；要素不完整的每条得0.3分；未阐述的不得分。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（3）建议可行性（1分）：建议在现有技术条件和项目预算范围内可实施，评标委员会依据建议的技术成熟度、实施周期和资源需求进行客观评判，可行性高的得1分，可行性一般的得0.3分，不可行的不得分。</w:t>
            </w:r>
            <w:r>
              <w:rPr>
                <w:color w:val="auto"/>
                <w:highlight w:val="none"/>
              </w:rPr>
            </w:r>
            <w:r/>
          </w:p>
        </w:tc>
      </w:tr>
      <w:tr>
        <w:trPr>
          <w:jc w:val="center"/>
          <w:trHeight w:val="547"/>
        </w:trPr>
        <w:tc>
          <w:tcPr>
            <w:gridSpan w:val="3"/>
            <w:tcW w:w="50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商务部分</w:t>
            </w:r>
            <w:r>
              <w:rPr>
                <w:color w:val="auto"/>
                <w:highlight w:val="none"/>
              </w:rPr>
            </w:r>
            <w:r/>
          </w:p>
        </w:tc>
      </w:tr>
      <w:tr>
        <w:trPr>
          <w:jc w:val="center"/>
          <w:trHeight w:val="90"/>
        </w:trPr>
        <w:tc>
          <w:tcPr>
            <w:tcW w:w="56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企业实力</w:t>
            </w:r>
            <w:r>
              <w:rPr>
                <w:color w:val="auto"/>
                <w:highlight w:val="none"/>
              </w:rPr>
            </w:r>
            <w:r/>
          </w:p>
        </w:tc>
        <w:tc>
          <w:tcPr>
            <w:tcW w:w="3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rPr>
                <w:color w:val="auto"/>
                <w:highlight w:val="none"/>
              </w:rPr>
            </w:r>
            <w:r/>
          </w:p>
        </w:tc>
        <w:tc>
          <w:tcPr>
            <w:tcW w:w="4058" w:type="pct"/>
            <w:vAlign w:val="center"/>
            <w:textDirection w:val="lrTb"/>
            <w:noWrap w:val="false"/>
          </w:tcPr>
          <w:p>
            <w:pPr>
              <w:ind w:firstLine="0"/>
              <w:jc w:val="both"/>
              <w:spacing w:line="24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bidi="ar-SA"/>
              </w:rPr>
              <w:t xml:space="preserve">1、投标人具有质量管理体系认证证书的得3分；</w:t>
            </w:r>
            <w:r>
              <w:rPr>
                <w:color w:val="auto"/>
                <w:highlight w:val="none"/>
              </w:rPr>
            </w:r>
            <w:r/>
          </w:p>
          <w:p>
            <w:pPr>
              <w:ind w:firstLine="0"/>
              <w:jc w:val="both"/>
              <w:spacing w:line="24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bidi="ar-SA"/>
              </w:rPr>
              <w:t xml:space="preserve">2、投标人具有信息安全管理体系认证证书的得3分；</w:t>
            </w:r>
            <w:r>
              <w:rPr>
                <w:color w:val="auto"/>
                <w:highlight w:val="none"/>
              </w:rPr>
            </w:r>
            <w:r/>
          </w:p>
          <w:p>
            <w:pPr>
              <w:ind w:firstLine="0"/>
              <w:jc w:val="both"/>
              <w:spacing w:line="24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bidi="ar-SA"/>
              </w:rPr>
              <w:t xml:space="preserve">3、投标人具有信息技术服务管理体系认证证书的得3分；</w:t>
            </w:r>
            <w:r>
              <w:rPr>
                <w:color w:val="auto"/>
                <w:highlight w:val="none"/>
              </w:rPr>
            </w:r>
            <w:r/>
          </w:p>
          <w:p>
            <w:pPr>
              <w:ind w:firstLine="0"/>
              <w:jc w:val="both"/>
              <w:spacing w:line="240" w:lineRule="auto"/>
              <w:widowControl w:val="off"/>
              <w:rPr>
                <w:rFonts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bidi="ar-SA"/>
              </w:rPr>
              <w:t xml:space="preserve">4、投标人具有培训管理体系认证证书的得3分。</w:t>
            </w:r>
            <w:r>
              <w:rPr>
                <w:color w:val="auto"/>
                <w:highlight w:val="none"/>
              </w:rPr>
            </w:r>
            <w:r/>
          </w:p>
          <w:p>
            <w:pPr>
              <w:pStyle w:val="808"/>
              <w:ind w:left="0" w:firstLine="0"/>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注：</w:t>
            </w:r>
            <w:r>
              <w:rPr>
                <w:rFonts w:hint="eastAsia" w:ascii="宋体" w:hAnsi="宋体" w:eastAsia="宋体" w:cs="宋体"/>
                <w:b/>
                <w:bCs/>
                <w:color w:val="auto"/>
                <w:highlight w:val="none"/>
              </w:rPr>
              <w:t xml:space="preserve">投标文件中须提供有效证书</w:t>
            </w:r>
            <w:r>
              <w:rPr>
                <w:rFonts w:hint="eastAsia" w:ascii="宋体" w:hAnsi="宋体" w:eastAsia="宋体" w:cs="宋体"/>
                <w:b/>
                <w:bCs/>
                <w:color w:val="auto"/>
                <w:highlight w:val="none"/>
                <w:lang w:val="en-US" w:eastAsia="zh-CN"/>
              </w:rPr>
              <w:t xml:space="preserve">原件彩色</w:t>
            </w:r>
            <w:r>
              <w:rPr>
                <w:rFonts w:hint="eastAsia" w:ascii="宋体" w:hAnsi="宋体" w:eastAsia="宋体" w:cs="宋体"/>
                <w:b/>
                <w:bCs/>
                <w:color w:val="auto"/>
                <w:highlight w:val="none"/>
              </w:rPr>
              <w:t xml:space="preserve">扫描件，否则不得分</w:t>
            </w:r>
            <w:r>
              <w:rPr>
                <w:rFonts w:hint="eastAsia" w:ascii="宋体" w:hAnsi="宋体" w:eastAsia="宋体" w:cs="宋体"/>
                <w:b/>
                <w:bCs/>
                <w:color w:val="auto"/>
                <w:highlight w:val="none"/>
                <w:lang w:eastAsia="zh-CN"/>
              </w:rPr>
              <w:t xml:space="preserve">。</w:t>
            </w:r>
            <w:r>
              <w:rPr>
                <w:color w:val="auto"/>
                <w:highlight w:val="none"/>
              </w:rPr>
            </w:r>
            <w:r/>
          </w:p>
        </w:tc>
      </w:tr>
      <w:tr>
        <w:trPr>
          <w:jc w:val="center"/>
          <w:trHeight w:val="871"/>
        </w:trPr>
        <w:tc>
          <w:tcPr>
            <w:tcW w:w="56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项目组成员</w:t>
            </w:r>
            <w:r>
              <w:rPr>
                <w:color w:val="auto"/>
                <w:highlight w:val="none"/>
              </w:rPr>
            </w:r>
            <w:r/>
          </w:p>
        </w:tc>
        <w:tc>
          <w:tcPr>
            <w:tcW w:w="3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rPr>
                <w:color w:val="auto"/>
                <w:highlight w:val="none"/>
              </w:rPr>
            </w:r>
            <w:r/>
          </w:p>
        </w:tc>
        <w:tc>
          <w:tcPr>
            <w:tcW w:w="4058" w:type="pct"/>
            <w:vAlign w:val="center"/>
            <w:textDirection w:val="lrTb"/>
            <w:noWrap w:val="false"/>
          </w:tcPr>
          <w:p>
            <w:pPr>
              <w:jc w:val="left"/>
              <w:rPr>
                <w:rFonts w:hint="default" w:ascii="宋体" w:hAnsi="宋体" w:eastAsia="宋体" w:cs="宋体"/>
                <w:color w:val="auto"/>
                <w:highlight w:val="none"/>
              </w:rPr>
            </w:pPr>
            <w:r>
              <w:rPr>
                <w:rFonts w:hint="eastAsia" w:ascii="宋体" w:hAnsi="宋体" w:eastAsia="宋体" w:cs="宋体"/>
                <w:color w:val="auto"/>
                <w:highlight w:val="none"/>
              </w:rPr>
              <w:t xml:space="preserve">1、拟派项目负责人具有信息安全管理工程师证书、数据库</w:t>
            </w:r>
            <w:r>
              <w:rPr>
                <w:rFonts w:hint="eastAsia" w:ascii="宋体" w:hAnsi="宋体" w:eastAsia="宋体" w:cs="宋体"/>
                <w:color w:val="auto"/>
                <w:highlight w:val="none"/>
              </w:rPr>
              <w:t xml:space="preserve">系统工程师证书、</w:t>
            </w:r>
            <w:r>
              <w:rPr>
                <w:rFonts w:hint="eastAsia" w:ascii="宋体" w:hAnsi="宋体" w:eastAsia="宋体" w:cs="宋体"/>
                <w:color w:val="auto"/>
                <w:highlight w:val="none"/>
                <w:lang w:val="en-US" w:eastAsia="zh-CN"/>
              </w:rPr>
              <w:t xml:space="preserve">电子信息工程</w:t>
            </w:r>
            <w:r>
              <w:rPr>
                <w:rFonts w:hint="eastAsia" w:ascii="宋体" w:hAnsi="宋体" w:eastAsia="宋体" w:cs="宋体"/>
                <w:color w:val="auto"/>
                <w:highlight w:val="none"/>
              </w:rPr>
              <w:t xml:space="preserve">高级工程师职称证书的，每有一项得2分，最高得6分。</w:t>
            </w:r>
            <w:r>
              <w:rPr>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、拟派项目团队成员（项目负责人除外）中具有网络工程师证书、注册信息安全工程师证书、注册数据安全治理专业人员证书的，每提供一个得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分，最高得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一人一证，不重复计分</w:t>
            </w:r>
            <w:r>
              <w:rPr>
                <w:rFonts w:hint="eastAsia" w:ascii="宋体" w:hAnsi="宋体" w:eastAsia="宋体" w:cs="宋体"/>
                <w:color w:val="auto"/>
                <w:highlight w:val="none"/>
              </w:rPr>
              <w:t xml:space="preserve">）。</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注：</w:t>
            </w:r>
            <w:r>
              <w:rPr>
                <w:rFonts w:hint="eastAsia" w:ascii="宋体" w:hAnsi="宋体" w:eastAsia="宋体" w:cs="宋体"/>
                <w:b/>
                <w:bCs/>
                <w:color w:val="auto"/>
                <w:highlight w:val="none"/>
              </w:rPr>
              <w:t xml:space="preserve">投标文件中</w:t>
            </w:r>
            <w:r>
              <w:rPr>
                <w:rFonts w:hint="eastAsia" w:ascii="宋体" w:hAnsi="宋体" w:eastAsia="宋体" w:cs="宋体"/>
                <w:b/>
                <w:bCs/>
                <w:color w:val="auto"/>
                <w:highlight w:val="none"/>
                <w:lang w:val="en-US" w:eastAsia="zh-CN"/>
              </w:rPr>
              <w:t xml:space="preserve">须</w:t>
            </w:r>
            <w:r>
              <w:rPr>
                <w:rFonts w:hint="eastAsia" w:ascii="宋体" w:hAnsi="宋体" w:eastAsia="宋体" w:cs="宋体"/>
                <w:b/>
                <w:bCs/>
                <w:color w:val="auto"/>
                <w:highlight w:val="none"/>
              </w:rPr>
              <w:t xml:space="preserve">提供人员明细表、有效证书及202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年</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月至招标文件挂网当日任意</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个月由投标人为其缴纳的社保证明材料</w:t>
            </w:r>
            <w:r>
              <w:rPr>
                <w:rFonts w:hint="eastAsia" w:ascii="宋体" w:hAnsi="宋体" w:eastAsia="宋体" w:cs="宋体"/>
                <w:b/>
                <w:bCs/>
                <w:color w:val="auto"/>
                <w:highlight w:val="none"/>
                <w:lang w:val="en-US" w:eastAsia="zh-CN"/>
              </w:rPr>
              <w:t xml:space="preserve">原件彩色</w:t>
            </w:r>
            <w:r>
              <w:rPr>
                <w:rFonts w:hint="eastAsia" w:ascii="宋体" w:hAnsi="宋体" w:eastAsia="宋体" w:cs="宋体"/>
                <w:b/>
                <w:bCs/>
                <w:color w:val="auto"/>
                <w:highlight w:val="none"/>
              </w:rPr>
              <w:t xml:space="preserve">扫描件</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否则不得分。</w:t>
            </w:r>
            <w:r>
              <w:rPr>
                <w:color w:val="auto"/>
                <w:highlight w:val="none"/>
              </w:rPr>
            </w:r>
            <w:r/>
          </w:p>
        </w:tc>
      </w:tr>
      <w:tr>
        <w:trPr>
          <w:jc w:val="center"/>
          <w:trHeight w:val="1094"/>
        </w:trPr>
        <w:tc>
          <w:tcPr>
            <w:tcW w:w="56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rPr>
                <w:color w:val="auto"/>
                <w:highlight w:val="none"/>
              </w:rPr>
            </w:r>
            <w:r/>
          </w:p>
        </w:tc>
        <w:tc>
          <w:tcPr>
            <w:tcW w:w="3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12分</w:t>
            </w:r>
            <w:r>
              <w:rPr>
                <w:color w:val="auto"/>
                <w:highlight w:val="none"/>
              </w:rPr>
            </w:r>
            <w:r/>
          </w:p>
        </w:tc>
        <w:tc>
          <w:tcPr>
            <w:tcW w:w="405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自2023年1月1日至今，投标人具有同类项目（软件和信息技术服务类）业绩的，每有一个得3分，最高得12分，重复的不得分。</w:t>
            </w:r>
            <w:r>
              <w:rPr>
                <w:color w:val="auto"/>
                <w:highlight w:val="none"/>
              </w:rPr>
            </w:r>
            <w:r/>
          </w:p>
          <w:p>
            <w:pPr>
              <w:jc w:val="left"/>
              <w:keepLines w:val="0"/>
              <w:keepNext w:val="0"/>
              <w:pageBreakBefore w:val="0"/>
              <w:spacing w:line="24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注：投标文件中须提供合同主要标的（建设内容）、日期、签章等关键页彩色扫描件，未提供或无法体现要求内容不得分。</w:t>
            </w:r>
            <w:r>
              <w:rPr>
                <w:color w:val="auto"/>
                <w:highlight w:val="none"/>
              </w:rPr>
            </w:r>
            <w:r/>
          </w:p>
        </w:tc>
      </w:tr>
      <w:tr>
        <w:trPr>
          <w:jc w:val="center"/>
          <w:trHeight w:val="519"/>
        </w:trPr>
        <w:tc>
          <w:tcPr>
            <w:tcW w:w="56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服务保障</w:t>
            </w:r>
            <w:r>
              <w:rPr>
                <w:color w:val="auto"/>
                <w:highlight w:val="none"/>
              </w:rPr>
            </w:r>
            <w:r/>
          </w:p>
        </w:tc>
        <w:tc>
          <w:tcPr>
            <w:tcW w:w="3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rPr>
                <w:color w:val="auto"/>
                <w:highlight w:val="none"/>
              </w:rPr>
            </w:r>
            <w:r/>
          </w:p>
        </w:tc>
        <w:tc>
          <w:tcPr>
            <w:tcW w:w="4058" w:type="pct"/>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投标人承诺7*24小时服务，接到甲方通知1小时内响应，2小时内排除故障得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color w:val="auto"/>
                <w:highlight w:val="none"/>
              </w:rPr>
            </w:r>
            <w:r/>
          </w:p>
          <w:p>
            <w:pPr>
              <w:numPr>
                <w:ilvl w:val="0"/>
                <w:numId w:val="0"/>
              </w:num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投标人承诺7*24小时服务，遇到问题45分钟内响应，1.5小时内排除故障得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color w:val="auto"/>
                <w:highlight w:val="none"/>
              </w:rPr>
            </w:r>
            <w:r/>
          </w:p>
          <w:p>
            <w:pPr>
              <w:numPr>
                <w:ilvl w:val="0"/>
                <w:numId w:val="0"/>
              </w:num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投标人承诺7*24小时服务，遇到问题30分钟内响应，1小时内排除故障得</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本项最高得</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rPr>
                <w:color w:val="auto"/>
                <w:highlight w:val="none"/>
              </w:rPr>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rPr>
              <w:t xml:space="preserve">投标文件中</w:t>
            </w:r>
            <w:r>
              <w:rPr>
                <w:rFonts w:hint="eastAsia" w:ascii="宋体" w:hAnsi="宋体" w:eastAsia="宋体" w:cs="宋体"/>
                <w:b/>
                <w:bCs/>
                <w:color w:val="auto"/>
                <w:szCs w:val="21"/>
                <w:highlight w:val="none"/>
                <w:lang w:val="en-US" w:eastAsia="zh-CN"/>
              </w:rPr>
              <w:t xml:space="preserve">须</w:t>
            </w:r>
            <w:r>
              <w:rPr>
                <w:rFonts w:hint="eastAsia" w:ascii="宋体" w:hAnsi="宋体" w:eastAsia="宋体" w:cs="宋体"/>
                <w:b/>
                <w:bCs/>
                <w:color w:val="auto"/>
                <w:szCs w:val="21"/>
                <w:highlight w:val="none"/>
              </w:rPr>
              <w:t xml:space="preserve">提供加盖投标人公章的承诺函原件扫描件，须明确承诺内容</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格式自拟</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，否则不得分</w:t>
            </w:r>
            <w:r>
              <w:rPr>
                <w:rFonts w:hint="eastAsia" w:ascii="宋体" w:hAnsi="宋体" w:eastAsia="宋体" w:cs="宋体"/>
                <w:b/>
                <w:bCs/>
                <w:color w:val="auto"/>
                <w:szCs w:val="21"/>
                <w:highlight w:val="none"/>
                <w:lang w:eastAsia="zh-CN"/>
              </w:rPr>
              <w:t xml:space="preserve">。</w:t>
            </w:r>
            <w:r>
              <w:rPr>
                <w:color w:val="auto"/>
                <w:highlight w:val="none"/>
              </w:rPr>
            </w:r>
            <w:r/>
          </w:p>
        </w:tc>
      </w:tr>
    </w:tbl>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sectPr>
      <w:footnotePr/>
      <w:endnotePr/>
      <w:type w:val="nextPage"/>
      <w:pgSz w:w="11906" w:h="16838"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MS Mincho">
    <w:panose1 w:val="02020603050405090304"/>
  </w:font>
  <w:font w:name="楷体_GB2312">
    <w:panose1 w:val="02010609060101010101"/>
  </w:font>
  <w:font w:name="Courier New">
    <w:panose1 w:val="02070309020205020404"/>
  </w:font>
  <w:font w:name="Calibri">
    <w:panose1 w:val="020F0502020204030204"/>
  </w:font>
  <w:font w:name="Cambria">
    <w:panose1 w:val="02040503050406030204"/>
  </w:font>
  <w:font w:name="Arial">
    <w:panose1 w:val="020B0604020202020204"/>
  </w:font>
  <w:font w:name="Verdana">
    <w:panose1 w:val="020B0604030504040204"/>
  </w:font>
  <w:font w:name="仿宋_GB2312">
    <w:panose1 w:val="02010609060101010101"/>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2934335</wp:posOffset>
              </wp:positionH>
              <wp:positionV relativeFrom="paragraph">
                <wp:posOffset>-85725</wp:posOffset>
              </wp:positionV>
              <wp:extent cx="340995" cy="25019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340995" cy="2501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1.0pt;mso-position-horizontal:absolute;mso-position-vertical-relative:text;margin-top:-6.8pt;mso-position-vertical:absolute;width:26.8pt;height:19.7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5"/>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86"/>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87"/>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88"/>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85">
    <w:name w:val="Heading 1"/>
    <w:basedOn w:val="784"/>
    <w:next w:val="784"/>
    <w:link w:val="1004"/>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786">
    <w:name w:val="Heading 2"/>
    <w:basedOn w:val="784"/>
    <w:next w:val="784"/>
    <w:link w:val="1005"/>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87">
    <w:name w:val="Heading 3"/>
    <w:basedOn w:val="784"/>
    <w:next w:val="784"/>
    <w:link w:val="1006"/>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88">
    <w:name w:val="Heading 4"/>
    <w:basedOn w:val="784"/>
    <w:next w:val="784"/>
    <w:link w:val="1007"/>
    <w:uiPriority w:val="0"/>
    <w:qFormat/>
    <w:pPr>
      <w:numPr>
        <w:ilvl w:val="3"/>
        <w:numId w:val="1"/>
      </w:numPr>
      <w:ind w:firstLine="200"/>
      <w:spacing w:before="120" w:line="360" w:lineRule="auto"/>
      <w:outlineLvl w:val="3"/>
    </w:pPr>
    <w:rPr>
      <w:rFonts w:ascii="Arial" w:hAnsi="Times New Roman" w:eastAsia="黑体" w:cs="Times New Roman"/>
      <w:sz w:val="28"/>
      <w:szCs w:val="20"/>
    </w:rPr>
  </w:style>
  <w:style w:type="paragraph" w:styleId="789">
    <w:name w:val="Heading 5"/>
    <w:basedOn w:val="784"/>
    <w:next w:val="784"/>
    <w:link w:val="1012"/>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90">
    <w:name w:val="Heading 6"/>
    <w:basedOn w:val="784"/>
    <w:next w:val="784"/>
    <w:link w:val="1013"/>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91">
    <w:name w:val="Heading 7"/>
    <w:basedOn w:val="784"/>
    <w:next w:val="784"/>
    <w:link w:val="1014"/>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92">
    <w:name w:val="Heading 8"/>
    <w:basedOn w:val="784"/>
    <w:next w:val="784"/>
    <w:link w:val="1015"/>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93">
    <w:name w:val="Heading 9"/>
    <w:basedOn w:val="784"/>
    <w:next w:val="784"/>
    <w:link w:val="1016"/>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Fließtext"/>
    <w:uiPriority w:val="0"/>
    <w:qFormat/>
    <w:pPr>
      <w:jc w:val="both"/>
      <w:widowControl w:val="off"/>
    </w:pPr>
    <w:rPr>
      <w:rFonts w:ascii="Times New Roman" w:hAnsi="Times New Roman" w:eastAsia="宋体" w:cs="Times New Roman"/>
      <w:sz w:val="21"/>
      <w:szCs w:val="20"/>
      <w:lang w:val="en-US" w:eastAsia="zh-CN" w:bidi="ar-SA"/>
    </w:rPr>
  </w:style>
  <w:style w:type="paragraph" w:styleId="797">
    <w:name w:val="toc 7"/>
    <w:basedOn w:val="784"/>
    <w:next w:val="784"/>
    <w:uiPriority w:val="39"/>
    <w:unhideWhenUsed/>
    <w:qFormat/>
    <w:pPr>
      <w:ind w:left="1701" w:right="0" w:firstLine="0"/>
      <w:spacing w:after="57"/>
    </w:pPr>
  </w:style>
  <w:style w:type="paragraph" w:styleId="798">
    <w:name w:val="Normal Indent"/>
    <w:basedOn w:val="784"/>
    <w:next w:val="784"/>
    <w:uiPriority w:val="0"/>
    <w:qFormat/>
    <w:pPr>
      <w:ind w:firstLine="420"/>
    </w:pPr>
    <w:rPr>
      <w:szCs w:val="20"/>
    </w:rPr>
  </w:style>
  <w:style w:type="paragraph" w:styleId="799">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Document Map"/>
    <w:basedOn w:val="784"/>
    <w:link w:val="1026"/>
    <w:uiPriority w:val="99"/>
    <w:semiHidden/>
    <w:unhideWhenUsed/>
    <w:qFormat/>
    <w:rPr>
      <w:rFonts w:ascii="宋体" w:eastAsia="宋体"/>
      <w:sz w:val="18"/>
      <w:szCs w:val="18"/>
    </w:rPr>
  </w:style>
  <w:style w:type="paragraph" w:styleId="801">
    <w:name w:val="annotation text"/>
    <w:basedOn w:val="784"/>
    <w:link w:val="1018"/>
    <w:uiPriority w:val="0"/>
    <w:qFormat/>
    <w:pPr>
      <w:ind w:firstLine="922"/>
      <w:jc w:val="left"/>
      <w:spacing w:line="360" w:lineRule="auto"/>
    </w:pPr>
    <w:rPr>
      <w:rFonts w:ascii="Times New Roman" w:hAnsi="Times New Roman" w:eastAsia="宋体" w:cs="Times New Roman"/>
      <w:szCs w:val="24"/>
    </w:rPr>
  </w:style>
  <w:style w:type="paragraph" w:styleId="802">
    <w:name w:val="Body Text"/>
    <w:basedOn w:val="784"/>
    <w:link w:val="1027"/>
    <w:uiPriority w:val="0"/>
    <w:unhideWhenUsed/>
    <w:qFormat/>
    <w:pPr>
      <w:spacing w:line="300" w:lineRule="auto"/>
    </w:pPr>
    <w:rPr>
      <w:rFonts w:ascii="宋体" w:hAnsi="Times New Roman"/>
      <w:sz w:val="24"/>
      <w:szCs w:val="20"/>
    </w:rPr>
  </w:style>
  <w:style w:type="paragraph" w:styleId="803">
    <w:name w:val="Body Text Indent"/>
    <w:basedOn w:val="784"/>
    <w:next w:val="804"/>
    <w:link w:val="1036"/>
    <w:uiPriority w:val="0"/>
    <w:qFormat/>
    <w:pPr>
      <w:ind w:firstLine="225"/>
    </w:pPr>
    <w:rPr>
      <w:rFonts w:ascii="仿宋_GB2312" w:eastAsia="仿宋_GB2312"/>
      <w:sz w:val="32"/>
    </w:rPr>
  </w:style>
  <w:style w:type="paragraph" w:styleId="804">
    <w:name w:val="envelope return"/>
    <w:basedOn w:val="784"/>
    <w:uiPriority w:val="99"/>
    <w:qFormat/>
    <w:rPr>
      <w:rFonts w:ascii="Arial" w:hAnsi="Arial"/>
    </w:rPr>
  </w:style>
  <w:style w:type="paragraph" w:styleId="805">
    <w:name w:val="Block Text"/>
    <w:basedOn w:val="784"/>
    <w:uiPriority w:val="99"/>
    <w:unhideWhenUsed/>
    <w:qFormat/>
    <w:pPr>
      <w:ind w:left="1440" w:right="1440"/>
      <w:spacing w:after="120"/>
    </w:pPr>
  </w:style>
  <w:style w:type="paragraph" w:styleId="806">
    <w:name w:val="toc 5"/>
    <w:basedOn w:val="784"/>
    <w:next w:val="784"/>
    <w:uiPriority w:val="39"/>
    <w:unhideWhenUsed/>
    <w:qFormat/>
    <w:pPr>
      <w:ind w:left="1134" w:right="0" w:firstLine="0"/>
      <w:spacing w:after="57"/>
    </w:pPr>
  </w:style>
  <w:style w:type="paragraph" w:styleId="807">
    <w:name w:val="toc 3"/>
    <w:basedOn w:val="784"/>
    <w:next w:val="784"/>
    <w:uiPriority w:val="39"/>
    <w:unhideWhenUsed/>
    <w:qFormat/>
    <w:pPr>
      <w:ind w:left="420" w:firstLine="922"/>
      <w:jc w:val="left"/>
      <w:spacing w:line="360" w:lineRule="auto"/>
    </w:pPr>
    <w:rPr>
      <w:rFonts w:ascii="Calibri" w:hAnsi="Calibri" w:eastAsia="宋体" w:cs="Times New Roman"/>
      <w:sz w:val="20"/>
      <w:szCs w:val="20"/>
    </w:rPr>
  </w:style>
  <w:style w:type="paragraph" w:styleId="808">
    <w:name w:val="Plain Text"/>
    <w:basedOn w:val="784"/>
    <w:link w:val="1009"/>
    <w:uiPriority w:val="0"/>
    <w:qFormat/>
    <w:pPr>
      <w:ind w:firstLine="922"/>
      <w:spacing w:line="360" w:lineRule="auto"/>
    </w:pPr>
    <w:rPr>
      <w:rFonts w:ascii="宋体" w:hAnsi="Courier New"/>
    </w:rPr>
  </w:style>
  <w:style w:type="paragraph" w:styleId="809">
    <w:name w:val="toc 8"/>
    <w:basedOn w:val="784"/>
    <w:next w:val="784"/>
    <w:uiPriority w:val="39"/>
    <w:unhideWhenUsed/>
    <w:qFormat/>
    <w:pPr>
      <w:ind w:left="1984" w:right="0" w:firstLine="0"/>
      <w:spacing w:after="57"/>
    </w:pPr>
  </w:style>
  <w:style w:type="paragraph" w:styleId="810">
    <w:name w:val="endnote text"/>
    <w:basedOn w:val="784"/>
    <w:link w:val="993"/>
    <w:uiPriority w:val="99"/>
    <w:semiHidden/>
    <w:unhideWhenUsed/>
    <w:qFormat/>
    <w:pPr>
      <w:spacing w:after="0" w:line="240" w:lineRule="auto"/>
    </w:pPr>
    <w:rPr>
      <w:sz w:val="20"/>
    </w:rPr>
  </w:style>
  <w:style w:type="paragraph" w:styleId="811">
    <w:name w:val="Balloon Text"/>
    <w:basedOn w:val="784"/>
    <w:link w:val="1019"/>
    <w:uiPriority w:val="0"/>
    <w:semiHidden/>
    <w:qFormat/>
    <w:pPr>
      <w:ind w:firstLine="922"/>
    </w:pPr>
    <w:rPr>
      <w:rFonts w:ascii="Times New Roman" w:hAnsi="Times New Roman" w:eastAsia="宋体" w:cs="Times New Roman"/>
      <w:sz w:val="18"/>
      <w:szCs w:val="18"/>
    </w:rPr>
  </w:style>
  <w:style w:type="paragraph" w:styleId="812">
    <w:name w:val="Footer"/>
    <w:basedOn w:val="784"/>
    <w:link w:val="1037"/>
    <w:uiPriority w:val="99"/>
    <w:unhideWhenUsed/>
    <w:qFormat/>
    <w:pPr>
      <w:jc w:val="left"/>
      <w:tabs>
        <w:tab w:val="center" w:pos="4153" w:leader="none"/>
        <w:tab w:val="right" w:pos="8306" w:leader="none"/>
      </w:tabs>
    </w:pPr>
    <w:rPr>
      <w:sz w:val="18"/>
    </w:rPr>
  </w:style>
  <w:style w:type="paragraph" w:styleId="813">
    <w:name w:val="Header"/>
    <w:basedOn w:val="784"/>
    <w:link w:val="1035"/>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14">
    <w:name w:val="toc 1"/>
    <w:basedOn w:val="784"/>
    <w:next w:val="784"/>
    <w:uiPriority w:val="39"/>
    <w:qFormat/>
    <w:pPr>
      <w:ind w:firstLine="922"/>
      <w:jc w:val="left"/>
      <w:spacing w:before="120" w:line="360" w:lineRule="auto"/>
    </w:pPr>
    <w:rPr>
      <w:rFonts w:ascii="Calibri" w:hAnsi="Calibri" w:eastAsia="宋体" w:cs="Times New Roman"/>
      <w:b/>
      <w:bCs/>
      <w:i/>
      <w:iCs/>
      <w:sz w:val="24"/>
      <w:szCs w:val="24"/>
    </w:rPr>
  </w:style>
  <w:style w:type="paragraph" w:styleId="815">
    <w:name w:val="toc 4"/>
    <w:basedOn w:val="784"/>
    <w:next w:val="784"/>
    <w:uiPriority w:val="39"/>
    <w:unhideWhenUsed/>
    <w:qFormat/>
    <w:pPr>
      <w:ind w:left="850" w:right="0" w:firstLine="0"/>
      <w:spacing w:after="57"/>
    </w:pPr>
  </w:style>
  <w:style w:type="paragraph" w:styleId="816">
    <w:name w:val="Subtitle"/>
    <w:basedOn w:val="784"/>
    <w:next w:val="784"/>
    <w:link w:val="1008"/>
    <w:uiPriority w:val="0"/>
    <w:qFormat/>
    <w:pPr>
      <w:ind w:firstLine="922"/>
      <w:jc w:val="center"/>
      <w:spacing w:before="240" w:after="60" w:line="312" w:lineRule="auto"/>
      <w:outlineLvl w:val="1"/>
    </w:pPr>
    <w:rPr>
      <w:rFonts w:ascii="Cambria" w:hAnsi="Cambria"/>
      <w:b/>
      <w:bCs/>
      <w:sz w:val="32"/>
      <w:szCs w:val="32"/>
    </w:rPr>
  </w:style>
  <w:style w:type="paragraph" w:styleId="817">
    <w:name w:val="footnote text"/>
    <w:basedOn w:val="784"/>
    <w:link w:val="992"/>
    <w:uiPriority w:val="99"/>
    <w:semiHidden/>
    <w:unhideWhenUsed/>
    <w:qFormat/>
    <w:pPr>
      <w:spacing w:after="40" w:line="240" w:lineRule="auto"/>
    </w:pPr>
    <w:rPr>
      <w:sz w:val="18"/>
    </w:rPr>
  </w:style>
  <w:style w:type="paragraph" w:styleId="818">
    <w:name w:val="toc 6"/>
    <w:basedOn w:val="784"/>
    <w:next w:val="784"/>
    <w:uiPriority w:val="39"/>
    <w:unhideWhenUsed/>
    <w:qFormat/>
    <w:pPr>
      <w:ind w:left="1417" w:right="0" w:firstLine="0"/>
      <w:spacing w:after="57"/>
    </w:pPr>
  </w:style>
  <w:style w:type="paragraph" w:styleId="819">
    <w:name w:val="table of figures"/>
    <w:basedOn w:val="784"/>
    <w:next w:val="784"/>
    <w:uiPriority w:val="99"/>
    <w:unhideWhenUsed/>
    <w:qFormat/>
    <w:pPr>
      <w:spacing w:after="0" w:afterAutospacing="0"/>
    </w:pPr>
  </w:style>
  <w:style w:type="paragraph" w:styleId="820">
    <w:name w:val="toc 2"/>
    <w:basedOn w:val="784"/>
    <w:next w:val="784"/>
    <w:uiPriority w:val="39"/>
    <w:unhideWhenUsed/>
    <w:qFormat/>
    <w:pPr>
      <w:ind w:left="210" w:firstLine="922"/>
      <w:jc w:val="left"/>
      <w:spacing w:before="120" w:line="360" w:lineRule="auto"/>
    </w:pPr>
    <w:rPr>
      <w:rFonts w:ascii="Calibri" w:hAnsi="Calibri" w:eastAsia="宋体" w:cs="Times New Roman"/>
      <w:b/>
      <w:bCs/>
      <w:sz w:val="22"/>
    </w:rPr>
  </w:style>
  <w:style w:type="paragraph" w:styleId="821">
    <w:name w:val="toc 9"/>
    <w:basedOn w:val="784"/>
    <w:next w:val="784"/>
    <w:uiPriority w:val="39"/>
    <w:unhideWhenUsed/>
    <w:qFormat/>
    <w:pPr>
      <w:ind w:left="2268" w:right="0" w:firstLine="0"/>
      <w:spacing w:after="57"/>
    </w:pPr>
  </w:style>
  <w:style w:type="paragraph" w:styleId="822">
    <w:name w:val="Body Text 2"/>
    <w:basedOn w:val="784"/>
    <w:uiPriority w:val="99"/>
    <w:unhideWhenUsed/>
    <w:qFormat/>
    <w:pPr>
      <w:spacing w:after="120" w:line="480" w:lineRule="auto"/>
    </w:pPr>
  </w:style>
  <w:style w:type="paragraph" w:styleId="823">
    <w:name w:val="HTML Preformatted"/>
    <w:basedOn w:val="784"/>
    <w:link w:val="1020"/>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24">
    <w:name w:val="Normal (Web)"/>
    <w:basedOn w:val="784"/>
    <w:uiPriority w:val="0"/>
    <w:unhideWhenUsed/>
    <w:qFormat/>
    <w:pPr>
      <w:jc w:val="left"/>
      <w:spacing w:before="100" w:beforeAutospacing="1" w:after="100" w:afterAutospacing="1"/>
      <w:widowControl/>
    </w:pPr>
    <w:rPr>
      <w:rFonts w:ascii="宋体" w:hAnsi="宋体" w:cs="宋体"/>
      <w:sz w:val="24"/>
    </w:rPr>
  </w:style>
  <w:style w:type="paragraph" w:styleId="825">
    <w:name w:val="index 1"/>
    <w:basedOn w:val="784"/>
    <w:next w:val="784"/>
    <w:uiPriority w:val="0"/>
    <w:qFormat/>
    <w:pPr>
      <w:ind w:firstLine="200"/>
      <w:spacing w:line="360" w:lineRule="auto"/>
    </w:pPr>
    <w:rPr>
      <w:rFonts w:ascii="Times New Roman" w:hAnsi="Times New Roman" w:eastAsia="宋体" w:cs="Times New Roman"/>
      <w:szCs w:val="24"/>
    </w:rPr>
  </w:style>
  <w:style w:type="paragraph" w:styleId="826">
    <w:name w:val="Title"/>
    <w:basedOn w:val="784"/>
    <w:next w:val="784"/>
    <w:link w:val="858"/>
    <w:uiPriority w:val="10"/>
    <w:qFormat/>
    <w:pPr>
      <w:contextualSpacing/>
      <w:spacing w:before="300" w:after="200"/>
    </w:pPr>
    <w:rPr>
      <w:sz w:val="48"/>
      <w:szCs w:val="48"/>
    </w:rPr>
  </w:style>
  <w:style w:type="paragraph" w:styleId="827">
    <w:name w:val="annotation subject"/>
    <w:basedOn w:val="801"/>
    <w:next w:val="801"/>
    <w:link w:val="1025"/>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828">
    <w:name w:val="Body Text First Indent"/>
    <w:basedOn w:val="802"/>
    <w:link w:val="1038"/>
    <w:uiPriority w:val="0"/>
    <w:qFormat/>
    <w:pPr>
      <w:ind w:firstLine="420"/>
      <w:spacing w:after="120"/>
    </w:pPr>
    <w:rPr>
      <w:rFonts w:ascii="Times New Roman" w:eastAsia="宋体"/>
      <w:sz w:val="21"/>
      <w:szCs w:val="24"/>
    </w:rPr>
  </w:style>
  <w:style w:type="paragraph" w:styleId="829">
    <w:name w:val="Body Text First Indent 2"/>
    <w:basedOn w:val="803"/>
    <w:uiPriority w:val="99"/>
    <w:qFormat/>
    <w:pPr>
      <w:ind w:firstLine="420"/>
      <w:tabs>
        <w:tab w:val="left" w:pos="0" w:leader="none"/>
        <w:tab w:val="left" w:pos="993" w:leader="none"/>
        <w:tab w:val="left" w:pos="1134" w:leader="none"/>
        <w:tab w:val="left" w:pos="4606" w:leader="none"/>
      </w:tabs>
    </w:pPr>
  </w:style>
  <w:style w:type="table" w:styleId="830">
    <w:name w:val="Table Grid"/>
    <w:basedOn w:val="7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Strong"/>
    <w:uiPriority w:val="0"/>
    <w:qFormat/>
    <w:rPr>
      <w:b/>
      <w:bCs/>
    </w:rPr>
  </w:style>
  <w:style w:type="character" w:styleId="832">
    <w:name w:val="endnote reference"/>
    <w:basedOn w:val="794"/>
    <w:uiPriority w:val="99"/>
    <w:semiHidden/>
    <w:unhideWhenUsed/>
    <w:qFormat/>
    <w:rPr>
      <w:vertAlign w:val="superscript"/>
    </w:rPr>
  </w:style>
  <w:style w:type="character" w:styleId="833">
    <w:name w:val="FollowedHyperlink"/>
    <w:basedOn w:val="794"/>
    <w:uiPriority w:val="99"/>
    <w:semiHidden/>
    <w:unhideWhenUsed/>
    <w:qFormat/>
    <w:rPr>
      <w:color w:val="800080"/>
      <w:u w:val="none"/>
    </w:rPr>
  </w:style>
  <w:style w:type="character" w:styleId="834">
    <w:name w:val="Emphasis"/>
    <w:basedOn w:val="794"/>
    <w:uiPriority w:val="20"/>
    <w:qFormat/>
    <w:rPr>
      <w:b/>
      <w:bCs/>
    </w:rPr>
  </w:style>
  <w:style w:type="character" w:styleId="835">
    <w:name w:val="HTML Definition"/>
    <w:basedOn w:val="794"/>
    <w:uiPriority w:val="99"/>
    <w:semiHidden/>
    <w:unhideWhenUsed/>
    <w:qFormat/>
  </w:style>
  <w:style w:type="character" w:styleId="836">
    <w:name w:val="HTML Typewriter"/>
    <w:basedOn w:val="794"/>
    <w:uiPriority w:val="99"/>
    <w:semiHidden/>
    <w:unhideWhenUsed/>
    <w:qFormat/>
    <w:rPr>
      <w:rFonts w:hint="default" w:ascii="monospace" w:hAnsi="monospace" w:eastAsia="monospace" w:cs="monospace"/>
      <w:sz w:val="20"/>
    </w:rPr>
  </w:style>
  <w:style w:type="character" w:styleId="837">
    <w:name w:val="HTML Acronym"/>
    <w:basedOn w:val="794"/>
    <w:uiPriority w:val="99"/>
    <w:semiHidden/>
    <w:unhideWhenUsed/>
    <w:qFormat/>
  </w:style>
  <w:style w:type="character" w:styleId="838">
    <w:name w:val="HTML Variable"/>
    <w:basedOn w:val="794"/>
    <w:uiPriority w:val="99"/>
    <w:semiHidden/>
    <w:unhideWhenUsed/>
    <w:qFormat/>
  </w:style>
  <w:style w:type="character" w:styleId="839">
    <w:name w:val="Hyperlink"/>
    <w:basedOn w:val="794"/>
    <w:uiPriority w:val="99"/>
    <w:semiHidden/>
    <w:unhideWhenUsed/>
    <w:qFormat/>
    <w:rPr>
      <w:color w:val="0000ff"/>
      <w:u w:val="none"/>
    </w:rPr>
  </w:style>
  <w:style w:type="character" w:styleId="840">
    <w:name w:val="HTML Code"/>
    <w:basedOn w:val="794"/>
    <w:uiPriority w:val="99"/>
    <w:semiHidden/>
    <w:unhideWhenUsed/>
    <w:qFormat/>
    <w:rPr>
      <w:rFonts w:ascii="monospace" w:hAnsi="monospace" w:eastAsia="monospace" w:cs="monospace"/>
      <w:sz w:val="20"/>
    </w:rPr>
  </w:style>
  <w:style w:type="character" w:styleId="841">
    <w:name w:val="annotation reference"/>
    <w:uiPriority w:val="0"/>
    <w:qFormat/>
    <w:rPr>
      <w:sz w:val="21"/>
      <w:szCs w:val="21"/>
    </w:rPr>
  </w:style>
  <w:style w:type="character" w:styleId="842">
    <w:name w:val="HTML Cite"/>
    <w:basedOn w:val="794"/>
    <w:uiPriority w:val="99"/>
    <w:semiHidden/>
    <w:unhideWhenUsed/>
    <w:qFormat/>
  </w:style>
  <w:style w:type="character" w:styleId="843">
    <w:name w:val="footnote reference"/>
    <w:basedOn w:val="794"/>
    <w:uiPriority w:val="99"/>
    <w:unhideWhenUsed/>
    <w:qFormat/>
    <w:rPr>
      <w:vertAlign w:val="superscript"/>
    </w:rPr>
  </w:style>
  <w:style w:type="character" w:styleId="844">
    <w:name w:val="HTML Keyboard"/>
    <w:basedOn w:val="794"/>
    <w:uiPriority w:val="99"/>
    <w:semiHidden/>
    <w:unhideWhenUsed/>
    <w:qFormat/>
    <w:rPr>
      <w:rFonts w:hint="default" w:ascii="monospace" w:hAnsi="monospace" w:eastAsia="monospace" w:cs="monospace"/>
      <w:sz w:val="20"/>
    </w:rPr>
  </w:style>
  <w:style w:type="character" w:styleId="845">
    <w:name w:val="HTML Sample"/>
    <w:basedOn w:val="794"/>
    <w:uiPriority w:val="99"/>
    <w:semiHidden/>
    <w:unhideWhenUsed/>
    <w:qFormat/>
    <w:rPr>
      <w:rFonts w:hint="default" w:ascii="monospace" w:hAnsi="monospace" w:eastAsia="monospace" w:cs="monospace"/>
    </w:rPr>
  </w:style>
  <w:style w:type="paragraph" w:styleId="846" w:customStyle="1">
    <w:name w:val="正文文本 21"/>
    <w:uiPriority w:val="0"/>
    <w:qFormat/>
    <w:pPr>
      <w:jc w:val="center"/>
      <w:widowControl/>
    </w:pPr>
    <w:rPr>
      <w:rFonts w:ascii="楷体_GB2312" w:hAnsi="Times New Roman" w:eastAsia="楷体_GB2312" w:cs="Times New Roman"/>
      <w:sz w:val="28"/>
      <w:szCs w:val="28"/>
      <w:lang w:val="en-US" w:eastAsia="en-US" w:bidi="ar-SA"/>
    </w:rPr>
  </w:style>
  <w:style w:type="paragraph" w:styleId="847" w:customStyle="1">
    <w:name w:val="首行缩进"/>
    <w:basedOn w:val="784"/>
    <w:uiPriority w:val="0"/>
    <w:qFormat/>
    <w:pPr>
      <w:ind w:firstLine="480"/>
    </w:pPr>
    <w:rPr>
      <w:szCs w:val="24"/>
      <w:lang w:val="zh-CN"/>
    </w:rPr>
  </w:style>
  <w:style w:type="character" w:styleId="848" w:customStyle="1">
    <w:name w:val="Heading 1 Char"/>
    <w:basedOn w:val="794"/>
    <w:uiPriority w:val="9"/>
    <w:qFormat/>
    <w:rPr>
      <w:rFonts w:ascii="Arial" w:hAnsi="Arial" w:eastAsia="Arial" w:cs="Arial"/>
      <w:sz w:val="40"/>
      <w:szCs w:val="40"/>
    </w:rPr>
  </w:style>
  <w:style w:type="character" w:styleId="849" w:customStyle="1">
    <w:name w:val="Heading 2 Char"/>
    <w:basedOn w:val="794"/>
    <w:uiPriority w:val="9"/>
    <w:qFormat/>
    <w:rPr>
      <w:rFonts w:ascii="Arial" w:hAnsi="Arial" w:eastAsia="Arial" w:cs="Arial"/>
      <w:sz w:val="34"/>
    </w:rPr>
  </w:style>
  <w:style w:type="character" w:styleId="850" w:customStyle="1">
    <w:name w:val="Heading 3 Char"/>
    <w:basedOn w:val="794"/>
    <w:uiPriority w:val="9"/>
    <w:qFormat/>
    <w:rPr>
      <w:rFonts w:ascii="Arial" w:hAnsi="Arial" w:eastAsia="Arial" w:cs="Arial"/>
      <w:sz w:val="30"/>
      <w:szCs w:val="30"/>
    </w:rPr>
  </w:style>
  <w:style w:type="character" w:styleId="851" w:customStyle="1">
    <w:name w:val="Heading 4 Char"/>
    <w:basedOn w:val="794"/>
    <w:uiPriority w:val="9"/>
    <w:qFormat/>
    <w:rPr>
      <w:rFonts w:ascii="Arial" w:hAnsi="Arial" w:eastAsia="Arial" w:cs="Arial"/>
      <w:b/>
      <w:bCs/>
      <w:sz w:val="26"/>
      <w:szCs w:val="26"/>
    </w:rPr>
  </w:style>
  <w:style w:type="character" w:styleId="852" w:customStyle="1">
    <w:name w:val="Heading 5 Char"/>
    <w:basedOn w:val="794"/>
    <w:uiPriority w:val="9"/>
    <w:qFormat/>
    <w:rPr>
      <w:rFonts w:ascii="Arial" w:hAnsi="Arial" w:eastAsia="Arial" w:cs="Arial"/>
      <w:b/>
      <w:bCs/>
      <w:sz w:val="24"/>
      <w:szCs w:val="24"/>
    </w:rPr>
  </w:style>
  <w:style w:type="character" w:styleId="853" w:customStyle="1">
    <w:name w:val="Heading 6 Char"/>
    <w:basedOn w:val="794"/>
    <w:uiPriority w:val="9"/>
    <w:qFormat/>
    <w:rPr>
      <w:rFonts w:ascii="Arial" w:hAnsi="Arial" w:eastAsia="Arial" w:cs="Arial"/>
      <w:b/>
      <w:bCs/>
      <w:sz w:val="22"/>
      <w:szCs w:val="22"/>
    </w:rPr>
  </w:style>
  <w:style w:type="character" w:styleId="854" w:customStyle="1">
    <w:name w:val="Heading 7 Char"/>
    <w:basedOn w:val="794"/>
    <w:uiPriority w:val="9"/>
    <w:qFormat/>
    <w:rPr>
      <w:rFonts w:ascii="Arial" w:hAnsi="Arial" w:eastAsia="Arial" w:cs="Arial"/>
      <w:b/>
      <w:bCs/>
      <w:i/>
      <w:iCs/>
      <w:sz w:val="22"/>
      <w:szCs w:val="22"/>
    </w:rPr>
  </w:style>
  <w:style w:type="character" w:styleId="855" w:customStyle="1">
    <w:name w:val="Heading 8 Char"/>
    <w:basedOn w:val="794"/>
    <w:uiPriority w:val="9"/>
    <w:qFormat/>
    <w:rPr>
      <w:rFonts w:ascii="Arial" w:hAnsi="Arial" w:eastAsia="Arial" w:cs="Arial"/>
      <w:i/>
      <w:iCs/>
      <w:sz w:val="22"/>
      <w:szCs w:val="22"/>
    </w:rPr>
  </w:style>
  <w:style w:type="character" w:styleId="856" w:customStyle="1">
    <w:name w:val="Heading 9 Char"/>
    <w:basedOn w:val="794"/>
    <w:uiPriority w:val="9"/>
    <w:qFormat/>
    <w:rPr>
      <w:rFonts w:ascii="Arial" w:hAnsi="Arial" w:eastAsia="Arial" w:cs="Arial"/>
      <w:i/>
      <w:iCs/>
      <w:sz w:val="21"/>
      <w:szCs w:val="21"/>
    </w:rPr>
  </w:style>
  <w:style w:type="paragraph" w:styleId="857">
    <w:name w:val="No Spacing"/>
    <w:uiPriority w:val="1"/>
    <w:qFormat/>
    <w:pPr>
      <w:spacing w:before="0" w:after="0" w:line="240" w:lineRule="auto"/>
    </w:pPr>
    <w:rPr>
      <w:rFonts w:hint="default" w:ascii="Times New Roman" w:hAnsi="Times New Roman" w:eastAsia="宋体" w:cs="Times New Roman"/>
    </w:rPr>
  </w:style>
  <w:style w:type="character" w:styleId="858" w:customStyle="1">
    <w:name w:val="Title Char"/>
    <w:basedOn w:val="794"/>
    <w:link w:val="826"/>
    <w:uiPriority w:val="10"/>
    <w:qFormat/>
    <w:rPr>
      <w:sz w:val="48"/>
      <w:szCs w:val="48"/>
    </w:rPr>
  </w:style>
  <w:style w:type="character" w:styleId="859" w:customStyle="1">
    <w:name w:val="Subtitle Char"/>
    <w:basedOn w:val="794"/>
    <w:uiPriority w:val="11"/>
    <w:qFormat/>
    <w:rPr>
      <w:sz w:val="24"/>
      <w:szCs w:val="24"/>
    </w:rPr>
  </w:style>
  <w:style w:type="paragraph" w:styleId="860">
    <w:name w:val="Quote"/>
    <w:basedOn w:val="784"/>
    <w:next w:val="784"/>
    <w:link w:val="861"/>
    <w:uiPriority w:val="29"/>
    <w:qFormat/>
    <w:pPr>
      <w:ind w:left="720" w:right="720"/>
    </w:pPr>
    <w:rPr>
      <w:i/>
    </w:rPr>
  </w:style>
  <w:style w:type="character" w:styleId="861" w:customStyle="1">
    <w:name w:val="Quote Char"/>
    <w:link w:val="860"/>
    <w:uiPriority w:val="29"/>
    <w:qFormat/>
    <w:rPr>
      <w:i/>
    </w:rPr>
  </w:style>
  <w:style w:type="paragraph" w:styleId="862">
    <w:name w:val="Intense Quote"/>
    <w:basedOn w:val="784"/>
    <w:next w:val="78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Intense Quote Char"/>
    <w:link w:val="862"/>
    <w:uiPriority w:val="30"/>
    <w:qFormat/>
    <w:rPr>
      <w:i/>
    </w:rPr>
  </w:style>
  <w:style w:type="character" w:styleId="864" w:customStyle="1">
    <w:name w:val="Header Char"/>
    <w:basedOn w:val="794"/>
    <w:uiPriority w:val="99"/>
    <w:qFormat/>
  </w:style>
  <w:style w:type="character" w:styleId="865" w:customStyle="1">
    <w:name w:val="Footer Char"/>
    <w:basedOn w:val="794"/>
    <w:uiPriority w:val="99"/>
    <w:qFormat/>
  </w:style>
  <w:style w:type="character" w:styleId="866" w:customStyle="1">
    <w:name w:val="Caption Char"/>
    <w:uiPriority w:val="99"/>
    <w:qFormat/>
  </w:style>
  <w:style w:type="table" w:styleId="867" w:customStyle="1">
    <w:name w:val="Table Grid Light"/>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9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basedOn w:val="79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basedOn w:val="79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basedOn w:val="79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basedOn w:val="79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basedOn w:val="79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9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9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2" w:customStyle="1">
    <w:name w:val="Grid Table 6 Colorful - Accent 4"/>
    <w:basedOn w:val="7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9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basedOn w:val="79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9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9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9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9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9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9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9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9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9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9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9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9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9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basedOn w:val="79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basedOn w:val="79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basedOn w:val="79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basedOn w:val="79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basedOn w:val="79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9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basedOn w:val="7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9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9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9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9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basedOn w:val="79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basedOn w:val="79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basedOn w:val="79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basedOn w:val="79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basedOn w:val="79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9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9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9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9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9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9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9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basedOn w:val="79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basedOn w:val="79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basedOn w:val="79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basedOn w:val="79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basedOn w:val="79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9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9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9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9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9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9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9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basedOn w:val="79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basedOn w:val="79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basedOn w:val="79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9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9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basedOn w:val="7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basedOn w:val="7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link w:val="817"/>
    <w:uiPriority w:val="99"/>
    <w:qFormat/>
    <w:rPr>
      <w:sz w:val="18"/>
    </w:rPr>
  </w:style>
  <w:style w:type="character" w:styleId="993" w:customStyle="1">
    <w:name w:val="Endnote Text Char"/>
    <w:link w:val="810"/>
    <w:uiPriority w:val="99"/>
    <w:qFormat/>
    <w:rPr>
      <w:sz w:val="20"/>
    </w:rPr>
  </w:style>
  <w:style w:type="paragraph" w:styleId="994" w:customStyle="1">
    <w:name w:val="TOC Heading"/>
    <w:uiPriority w:val="39"/>
    <w:unhideWhenUsed/>
    <w:qFormat/>
    <w:rPr>
      <w:rFonts w:hint="default" w:ascii="Times New Roman" w:hAnsi="Times New Roman" w:eastAsia="宋体" w:cs="Times New Roman"/>
    </w:rPr>
  </w:style>
  <w:style w:type="paragraph" w:styleId="995" w:customStyle="1">
    <w:name w:val="样式 标题 3 + (中文) 黑体 小四 非加粗 段前: 7.8 磅 段后: 0 磅 行距: 固定值 20 磅_0"/>
    <w:basedOn w:val="996"/>
    <w:uiPriority w:val="99"/>
    <w:qFormat/>
    <w:pPr>
      <w:spacing w:before="0" w:after="0" w:line="400" w:lineRule="exact"/>
    </w:pPr>
    <w:rPr>
      <w:rFonts w:ascii="Times New Roman" w:hAnsi="Times New Roman" w:eastAsia="黑体" w:cs="宋体"/>
      <w:b w:val="0"/>
      <w:bCs w:val="0"/>
      <w:sz w:val="21"/>
      <w:szCs w:val="20"/>
    </w:rPr>
  </w:style>
  <w:style w:type="paragraph" w:styleId="996" w:customStyle="1">
    <w:name w:val="标题 3_0"/>
    <w:basedOn w:val="997"/>
    <w:next w:val="998"/>
    <w:uiPriority w:val="99"/>
    <w:qFormat/>
    <w:pPr>
      <w:keepLines/>
      <w:keepNext/>
      <w:spacing w:before="260" w:after="260" w:line="416" w:lineRule="auto"/>
      <w:outlineLvl w:val="2"/>
    </w:pPr>
    <w:rPr>
      <w:rFonts w:ascii="Calibri" w:hAnsi="Calibri" w:eastAsia="宋体"/>
      <w:b/>
      <w:bCs/>
      <w:sz w:val="32"/>
      <w:szCs w:val="32"/>
    </w:rPr>
  </w:style>
  <w:style w:type="paragraph" w:styleId="997" w:customStyle="1">
    <w:name w:val="正文_0"/>
    <w:next w:val="829"/>
    <w:uiPriority w:val="99"/>
    <w:qFormat/>
    <w:pPr>
      <w:jc w:val="both"/>
      <w:widowControl w:val="off"/>
    </w:pPr>
    <w:rPr>
      <w:rFonts w:hint="default" w:ascii="Times New Roman" w:hAnsi="Times New Roman" w:eastAsia="仿宋_GB2312" w:cs="Times New Roman"/>
      <w:sz w:val="21"/>
      <w:szCs w:val="22"/>
      <w:lang w:val="en-US" w:eastAsia="zh-CN" w:bidi="ar-SA"/>
    </w:rPr>
  </w:style>
  <w:style w:type="paragraph" w:styleId="998" w:customStyle="1">
    <w:name w:val="正文_1"/>
    <w:next w:val="829"/>
    <w:uiPriority w:val="99"/>
    <w:qFormat/>
    <w:pPr>
      <w:jc w:val="both"/>
      <w:widowControl w:val="off"/>
    </w:pPr>
    <w:rPr>
      <w:rFonts w:hint="default" w:ascii="Times New Roman" w:hAnsi="Times New Roman" w:eastAsia="仿宋_GB2312" w:cs="Times New Roman"/>
      <w:sz w:val="21"/>
      <w:szCs w:val="22"/>
      <w:lang w:val="en-US" w:eastAsia="zh-CN" w:bidi="ar-SA"/>
    </w:rPr>
  </w:style>
  <w:style w:type="paragraph" w:styleId="999" w:customStyle="1">
    <w:name w:val="Default"/>
    <w:link w:val="1017"/>
    <w:uiPriority w:val="99"/>
    <w:qFormat/>
    <w:pPr>
      <w:widowControl w:val="off"/>
    </w:pPr>
    <w:rPr>
      <w:rFonts w:hint="default" w:ascii="MS Mincho" w:hAnsi="Calibri" w:eastAsia="宋体" w:cs="Times New Roman"/>
      <w:color w:val="000000"/>
      <w:sz w:val="21"/>
      <w:szCs w:val="24"/>
      <w:lang w:val="en-US" w:eastAsia="zh-CN" w:bidi="ar-SA"/>
    </w:rPr>
  </w:style>
  <w:style w:type="paragraph" w:styleId="100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Char"/>
    <w:basedOn w:val="784"/>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002" w:customStyle="1">
    <w:name w:val="1"/>
    <w:basedOn w:val="784"/>
    <w:link w:val="1003"/>
    <w:uiPriority w:val="0"/>
    <w:qFormat/>
    <w:pPr>
      <w:jc w:val="left"/>
      <w:spacing w:line="360" w:lineRule="auto"/>
    </w:pPr>
    <w:rPr>
      <w:szCs w:val="24"/>
    </w:rPr>
  </w:style>
  <w:style w:type="character" w:styleId="1003" w:customStyle="1">
    <w:name w:val="1 Char"/>
    <w:link w:val="1002"/>
    <w:uiPriority w:val="0"/>
    <w:qFormat/>
    <w:rPr>
      <w:szCs w:val="24"/>
    </w:rPr>
  </w:style>
  <w:style w:type="character" w:styleId="1004" w:customStyle="1">
    <w:name w:val="标题 1 字符"/>
    <w:basedOn w:val="794"/>
    <w:link w:val="785"/>
    <w:uiPriority w:val="0"/>
    <w:qFormat/>
    <w:rPr>
      <w:rFonts w:ascii="Times New Roman" w:hAnsi="Times New Roman" w:eastAsia="黑体" w:cs="Times New Roman"/>
      <w:b/>
      <w:sz w:val="36"/>
      <w:szCs w:val="20"/>
    </w:rPr>
  </w:style>
  <w:style w:type="character" w:styleId="1005" w:customStyle="1">
    <w:name w:val="标题 2 字符"/>
    <w:basedOn w:val="794"/>
    <w:link w:val="786"/>
    <w:uiPriority w:val="0"/>
    <w:qFormat/>
    <w:rPr>
      <w:rFonts w:ascii="Times New Roman" w:hAnsi="Times New Roman" w:eastAsia="黑体" w:cs="Times New Roman"/>
      <w:b/>
      <w:sz w:val="28"/>
      <w:szCs w:val="20"/>
    </w:rPr>
  </w:style>
  <w:style w:type="character" w:styleId="1006" w:customStyle="1">
    <w:name w:val="标题 3 字符"/>
    <w:basedOn w:val="794"/>
    <w:link w:val="787"/>
    <w:uiPriority w:val="0"/>
    <w:qFormat/>
    <w:rPr>
      <w:rFonts w:ascii="Times New Roman" w:hAnsi="Times New Roman" w:eastAsia="黑体" w:cs="Times New Roman"/>
      <w:b/>
      <w:sz w:val="28"/>
      <w:szCs w:val="20"/>
    </w:rPr>
  </w:style>
  <w:style w:type="character" w:styleId="1007" w:customStyle="1">
    <w:name w:val="标题 4 字符"/>
    <w:basedOn w:val="794"/>
    <w:link w:val="788"/>
    <w:uiPriority w:val="0"/>
    <w:qFormat/>
    <w:rPr>
      <w:rFonts w:ascii="Arial" w:hAnsi="Times New Roman" w:eastAsia="黑体" w:cs="Times New Roman"/>
      <w:sz w:val="28"/>
      <w:szCs w:val="20"/>
    </w:rPr>
  </w:style>
  <w:style w:type="character" w:styleId="1008" w:customStyle="1">
    <w:name w:val="副标题 字符"/>
    <w:link w:val="816"/>
    <w:uiPriority w:val="0"/>
    <w:qFormat/>
    <w:rPr>
      <w:rFonts w:ascii="Cambria" w:hAnsi="Cambria"/>
      <w:b/>
      <w:bCs/>
      <w:sz w:val="32"/>
      <w:szCs w:val="32"/>
    </w:rPr>
  </w:style>
  <w:style w:type="character" w:styleId="1009" w:customStyle="1">
    <w:name w:val="纯文本 字符"/>
    <w:link w:val="808"/>
    <w:uiPriority w:val="0"/>
    <w:qFormat/>
    <w:rPr>
      <w:rFonts w:ascii="宋体" w:hAnsi="Courier New"/>
    </w:rPr>
  </w:style>
  <w:style w:type="paragraph" w:styleId="1010">
    <w:name w:val="List Paragraph"/>
    <w:basedOn w:val="784"/>
    <w:uiPriority w:val="0"/>
    <w:qFormat/>
    <w:pPr>
      <w:ind w:firstLine="420"/>
      <w:spacing w:line="360" w:lineRule="auto"/>
    </w:pPr>
    <w:rPr>
      <w:rFonts w:ascii="Times New Roman" w:hAnsi="Times New Roman" w:eastAsia="宋体" w:cs="Times New Roman"/>
      <w:szCs w:val="24"/>
    </w:rPr>
  </w:style>
  <w:style w:type="paragraph" w:styleId="1011" w:customStyle="1">
    <w:name w:val="TOC 标题1"/>
    <w:basedOn w:val="785"/>
    <w:next w:val="784"/>
    <w:uiPriority w:val="39"/>
    <w:qFormat/>
    <w:pPr>
      <w:numPr>
        <w:numId w:val="0"/>
      </w:numPr>
      <w:jc w:val="left"/>
      <w:spacing w:before="480" w:line="276" w:lineRule="auto"/>
      <w:widowControl/>
      <w:outlineLvl w:val="9"/>
    </w:pPr>
    <w:rPr>
      <w:rFonts w:ascii="Cambria" w:hAnsi="Cambria" w:eastAsia="宋体"/>
      <w:bCs/>
      <w:color w:val="365f91"/>
      <w:szCs w:val="28"/>
    </w:rPr>
  </w:style>
  <w:style w:type="character" w:styleId="1012" w:customStyle="1">
    <w:name w:val="标题 5 字符"/>
    <w:basedOn w:val="794"/>
    <w:link w:val="789"/>
    <w:uiPriority w:val="0"/>
    <w:semiHidden/>
    <w:qFormat/>
    <w:rPr>
      <w:rFonts w:ascii="Times New Roman" w:hAnsi="Times New Roman" w:eastAsia="宋体" w:cs="Times New Roman"/>
      <w:b/>
      <w:bCs/>
      <w:sz w:val="28"/>
      <w:szCs w:val="28"/>
    </w:rPr>
  </w:style>
  <w:style w:type="character" w:styleId="1013" w:customStyle="1">
    <w:name w:val="标题 6 字符"/>
    <w:basedOn w:val="794"/>
    <w:link w:val="790"/>
    <w:uiPriority w:val="0"/>
    <w:semiHidden/>
    <w:qFormat/>
    <w:rPr>
      <w:rFonts w:ascii="Cambria" w:hAnsi="Cambria" w:eastAsia="宋体" w:cs="Times New Roman"/>
      <w:b/>
      <w:bCs/>
      <w:sz w:val="24"/>
      <w:szCs w:val="24"/>
    </w:rPr>
  </w:style>
  <w:style w:type="character" w:styleId="1014" w:customStyle="1">
    <w:name w:val="标题 7 字符"/>
    <w:basedOn w:val="794"/>
    <w:link w:val="791"/>
    <w:uiPriority w:val="0"/>
    <w:semiHidden/>
    <w:qFormat/>
    <w:rPr>
      <w:rFonts w:ascii="Times New Roman" w:hAnsi="Times New Roman" w:eastAsia="宋体" w:cs="Times New Roman"/>
      <w:b/>
      <w:bCs/>
      <w:sz w:val="24"/>
      <w:szCs w:val="24"/>
    </w:rPr>
  </w:style>
  <w:style w:type="character" w:styleId="1015" w:customStyle="1">
    <w:name w:val="标题 8 字符"/>
    <w:basedOn w:val="794"/>
    <w:link w:val="792"/>
    <w:uiPriority w:val="0"/>
    <w:semiHidden/>
    <w:qFormat/>
    <w:rPr>
      <w:rFonts w:ascii="Cambria" w:hAnsi="Cambria" w:eastAsia="宋体" w:cs="Times New Roman"/>
      <w:sz w:val="24"/>
      <w:szCs w:val="24"/>
    </w:rPr>
  </w:style>
  <w:style w:type="character" w:styleId="1016" w:customStyle="1">
    <w:name w:val="标题 9 字符"/>
    <w:basedOn w:val="794"/>
    <w:link w:val="793"/>
    <w:uiPriority w:val="0"/>
    <w:semiHidden/>
    <w:qFormat/>
    <w:rPr>
      <w:rFonts w:ascii="Cambria" w:hAnsi="Cambria" w:eastAsia="宋体" w:cs="Times New Roman"/>
      <w:szCs w:val="21"/>
    </w:rPr>
  </w:style>
  <w:style w:type="character" w:styleId="1017" w:customStyle="1">
    <w:name w:val="Default Char"/>
    <w:link w:val="999"/>
    <w:uiPriority w:val="99"/>
    <w:qFormat/>
    <w:rPr>
      <w:rFonts w:ascii="MS Mincho" w:hAnsi="Calibri" w:eastAsia="宋体" w:cs="Times New Roman"/>
      <w:color w:val="000000"/>
      <w:szCs w:val="24"/>
    </w:rPr>
  </w:style>
  <w:style w:type="character" w:styleId="1018" w:customStyle="1">
    <w:name w:val="批注文字 字符"/>
    <w:basedOn w:val="794"/>
    <w:link w:val="801"/>
    <w:uiPriority w:val="0"/>
    <w:qFormat/>
    <w:rPr>
      <w:rFonts w:ascii="Times New Roman" w:hAnsi="Times New Roman" w:eastAsia="宋体" w:cs="Times New Roman"/>
      <w:szCs w:val="24"/>
    </w:rPr>
  </w:style>
  <w:style w:type="character" w:styleId="1019" w:customStyle="1">
    <w:name w:val="批注框文本 字符"/>
    <w:basedOn w:val="794"/>
    <w:link w:val="811"/>
    <w:uiPriority w:val="0"/>
    <w:semiHidden/>
    <w:qFormat/>
    <w:rPr>
      <w:rFonts w:ascii="Times New Roman" w:hAnsi="Times New Roman" w:eastAsia="宋体" w:cs="Times New Roman"/>
      <w:sz w:val="18"/>
      <w:szCs w:val="18"/>
    </w:rPr>
  </w:style>
  <w:style w:type="character" w:styleId="1020" w:customStyle="1">
    <w:name w:val="HTML 预设格式 字符"/>
    <w:link w:val="823"/>
    <w:uiPriority w:val="0"/>
    <w:qFormat/>
    <w:rPr>
      <w:rFonts w:ascii="宋体" w:hAnsi="宋体" w:cs="宋体"/>
      <w:sz w:val="24"/>
      <w:szCs w:val="24"/>
    </w:rPr>
  </w:style>
  <w:style w:type="character" w:styleId="1021" w:customStyle="1">
    <w:name w:val="HTML 预设格式 Char1"/>
    <w:basedOn w:val="794"/>
    <w:uiPriority w:val="99"/>
    <w:semiHidden/>
    <w:qFormat/>
    <w:rPr>
      <w:rFonts w:ascii="Courier New" w:hAnsi="Courier New" w:cs="Courier New"/>
      <w:sz w:val="20"/>
      <w:szCs w:val="20"/>
    </w:rPr>
  </w:style>
  <w:style w:type="character" w:styleId="1022" w:customStyle="1">
    <w:name w:val="普通正文 Char"/>
    <w:link w:val="1023"/>
    <w:uiPriority w:val="0"/>
    <w:qFormat/>
    <w:rPr>
      <w:rFonts w:ascii="Arial" w:hAnsi="Arial"/>
      <w:sz w:val="24"/>
      <w:szCs w:val="24"/>
    </w:rPr>
  </w:style>
  <w:style w:type="paragraph" w:styleId="1023" w:customStyle="1">
    <w:name w:val="普通正文"/>
    <w:basedOn w:val="784"/>
    <w:link w:val="1022"/>
    <w:uiPriority w:val="0"/>
    <w:qFormat/>
    <w:pPr>
      <w:ind w:firstLine="480"/>
      <w:jc w:val="left"/>
      <w:spacing w:before="120" w:after="120" w:line="360" w:lineRule="auto"/>
    </w:pPr>
    <w:rPr>
      <w:rFonts w:ascii="Arial" w:hAnsi="Arial"/>
      <w:sz w:val="24"/>
      <w:szCs w:val="24"/>
    </w:rPr>
  </w:style>
  <w:style w:type="paragraph" w:styleId="1024" w:customStyle="1">
    <w:name w:val="Char1"/>
    <w:basedOn w:val="784"/>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25" w:customStyle="1">
    <w:name w:val="批注主题 字符"/>
    <w:basedOn w:val="1018"/>
    <w:link w:val="827"/>
    <w:uiPriority w:val="99"/>
    <w:semiHidden/>
    <w:qFormat/>
    <w:rPr>
      <w:rFonts w:ascii="Times New Roman" w:hAnsi="Times New Roman" w:eastAsia="宋体" w:cs="Times New Roman"/>
      <w:b/>
      <w:bCs/>
      <w:szCs w:val="24"/>
    </w:rPr>
  </w:style>
  <w:style w:type="character" w:styleId="1026" w:customStyle="1">
    <w:name w:val="文档结构图 字符"/>
    <w:basedOn w:val="794"/>
    <w:link w:val="800"/>
    <w:uiPriority w:val="99"/>
    <w:semiHidden/>
    <w:qFormat/>
    <w:rPr>
      <w:rFonts w:ascii="宋体" w:eastAsia="宋体"/>
      <w:sz w:val="18"/>
      <w:szCs w:val="18"/>
    </w:rPr>
  </w:style>
  <w:style w:type="character" w:styleId="1027" w:customStyle="1">
    <w:name w:val="正文文本 字符"/>
    <w:basedOn w:val="794"/>
    <w:link w:val="802"/>
    <w:uiPriority w:val="0"/>
    <w:qFormat/>
    <w:rPr>
      <w:rFonts w:ascii="宋体" w:hAnsi="Times New Roman"/>
      <w:sz w:val="24"/>
      <w:szCs w:val="20"/>
    </w:rPr>
  </w:style>
  <w:style w:type="character" w:styleId="1028" w:customStyle="1">
    <w:name w:val="NormalCharacter"/>
    <w:uiPriority w:val="0"/>
    <w:qFormat/>
    <w:rPr>
      <w:rFonts w:ascii="Calibri" w:hAnsi="Calibri" w:eastAsia="宋体" w:cs="Times New Roman"/>
      <w:sz w:val="21"/>
      <w:szCs w:val="24"/>
      <w:lang w:val="en-US" w:eastAsia="zh-CN" w:bidi="ar-SA"/>
    </w:rPr>
  </w:style>
  <w:style w:type="paragraph" w:styleId="1029" w:customStyle="1">
    <w:name w:val="Table Paragraph"/>
    <w:basedOn w:val="784"/>
    <w:uiPriority w:val="1"/>
    <w:qFormat/>
    <w:rPr>
      <w:rFonts w:ascii="宋体" w:hAnsi="宋体" w:eastAsia="宋体" w:cs="宋体"/>
      <w:lang w:val="zh-CN" w:bidi="zh-CN"/>
    </w:rPr>
  </w:style>
  <w:style w:type="paragraph" w:styleId="1030" w:customStyle="1">
    <w:name w:val="p0"/>
    <w:basedOn w:val="784"/>
    <w:uiPriority w:val="0"/>
    <w:qFormat/>
    <w:pPr>
      <w:widowControl/>
    </w:pPr>
    <w:rPr>
      <w:rFonts w:ascii="Calibri" w:hAnsi="Calibri" w:cs="Times New Roman"/>
      <w:szCs w:val="21"/>
    </w:rPr>
  </w:style>
  <w:style w:type="paragraph" w:styleId="1031"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1032" w:customStyle="1">
    <w:name w:val="修订2"/>
    <w:hidden/>
    <w:uiPriority w:val="99"/>
    <w:semiHidden/>
    <w:qFormat/>
    <w:rPr>
      <w:rFonts w:hint="default" w:asciiTheme="minorHAnsi" w:hAnsiTheme="minorHAnsi" w:eastAsiaTheme="minorEastAsia" w:cstheme="minorBidi"/>
      <w:sz w:val="21"/>
      <w:szCs w:val="22"/>
      <w:lang w:val="en-US" w:eastAsia="zh-CN" w:bidi="ar-SA"/>
    </w:rPr>
  </w:style>
  <w:style w:type="character" w:styleId="1033" w:customStyle="1">
    <w:name w:val="font01"/>
    <w:basedOn w:val="794"/>
    <w:uiPriority w:val="0"/>
    <w:qFormat/>
    <w:rPr>
      <w:rFonts w:hint="eastAsia" w:ascii="宋体" w:hAnsi="宋体" w:eastAsia="宋体" w:cs="宋体"/>
      <w:color w:val="000000"/>
      <w:sz w:val="22"/>
      <w:szCs w:val="22"/>
      <w:u w:val="none"/>
    </w:rPr>
  </w:style>
  <w:style w:type="table" w:styleId="1034" w:customStyle="1">
    <w:name w:val="Table Normal"/>
    <w:uiPriority w:val="0"/>
    <w:semiHidden/>
    <w:unhideWhenUsed/>
    <w:qFormat/>
    <w:tblPr>
      <w:tblCellMar>
        <w:left w:w="0" w:type="dxa"/>
        <w:top w:w="0" w:type="dxa"/>
        <w:right w:w="0" w:type="dxa"/>
        <w:bottom w:w="0" w:type="dxa"/>
      </w:tblCellMar>
    </w:tblPr>
  </w:style>
  <w:style w:type="character" w:styleId="1035" w:customStyle="1">
    <w:name w:val="页眉 字符"/>
    <w:basedOn w:val="794"/>
    <w:link w:val="813"/>
    <w:uiPriority w:val="99"/>
    <w:qFormat/>
    <w:rPr>
      <w:sz w:val="18"/>
      <w:szCs w:val="22"/>
    </w:rPr>
  </w:style>
  <w:style w:type="character" w:styleId="1036" w:customStyle="1">
    <w:name w:val="正文文本缩进 字符"/>
    <w:basedOn w:val="794"/>
    <w:link w:val="803"/>
    <w:uiPriority w:val="0"/>
    <w:qFormat/>
    <w:rPr>
      <w:rFonts w:ascii="仿宋_GB2312" w:eastAsia="仿宋_GB2312"/>
      <w:sz w:val="32"/>
      <w:szCs w:val="22"/>
    </w:rPr>
  </w:style>
  <w:style w:type="character" w:styleId="1037" w:customStyle="1">
    <w:name w:val="页脚 字符"/>
    <w:basedOn w:val="794"/>
    <w:link w:val="812"/>
    <w:uiPriority w:val="99"/>
    <w:qFormat/>
    <w:rPr>
      <w:sz w:val="18"/>
      <w:szCs w:val="22"/>
    </w:rPr>
  </w:style>
  <w:style w:type="character" w:styleId="1038" w:customStyle="1">
    <w:name w:val="正文文本首行缩进 字符"/>
    <w:basedOn w:val="1027"/>
    <w:link w:val="828"/>
    <w:uiPriority w:val="0"/>
    <w:qFormat/>
    <w:rPr>
      <w:rFonts w:ascii="Times New Roman" w:hAnsi="Times New Roman" w:eastAsia="宋体"/>
      <w:sz w:val="21"/>
      <w:szCs w:val="24"/>
    </w:rPr>
  </w:style>
  <w:style w:type="character" w:styleId="1039" w:customStyle="1">
    <w:name w:val="font11"/>
    <w:basedOn w:val="794"/>
    <w:uiPriority w:val="0"/>
    <w:qFormat/>
    <w:rPr>
      <w:rFonts w:hint="default" w:ascii="等线" w:hAnsi="等线" w:eastAsia="等线" w:cs="等线"/>
      <w:color w:val="000000"/>
      <w:sz w:val="24"/>
      <w:szCs w:val="24"/>
      <w:u w:val="none"/>
    </w:rPr>
  </w:style>
  <w:style w:type="paragraph" w:styleId="1040" w:customStyle="1">
    <w:name w:val="列出段落2"/>
    <w:basedOn w:val="784"/>
    <w:uiPriority w:val="0"/>
    <w:qFormat/>
    <w:pPr>
      <w:ind w:firstLine="420"/>
      <w:jc w:val="left"/>
      <w:spacing w:line="360" w:lineRule="auto"/>
    </w:pPr>
    <w:rPr>
      <w:rFonts w:ascii="Calibri" w:hAnsi="Calibri"/>
      <w:szCs w:val="22"/>
    </w:rPr>
  </w:style>
  <w:style w:type="paragraph" w:styleId="1041" w:customStyle="1">
    <w:name w:val="正  文"/>
    <w:basedOn w:val="784"/>
    <w:uiPriority w:val="0"/>
    <w:qFormat/>
    <w:pPr>
      <w:ind w:firstLine="200"/>
      <w:spacing w:line="360" w:lineRule="auto"/>
    </w:pPr>
    <w:rPr>
      <w:rFonts w:ascii="Times New Roman" w:hAnsi="Times New Roman" w:eastAsia="宋体" w:cs="Times New Roman"/>
      <w:szCs w:val="21"/>
    </w:rPr>
  </w:style>
  <w:style w:type="paragraph" w:styleId="1042"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43" w:customStyle="1">
    <w:name w:val="WPSOffice手动目录 1"/>
    <w:uiPriority w:val="0"/>
    <w:qFormat/>
    <w:rPr>
      <w:rFonts w:ascii="Times New Roman" w:hAnsi="Times New Roman" w:eastAsia="宋体" w:cs="Times New Roman"/>
      <w:sz w:val="20"/>
      <w:szCs w:val="20"/>
    </w:rPr>
  </w:style>
  <w:style w:type="paragraph" w:styleId="1044" w:customStyle="1">
    <w:name w:val="正文1"/>
    <w:uiPriority w:val="0"/>
    <w:qFormat/>
    <w:pPr>
      <w:ind w:firstLine="480"/>
      <w:jc w:val="both"/>
      <w:spacing w:line="360" w:lineRule="auto"/>
      <w:widowControl w:val="off"/>
    </w:pPr>
    <w:rPr>
      <w:rFonts w:ascii="宋体" w:hAnsi="宋体" w:eastAsia="宋体" w:cs="Times New Roman"/>
      <w:sz w:val="21"/>
      <w:szCs w:val="24"/>
      <w:lang w:val="en-US" w:eastAsia="zh-CN" w:bidi="ar-SA"/>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3396E7F-6BDA-40C8-AF4D-3CF85AAB27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张桂杰</cp:lastModifiedBy>
  <cp:revision>23</cp:revision>
  <dcterms:created xsi:type="dcterms:W3CDTF">2023-10-26T01:39:00Z</dcterms:created>
  <dcterms:modified xsi:type="dcterms:W3CDTF">2026-08-20T07:57:32Z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7748A61E3DCD4724B4C20E2F0A5622C9_13</vt:lpwstr>
  </property>
  <property fmtid="{D5CDD505-2E9C-101B-9397-08002B2CF9AE}" pid="4" name="KSOTemplateDocerSaveRecord">
    <vt:lpwstr>eyJoZGlkIjoiYTdmOGFkYTI2ZmE2OWI3Mzk4NjI4M2NkMzAzN2MwYWUiLCJ1c2VySWQiOiIxMjY4MzA0OTkxIn0=</vt:lpwstr>
  </property>
</Properties>
</file>