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74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8"/>
        <w:jc w:val="center"/>
        <w:rPr>
          <w:rFonts w:hint="eastAsia" w:ascii="宋体" w:hAnsi="宋体" w:eastAsia="宋体" w:cs="宋体"/>
          <w:b/>
          <w:color w:val="000000" w:themeColor="text1"/>
          <w:spacing w:val="76"/>
          <w:sz w:val="156"/>
          <w:highlight w:val="none"/>
          <w14:textFill>
            <w14:solidFill>
              <w14:schemeClr w14:val="tx1"/>
            </w14:solidFill>
          </w14:textFill>
        </w:rPr>
      </w:pPr>
      <w:r>
        <w:rPr>
          <w:rFonts w:hint="eastAsia" w:ascii="宋体" w:hAnsi="宋体" w:eastAsia="宋体" w:cs="宋体"/>
          <w:b/>
          <w:color w:val="000000" w:themeColor="text1"/>
          <w:spacing w:val="76"/>
          <w:sz w:val="156"/>
          <w:highlight w:val="none"/>
          <w14:textFill>
            <w14:solidFill>
              <w14:schemeClr w14:val="tx1"/>
            </w14:solidFill>
          </w14:textFill>
        </w:rPr>
        <w:t xml:space="preserve">招标文件</w:t>
      </w:r>
      <w:r/>
    </w:p>
    <w:p>
      <w:pPr>
        <w:pStyle w:val="748"/>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748"/>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748"/>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keepLines w:val="0"/>
        <w:keepNext w:val="0"/>
        <w:pageBreakBefore w:val="0"/>
        <w:spacing w:line="640" w:lineRule="exact"/>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keepLines w:val="0"/>
        <w:keepNext w:val="0"/>
        <w:pageBreakBefore w:val="0"/>
        <w:spacing w:line="1000" w:lineRule="exact"/>
        <w:widowControl w:val="off"/>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项目名称：徐州市数智化财政业务平台-财政信息化服务</w:t>
      </w:r>
      <w:r/>
    </w:p>
    <w:p>
      <w:pPr>
        <w:keepLines w:val="0"/>
        <w:keepNext w:val="0"/>
        <w:pageBreakBefore w:val="0"/>
        <w:spacing w:line="1000" w:lineRule="exact"/>
        <w:widowControl w:val="off"/>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JSZC-320300-WYKJ-G2026-0027</w:t>
      </w:r>
      <w:r/>
    </w:p>
    <w:p>
      <w:pPr>
        <w:keepLines w:val="0"/>
        <w:keepNext w:val="0"/>
        <w:pageBreakBefore w:val="0"/>
        <w:spacing w:line="1000" w:lineRule="exact"/>
        <w:widowControl w:val="off"/>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人：徐州市财政效能中心</w:t>
      </w:r>
      <w:r/>
    </w:p>
    <w:p>
      <w:pPr>
        <w:ind w:firstLine="1600"/>
        <w:spacing w:line="48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48"/>
        <w:jc w:val="both"/>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ind w:firstLine="128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204210" cy="6248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3204604" cy="625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3pt;height:49.2pt;mso-wrap-distance-left:0.0pt;mso-wrap-distance-top:0.0pt;mso-wrap-distance-right:0.0pt;mso-wrap-distance-bottom:0.0pt;" stroked="f">
                <v:path textboxrect="0,0,0,0"/>
                <v:imagedata r:id="rId13" o:title=""/>
              </v:shape>
            </w:pict>
          </mc:Fallback>
        </mc:AlternateContent>
      </w:r>
      <w:r/>
    </w:p>
    <w:p>
      <w:pPr>
        <w:pStyle w:val="748"/>
        <w:ind w:firstLine="128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ind w:firstLine="128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采购代理机构：中通服网盈科技有限公司</w:t>
      </w:r>
      <w:r/>
    </w:p>
    <w:p>
      <w:pPr>
        <w:pStyle w:val="748"/>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51"/>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748"/>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66"/>
        <w:ind w:left="0" w:right="0"/>
        <w:rPr>
          <w:rFonts w:hint="eastAsia" w:ascii="宋体" w:hAnsi="宋体" w:eastAsia="宋体" w:cs="宋体"/>
          <w:color w:val="000000" w:themeColor="text1"/>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951"/>
        <w:ind w:firstLine="0"/>
        <w:jc w:val="center"/>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t xml:space="preserve">目 录</w:t>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bookmarkStart w:id="0" w:name="_Toc522790130"/>
      <w:r/>
      <w:r/>
    </w:p>
    <w:p>
      <w:pPr>
        <w:jc w:val="center"/>
        <w:spacing w:line="520" w:lineRule="exact"/>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TOC \o "1-3" \h \z \u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"_Toc523404695"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"_Toc523404696"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"_Toc523404697"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第三章  投标资料表</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"_Toc523404698"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第四章  评标标准</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"_Toc523404699"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第五章  拟签订的合同文本</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"_Toc523404700"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第六章  采购需求</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"_Toc523404701"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第七章  投标文件相关格</w:t>
      </w:r>
      <w:bookmarkStart w:id="1" w:name="_Hlt532911772"/>
      <w:r/>
      <w:bookmarkStart w:id="2" w:name="_Hlt532911771"/>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式</w:t>
      </w:r>
      <w:bookmarkEnd w:id="1"/>
      <w:r/>
      <w:bookmarkEnd w:id="2"/>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210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sectPr>
          <w:footnotePr/>
          <w:endnotePr/>
          <w:type w:val="nextPage"/>
          <w:pgSz w:w="11906" w:h="16838" w:orient="portrait"/>
          <w:pgMar w:top="1134" w:right="850" w:bottom="1134" w:left="1701" w:header="709" w:footer="709" w:gutter="0"/>
          <w:cols w:num="1" w:sep="0" w:space="720" w:equalWidth="1"/>
          <w:docGrid w:linePitch="360"/>
        </w:sect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lang w:eastAsia="zh-CN"/>
          <w14:textFill>
            <w14:solidFill>
              <w14:schemeClr w14:val="tx1"/>
            </w14:solidFill>
          </w14:textFill>
        </w:rPr>
        <w:t xml:space="preserve">徐州市财政效能中心</w:t>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w:t>
      </w:r>
      <w:r>
        <w:rPr>
          <w:rFonts w:hint="eastAsia" w:ascii="宋体" w:hAnsi="宋体" w:eastAsia="宋体" w:cs="宋体"/>
          <w:b/>
          <w:color w:val="000000" w:themeColor="text1"/>
          <w:sz w:val="44"/>
          <w:szCs w:val="44"/>
          <w:highlight w:val="none"/>
          <w:lang w:eastAsia="zh-CN"/>
          <w14:textFill>
            <w14:solidFill>
              <w14:schemeClr w14:val="tx1"/>
            </w14:solidFill>
          </w14:textFill>
        </w:rPr>
        <w:t xml:space="preserve">徐州市数智化财政业务平台-财政信息化服务</w:t>
      </w:r>
      <w:r>
        <w:rPr>
          <w:rFonts w:hint="eastAsia" w:ascii="宋体" w:hAnsi="宋体" w:eastAsia="宋体" w:cs="宋体"/>
          <w:b/>
          <w:color w:val="000000" w:themeColor="text1"/>
          <w:sz w:val="44"/>
          <w:szCs w:val="44"/>
          <w:highlight w:val="none"/>
          <w14:textFill>
            <w14:solidFill>
              <w14:schemeClr w14:val="tx1"/>
            </w14:solidFill>
          </w14:textFill>
        </w:rPr>
        <w:t xml:space="preserve">》招标文件</w:t>
      </w:r>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5"/>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 w:name="_Toc523404695"/>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bookmarkEnd w:id="3"/>
      <w:r/>
      <w:r/>
    </w:p>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徐州市财政效能中心</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”进行公开招标采购，现邀请符合相关条件的供应商投标。</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一、项目名称和项目编号</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JSZC-320300-WYKJ-G2026-0027</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二、对投标人的资格要求</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详见本项目公开招标公告。</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三、获取招标文件</w:t>
      </w:r>
      <w:bookmarkEnd w:id="0"/>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（1）潜在供应商访问电子招标投标交易平台的网络地址和方法：</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②潜在供应商访问“苏采云”系统的网络地址和方法：“苏采云”系统的网址：</w:t>
      </w:r>
      <w:r>
        <w:rPr>
          <w:rFonts w:hint="eastAsia" w:ascii="宋体" w:hAnsi="宋体" w:cs="宋体"/>
          <w:bCs/>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bCs/>
          <w:color w:val="000000" w:themeColor="text1"/>
          <w:sz w:val="24"/>
          <w:szCs w:val="24"/>
          <w:highlight w:val="none"/>
          <w14:textFill>
            <w14:solidFill>
              <w14:schemeClr w14:val="tx1"/>
            </w14:solidFill>
          </w14:textFill>
        </w:rPr>
        <w:t xml:space="preserve">；或进入徐州政府采购网（网址：</w:t>
      </w:r>
      <w:r>
        <w:rPr>
          <w:rFonts w:hint="eastAsia" w:ascii="宋体" w:hAnsi="宋体" w:cs="宋体"/>
          <w:bCs/>
          <w:color w:val="000000" w:themeColor="text1"/>
          <w:sz w:val="24"/>
          <w:szCs w:val="24"/>
          <w:highlight w:val="none"/>
          <w:lang w:eastAsia="zh-CN"/>
          <w14:textFill>
            <w14:solidFill>
              <w14:schemeClr w14:val="tx1"/>
            </w14:solidFill>
          </w14:textFill>
        </w:rPr>
        <w:t xml:space="preserve">https://czj.xz.gov.cn/zfcg/</w:t>
      </w:r>
      <w:r>
        <w:rPr>
          <w:rFonts w:hint="eastAsia" w:ascii="宋体" w:hAnsi="宋体" w:eastAsia="宋体" w:cs="宋体"/>
          <w:bCs/>
          <w:color w:val="000000" w:themeColor="text1"/>
          <w:sz w:val="24"/>
          <w:szCs w:val="24"/>
          <w:highlight w:val="none"/>
          <w14:textFill>
            <w14:solidFill>
              <w14:schemeClr w14:val="tx1"/>
            </w14:solidFill>
          </w14:textFill>
        </w:rPr>
        <w:t xml:space="preserve">）--业务工作--用户登录，点击“苏采云”进入系统。</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③“CA数字证书”的获取：</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（2）采购代理机构将数据电文形式的招标文件加载至电子招标投标交易平台，供潜在供应商下载或者查阅。</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（3）苏采云系统使用谷歌浏览器参与不见面开标。</w:t>
      </w:r>
      <w:r/>
    </w:p>
    <w:p>
      <w:pPr>
        <w:ind w:firstLine="56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（4）售价：免费。</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四、投标有关信息</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（一）投标截止时间：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北京时间09:30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（二）开标时间：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北京时间09:30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（三）开标地点：“苏采云”系统（网址： </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t xml:space="preserve">）“开标大厅”或进入徐州政府采购网（网址：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w:t>
      </w:r>
      <w:r>
        <w:rPr>
          <w:rFonts w:hint="eastAsia" w:ascii="宋体" w:hAnsi="宋体" w:eastAsia="宋体" w:cs="宋体"/>
          <w:color w:val="000000" w:themeColor="text1"/>
          <w:sz w:val="24"/>
          <w:szCs w:val="24"/>
          <w:highlight w:val="none"/>
          <w14:textFill>
            <w14:solidFill>
              <w14:schemeClr w14:val="tx1"/>
            </w14:solidFill>
          </w14:textFill>
        </w:rPr>
        <w:t xml:space="preserve">）-业务工作 -用户登录，点击“苏采云”进入系统“开标大厅”。 </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五、采购人</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徐州市财政效能中心</w:t>
      </w:r>
      <w:r/>
    </w:p>
    <w:p>
      <w:pPr>
        <w:ind w:firstLine="56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徐州市新城区行政中心北</w:t>
      </w:r>
      <w:r>
        <w:rPr>
          <w:rFonts w:hint="eastAsia" w:ascii="宋体" w:hAnsi="宋体" w:cs="宋体"/>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区106房间</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（三）联系方法：0516-83791151</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（四）采购项目联系人：朱镇</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六、采购代理机构</w:t>
      </w:r>
      <w:r/>
    </w:p>
    <w:p>
      <w:pPr>
        <w:ind w:firstLine="56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p>
    <w:p>
      <w:pPr>
        <w:ind w:firstLine="56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江苏省徐州市泉山区三环南路与奎河交界处西北侧江苏淮海科技城·数字经济产业园6号楼9层</w:t>
      </w:r>
      <w:r/>
    </w:p>
    <w:p>
      <w:pPr>
        <w:ind w:firstLine="56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（三）联系方法：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0516-83669977</w:t>
      </w:r>
      <w:r/>
    </w:p>
    <w:p>
      <w:pPr>
        <w:ind w:firstLine="560"/>
        <w:spacing w:line="520" w:lineRule="exact"/>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（四）采购项目联系人：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吕碧、李梦溪、张镇宁、陈玉帅</w:t>
      </w:r>
      <w:r/>
    </w:p>
    <w:p>
      <w:pPr>
        <w:ind w:firstLine="600"/>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12"/>
        <w:rPr>
          <w:rFonts w:hint="eastAsia" w:ascii="宋体" w:hAnsi="宋体" w:eastAsia="宋体" w:cs="宋体"/>
          <w:color w:val="000000" w:themeColor="text1"/>
          <w:highlight w:val="none"/>
          <w14:textFill>
            <w14:solidFill>
              <w14:schemeClr w14:val="tx1"/>
            </w14:solidFill>
          </w14:textFill>
        </w:rPr>
      </w:pPr>
      <w:r/>
      <w:bookmarkStart w:id="4" w:name="_Toc522790131"/>
      <w:r/>
      <w:bookmarkStart w:id="5" w:name="_Toc523404696"/>
      <w:r>
        <w:rPr>
          <w:rFonts w:hint="eastAsia" w:ascii="宋体" w:hAnsi="宋体" w:eastAsia="宋体" w:cs="宋体"/>
          <w:color w:val="000000" w:themeColor="text1"/>
          <w:highlight w:val="none"/>
          <w14:textFill>
            <w14:solidFill>
              <w14:schemeClr w14:val="tx1"/>
            </w14:solidFill>
          </w14:textFill>
        </w:rPr>
        <w:br w:type="page" w:clear="all"/>
      </w:r>
      <w:bookmarkEnd w:id="4"/>
      <w:r/>
      <w:bookmarkEnd w:id="5"/>
      <w:r/>
      <w:bookmarkStart w:id="6" w:name="_Toc522790132"/>
      <w:r/>
      <w:bookmarkStart w:id="7" w:name="_Toc523404697"/>
      <w:r>
        <w:rPr>
          <w:rFonts w:hint="eastAsia" w:ascii="宋体" w:hAnsi="宋体" w:eastAsia="宋体" w:cs="宋体"/>
          <w:color w:val="000000" w:themeColor="text1"/>
          <w:highlight w:val="none"/>
          <w14:textFill>
            <w14:solidFill>
              <w14:schemeClr w14:val="tx1"/>
            </w14:solidFill>
          </w14:textFill>
        </w:rPr>
        <w:t xml:space="preserve">第二章  投标人须知</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一、总则</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二、招标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pStyle w:val="747"/>
        <w:ind w:firstLine="482"/>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747"/>
        <w:ind w:firstLine="482"/>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 CA 证书妥善保管，如被他人盗用投标，因此带来的结果均由投标人自行承担。</w:t>
      </w:r>
      <w:r/>
    </w:p>
    <w:p>
      <w:pPr>
        <w:pStyle w:val="747"/>
        <w:ind w:firstLine="482"/>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pStyle w:val="747"/>
        <w:ind w:firstLine="482"/>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投标文件的盖章要求，以本文件第三章《投标资料表》中所提要求为准。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、转包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在评标过程中发现投标人有上述情形的，评标委员会应当认定其投标无效，并书面报告本级财政部门。</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（二十四）有下列情形之一的，其投标无效。</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6.电子投标文件未按规定期限投标的；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7.电子投标文件未按招标文件要求签章的；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8.投标人未在规定时间内解密电子投标文件的；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10.不具备招标文件中规定的资格要求的；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11.报价超过招标文件中规定的预算金额或者最高限价的；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12.投标文件含有采购人不能接受的附加条件的；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13.法律、法规和招标文件规定的其他无效情形。</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四、开标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（二十五）开标：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47"/>
        <w:ind w:firstLine="600"/>
        <w:spacing w:line="52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2.由电子招标投标交易平台主持，邀请投标人参加。</w:t>
      </w:r>
      <w:r/>
    </w:p>
    <w:p>
      <w:pPr>
        <w:pStyle w:val="747"/>
        <w:ind w:firstLine="600"/>
        <w:spacing w:line="52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highlight w:val="none"/>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五、评标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（4）组织评标委员会推选评标组长（采购人代表不得担任组长）；</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（5）在评标期间采取必要的通讯管理措施，保证评标活动不受外界干扰；</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（6）根据评标委员会的要求介绍政府采购相关政策法规、招标文件；</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（8）核对评标结果，对有《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2.评标委员会负责具体评标事务，并独立履行下列职责：</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①资格性审查。</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47"/>
        <w:ind w:firstLine="600"/>
        <w:jc w:val="left"/>
        <w:spacing w:line="520" w:lineRule="exact"/>
        <w:widowControl/>
        <w:rPr>
          <w:rFonts w:hint="eastAsia" w:ascii="宋体" w:hAnsi="宋体" w:eastAsia="宋体" w:cs="宋体"/>
          <w:i/>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实施政府采购异常低价审查的有关要求：</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1.评审中出现下列情形之一的，评审（评标）委员会应当启动异常低价投标（响应）审查程序：</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1.2投标（响应）报价低于通过符合性审查的次低报价供应商投标（响应）报价50%的，即投标（响应）报价&lt;通过符合性审查的次低报价供应商投标（响应）报价×50%；</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1.3投标（响应）报价低于采购项目最高限价（未设定最高限价的采购项目，以采购项目预算金额作为最高限价）45%的，即投标（响应）报价&lt;采购项目最高限价×45%；</w:t>
      </w:r>
      <w:r/>
    </w:p>
    <w:p>
      <w:pPr>
        <w:pStyle w:val="747"/>
        <w:ind w:firstLine="600"/>
        <w:jc w:val="left"/>
        <w:spacing w:line="52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1.4评审（评标）委员会基于专业判断，认为供应商报价过低，有可能影响产品质量或者不能诚信履约的其他情形。</w:t>
      </w:r>
      <w:r/>
    </w:p>
    <w:p>
      <w:pPr>
        <w:pStyle w:val="747"/>
        <w:ind w:firstLine="600"/>
        <w:jc w:val="left"/>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评审（评标）委员会启动异常低价投标（响应）审查后，属于前述第1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项至第</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4项情形的，应当要求相关供应商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六、定标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七、政府采购合同</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color w:val="000000" w:themeColor="text1"/>
          <w:sz w:val="24"/>
          <w:szCs w:val="24"/>
          <w:highlight w:val="none"/>
          <w14:textFill>
            <w14:solidFill>
              <w14:schemeClr w14:val="tx1"/>
            </w14:solidFill>
          </w14:textFill>
        </w:rPr>
        <w:t xml:space="preserve">》相关条款执行。</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要求详见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  投标资料表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（三十八）的规定。</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47"/>
        <w:ind w:firstLine="600"/>
        <w:jc w:val="left"/>
        <w:spacing w:line="520" w:lineRule="exact"/>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（4）如投标人在本次招投标活动前两年内，在其他招投标活动中存在提供虚假信息等不诚信行为的，采购代理机构有权拒绝其投标、取消其中标资格和撤消其已签署的合同。</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八、询问和质疑</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九、电子招标投标交易平台</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）相关要求是本招标文件的组成部分。</w:t>
      </w:r>
      <w:r/>
    </w:p>
    <w:p>
      <w:pPr>
        <w:ind w:firstLine="600"/>
        <w:jc w:val="center"/>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2"/>
          <w:szCs w:val="40"/>
          <w:highlight w:val="none"/>
          <w14:textFill>
            <w14:solidFill>
              <w14:schemeClr w14:val="tx1"/>
            </w14:solidFill>
          </w14:textFill>
        </w:rPr>
        <w:t xml:space="preserve">第三章  投标资料表</w:t>
      </w:r>
      <w:bookmarkEnd w:id="6"/>
      <w:r/>
      <w:bookmarkEnd w:id="7"/>
      <w:r/>
      <w:r/>
    </w:p>
    <w:p>
      <w:pPr>
        <w:ind w:firstLine="600"/>
        <w:jc w:val="center"/>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47"/>
        <w:ind w:firstLine="56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10"/>
        <w:tblpPr w:horzAnchor="page" w:tblpX="1683" w:vertAnchor="text" w:tblpY="436" w:leftFromText="180" w:topFromText="0" w:rightFromText="180" w:bottomFromText="0"/>
        <w:tblW w:w="946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2"/>
        <w:gridCol w:w="7903"/>
      </w:tblGrid>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徐州市财政效能中心</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本项目采购代理机构：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一、符合《中华人民共和国政府采购法》第二十二条的规定。</w:t>
            </w:r>
            <w:r/>
          </w:p>
          <w:p>
            <w:pPr>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w:t>
            </w:r>
            <w:bookmarkStart w:id="8" w:name="OLE_LINK4"/>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b/>
                <w:bCs/>
                <w:color w:val="000000" w:themeColor="text1"/>
                <w:sz w:val="24"/>
                <w:szCs w:val="24"/>
                <w:highlight w:val="none"/>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采购包1、采购包2、采购包4</w:t>
            </w:r>
            <w:r>
              <w:rPr>
                <w:rFonts w:hint="eastAsia" w:ascii="宋体" w:hAnsi="宋体" w:eastAsia="宋体" w:cs="宋体"/>
                <w:b/>
                <w:bCs/>
                <w:color w:val="000000" w:themeColor="text1"/>
                <w:sz w:val="24"/>
                <w:szCs w:val="24"/>
                <w:highlight w:val="none"/>
                <w14:textFill>
                  <w14:solidFill>
                    <w14:schemeClr w14:val="tx1"/>
                  </w14:solidFill>
                </w14:textFill>
              </w:rPr>
              <w:t xml:space="preserve">属于专门面向中小微企业采购的项目，供应商应为中小微企业或监狱企业或残疾人福利性单位。</w:t>
            </w:r>
            <w:bookmarkEnd w:id="8"/>
            <w:r/>
            <w:r/>
          </w:p>
          <w:p>
            <w:pPr>
              <w:pStyle w:val="739"/>
              <w:ind w:firstLine="0"/>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三、本项目采购包3不属于专门面向中小微企业采购的项目。</w:t>
            </w:r>
            <w:r/>
          </w:p>
          <w:p>
            <w:pPr>
              <w:pStyle w:val="739"/>
              <w:ind w:firstLine="0"/>
              <w:rPr>
                <w:rFonts w:hint="default"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sz w:val="24"/>
                <w:szCs w:val="24"/>
                <w:highlight w:val="none"/>
                <w:lang w:val="en-US" w:eastAsia="en-US" w:bidi="ar-SA"/>
              </w:rPr>
              <w:t xml:space="preserve">本项目的特定资格要求：</w:t>
            </w:r>
            <w:r>
              <w:rPr>
                <w:rFonts w:hint="eastAsia" w:ascii="宋体" w:hAnsi="宋体" w:eastAsia="宋体" w:cs="宋体"/>
                <w:b/>
                <w:bCs/>
                <w:sz w:val="24"/>
                <w:szCs w:val="24"/>
                <w:highlight w:val="none"/>
                <w:lang w:val="en-US" w:eastAsia="zh-CN" w:bidi="ar-SA"/>
              </w:rPr>
              <w:t xml:space="preserve">无</w:t>
            </w:r>
            <w:r>
              <w:rPr>
                <w:rFonts w:hint="eastAsia" w:ascii="宋体" w:hAnsi="宋体" w:eastAsia="宋体" w:cs="宋体"/>
                <w:b/>
                <w:bCs/>
                <w:sz w:val="24"/>
                <w:szCs w:val="24"/>
                <w:highlight w:val="none"/>
                <w:lang w:val="en-US" w:eastAsia="en-US" w:bidi="ar-SA"/>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同时明确相关事项如下：</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1、本项目不接受联合体参与采购活动。</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747"/>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4、查询及使用供应商信用记录：</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(1)由采购人查询信用信息。</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(2)查询渠道包括：</w:t>
            </w:r>
            <w:r/>
          </w:p>
          <w:p>
            <w:pPr>
              <w:pStyle w:val="747"/>
              <w:jc w:val="left"/>
              <w:spacing w:line="400" w:lineRule="exact"/>
              <w:tabs>
                <w:tab w:val="left" w:pos="65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①“信用中国”网（</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jc w:val="left"/>
              <w:spacing w:line="400" w:lineRule="exact"/>
              <w:tabs>
                <w:tab w:val="left" w:pos="65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②中国政府采购网（</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"http://www.ccgp.gov.cn/"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③“信用江苏”网（www.jscredit.gov.cn）；</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④“信用中国（江苏徐州）”网（ </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"http://www.xuzhoucredit.gov.cn/"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http://www.xuzhoucredit.gov.cn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(3)截止时点（查询环节）：资格审查结束前。</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(4)信用信息查询记录和证据留存的具体方式：网页截屏打印，与其他采购文件一并保存。</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(5)信用信息的使用规则：</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投标文件的语言为中文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投标人须用政府采购客户端工具导入“苏采云”系统下载的招标文件后，离线编制投标文件。招标文件、</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操作手册及政府采购客户端工具可通过“苏采云”系统（网址：</w:t>
            </w: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操作手册及政府采购客户端工具也可通过徐州政府采购网--业务工作--快速服务--下载专区，点击进入《江苏省政府采购管理交易系统（苏采云）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特别说明：政府采购客户端工具需要导出加密的投标文件（后缀名为zip）。投标文件不得超过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50M！（以系统为准）</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(十二)1</w:t>
            </w:r>
            <w:r/>
          </w:p>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投标文件编制要求：</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请按照以下要求（包括但不限于以下要求）制作：</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一、基本目录</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《开标一览表》（加盖电子签章，政府采购客户端工具输入报价自动生成）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二、资格条件（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采购包1、采购包2、采购包4：</w:t>
            </w: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必须提供，否则投标无效</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采购包3：</w:t>
            </w: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必须提供，否则投标无效）</w:t>
            </w:r>
            <w:r/>
          </w:p>
          <w:p>
            <w:pPr>
              <w:spacing w:line="400" w:lineRule="exact"/>
              <w:widowControl/>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投标人合法有效的营业执照扫描件，或事业单位法人证书扫描件，或民办非企业单位登记证书扫描件，以上证明文件提供原件的扫描件。</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2、财务状况报告（即提供投标人的本项目开标时间</w:t>
            </w:r>
            <w:r>
              <w:rPr>
                <w:rFonts w:hint="eastAsia" w:ascii="宋体" w:hAnsi="宋体" w:cs="宋体"/>
                <w:color w:val="000000" w:themeColor="text1"/>
                <w:sz w:val="24"/>
                <w:highlight w:val="none"/>
                <w14:textFill>
                  <w14:solidFill>
                    <w14:schemeClr w14:val="tx1"/>
                  </w14:solidFill>
                </w14:textFill>
              </w:rPr>
              <w:t xml:space="preserve">（不含开标当月）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前6个月内任何时间的资产负债表和利润表扫描件各一份，或提供投标人上年度经审计的财务报告扫描件，或提供投标人的本项目开标时间</w:t>
            </w:r>
            <w:r>
              <w:rPr>
                <w:rFonts w:hint="eastAsia" w:ascii="宋体" w:hAnsi="宋体" w:cs="宋体"/>
                <w:color w:val="000000" w:themeColor="text1"/>
                <w:sz w:val="24"/>
                <w:highlight w:val="none"/>
                <w14:textFill>
                  <w14:solidFill>
                    <w14:schemeClr w14:val="tx1"/>
                  </w14:solidFill>
                </w14:textFill>
              </w:rPr>
              <w:t xml:space="preserve">（不含开标当月）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前6个月内银行出具的资信证明扫描件）。</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3、投标人的本项目开标时间</w:t>
            </w:r>
            <w:r>
              <w:rPr>
                <w:rFonts w:hint="eastAsia" w:ascii="宋体" w:hAnsi="宋体" w:cs="宋体"/>
                <w:color w:val="000000" w:themeColor="text1"/>
                <w:sz w:val="24"/>
                <w:highlight w:val="none"/>
                <w14:textFill>
                  <w14:solidFill>
                    <w14:schemeClr w14:val="tx1"/>
                  </w14:solidFill>
                </w14:textFill>
              </w:rPr>
              <w:t xml:space="preserve">（不含开标当月）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4、具备履行合同所必需的设备和专业技术能力的证明材料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（即投标文件中提供《具备履行合同所必需的设备和专业技术能力的书面声明（附证明材料扫描件）》（加盖电子签章，格式见招标文件第七章《投标文件相关格式》）。</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bookmarkStart w:id="9" w:name="OLE_LINK5"/>
            <w:r>
              <w:rPr>
                <w:rFonts w:hint="eastAsia" w:ascii="宋体" w:hAnsi="宋体" w:eastAsia="宋体" w:cs="宋体"/>
                <w:color w:val="000000" w:themeColor="text1"/>
                <w:sz w:val="24"/>
                <w:szCs w:val="24"/>
                <w:highlight w:val="none"/>
                <w14:textFill>
                  <w14:solidFill>
                    <w14:schemeClr w14:val="tx1"/>
                  </w14:solidFill>
                </w14:textFill>
              </w:rPr>
              <w:t xml:space="preserve">投标人参加政府采购活动前3年内在经营活动中没有重大违法记录的书面声明（加盖电子签章，格式见招标文件第七章《投标文件相关格式》）</w:t>
            </w:r>
            <w:bookmarkEnd w:id="9"/>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bookmarkStart w:id="10" w:name="OLE_LINK6"/>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采购包1、采购包2、采购包4：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本项目为专门面向中小微企业的项目，提供的服务全部由符合政策要求的中小企业承接。</w:t>
            </w:r>
            <w:r>
              <w:rPr>
                <w:rFonts w:hint="eastAsia" w:ascii="宋体" w:hAnsi="宋体" w:eastAsia="宋体" w:cs="宋体"/>
                <w:b/>
                <w:bCs/>
                <w:color w:val="000000" w:themeColor="text1"/>
                <w:sz w:val="24"/>
                <w:szCs w:val="24"/>
                <w:highlight w:val="none"/>
                <w14:textFill>
                  <w14:solidFill>
                    <w14:schemeClr w14:val="tx1"/>
                  </w14:solidFill>
                </w14:textFill>
              </w:rPr>
              <w:t xml:space="preserve">提供《中小企业声明函》</w:t>
            </w:r>
            <w:bookmarkEnd w:id="10"/>
            <w:r>
              <w:rPr>
                <w:rFonts w:hint="eastAsia" w:ascii="宋体" w:hAnsi="宋体" w:eastAsia="宋体" w:cs="宋体"/>
                <w:b/>
                <w:bCs/>
                <w:color w:val="000000" w:themeColor="text1"/>
                <w:sz w:val="24"/>
                <w:szCs w:val="24"/>
                <w:highlight w:val="none"/>
                <w14:textFill>
                  <w14:solidFill>
                    <w14:schemeClr w14:val="tx1"/>
                  </w14:solidFill>
                </w14:textFill>
              </w:rPr>
              <w:t xml:space="preserve">（填写完整，加盖电子签章，格式见招标文件第七章《投标文件相关格式》,如不填写完整，视为无效）。</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注：监狱企业和残疾人福利性单位等同于小微企业。</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具体以《财政部 司法部关于政府采购支持监狱企业发展有关问题的通知》（财库〔2014〕68号）的规定为准。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②依法与安置的每位残疾人签订了一年以上（含一年）的劳动合同或服务协议；</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投标人信用信息（要求见本章条款项号“(六)”中“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、”内容）。</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三、符合条件（必须提供，否则投标无效）</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（一）报价</w:t>
            </w:r>
            <w:r/>
          </w:p>
          <w:p>
            <w:pPr>
              <w:pStyle w:val="751"/>
              <w:ind w:left="0" w:firstLine="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1、《开标一览表》（加盖电子签章，政府采购客户端工具输入报价自动生成）。</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 w:name="OLE_LINK7"/>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《分项价格表》（加盖电子签章，格式见招标文件第七章《投标文件相关格式》）</w:t>
            </w:r>
            <w:bookmarkEnd w:id="11"/>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bookmarkStart w:id="12" w:name="OLE_LINK8"/>
            <w:r>
              <w:rPr>
                <w:rFonts w:hint="eastAsia" w:ascii="宋体" w:hAnsi="宋体" w:eastAsia="宋体" w:cs="宋体"/>
                <w:color w:val="000000" w:themeColor="text1"/>
                <w:sz w:val="24"/>
                <w:szCs w:val="24"/>
                <w:highlight w:val="none"/>
                <w14:textFill>
                  <w14:solidFill>
                    <w14:schemeClr w14:val="tx1"/>
                  </w14:solidFill>
                </w14:textFill>
              </w:rPr>
              <w:t xml:space="preserve">《投标函》（加盖电子签章，</w:t>
            </w:r>
            <w:bookmarkStart w:id="27" w:name="_GoBack"/>
            <w:r/>
            <w:bookmarkEnd w:id="27"/>
            <w:r>
              <w:rPr>
                <w:rFonts w:hint="eastAsia" w:ascii="宋体" w:hAnsi="宋体" w:eastAsia="宋体" w:cs="宋体"/>
                <w:color w:val="000000" w:themeColor="text1"/>
                <w:sz w:val="24"/>
                <w:szCs w:val="24"/>
                <w:highlight w:val="none"/>
                <w14:textFill>
                  <w14:solidFill>
                    <w14:schemeClr w14:val="tx1"/>
                  </w14:solidFill>
                </w14:textFill>
              </w:rPr>
              <w:t xml:space="preserve">格式见招标文件第七章《投标文件相关格式》）</w:t>
            </w:r>
            <w:bookmarkEnd w:id="12"/>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bookmarkStart w:id="13" w:name="OLE_LINK9"/>
            <w:r>
              <w:rPr>
                <w:rFonts w:hint="eastAsia" w:ascii="宋体" w:hAnsi="宋体" w:eastAsia="宋体" w:cs="宋体"/>
                <w:color w:val="000000" w:themeColor="text1"/>
                <w:sz w:val="24"/>
                <w:szCs w:val="24"/>
                <w:highlight w:val="none"/>
                <w14:textFill>
                  <w14:solidFill>
                    <w14:schemeClr w14:val="tx1"/>
                  </w14:solidFill>
                </w14:textFill>
              </w:rPr>
              <w:t xml:space="preserve">《法定代表人授权书》（提供原件的扫描件，格式见招标文件第七章《投标文件相关格式》）</w:t>
            </w:r>
            <w:bookmarkEnd w:id="13"/>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（三）技术响应</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 w:name="OLE_LINK10"/>
            <w:r>
              <w:rPr>
                <w:rFonts w:hint="eastAsia" w:ascii="宋体" w:hAnsi="宋体" w:eastAsia="宋体" w:cs="宋体"/>
                <w:color w:val="000000" w:themeColor="text1"/>
                <w:sz w:val="24"/>
                <w:szCs w:val="24"/>
                <w:highlight w:val="none"/>
                <w14:textFill>
                  <w14:solidFill>
                    <w14:schemeClr w14:val="tx1"/>
                  </w14:solidFill>
                </w14:textFill>
              </w:rPr>
              <w:t xml:space="preserve">《偏离表》（加盖电子签章，格式见招标文件第七章《投标文件相关格式》）</w:t>
            </w:r>
            <w:bookmarkEnd w:id="14"/>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四、综合评审评分项</w:t>
            </w:r>
            <w:r/>
          </w:p>
          <w:p>
            <w:pPr>
              <w:pStyle w:val="747"/>
              <w:jc w:val="left"/>
              <w:spacing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技术响应</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pStyle w:val="759"/>
              <w:rPr>
                <w:rFonts w:hint="default"/>
                <w:color w:val="000000" w:themeColor="text1"/>
                <w:highlight w:val="none"/>
                <w:lang w:val="en-US"/>
                <w14:textFill>
                  <w14:solidFill>
                    <w14:schemeClr w14:val="tx1"/>
                  </w14:solidFill>
                </w14:textFill>
              </w:rPr>
            </w:pPr>
            <w:r>
              <w:rPr>
                <w:rFonts w:hint="eastAsia" w:hAnsi="宋体" w:eastAsia="宋体" w:cs="宋体"/>
                <w:b w:val="0"/>
                <w:bCs/>
                <w:color w:val="000000" w:themeColor="text1"/>
                <w:sz w:val="24"/>
                <w:szCs w:val="24"/>
                <w:highlight w:val="none"/>
                <w:lang w:val="en-US" w:eastAsia="zh-CN"/>
                <w14:textFill>
                  <w14:solidFill>
                    <w14:schemeClr w14:val="tx1"/>
                  </w14:solidFill>
                </w14:textFill>
              </w:rPr>
              <w:t xml:space="preserve">2、企业实力。</w:t>
            </w:r>
            <w:r/>
          </w:p>
          <w:p>
            <w:pPr>
              <w:jc w:val="left"/>
              <w:spacing w:line="400" w:lineRule="exact"/>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jc w:val="left"/>
              <w:spacing w:line="400" w:lineRule="exact"/>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采购包1、采购包2、采购包4：无</w:t>
            </w:r>
            <w:r/>
          </w:p>
          <w:p>
            <w:pPr>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提供的服务全部由符合政策要求的中小企业承接，提供《中小企业声明函》（填写完整，加盖电子签章，格式见招标文件第七章《投标文件相关格式》,如不填写完整，视为无效）。</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注：监狱企业和残疾人福利性单位等同于小微企业。</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具体以《财政部 司法部关于政府采购支持监狱企业发展有关问题的通知》（财库〔2014〕68号）的规定为准。</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①安置的残疾人占本单位在职职工人数的比例不低于25%（含25%），并且安置的残疾人人数不少于10人（含10人）；</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②依法与安置的每位残疾人签订了一年以上（含一年）的劳动合同或服务协议；</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具体以《三部门联合发布关于促进残疾人就业政府采购政策的通知》（财库〔2017〕141号）规定为准。</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投标人应对以上文件的合法性、真实性负责；</w:t>
            </w:r>
            <w:r/>
          </w:p>
          <w:p>
            <w:pPr>
              <w:jc w:val="left"/>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商务条件见：</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一、本文件第四章《评标标准》中《评分细则》。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本项目预算金额为</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204.75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highlight w:val="none"/>
                <w14:textFill>
                  <w14:solidFill>
                    <w14:schemeClr w14:val="tx1"/>
                  </w14:solidFill>
                </w14:textFill>
              </w:rPr>
              <w:t xml:space="preserve">人民币，最高限价为</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199.75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highlight w:val="none"/>
                <w14:textFill>
                  <w14:solidFill>
                    <w14:schemeClr w14:val="tx1"/>
                  </w14:solidFill>
                </w14:textFill>
              </w:rPr>
              <w:t xml:space="preserve">人民币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其中：</w:t>
            </w:r>
            <w:r/>
          </w:p>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采购包1</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87万元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14:textFill>
                  <w14:solidFill>
                    <w14:schemeClr w14:val="tx1"/>
                  </w14:solidFill>
                </w14:textFill>
              </w:rPr>
              <w:t xml:space="preserve">）的投标报价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采购包2</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45万元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14:textFill>
                  <w14:solidFill>
                    <w14:schemeClr w14:val="tx1"/>
                  </w14:solidFill>
                </w14:textFill>
              </w:rPr>
              <w:t xml:space="preserve">）的投标报价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采购包3</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38.</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95万元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14:textFill>
                  <w14:solidFill>
                    <w14:schemeClr w14:val="tx1"/>
                  </w14:solidFill>
                </w14:textFill>
              </w:rPr>
              <w:t xml:space="preserve">）的投标报价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28.8</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14:textFill>
                  <w14:solidFill>
                    <w14:schemeClr w14:val="tx1"/>
                  </w14:solidFill>
                </w14:textFill>
              </w:rPr>
              <w:t xml:space="preserve">）的投标报价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left"/>
              <w:spacing w:line="264"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超过最高限价（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含每个采购包限价</w:t>
            </w:r>
            <w:r>
              <w:rPr>
                <w:rFonts w:hint="eastAsia" w:ascii="宋体" w:hAnsi="宋体" w:eastAsia="宋体" w:cs="宋体"/>
                <w:color w:val="000000" w:themeColor="text1"/>
                <w:sz w:val="24"/>
                <w:highlight w:val="none"/>
                <w14:textFill>
                  <w14:solidFill>
                    <w14:schemeClr w14:val="tx1"/>
                  </w14:solidFill>
                </w14:textFill>
              </w:rPr>
              <w:t xml:space="preserve">）按无效响应处理。</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报价包括本项目的全部费用，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（十七）2</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特别说明：通过“苏采云”系统提交政府采购客户端工具导出加密的投标文件（后缀名为zip）。投标文件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的大小</w:t>
            </w:r>
            <w:r>
              <w:rPr>
                <w:rFonts w:hint="eastAsia" w:ascii="宋体" w:hAnsi="宋体" w:eastAsia="宋体" w:cs="宋体"/>
                <w:color w:val="000000" w:themeColor="text1"/>
                <w:sz w:val="24"/>
                <w:szCs w:val="24"/>
                <w:highlight w:val="none"/>
                <w14:textFill>
                  <w14:solidFill>
                    <w14:schemeClr w14:val="tx1"/>
                  </w14:solidFill>
                </w14:textFill>
              </w:rPr>
              <w:t xml:space="preserve">不得超过“苏采云”系统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的设置。</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14:textFill>
                  <w14:solidFill>
                    <w14:schemeClr w14:val="tx1"/>
                  </w14:solidFill>
                </w14:textFill>
              </w:rPr>
              <w:t xml:space="preserve">1.投标文件提交与接收时间：提交投标文件截止时间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09:30）前。</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开标时间及地点：</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09:30（标准时间）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2、开标地点：“苏采云”系统（网址： </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t xml:space="preserve">）“开标大厅”或进入徐州政府采购网（网址：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w:t>
            </w:r>
            <w:r>
              <w:rPr>
                <w:rFonts w:hint="eastAsia" w:ascii="宋体" w:hAnsi="宋体" w:eastAsia="宋体" w:cs="宋体"/>
                <w:color w:val="000000" w:themeColor="text1"/>
                <w:sz w:val="24"/>
                <w:szCs w:val="24"/>
                <w:highlight w:val="none"/>
                <w14:textFill>
                  <w14:solidFill>
                    <w14:schemeClr w14:val="tx1"/>
                  </w14:solidFill>
                </w14:textFill>
              </w:rPr>
              <w:t xml:space="preserve">）--业务工作--用户登录，点击“苏采云”进入系统“开标大厅”。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(二十八)1</w:t>
            </w:r>
            <w:r/>
          </w:p>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对突发事件的应急措施</w:t>
            </w:r>
            <w:r>
              <w:rPr>
                <w:rFonts w:hint="eastAsia" w:ascii="宋体" w:hAnsi="宋体" w:eastAsia="宋体" w:cs="宋体"/>
                <w:color w:val="000000" w:themeColor="text1"/>
                <w:sz w:val="24"/>
                <w:szCs w:val="24"/>
                <w:highlight w:val="none"/>
                <w14:textFill>
                  <w14:solidFill>
                    <w14:schemeClr w14:val="tx1"/>
                  </w14:solidFill>
                </w14:textFill>
              </w:rPr>
              <w:t xml:space="preserve">得分顺序从高到低排列。</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（二十九）</w:t>
            </w:r>
            <w:r/>
          </w:p>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三十八</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pStyle w:val="101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供应商在法定质疑期内一次性提出针对同一采购程序环节的质疑。</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质疑接收人：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陈玉帅</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0516-83669977</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办公地址：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江苏省徐州市泉山区三环南路与奎河交界处西北侧江苏淮海科技城·数字经济产业园6号楼9层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中标人在收到中标通知书时，须向采购代理机构提交《开标一览表》和《分项价格表》的数据文件（WORD格式）及纸质投标文件两本。</w:t>
            </w:r>
            <w:r/>
          </w:p>
        </w:tc>
      </w:tr>
    </w:tbl>
    <w:p>
      <w:pPr>
        <w:spacing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spacing w:line="240" w:lineRule="exact"/>
        <w:widowControl/>
        <w:rPr>
          <w:rFonts w:hint="eastAsia" w:ascii="宋体" w:hAnsi="宋体" w:eastAsia="宋体" w:cs="宋体"/>
          <w:color w:val="000000" w:themeColor="text1"/>
          <w:sz w:val="30"/>
          <w:szCs w:val="30"/>
          <w:highlight w:val="none"/>
          <w14:textFill>
            <w14:solidFill>
              <w14:schemeClr w14:val="tx1"/>
            </w14:solidFill>
          </w14:textFill>
        </w:rPr>
      </w:pPr>
      <w:r/>
      <w:bookmarkStart w:id="15" w:name="_Toc522790133"/>
      <w:r/>
      <w:r/>
    </w:p>
    <w:p>
      <w:pPr>
        <w:spacing w:line="520" w:lineRule="exact"/>
        <w:widowControl/>
        <w:rPr>
          <w:rFonts w:hint="eastAsia" w:ascii="宋体" w:hAnsi="宋体" w:eastAsia="宋体" w:cs="宋体"/>
          <w:b/>
          <w:bCs/>
          <w:color w:val="000000" w:themeColor="text1"/>
          <w:sz w:val="36"/>
          <w:szCs w:val="36"/>
          <w:highlight w:val="none"/>
          <w14:textFill>
            <w14:solidFill>
              <w14:schemeClr w14:val="tx1"/>
            </w14:solidFill>
          </w14:textFill>
        </w:rPr>
      </w:pPr>
      <w:r/>
      <w:bookmarkStart w:id="16" w:name="_Toc523404698"/>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本章附件：</w:t>
      </w:r>
      <w:r>
        <w:rPr>
          <w:rFonts w:hint="eastAsia" w:ascii="宋体" w:hAnsi="宋体" w:eastAsia="宋体" w:cs="宋体"/>
          <w:b/>
          <w:color w:val="000000" w:themeColor="text1"/>
          <w:sz w:val="28"/>
          <w:szCs w:val="28"/>
          <w:highlight w:val="none"/>
          <w14:textFill>
            <w14:solidFill>
              <w14:schemeClr w14:val="tx1"/>
            </w14:solidFill>
          </w14:textFill>
        </w:rPr>
        <w:t xml:space="preserve">招标代理服务收费标准</w:t>
      </w:r>
      <w:r>
        <w:rPr>
          <w:rFonts w:hint="eastAsia" w:ascii="宋体" w:hAnsi="宋体" w:eastAsia="宋体" w:cs="宋体"/>
          <w:b/>
          <w:bCs/>
          <w:color w:val="000000" w:themeColor="text1"/>
          <w:sz w:val="24"/>
          <w:szCs w:val="32"/>
          <w:highlight w:val="none"/>
          <w14:textFill>
            <w14:solidFill>
              <w14:schemeClr w14:val="tx1"/>
            </w14:solidFill>
          </w14:textFill>
        </w:rPr>
        <w:t xml:space="preserve">（本标准为自行约定的标准）</w:t>
      </w:r>
      <w:r/>
    </w:p>
    <w:tbl>
      <w:tblPr>
        <w:tblStyle w:val="102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1.按上表计算的收费为代理服务全过程的收费金额。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各社会代理机构</w:t>
      </w:r>
      <w:r>
        <w:rPr>
          <w:rFonts w:hint="eastAsia" w:ascii="宋体" w:hAnsi="宋体" w:eastAsia="宋体" w:cs="宋体"/>
          <w:color w:val="000000" w:themeColor="text1"/>
          <w:sz w:val="24"/>
          <w:szCs w:val="24"/>
          <w:highlight w:val="none"/>
          <w14:textFill>
            <w14:solidFill>
              <w14:schemeClr w14:val="tx1"/>
            </w14:solidFill>
          </w14:textFill>
        </w:rPr>
        <w:t xml:space="preserve">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再</w:t>
      </w:r>
      <w:r>
        <w:rPr>
          <w:rFonts w:hint="eastAsia" w:ascii="宋体" w:hAnsi="宋体" w:eastAsia="宋体" w:cs="宋体"/>
          <w:color w:val="000000" w:themeColor="text1"/>
          <w:sz w:val="24"/>
          <w:szCs w:val="24"/>
          <w:highlight w:val="none"/>
          <w14:textFill>
            <w14:solidFill>
              <w14:schemeClr w14:val="tx1"/>
            </w14:solidFill>
          </w14:textFill>
        </w:rPr>
        <w:t xml:space="preserve">收取采购文件制作售卖费用。</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2.代理服务费按差额定率累进法计算。</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 费率（%）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定点类等无金额或事先不能计算出价格总额的项目，按</w:t>
      </w:r>
      <w:r>
        <w:rPr>
          <w:rFonts w:hint="eastAsia" w:ascii="宋体" w:hAnsi="宋体" w:eastAsia="宋体" w:cs="宋体"/>
          <w:color w:val="000000" w:themeColor="text1"/>
          <w:sz w:val="24"/>
          <w:szCs w:val="24"/>
          <w:highlight w:val="none"/>
          <w14:textFill>
            <w14:solidFill>
              <w14:schemeClr w14:val="tx1"/>
            </w14:solidFill>
          </w14:textFill>
        </w:rPr>
        <w:t xml:space="preserve">中标（成交）金额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宋体"/>
          <w:color w:val="000000" w:themeColor="text1"/>
          <w:sz w:val="24"/>
          <w:szCs w:val="24"/>
          <w:highlight w:val="none"/>
          <w14:textFill>
            <w14:solidFill>
              <w14:schemeClr w14:val="tx1"/>
            </w14:solidFill>
          </w14:textFill>
        </w:rPr>
        <w:t xml:space="preserve">万元计算。</w:t>
      </w:r>
      <w:r/>
    </w:p>
    <w:p>
      <w:pPr>
        <w:ind w:firstLine="56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6.有分包（分标段）的按一个项目计算。</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numPr>
          <w:ilvl w:val="0"/>
          <w:numId w:val="0"/>
        </w:numPr>
        <w:ind w:firstLine="420"/>
        <w:jc w:val="center"/>
        <w:spacing w:line="520" w:lineRule="exact"/>
        <w:widowControl/>
        <w:rPr>
          <w:rFonts w:hint="eastAsia" w:ascii="宋体" w:hAnsi="宋体" w:eastAsia="宋体" w:cs="宋体"/>
          <w:b/>
          <w:bCs/>
          <w:color w:val="000000" w:themeColor="text1"/>
          <w:sz w:val="30"/>
          <w:szCs w:val="4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2"/>
          <w:szCs w:val="40"/>
          <w:highlight w:val="none"/>
          <w14:textFill>
            <w14:solidFill>
              <w14:schemeClr w14:val="tx1"/>
            </w14:solidFill>
          </w14:textFill>
        </w:rPr>
        <w:t xml:space="preserve">第</w:t>
      </w:r>
      <w:r>
        <w:rPr>
          <w:rFonts w:hint="eastAsia" w:ascii="宋体" w:hAnsi="宋体" w:cs="宋体"/>
          <w:b/>
          <w:bCs/>
          <w:color w:val="000000" w:themeColor="text1"/>
          <w:sz w:val="32"/>
          <w:szCs w:val="40"/>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32"/>
          <w:szCs w:val="40"/>
          <w:highlight w:val="none"/>
          <w14:textFill>
            <w14:solidFill>
              <w14:schemeClr w14:val="tx1"/>
            </w14:solidFill>
          </w14:textFill>
        </w:rPr>
        <w:t xml:space="preserve">章 </w:t>
      </w:r>
      <w:r>
        <w:rPr>
          <w:rFonts w:hint="eastAsia" w:ascii="宋体" w:hAnsi="宋体" w:eastAsia="宋体" w:cs="宋体"/>
          <w:b/>
          <w:bCs/>
          <w:color w:val="000000" w:themeColor="text1"/>
          <w:sz w:val="30"/>
          <w:szCs w:val="44"/>
          <w:highlight w:val="none"/>
          <w14:textFill>
            <w14:solidFill>
              <w14:schemeClr w14:val="tx1"/>
            </w14:solidFill>
          </w14:textFill>
        </w:rPr>
        <w:t xml:space="preserve"> 评标标准</w:t>
      </w:r>
      <w:bookmarkEnd w:id="15"/>
      <w:r/>
      <w:bookmarkEnd w:id="16"/>
      <w:r/>
      <w:r/>
    </w:p>
    <w:p>
      <w:pPr>
        <w:pStyle w:val="739"/>
        <w:ind w:left="0" w:firstLine="0"/>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采购包</w:t>
      </w:r>
      <w:r>
        <w:rPr>
          <w:rFonts w:hint="eastAsia" w:cs="宋体"/>
          <w:b/>
          <w:bCs/>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评标标准</w:t>
      </w:r>
      <w:r/>
    </w:p>
    <w:tbl>
      <w:tblPr>
        <w:tblStyle w:val="710"/>
        <w:tblW w:w="5387" w:type="pct"/>
        <w:tblInd w:w="-404" w:type="dxa"/>
        <w:tblLayout w:type="fixed"/>
        <w:tblCellMar>
          <w:left w:w="108" w:type="dxa"/>
          <w:top w:w="0" w:type="dxa"/>
          <w:right w:w="108" w:type="dxa"/>
          <w:bottom w:w="0" w:type="dxa"/>
        </w:tblCellMar>
        <w:tblLook w:val="04A0" w:firstRow="1" w:lastRow="0" w:firstColumn="1" w:lastColumn="0" w:noHBand="0" w:noVBand="1"/>
      </w:tblPr>
      <w:tblGrid>
        <w:gridCol w:w="995"/>
        <w:gridCol w:w="1016"/>
        <w:gridCol w:w="1254"/>
        <w:gridCol w:w="5032"/>
        <w:gridCol w:w="885"/>
      </w:tblGrid>
      <w:tr>
        <w:trPr>
          <w:trHeight w:val="1097"/>
        </w:trPr>
        <w:tc>
          <w:tcPr>
            <w:gridSpan w:val="2"/>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评审因素细化和量化</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是否为客观分</w:t>
            </w:r>
            <w:r/>
          </w:p>
        </w:tc>
      </w:tr>
      <w:tr>
        <w:trPr>
          <w:trHeight w:val="1097"/>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价格部分（10分）</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价格（10分）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价格分采用低价优先法计算，即满足招标文件要求且投标报价最低的为评标基准价，其价格分为满分1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的价格分统一按下列公式计算：各投标人价格得分=最低报价（投标人的最低评审价格）÷各投标人评审价格×10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得分四舍五入保留小数点后2位。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w:t>
            </w:r>
            <w:r/>
          </w:p>
        </w:tc>
      </w:tr>
      <w:tr>
        <w:trPr>
          <w:trHeight w:val="1822"/>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开发方案（24分）</w:t>
            </w:r>
            <w:r/>
          </w:p>
        </w:tc>
        <w:tc>
          <w:tcPr>
            <w:shd w:val="clear" w:color="auto" w:fill="auto"/>
            <w:tcBorders>
              <w:top w:val="single" w:color="000000" w:sz="4" w:space="0"/>
              <w:left w:val="single" w:color="000000" w:sz="4" w:space="0"/>
              <w:bottom w:val="single" w:color="000000" w:sz="4" w:space="0"/>
              <w:right w:val="single" w:color="000000" w:sz="4" w:space="0"/>
            </w:tcBorders>
            <w:tcW w:w="2740"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完全满足招标文件第六章《采购需求》中“二、技术要求”中“开发要求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”的，每项内容得4分；每项内容部分满足的得2分；未承诺或该项内容不能满足相关具体要求的，该项得0分。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本项最高得24分，最低得0分。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r>
        <w:trPr>
          <w:trHeight w:val="1847"/>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维护方案（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740"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完全满足招标文件第六章《采购需求》中“二、技术要求”中“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维护要求（共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”的，每项内容得6分；每项内容部分满足的得3分；未承诺或该项内容不能满足相关具体要求的，该项得0分。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r>
        <w:trPr>
          <w:trHeight w:val="1827"/>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项目实施方案（12分）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完全满足招标文件第六章《采购需求》中“三、项目实施要求”中“（一）项目实施具体要求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共4项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”的，每项内容得3分；每项内容部分满足的得1分；未承诺或该项内容不能满足相关具体要求的，该项得0分。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本项最高得12分，最低得0分。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r>
        <w:trPr>
          <w:trHeight w:val="2256"/>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人员配备方案</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（14分）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完全满足招标文件第六章《采购需求》中“四、人员配备要求”中“（一）驻场人员配备要求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共7项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”的，每项内容得2分；每项内容部分满足的得1分；未承诺或该项内容不能满足相关具体要求的，该项得0分。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本项最高得14分，最低得0分。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p>
        </w:tc>
      </w:tr>
      <w:tr>
        <w:trPr>
          <w:trHeight w:val="1832"/>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技术培训方案（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完全满足招标文件第六章《采购需求》中“五、技术培训要求”中“（一）技术培训具体要求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共4项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分；每项内容部分满足的得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bl>
    <w:p>
      <w:pPr>
        <w:pStyle w:val="739"/>
        <w:ind w:left="0" w:firstLine="0"/>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采购包</w:t>
      </w:r>
      <w:r>
        <w:rPr>
          <w:rFonts w:hint="eastAsia" w:cs="宋体"/>
          <w:b/>
          <w:bCs/>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评标标准</w:t>
      </w:r>
      <w:r/>
    </w:p>
    <w:tbl>
      <w:tblPr>
        <w:tblStyle w:val="710"/>
        <w:tblW w:w="0" w:type="auto"/>
        <w:tblInd w:w="-3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112"/>
        <w:gridCol w:w="6790"/>
      </w:tblGrid>
      <w:tr>
        <w:trPr/>
        <w:tc>
          <w:tcPr>
            <w:tcW w:w="978" w:type="dxa"/>
            <w:vAlign w:val="center"/>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W w:w="11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W w:w="6790" w:type="dxa"/>
            <w:vAlign w:val="center"/>
            <w:textDirection w:val="lrTb"/>
            <w:noWrap w:val="false"/>
          </w:tcPr>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价格分采用低价优先法计算，即满足招标文件要求且投标报价最低的为评标基准价，其价格分为满分1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的价格分统一按下列公式计算：各投标人价格得分=最低报价（投标人的最低评审价格）÷各投标人评审价格×1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0分。</w:t>
            </w:r>
            <w:r>
              <w:rPr>
                <w:rFonts w:hint="eastAsia" w:ascii="宋体" w:hAnsi="宋体" w:eastAsia="宋体" w:cs="宋体"/>
                <w:color w:val="000000" w:themeColor="text1"/>
                <w:sz w:val="24"/>
                <w:szCs w:val="24"/>
                <w:highlight w:val="none"/>
                <w14:textFill>
                  <w14:solidFill>
                    <w14:schemeClr w14:val="tx1"/>
                  </w14:solidFill>
                </w14:textFill>
              </w:rPr>
              <w:t xml:space="preserve">得分四舍五入保留小数点后2位。</w:t>
            </w:r>
            <w:r/>
          </w:p>
        </w:tc>
      </w:tr>
      <w:tr>
        <w:trPr/>
        <w:tc>
          <w:tcPr>
            <w:tcW w:w="978" w:type="dxa"/>
            <w:vAlign w:val="center"/>
            <w:vMerge w:val="restart"/>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维保服务方案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11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维保服务具体方案（12分）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对内容的全面性、可行性进行评价。</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1.内容的全面性（6分）：全面具体详实得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分；存在较大漏项或缺陷得0分。</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2.可行性（6分）：切实可行得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不可行</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未提供的得0分，本项最高得12分，最低得0分。</w:t>
            </w:r>
            <w:r/>
          </w:p>
        </w:tc>
      </w:tr>
      <w:tr>
        <w:trPr>
          <w:trHeight w:val="90"/>
        </w:trPr>
        <w:tc>
          <w:tcPr>
            <w:tcW w:w="978" w:type="dxa"/>
            <w:vAlign w:val="center"/>
            <w:vMerge w:val="continue"/>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维保服务备品备件方案</w:t>
            </w:r>
            <w:r/>
          </w:p>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对内容的全面性、可行性进行评价。</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1.内容的全面性（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分；存在较大漏项或缺陷得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不可行</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分，最低得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tc>
          <w:tcPr>
            <w:tcW w:w="978" w:type="dxa"/>
            <w:vAlign w:val="center"/>
            <w:vMerge w:val="continue"/>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维保服务巡检和预防性维护方案（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对内容的全面性、可行性进行评价。</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1.内容的全面性（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分；存在较大漏项或缺陷得0分。</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分；可行性欠缺得0分。</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tc>
          <w:tcPr>
            <w:tcW w:w="978" w:type="dxa"/>
            <w:vAlign w:val="center"/>
            <w:vMerge w:val="continue"/>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2" w:type="dxa"/>
            <w:vAlign w:val="center"/>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维保服务响应时间方案（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对内容的全面性、可行性进行评价。</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1.内容的全面性（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分；存在较大漏项或缺陷得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2.可行性（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分；可行性欠缺得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tc>
          <w:tcPr>
            <w:tcW w:w="978" w:type="dxa"/>
            <w:vAlign w:val="center"/>
            <w:vMerge w:val="continue"/>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2" w:type="dxa"/>
            <w:vAlign w:val="center"/>
            <w:textDirection w:val="lrTb"/>
            <w:noWrap w:val="false"/>
          </w:tcPr>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维保服务技术培训方案（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对内容的全面性、可行性进行评价。</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1.内容的全面性（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分）：全面具体详实得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分；较全面得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分；存在较大漏项或缺陷得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分）：切实可行得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分；较切实可行得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分；可行性欠缺得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tc>
          <w:tcPr>
            <w:tcW w:w="978" w:type="dxa"/>
            <w:vAlign w:val="center"/>
            <w:vMerge w:val="restart"/>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服务团队</w:t>
            </w:r>
            <w:r/>
          </w:p>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1112" w:type="dxa"/>
            <w:vAlign w:val="center"/>
            <w:textDirection w:val="lrTb"/>
            <w:noWrap w:val="false"/>
          </w:tcPr>
          <w:p>
            <w:pPr>
              <w:jc w:val="center"/>
              <w:spacing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项目团队人员（2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90" w:type="dxa"/>
            <w:vAlign w:val="center"/>
            <w:textDirection w:val="lrTb"/>
            <w:noWrap w:val="false"/>
          </w:tcPr>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投标人为本项目配备的项目经理具有人社部门颁发的信息系统项目管理师证书（高级）得3分。</w:t>
            </w:r>
            <w:r/>
          </w:p>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团队成员具有数据库OCM认证工程师证书的，每提供1名得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团队成员具有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HCIP或HCIE</w:t>
            </w:r>
            <w:r>
              <w:rPr>
                <w:rFonts w:hint="eastAsia" w:ascii="宋体" w:hAnsi="宋体" w:eastAsia="宋体" w:cs="宋体"/>
                <w:color w:val="000000" w:themeColor="text1"/>
                <w:sz w:val="24"/>
                <w:szCs w:val="24"/>
                <w:highlight w:val="none"/>
                <w14:textFill>
                  <w14:solidFill>
                    <w14:schemeClr w14:val="tx1"/>
                  </w14:solidFill>
                </w14:textFill>
              </w:rPr>
              <w:t xml:space="preserve">认证工程师证书的，每提供1名得1分；本项最高得1分。</w:t>
            </w:r>
            <w:r/>
          </w:p>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团队成员具有Veritas认证工程师证书的，每提供1名得1分；本项最高得2分。</w:t>
            </w:r>
            <w:r/>
          </w:p>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团队成员具有CISAW信息安全保障人员认证（安全运维方向）证书的，每提供1名得1分；本项最高得2分。</w:t>
            </w:r>
            <w:r/>
          </w:p>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团队成员具有CISP注册信息安全专业人员认证证书的，每提供1名得1分；本项最高得2分。</w:t>
            </w:r>
            <w:r/>
          </w:p>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团队成员具有ITSS服务工程师认证证书的，每提供1名得1分；本项最高得2分。</w:t>
            </w:r>
            <w:r/>
          </w:p>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团队成员具备保密机构颁发的涉密人员培训证书的，每提供1名得3分；本项最高得6分。</w:t>
            </w:r>
            <w:r/>
          </w:p>
          <w:p>
            <w:pPr>
              <w:numPr>
                <w:ilvl w:val="0"/>
                <w:numId w:val="0"/>
              </w:num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w:t>
            </w:r>
            <w:r>
              <w:rPr>
                <w:rFonts w:hint="eastAsia" w:ascii="宋体" w:hAnsi="宋体" w:eastAsia="宋体" w:cs="宋体"/>
                <w:color w:val="000000" w:themeColor="text1"/>
                <w:sz w:val="24"/>
                <w:szCs w:val="24"/>
                <w:highlight w:val="none"/>
                <w14:textFill>
                  <w14:solidFill>
                    <w14:schemeClr w14:val="tx1"/>
                  </w14:solidFill>
                </w14:textFill>
              </w:rPr>
              <w:t xml:space="preserve">提供以上证书复印件及投标人为该人员缴纳的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本项目开标时间（不含开标当月）前6个月内任何1月</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14:textFill>
                  <w14:solidFill>
                    <w14:schemeClr w14:val="tx1"/>
                  </w14:solidFill>
                </w14:textFill>
              </w:rPr>
              <w:t xml:space="preserve">社会保险缴纳证明</w:t>
            </w:r>
            <w:r>
              <w:rPr>
                <w:rFonts w:hint="eastAsia" w:ascii="宋体" w:hAnsi="宋体" w:eastAsia="宋体" w:cs="宋体"/>
                <w:color w:val="000000" w:themeColor="text1"/>
                <w:sz w:val="24"/>
                <w:szCs w:val="24"/>
                <w:highlight w:val="none"/>
                <w14:textFill>
                  <w14:solidFill>
                    <w14:schemeClr w14:val="tx1"/>
                  </w14:solidFill>
                </w14:textFill>
              </w:rPr>
              <w:t xml:space="preserve">的相关材料原件的复印件加盖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14:textFill>
                  <w14:solidFill>
                    <w14:schemeClr w14:val="tx1"/>
                  </w14:solidFill>
                </w14:textFill>
              </w:rPr>
              <w:t xml:space="preserve">。同一人员多项证书，只按分值最高一项计分，不重复累计得分。</w:t>
            </w:r>
            <w:r>
              <w:rPr>
                <w:rFonts w:hint="eastAsia" w:ascii="宋体" w:hAnsi="宋体" w:eastAsia="宋体" w:cs="宋体"/>
                <w:color w:val="000000" w:themeColor="text1"/>
                <w:sz w:val="24"/>
                <w:szCs w:val="24"/>
                <w:highlight w:val="none"/>
                <w14:textFill>
                  <w14:solidFill>
                    <w14:schemeClr w14:val="tx1"/>
                  </w14:solidFill>
                </w14:textFill>
              </w:rPr>
              <w:tab/>
            </w:r>
            <w:r/>
          </w:p>
        </w:tc>
      </w:tr>
      <w:tr>
        <w:trPr/>
        <w:tc>
          <w:tcPr>
            <w:tcW w:w="978" w:type="dxa"/>
            <w:vAlign w:val="center"/>
            <w:vMerge w:val="continue"/>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2" w:type="dxa"/>
            <w:vAlign w:val="center"/>
            <w:textDirection w:val="lrTb"/>
            <w:noWrap w:val="false"/>
          </w:tcPr>
          <w:p>
            <w:pPr>
              <w:pStyle w:val="737"/>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网络安全设备服务证明</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维保服务清单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的原厂服务函，每提供一个得1分；本项最高得6分；不提供得0分。</w:t>
            </w:r>
            <w:r/>
          </w:p>
        </w:tc>
      </w:tr>
      <w:tr>
        <w:trPr>
          <w:trHeight w:val="302"/>
        </w:trPr>
        <w:tc>
          <w:tcPr>
            <w:tcW w:w="978" w:type="dxa"/>
            <w:vAlign w:val="center"/>
            <w:vMerge w:val="continue"/>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2" w:type="dxa"/>
            <w:vAlign w:val="center"/>
            <w:textDirection w:val="lrTb"/>
            <w:noWrap w:val="false"/>
          </w:tcPr>
          <w:p>
            <w:pPr>
              <w:pStyle w:val="737"/>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合理化建议（5分）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供应商针对本项目采购需求中合理化建议部分提供方案</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优于采购需求</w:t>
            </w:r>
            <w:r>
              <w:rPr>
                <w:rFonts w:hint="eastAsia" w:ascii="宋体" w:hAnsi="宋体" w:eastAsia="宋体" w:cs="宋体"/>
                <w:color w:val="000000" w:themeColor="text1"/>
                <w:sz w:val="24"/>
                <w:szCs w:val="24"/>
                <w:highlight w:val="none"/>
                <w14:textFill>
                  <w14:solidFill>
                    <w14:schemeClr w14:val="tx1"/>
                  </w14:solidFill>
                </w14:textFill>
              </w:rPr>
              <w:t xml:space="preserve">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满足采购需求的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其他情况</w:t>
            </w:r>
            <w:r>
              <w:rPr>
                <w:rFonts w:hint="eastAsia" w:ascii="宋体" w:hAnsi="宋体" w:eastAsia="宋体" w:cs="宋体"/>
                <w:color w:val="000000" w:themeColor="text1"/>
                <w:sz w:val="24"/>
                <w:szCs w:val="24"/>
                <w:highlight w:val="none"/>
                <w14:textFill>
                  <w14:solidFill>
                    <w14:schemeClr w14:val="tx1"/>
                  </w14:solidFill>
                </w14:textFill>
              </w:rPr>
              <w:t xml:space="preserve">得0分。</w:t>
            </w:r>
            <w:r/>
          </w:p>
        </w:tc>
      </w:tr>
      <w:tr>
        <w:trPr/>
        <w:tc>
          <w:tcPr>
            <w:tcW w:w="978" w:type="dxa"/>
            <w:vAlign w:val="center"/>
            <w:vMerge w:val="restart"/>
            <w:textDirection w:val="lrTb"/>
            <w:noWrap w:val="false"/>
          </w:tcPr>
          <w:p>
            <w:pPr>
              <w:jc w:val="center"/>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公司实力</w:t>
            </w:r>
            <w:r/>
          </w:p>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1112" w:type="dxa"/>
            <w:vAlign w:val="center"/>
            <w:textDirection w:val="lrTb"/>
            <w:noWrap w:val="false"/>
          </w:tcPr>
          <w:p>
            <w:pPr>
              <w:spacing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投标人业绩（</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投标人提供2023年6月1日（以合同签订时间为准）以来承担的类似项目业绩(含IT软硬件设备建设维护等相关内容)，有一个得2分，最高得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jc w:val="left"/>
              <w:spacing w:line="44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响应文件中提供合同原件的复印件加盖公章，如投标人中标，签订合同时原件备查。提供业绩合同复印件（至少包含合同首页、合同内容描述页、合同签章页），合同内容应体现签订时间、买卖双方公章，如业绩合同不能体现以上全部内容，否则不得分。</w:t>
            </w:r>
            <w:r/>
          </w:p>
        </w:tc>
      </w:tr>
      <w:tr>
        <w:trPr/>
        <w:tc>
          <w:tcPr>
            <w:tcW w:w="978" w:type="dxa"/>
            <w:vAlign w:val="center"/>
            <w:vMerge w:val="continue"/>
            <w:textDirection w:val="lrTb"/>
            <w:noWrap w:val="false"/>
          </w:tcPr>
          <w:p>
            <w:pPr>
              <w:pStyle w:val="7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2" w:type="dxa"/>
            <w:vAlign w:val="center"/>
            <w:textDirection w:val="lrTb"/>
            <w:noWrap w:val="false"/>
          </w:tcPr>
          <w:p>
            <w:pPr>
              <w:spacing w:line="28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企业综合实力（</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790"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1.投标人持有有效期内 ISO20000 信息技术服务管理体系认证证书，认证范围包含信息技术运行维护</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机房软硬件维保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w:t>
            </w:r>
            <w:r/>
          </w:p>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2.投标人持有有效期内 ISO27001 信息安全管理体系认证证书，认证范围包含信息系统安全运维</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政务数据安全服务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w:t>
            </w:r>
            <w:r/>
          </w:p>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3.投标人持有有效期内 ISO9001 质量管理体系认证证书，认证范围包含计算机软硬件运维、信息技术技术服务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 </w:t>
            </w:r>
            <w:r/>
          </w:p>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注：响应文件中提供证书复印件加盖投标人公章；中标单位签订合同前须提供证书原件备查。</w:t>
            </w:r>
            <w:r/>
          </w:p>
        </w:tc>
      </w:tr>
    </w:tbl>
    <w:p>
      <w:pPr>
        <w:pStyle w:val="739"/>
        <w:ind w:left="0" w:firstLine="0"/>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jc w:val="both"/>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jc w:val="cente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11"/>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11"/>
        <w:rPr>
          <w:rFonts w:hint="eastAsia"/>
          <w:lang w:val="en-US" w:eastAsia="zh-CN"/>
        </w:rPr>
      </w:pPr>
      <w:r>
        <w:rPr>
          <w:rFonts w:hint="eastAsia"/>
          <w:lang w:val="en-US" w:eastAsia="zh-CN"/>
        </w:rPr>
      </w:r>
      <w:r/>
    </w:p>
    <w:p>
      <w:pPr>
        <w:ind w:firstLine="3092"/>
        <w:jc w:val="both"/>
        <w:rPr>
          <w:rFonts w:hint="eastAsia"/>
          <w:color w:val="000000" w:themeColor="text1"/>
          <w:sz w:val="22"/>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采购包</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评标标准</w:t>
      </w:r>
      <w:r/>
    </w:p>
    <w:tbl>
      <w:tblPr>
        <w:tblStyle w:val="710"/>
        <w:tblW w:w="8424" w:type="dxa"/>
        <w:tblInd w:w="0" w:type="dxa"/>
        <w:tblLayout w:type="autofit"/>
        <w:tblCellMar>
          <w:left w:w="108" w:type="dxa"/>
          <w:top w:w="0" w:type="dxa"/>
          <w:right w:w="108" w:type="dxa"/>
          <w:bottom w:w="0" w:type="dxa"/>
        </w:tblCellMar>
        <w:tblLook w:val="04A0" w:firstRow="1" w:lastRow="0" w:firstColumn="1" w:lastColumn="0" w:noHBand="0" w:noVBand="1"/>
      </w:tblPr>
      <w:tblGrid>
        <w:gridCol w:w="840"/>
        <w:gridCol w:w="1317"/>
        <w:gridCol w:w="4942"/>
        <w:gridCol w:w="1325"/>
      </w:tblGrid>
      <w:tr>
        <w:trPr>
          <w:trHeight w:val="336"/>
        </w:trPr>
        <w:tc>
          <w:tcPr>
            <w:tcBorders>
              <w:top w:val="single" w:color="0F1011" w:sz="8" w:space="0"/>
              <w:left w:val="single" w:color="0F1011" w:sz="8" w:space="0"/>
              <w:bottom w:val="single" w:color="0F1011" w:sz="8" w:space="0"/>
              <w:right w:val="single" w:color="0F1011" w:sz="8" w:space="0"/>
            </w:tcBorders>
            <w:tcW w:w="840"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17" w:name="RANGE!A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序号</w:t>
            </w:r>
            <w:bookmarkEnd w:id="17"/>
            <w:r/>
            <w:r/>
          </w:p>
        </w:tc>
        <w:tc>
          <w:tcPr>
            <w:tcBorders>
              <w:top w:val="single" w:color="0F1011" w:sz="8" w:space="0"/>
              <w:left w:val="none" w:color="000000" w:sz="4" w:space="0"/>
              <w:bottom w:val="single" w:color="0F1011" w:sz="8" w:space="0"/>
              <w:right w:val="single" w:color="0F1011" w:sz="8" w:space="0"/>
            </w:tcBorders>
            <w:tcW w:w="1317"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评分因素</w:t>
            </w:r>
            <w:r/>
          </w:p>
        </w:tc>
        <w:tc>
          <w:tcPr>
            <w:tcBorders>
              <w:top w:val="single" w:color="0F1011" w:sz="8" w:space="0"/>
              <w:left w:val="none" w:color="000000" w:sz="4" w:space="0"/>
              <w:bottom w:val="single" w:color="0F1011" w:sz="8" w:space="0"/>
              <w:right w:val="single" w:color="0F1011" w:sz="8" w:space="0"/>
            </w:tcBorders>
            <w:tcW w:w="4942"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评分标准</w:t>
            </w:r>
            <w:r/>
          </w:p>
        </w:tc>
        <w:tc>
          <w:tcPr>
            <w:tcBorders>
              <w:top w:val="single" w:color="0F1011" w:sz="8" w:space="0"/>
              <w:left w:val="none" w:color="000000" w:sz="4" w:space="0"/>
              <w:bottom w:val="single" w:color="0F1011" w:sz="8" w:space="0"/>
              <w:right w:val="single" w:color="0F1011" w:sz="8" w:space="0"/>
            </w:tcBorders>
            <w:tcW w:w="1325"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评分类型</w:t>
            </w:r>
            <w:r/>
          </w:p>
        </w:tc>
      </w:tr>
      <w:tr>
        <w:trPr>
          <w:trHeight w:val="6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报价（10分）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采用低价优先法计算，即满足采购文件要求且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最低的比选报价为评标基准价，其价格分为满分10分。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的价格分按照下列公式计算（小数点保留两位）：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报价得分=（评标基准价／供应商最终报价）×10。</w:t>
            </w:r>
            <w:r/>
          </w:p>
          <w:p>
            <w:pPr>
              <w:pStyle w:val="711"/>
              <w:rPr>
                <w:rFonts w:hint="eastAsia"/>
                <w:lang w:eastAsia="zh-CN"/>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评审价格=《开标一览表》中的“总价”*（100%-10%）（按四舍五入取至小数点后两位）。享受价格评审优惠不改变最终中标价格，政府采购合同仍按照中标供应商的报价签订。</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客观分</w:t>
            </w:r>
            <w:r/>
          </w:p>
        </w:tc>
      </w:tr>
      <w:tr>
        <w:trPr>
          <w:trHeight w:val="18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服务方案－需求分析（16分）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根据供应商提供的需求分析（包括采购人现状及业务、技术需求的认识和理解，对于维保服务的重点、难点应对措施等）综合评分：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（1）对采购人现状及业务、技术需求认识和理解充分，分析科学深入，对于维保服务重点、难点具有明确合理的应对措施，得16分；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（2）对采购人现状及业务、技术需求认识和理解不够充分，分析不够科学深入，对于维保服务重点、难点的应对措施考虑不全面，得10分；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（3）对采购人现状及业务、技术需求没有认识和理解，分析浅显，对于维保服务重点、难点未做考虑，得5分；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未提供需求分析板块内容或需求分析与项目严重不符，本项得0分。</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主观分</w:t>
            </w:r>
            <w:r/>
          </w:p>
        </w:tc>
      </w:tr>
      <w:tr>
        <w:trPr>
          <w:trHeight w:val="406"/>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服务方案－系统运维方案（16分）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根据供应商提供的系统运维方案（包括服务方式、组织架构、业务流程控制、风险控制管理、质量保障措施、运维制度和规范、文档管理措施）综合评分：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（1）系统运维方案全面，具有合理的服务方式、组织架构，具有明确的业务流程控制、风险控制管理、质量保障措施、运维制度和规范、文档管理措施，得16分；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（2）系统运维方案不够全面，服务方式、组织架构不够合理，业务流程控制、风险控制管理、质量保障措施、运维制度和规范、文档管理措施不全，得10分；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（3）系统运维方案不全面，服务方式、组织架构不合理，业务流程控制、风险控制管理、质量保障措施、运维制度和规范、文档管理措施严重缺漏，得5分；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未提供系统运维方案或方案与项目严重不符，本项得0分。</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主观分</w:t>
            </w:r>
            <w:r/>
          </w:p>
        </w:tc>
      </w:tr>
      <w:tr>
        <w:trPr>
          <w:trHeight w:val="18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服务方案－其他运维方案（1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根据供应商提供的其他运维方案（包括涉及非税系统网络对接联调、年度非税数据质量健康评估、非税交易异常智能监控与预警机制建设等）综合评分：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（1）其他运维方案科学全面，能够针对本项目日常需求外的部分出具深度细化运维支撑内容，支撑服务科学有效，具有合理的落地实现及问题处理机制，得1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（2）其他运维方案较全面，具有少量超日常范围运维支撑内容，支撑服务流程标准，具有一定的合理性和落地实现机制，得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（3）其他运维方案不全，超日常范围支撑内容缺漏，支撑服务流程混乱，缺乏合理落地支撑机制，得3分；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（4）未提供其他运维方案或方案与项目严重不符，本项得0分。</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主观分</w:t>
            </w:r>
            <w:r/>
          </w:p>
        </w:tc>
      </w:tr>
      <w:tr>
        <w:trPr>
          <w:trHeight w:val="9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服务方案－应急方案（10分）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根据供应商提供的本项目应急方案（包括但不限于：应急抢修及重大节假日、重大活动期间的保障措施等）综合评分：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（1）方案全面合理、优于项目需求的得10分；（2）方案齐全、具有实际可操作性，符合项目需求的得5分；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（3）方案有欠缺、条理不清晰的得3分；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（4）方案可操作性低、不能满足采购需求或者未提供方案的不得分。</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主观分</w:t>
            </w:r>
            <w:r/>
          </w:p>
        </w:tc>
      </w:tr>
      <w:tr>
        <w:trPr>
          <w:trHeight w:val="21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履约能力（16分）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（1）供应商提供有效期内CCRC信息安全服务资质二级及以上，得4分。</w:t>
            </w:r>
            <w:r/>
          </w:p>
          <w:p>
            <w:pPr>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供应商具有有效期内【运行维护服务领域】ITSS 符合性证书：二级及以上得 3 分；三级得 2 分；四级得 1 分，最高 3 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（3）供应商具有有效期内信息系统建设和能力评估证书CS3级及以上的得3分，其他不得分。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（4）供应商具有非税及票据管理系统运维能力，提供相关产品软件著作权证书，每提供一类证书（含关键字）得 2分，最多得6 分，未提供不得分。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证书登记注册的软件名称无需完全一致，但内容（功能）需相同，所提供著作权名称与评分要求不同时，应提供功能说明及包含的关键信息，相应系统功能应符合上述要求，否则不予认可。（上述内容均需提供有效期内证书复印件并加盖公章）</w:t>
            </w:r>
            <w:r/>
          </w:p>
          <w:p>
            <w:pPr>
              <w:jc w:val="both"/>
              <w:rPr>
                <w:rFonts w:hint="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供应商具备非税、财政票据相关信息化系统运维研发能力，提供对应业务领域计算机软件著作权登记证书。按业务领域认定，同一领域多份软著不重复计分，每一类得 2 分，最高 6 分。 注：由评标委员会根据软著功能描述判定是否属于非税及票据管理相关领域，不强制要求证书名称包含指定关键字。</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观分</w:t>
            </w:r>
            <w:r/>
          </w:p>
        </w:tc>
      </w:tr>
      <w:tr>
        <w:trPr>
          <w:trHeight w:val="12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项目组人员（16分）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（1）供应商拟投入本项目的项目经理具有中国人力资源和社会保障部、工业和信息化部联合颁发的系统架构设计师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和系统分析师证书，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每提供1个证书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得3分，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最高得6分，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不得分。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（2）供应商拟投入本项目的技术负责人具有中国人力资源和社会保障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、工业和信息化部联合颁发的信息系统项目管理师证书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得3分，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不提供不得分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（3）供应商拟投入本项目的运维服务团队人员中具有中国人力资源和社会保障部、工业和信息化部联合颁发的计算机技术与软件专业技术资格中级及以上资格的证书，每提供1个证书得2分，最多得4分；</w:t>
            </w:r>
            <w:r/>
          </w:p>
          <w:p>
            <w:pPr>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（4）供应商拟投入本项目的驻场人员具有与本项目服务类似的项目运维经验，每提供一个得1分， 最多得3分。</w:t>
            </w:r>
            <w:r/>
          </w:p>
          <w:p>
            <w:pPr>
              <w:pStyle w:val="746"/>
              <w:ind w:left="0" w:firstLine="0"/>
              <w:rPr>
                <w:rFonts w:hint="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w:t>
            </w:r>
            <w:r>
              <w:rPr>
                <w:rFonts w:hint="eastAsia" w:ascii="宋体" w:hAnsi="宋体" w:eastAsia="宋体" w:cs="宋体"/>
                <w:color w:val="000000" w:themeColor="text1"/>
                <w:sz w:val="24"/>
                <w:szCs w:val="24"/>
                <w:highlight w:val="none"/>
                <w14:textFill>
                  <w14:solidFill>
                    <w14:schemeClr w14:val="tx1"/>
                  </w14:solidFill>
                </w14:textFill>
              </w:rPr>
              <w:t xml:space="preserve">提供以上证书复印件及投标人为该人员缴纳的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本项目开标时间（不含开标当月）前6个月内任何1月</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14:textFill>
                  <w14:solidFill>
                    <w14:schemeClr w14:val="tx1"/>
                  </w14:solidFill>
                </w14:textFill>
              </w:rPr>
              <w:t xml:space="preserve">社会保险缴纳证明</w:t>
            </w:r>
            <w:r>
              <w:rPr>
                <w:rFonts w:hint="eastAsia" w:ascii="宋体" w:hAnsi="宋体" w:eastAsia="宋体" w:cs="宋体"/>
                <w:color w:val="000000" w:themeColor="text1"/>
                <w:sz w:val="24"/>
                <w:szCs w:val="24"/>
                <w:highlight w:val="none"/>
                <w14:textFill>
                  <w14:solidFill>
                    <w14:schemeClr w14:val="tx1"/>
                  </w14:solidFill>
                </w14:textFill>
              </w:rPr>
              <w:t xml:space="preserve">的相关材料原件的复印件加盖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14:textFill>
                  <w14:solidFill>
                    <w14:schemeClr w14:val="tx1"/>
                  </w14:solidFill>
                </w14:textFill>
              </w:rPr>
              <w:t xml:space="preserve">。同一人员多项证书，只按分值最高一项计分，不重复累计得分。</w:t>
            </w:r>
            <w:r>
              <w:rPr>
                <w:rFonts w:hint="eastAsia" w:ascii="宋体" w:hAnsi="宋体" w:eastAsia="宋体" w:cs="宋体"/>
                <w:color w:val="000000" w:themeColor="text1"/>
                <w:sz w:val="24"/>
                <w:szCs w:val="24"/>
                <w:highlight w:val="none"/>
                <w14:textFill>
                  <w14:solidFill>
                    <w14:schemeClr w14:val="tx1"/>
                  </w14:solidFill>
                </w14:textFill>
              </w:rPr>
              <w:tab/>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观分</w:t>
            </w:r>
            <w:r/>
          </w:p>
        </w:tc>
      </w:tr>
      <w:tr>
        <w:trPr>
          <w:trHeight w:val="12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单位业绩（</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供应商提供自202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月1日（含）以来完成的类似应用系统实施部署或应用系统运维项目的成功案例，每提供1个得2分，最多</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分，未提供不得分（提供合同，合同须能反映项目名称、主要标的物，签订时间和签章清晰可见）。</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观分</w:t>
            </w:r>
            <w:r/>
          </w:p>
        </w:tc>
      </w:tr>
    </w:tbl>
    <w:p>
      <w:pPr>
        <w:pStyle w:val="739"/>
        <w:ind w:left="0" w:firstLine="3092"/>
        <w:jc w:val="both"/>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采购包4评标标准</w:t>
      </w:r>
      <w:r/>
    </w:p>
    <w:tbl>
      <w:tblPr>
        <w:tblStyle w:val="710"/>
        <w:tblW w:w="97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10"/>
        <w:gridCol w:w="1862"/>
        <w:gridCol w:w="6461"/>
      </w:tblGrid>
      <w:tr>
        <w:trPr>
          <w:jc w:val="center"/>
          <w:trHeight w:val="550"/>
        </w:trPr>
        <w:tc>
          <w:tcPr>
            <w:gridSpan w:val="3"/>
            <w:tcW w:w="3272" w:type="dxa"/>
            <w:vAlign w:val="center"/>
            <w:textDirection w:val="lrTb"/>
            <w:noWrap/>
          </w:tcPr>
          <w:p>
            <w:pPr>
              <w:jc w:val="center"/>
              <w:spacing w:line="36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W w:w="6461" w:type="dxa"/>
            <w:vAlign w:val="center"/>
            <w:textDirection w:val="lrTb"/>
            <w:noWrap/>
          </w:tcPr>
          <w:p>
            <w:pPr>
              <w:jc w:val="center"/>
              <w:spacing w:line="36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r>
      <w:tr>
        <w:trPr>
          <w:jc w:val="center"/>
          <w:trHeight w:val="750"/>
        </w:trPr>
        <w:tc>
          <w:tcPr>
            <w:gridSpan w:val="2"/>
            <w:tcW w:w="1410" w:type="dxa"/>
            <w:vAlign w:val="center"/>
            <w:textDirection w:val="lrTb"/>
            <w:noWrap/>
          </w:tcPr>
          <w:p>
            <w:pPr>
              <w:jc w:val="center"/>
              <w:spacing w:line="36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价格得分</w:t>
            </w:r>
            <w:r/>
          </w:p>
        </w:tc>
        <w:tc>
          <w:tcPr>
            <w:tcW w:w="1862" w:type="dxa"/>
            <w:vAlign w:val="center"/>
            <w:textDirection w:val="lrTb"/>
            <w:noWrap/>
          </w:tcPr>
          <w:p>
            <w:pPr>
              <w:jc w:val="center"/>
              <w:spacing w:line="360" w:lineRule="exac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15分</w:t>
            </w:r>
            <w:r/>
          </w:p>
        </w:tc>
        <w:tc>
          <w:tcPr>
            <w:tcW w:w="6461" w:type="dxa"/>
            <w:vAlign w:val="center"/>
            <w:textDirection w:val="lrTb"/>
            <w:noWrap/>
          </w:tcPr>
          <w:p>
            <w:pPr>
              <w:jc w:val="left"/>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价格分采用低价优先法计算，即满足招标文件要求且投标报价最低的为评标基准价，其价格分为满分1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的价格分统一按下列公式计算：</w:t>
            </w:r>
            <w:r>
              <w:rPr>
                <w:rFonts w:hint="eastAsia" w:ascii="宋体" w:hAnsi="宋体" w:eastAsia="宋体" w:cs="宋体"/>
                <w:color w:val="000000" w:themeColor="text1"/>
                <w:sz w:val="24"/>
                <w:szCs w:val="24"/>
                <w:highlight w:val="none"/>
                <w14:textFill>
                  <w14:solidFill>
                    <w14:schemeClr w14:val="tx1"/>
                  </w14:solidFill>
                </w14:textFill>
              </w:rPr>
              <w:t xml:space="preserve">各投标人价格得分=最低报价（投标人的最低评审价格）÷各投标人评审价格×1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得分四舍五入保留小数点后2位。</w:t>
            </w:r>
            <w:r/>
          </w:p>
        </w:tc>
      </w:tr>
      <w:tr>
        <w:trPr>
          <w:jc w:val="center"/>
          <w:trHeight w:val="470"/>
        </w:trPr>
        <w:tc>
          <w:tcPr>
            <w:tcW w:w="1400" w:type="dxa"/>
            <w:vAlign w:val="center"/>
            <w:vMerge w:val="restart"/>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技术响应</w:t>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对本项目需求的理解</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15分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对“采购需求”中业务需求梳理、系统业务的理解、分析及方案响应情况进行评审：</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完备</w:t>
            </w:r>
            <w:r>
              <w:rPr>
                <w:rFonts w:hint="eastAsia" w:ascii="宋体" w:hAnsi="宋体" w:eastAsia="宋体" w:cs="宋体"/>
                <w:color w:val="000000" w:themeColor="text1"/>
                <w:sz w:val="24"/>
                <w:szCs w:val="24"/>
                <w:highlight w:val="none"/>
                <w14:textFill>
                  <w14:solidFill>
                    <w14:schemeClr w14:val="tx1"/>
                  </w14:solidFill>
                </w14:textFill>
              </w:rPr>
              <w:t xml:space="preserve">：内容完整详实，项目要求分析准确得当、能够针对采购项目内容要求而细化制定，得15分；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2、方案较好：内容完整、项目要求分析表述较好、但不影响实质性意思表达、能够满足采购需求，得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3、方案一般：项目要求分析内容笼统，针对本项目制定未细致，得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jc w:val="center"/>
          <w:trHeight w:val="90"/>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对系统熟悉程度</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对苏采云系统的技术路线、数据架构和业务流程的熟悉程度进行评审：</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熟悉程度高</w:t>
            </w:r>
            <w:r>
              <w:rPr>
                <w:rFonts w:hint="eastAsia" w:ascii="宋体" w:hAnsi="宋体" w:eastAsia="宋体" w:cs="宋体"/>
                <w:color w:val="000000" w:themeColor="text1"/>
                <w:sz w:val="24"/>
                <w:szCs w:val="24"/>
                <w:highlight w:val="none"/>
                <w14:textFill>
                  <w14:solidFill>
                    <w14:schemeClr w14:val="tx1"/>
                  </w14:solidFill>
                </w14:textFill>
              </w:rPr>
              <w:t xml:space="preserve">：对苏采云系统熟悉程度高得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熟悉程度一般</w:t>
            </w:r>
            <w:r>
              <w:rPr>
                <w:rFonts w:hint="eastAsia" w:ascii="宋体" w:hAnsi="宋体" w:eastAsia="宋体" w:cs="宋体"/>
                <w:color w:val="000000" w:themeColor="text1"/>
                <w:sz w:val="24"/>
                <w:szCs w:val="24"/>
                <w:highlight w:val="none"/>
                <w14:textFill>
                  <w14:solidFill>
                    <w14:schemeClr w14:val="tx1"/>
                  </w14:solidFill>
                </w14:textFill>
              </w:rPr>
              <w:t xml:space="preserve">：对苏采云系统熟悉程度一般得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熟悉程度差</w:t>
            </w:r>
            <w:r>
              <w:rPr>
                <w:rFonts w:hint="eastAsia" w:ascii="宋体" w:hAnsi="宋体" w:eastAsia="宋体" w:cs="宋体"/>
                <w:color w:val="000000" w:themeColor="text1"/>
                <w:sz w:val="24"/>
                <w:szCs w:val="24"/>
                <w:highlight w:val="none"/>
                <w14:textFill>
                  <w14:solidFill>
                    <w14:schemeClr w14:val="tx1"/>
                  </w14:solidFill>
                </w14:textFill>
              </w:rPr>
              <w:t xml:space="preserve">：对苏采云系统熟悉程度较差得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372"/>
        </w:trPr>
        <w:tc>
          <w:tcPr>
            <w:tcW w:w="1400" w:type="dxa"/>
            <w:vAlign w:val="center"/>
            <w:vMerge w:val="continue"/>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工作实施部署方案</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“苏采云”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系统运维工作</w:t>
            </w:r>
            <w:r>
              <w:rPr>
                <w:rFonts w:hint="eastAsia" w:ascii="宋体" w:hAnsi="宋体" w:eastAsia="宋体" w:cs="宋体"/>
                <w:color w:val="000000" w:themeColor="text1"/>
                <w:sz w:val="24"/>
                <w:szCs w:val="24"/>
                <w:highlight w:val="none"/>
                <w14:textFill>
                  <w14:solidFill>
                    <w14:schemeClr w14:val="tx1"/>
                  </w14:solidFill>
                </w14:textFill>
              </w:rPr>
              <w:t xml:space="preserve">完善可行的项目实施方案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szCs w:val="24"/>
                <w:highlight w:val="none"/>
                <w14:textFill>
                  <w14:solidFill>
                    <w14:schemeClr w14:val="tx1"/>
                  </w14:solidFill>
                </w14:textFill>
              </w:rPr>
              <w:t xml:space="preserve">质量保证、风险预防及控制措施方案等。</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好：结构严谨、内容完整详实、能够针对采购项目内容要求而细化制定、有明确的时间节点和进度安排、项目管理运行机制健全且优于采购需求，得 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较好：方案完整、制定的措施较齐全、方案表述有偏差、但不影响实质性意思表达、能够满足采购需求，得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 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一般：有项目实施方案、但方案内容笼统、针对本项目制定未细致、但承诺经过优化可实现采购需求，得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90"/>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培训计划和工作方案</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16"/>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461" w:type="dxa"/>
            <w:vAlign w:val="center"/>
            <w:textDirection w:val="lrTb"/>
            <w:noWrap w:val="false"/>
          </w:tcPr>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制定的</w:t>
            </w:r>
            <w:r>
              <w:rPr>
                <w:rFonts w:hint="eastAsia" w:ascii="宋体" w:hAnsi="宋体" w:eastAsia="宋体" w:cs="宋体"/>
                <w:color w:val="000000" w:themeColor="text1"/>
                <w:sz w:val="24"/>
                <w:szCs w:val="24"/>
                <w:highlight w:val="none"/>
                <w14:textFill>
                  <w14:solidFill>
                    <w14:schemeClr w14:val="tx1"/>
                  </w14:solidFill>
                </w14:textFill>
              </w:rPr>
              <w:t xml:space="preserve">培训计划和工作方案（包括但不限于本地实施手册编写方案、系统培训计划、培训质量保证措施等）。</w:t>
            </w:r>
            <w:r/>
          </w:p>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完备</w:t>
            </w:r>
            <w:r>
              <w:rPr>
                <w:rFonts w:hint="eastAsia" w:ascii="宋体" w:hAnsi="宋体" w:eastAsia="宋体" w:cs="宋体"/>
                <w:color w:val="000000" w:themeColor="text1"/>
                <w:sz w:val="24"/>
                <w:szCs w:val="24"/>
                <w:highlight w:val="none"/>
                <w14:textFill>
                  <w14:solidFill>
                    <w14:schemeClr w14:val="tx1"/>
                  </w14:solidFill>
                </w14:textFill>
              </w:rPr>
              <w:t xml:space="preserve">：内容详实，方案表述全面、相关措施可操作性强且优于采购需求，得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2、方案较好：内容基本详实、相关措施具有操作性、能够满足采购需求，得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3、方案一般：方案内容有所欠缺、但承诺经过优化可实现采购需求，得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3699"/>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售后服务方案</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制定的</w:t>
            </w:r>
            <w:r>
              <w:rPr>
                <w:rFonts w:hint="eastAsia" w:ascii="宋体" w:hAnsi="宋体" w:eastAsia="宋体" w:cs="宋体"/>
                <w:color w:val="000000" w:themeColor="text1"/>
                <w:sz w:val="24"/>
                <w:szCs w:val="24"/>
                <w:highlight w:val="none"/>
                <w14:textFill>
                  <w14:solidFill>
                    <w14:schemeClr w14:val="tx1"/>
                  </w14:solidFill>
                </w14:textFill>
              </w:rPr>
              <w:t xml:space="preserve">售后服务方案（包括但不限于系统运行保障服务承诺、服务体系、服务内容、专业的技术服务团队及其他资源保障等内容）。</w:t>
            </w:r>
            <w:r/>
          </w:p>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完备</w:t>
            </w:r>
            <w:r>
              <w:rPr>
                <w:rFonts w:hint="eastAsia" w:ascii="宋体" w:hAnsi="宋体" w:eastAsia="宋体" w:cs="宋体"/>
                <w:color w:val="000000" w:themeColor="text1"/>
                <w:sz w:val="24"/>
                <w:szCs w:val="24"/>
                <w:highlight w:val="none"/>
                <w14:textFill>
                  <w14:solidFill>
                    <w14:schemeClr w14:val="tx1"/>
                  </w14:solidFill>
                </w14:textFill>
              </w:rPr>
              <w:t xml:space="preserve">：方案详细、响应及时、服务体系完整且优于采购需求，得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2、方案较好：方案详细、响应虽有滞后、服务体系尚算完整，能基本确保业务稳定运行的，能够满足采购需求，得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3、方案一般：方案笼统、响应滞后、服务体系虽完整，人员配置不全且缺乏有效保障业务稳定运行的措施，承诺经过优化可实现采购需求，得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1272"/>
        </w:trPr>
        <w:tc>
          <w:tcPr>
            <w:tcW w:w="1400" w:type="dxa"/>
            <w:vAlign w:val="center"/>
            <w:vMerge w:val="restart"/>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企业实力</w:t>
            </w:r>
            <w:r/>
          </w:p>
        </w:tc>
        <w:tc>
          <w:tcPr>
            <w:gridSpan w:val="2"/>
            <w:tcW w:w="1872" w:type="dxa"/>
            <w:vAlign w:val="center"/>
            <w:textDirection w:val="lrTb"/>
            <w:noWrap/>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企业业绩</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月1日至今（时间以合同签订时间为准）类似平台实施服务运维项目的业绩，每提供一个得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提供合同复印件（含合同主要要素：合同内容、甲乙双方、金额、签订日期等主要内容）加盖供应商公章，未提供不得分。同一个采购人的业绩不累计得分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r>
      <w:tr>
        <w:trPr>
          <w:jc w:val="center"/>
          <w:trHeight w:val="527"/>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系统实施技术认证</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投标人具备政务信息化、运维管理类计算机软件著作权证书，每提供 1 份得 2 分，最高 4 分；投标人使用第三方运维管理平台的，提供平台合法授权文件及对应软件著作权证明，同等得分。著作权不限定为政府采购类相关软件；响应文件提供证书复印件加盖</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2086"/>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企业资质证书</w:t>
            </w:r>
            <w:r/>
          </w:p>
          <w:p>
            <w:pPr>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1.投标人持有有效期内 ISO20000 信息技术服务管理体系认证证书，认证范围包含软件系统运维、信息化技术服务相关内容，得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w:t>
            </w:r>
            <w:r/>
          </w:p>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2.投标人持有有效期内 ISO27001 信息安全管理体系认证证书，认证范围包含软件系统运维、信息化技术服务相关内容，得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w:t>
            </w:r>
            <w:r/>
          </w:p>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3.投标人持有有效期内 ISO9001 质量管理体系认证证书，认证范围包含软件系统运维、信息化技术服务相关内容，得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 </w:t>
            </w:r>
            <w:r/>
          </w:p>
          <w:p>
            <w:pPr>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注：响应文件中提供证书复印件加盖投标人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；中标单位签订合同前须提供证书原件备查。</w:t>
            </w:r>
            <w:r/>
          </w:p>
        </w:tc>
      </w:tr>
      <w:tr>
        <w:trPr>
          <w:jc w:val="center"/>
          <w:trHeight w:val="1729"/>
        </w:trPr>
        <w:tc>
          <w:tcPr>
            <w:tcW w:w="1400" w:type="dxa"/>
            <w:vAlign w:val="center"/>
            <w:vMerge w:val="continue"/>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项目服务人员资质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9分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1、拟派本项目项目经理，持有计算机技术与软件专业技术资格（水平）考试信息系统项目管理师（高级）资格证书的，得 3 分；无则不得分。 </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2、拟投入项目服务人员（项目经理除外）： </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（1）至少 1 人持有计算机技术与软件专业技术资格（水平）考试系统集成项目管理工程师证书，得 3 分； </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（2）至少 1 人持有信息安全保障人员认证（CISAW）证书（或 CISP 注册信息安全专业人员、软考信息安全工程师证书），得 3 分。 </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①同一人员同时具备多项证书的，不重复计分；不同人员持对应证书可分别计分。</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②响应文件中须提供有效期内证书复印件、投标单位为该人员缴纳的</w:t>
            </w:r>
            <w:r>
              <w:rPr>
                <w:rFonts w:hint="eastAsia" w:cs="宋体"/>
                <w:color w:val="000000" w:themeColor="text1"/>
                <w:sz w:val="24"/>
                <w:szCs w:val="24"/>
                <w:highlight w:val="none"/>
                <w:lang w:val="en-US" w:eastAsia="zh-CN"/>
                <w14:textFill>
                  <w14:solidFill>
                    <w14:schemeClr w14:val="tx1"/>
                  </w14:solidFill>
                </w14:textFill>
              </w:rPr>
              <w:t xml:space="preserve">开标时间（不含开标当月）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前6个月内任何1月社保缴纳证明，全部材料加盖供应商公章；材料不全、无法辨识或不在本单位参保的不予计分。</w:t>
            </w:r>
            <w:r/>
          </w:p>
        </w:tc>
      </w:tr>
    </w:tbl>
    <w:p>
      <w:pPr>
        <w:pStyle w:val="773"/>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73"/>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本章说明：本项目采用综合评分法，评分结果精确到小数点后两位。</w:t>
      </w:r>
      <w:r/>
    </w:p>
    <w:p>
      <w:pPr>
        <w:pStyle w:val="925"/>
        <w:rPr>
          <w:rFonts w:hint="eastAsia" w:ascii="宋体" w:hAnsi="宋体" w:cs="宋体"/>
          <w:color w:val="000000" w:themeColor="text1"/>
          <w:sz w:val="24"/>
          <w:szCs w:val="44"/>
          <w:highlight w:val="none"/>
          <w14:textFill>
            <w14:solidFill>
              <w14:schemeClr w14:val="tx1"/>
            </w14:solidFill>
          </w14:textFill>
        </w:rPr>
      </w:pPr>
      <w:r/>
      <w:bookmarkStart w:id="18" w:name="_Toc522790134"/>
      <w:r/>
      <w:bookmarkStart w:id="19" w:name="_Toc523404699"/>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30"/>
          <w:szCs w:val="44"/>
          <w:highlight w:val="none"/>
          <w14:textFill>
            <w14:solidFill>
              <w14:schemeClr w14:val="tx1"/>
            </w14:solidFill>
          </w14:textFill>
        </w:rPr>
        <w:t xml:space="preserve">第五章  拟签订的合同文本</w:t>
      </w:r>
      <w:r/>
    </w:p>
    <w:p>
      <w:pPr>
        <w:pStyle w:val="747"/>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采购包1：财政信息化软硬件运维服务</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  购  人：</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成交供应商：</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合同签订日期： 年 月 日</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甲方：徐州市财政效能中心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签订时间：</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签订地点：</w:t>
      </w:r>
      <w:r/>
    </w:p>
    <w:p>
      <w:pPr>
        <w:numPr>
          <w:ilvl w:val="0"/>
          <w:numId w:val="1"/>
        </w:num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双方根据《中华人民共和国政府采购法》、《中华人民共和国民法典》的相关规定，依据“徐州市数智化财政业务平台一财政信息化服务”项目的招投标文件、中标通知书等相关要求，经平等、自愿友好协商，签订本合同。 </w:t>
      </w:r>
      <w:r/>
    </w:p>
    <w:p>
      <w:pPr>
        <w:numPr>
          <w:ilvl w:val="0"/>
          <w:numId w:val="0"/>
        </w:num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一、合同文件的组成部分：</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1.中标通知书；</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2.合同补充条款或说明；</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3.乙方的投标文件；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4.招标文件；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5.合同附件。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二、合同范围：甲方同意从乙方购买、乙方同意向甲方提供的合同标的以及相关维护服务、技术培训等。</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三、维护方案：详见应标文件。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四、人员配备方案：详见应标文件。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五、技术培训方案：详见应标文件。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六、验收标准（验收要求、验收标准和程序）要求：详见应标文件。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七、合同总价为</w:t>
      </w:r>
      <w:r>
        <w:rPr>
          <w:rFonts w:hint="eastAsia" w:ascii="宋体" w:hAnsi="宋体" w:cs="宋体"/>
          <w:color w:val="000000" w:themeColor="text1"/>
          <w:sz w:val="24"/>
          <w:szCs w:val="24"/>
          <w:highlight w:val="none"/>
          <w:u w:val="single"/>
          <w14:textFill>
            <w14:solidFill>
              <w14:schemeClr w14:val="tx1"/>
            </w14:solidFill>
          </w14:textFill>
        </w:rPr>
        <w:t xml:space="preserve">￥           ，大写：           人民币</w:t>
      </w:r>
      <w:r>
        <w:rPr>
          <w:rFonts w:hint="eastAsia" w:ascii="宋体" w:hAnsi="宋体" w:cs="宋体"/>
          <w:color w:val="000000" w:themeColor="text1"/>
          <w:sz w:val="24"/>
          <w:szCs w:val="24"/>
          <w:highlight w:val="none"/>
          <w14:textFill>
            <w14:solidFill>
              <w14:schemeClr w14:val="tx1"/>
            </w14:solidFill>
          </w14:textFill>
        </w:rPr>
        <w:t xml:space="preserve">。</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八、支付（采购资金的支付方式、时间、条件）：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经双方协商一致，选择以下第</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种付款方式</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1.付款方式一：提交预付款保函的</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合同总价的百分之五十(50%)即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，作为预付款，在合同签订生效且乙方向甲方出具合同总价的百分之五十（50 %)即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的预付款保函，甲方自收到发票（发票金额为合同总价的50 %）后10个工作日内，将资金支付到合同约定的乙方账户。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合同总价的百分之五十(50%)即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，经甲方验收合格后，甲方自收到发票（发票金额为合同总价的50%）后 10个工作日内，将资金支付到合同约定的乙方账户。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乙方需提交的支付文件包括：</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乙方出具的全额正式发票；</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2.付款方式二：不提交预付款保函的</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合同价款的百分之五十(50%)即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，作为预付款，在合同签订生效，甲方自收到发票（发票金额为合同总价的 50 %）后30个工作日内，将资金支付到合同约定的乙方账户。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合同总价的百分之五十(50%)即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，经甲方验收合格后，甲方自收到发票（发票金额为合同总价的50%）后30个工作日内，将资金支付到合同约定的乙方账户。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银行帐号：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九、项目服务期限：自合同签订生效之日起1年。</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十、项目服务地点：徐州市财政效能中心。</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十一、甲乙双方的权利和义务</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1.甲方的权利和义务</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(1)甲方应按照合同约定向乙方支付项目费用；</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(2)甲方应教育员工规范操作、定期检查系统运行情况及维护情况; </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(3)甲方有义务为乙方提供必要的工作条件。</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甲方对乙方技术人员进行人员思想品质、技术能力、工作经验、应变能力、抗压能力等方面进行一次性考核，乙方技术人员如有不通过者，甲方可拒签合同，合同签订后，乙方在未征求甲方同意的前提下不能随意调整技术人员，甲方有权直接终止乙方技术人员服务，乙方应能够及时替补人员。</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2.乙方的权利和义务</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(1)乙方应认真执行投标文件[项目编号：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JSZC-320300-WYKJ-G2026-0027</w:t>
      </w:r>
      <w:r>
        <w:rPr>
          <w:rFonts w:hint="eastAsia" w:ascii="宋体" w:hAnsi="宋体" w:cs="宋体"/>
          <w:color w:val="000000" w:themeColor="text1"/>
          <w:sz w:val="24"/>
          <w:szCs w:val="24"/>
          <w:highlight w:val="none"/>
          <w14:textFill>
            <w14:solidFill>
              <w14:schemeClr w14:val="tx1"/>
            </w14:solidFill>
          </w14:textFill>
        </w:rPr>
        <w:t xml:space="preserve">]中的所有内容，两次不按时到达现场处理故障，视为违约，每次承担1000元违约金，且由此造成的损失由乙方负责。造成重大影响的，甲方有权提前终止合同。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(2)乙方及其工作人员应保守在为甲方服务期间所知悉的技术秘密、商业秘密等。</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十二、违约责任：</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1.甲乙双方有一方不履行合同义务或者履行合同义务不符合约定，给对方造成损失的，违约方应按照合同标的额的2％支付违约金给非违约方。</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2.乙方在履行合同过程中，存在有迟延履行、不适当履行、履行方法不当、履行地点不当等情况的，乙方应对因违约而给甲方造成的实际损失予以一次性补偿。</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3.甲乙双方一方违约后，对方应当采取适当措施防止损失的扩大；没有采取适当措施致使损失扩大的，不得就扩大的损失要求赔偿；当事人因防止损失扩大支出的合理费用，由违约方承担。</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4.乙方因第三方原因造成违约的，乙方应当向甲方承担违约责任，并根据实际损失支付赔偿金。</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5.甲方违反本合同“八、支付”约定的，每延期 5天，甲方向乙方支付合同总价0.1‰的违约金，但违约金的总金额不得超过合同总价的1%。</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十三、</w:t>
      </w:r>
      <w:r>
        <w:rPr>
          <w:rFonts w:hint="eastAsia" w:ascii="宋体" w:hAnsi="宋体" w:cs="宋体"/>
          <w:color w:val="000000" w:themeColor="text1"/>
          <w:sz w:val="24"/>
          <w:szCs w:val="24"/>
          <w:highlight w:val="none"/>
          <w14:textFill>
            <w14:solidFill>
              <w14:schemeClr w14:val="tx1"/>
            </w14:solidFill>
          </w14:textFill>
        </w:rPr>
        <w:t xml:space="preserve">投标承诺派驻人员履约管理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1.乙方确认：投标文件中《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人员配备</w:t>
      </w:r>
      <w:r>
        <w:rPr>
          <w:rFonts w:hint="eastAsia" w:ascii="宋体" w:hAnsi="宋体" w:cs="宋体"/>
          <w:color w:val="000000" w:themeColor="text1"/>
          <w:sz w:val="24"/>
          <w:szCs w:val="24"/>
          <w:highlight w:val="none"/>
          <w14:textFill>
            <w14:solidFill>
              <w14:schemeClr w14:val="tx1"/>
            </w14:solidFill>
          </w14:textFill>
        </w:rPr>
        <w:t xml:space="preserve">》（详见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应标文件</w:t>
      </w:r>
      <w:r>
        <w:rPr>
          <w:rFonts w:hint="eastAsia" w:ascii="宋体" w:hAnsi="宋体" w:cs="宋体"/>
          <w:color w:val="000000" w:themeColor="text1"/>
          <w:sz w:val="24"/>
          <w:szCs w:val="24"/>
          <w:highlight w:val="none"/>
          <w14:textFill>
            <w14:solidFill>
              <w14:schemeClr w14:val="tx1"/>
            </w14:solidFill>
          </w14:textFill>
        </w:rPr>
        <w:t xml:space="preserve">）为本合同有效组成文件。乙方应当确保清单内人员按时到岗履约，未经甲方书面同意，不得擅自更换、调离岗。</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2.人员更换条件：仅发生以下客观情形时，乙方可向甲方提交书面更换申请，并附证明材料：</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（1）人员患病、重伤无法持续履职（需提供正规医疗机构证明）；</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（2）劳动关系解除、退休、身故；</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（3）执业资格被依法吊销、限制执业；</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（4）发生不可抗力无法履职。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更换流程：乙方应提前【7】日向甲方提交书面申请，同时报送替补人员简历、资格证书、社保证明；替补人员资历、专业资质、从业经验不得低于投标文件中原人员标准。甲方审核同意并出具书面批复后方可更换；未经同意擅自更换视为乙方严重违约。</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4.违约责任：</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）未经甲方书面同意，擅自更换</w:t>
      </w:r>
      <w:r>
        <w:rPr>
          <w:rFonts w:hint="eastAsia" w:ascii="宋体" w:hAnsi="宋体" w:cs="宋体"/>
          <w:color w:val="000000" w:themeColor="text1"/>
          <w:sz w:val="24"/>
          <w:szCs w:val="24"/>
          <w:highlight w:val="none"/>
          <w:lang w:val="en-US" w:eastAsia="zh-CN"/>
          <w14:textFill>
            <w14:solidFill>
              <w14:schemeClr w14:val="tx1"/>
            </w14:solidFill>
          </w14:textFill>
        </w:rPr>
        <w:t xml:space="preserve">程序开发、软件运维、硬件运维</w:t>
      </w:r>
      <w:r>
        <w:rPr>
          <w:rFonts w:hint="eastAsia" w:ascii="宋体" w:hAnsi="宋体" w:cs="宋体"/>
          <w:color w:val="000000" w:themeColor="text1"/>
          <w:sz w:val="24"/>
          <w:szCs w:val="24"/>
          <w:highlight w:val="none"/>
          <w14:textFill>
            <w14:solidFill>
              <w14:schemeClr w14:val="tx1"/>
            </w14:solidFill>
          </w14:textFill>
        </w:rPr>
        <w:t xml:space="preserve">等关键岗位人员，每人次支付违约金人民币【</w:t>
      </w:r>
      <w:r>
        <w:rPr>
          <w:rFonts w:hint="eastAsia" w:ascii="宋体" w:hAnsi="宋体" w:cs="宋体"/>
          <w:b/>
          <w:bCs/>
          <w:color w:val="000000" w:themeColor="text1"/>
          <w:sz w:val="24"/>
          <w:szCs w:val="24"/>
          <w:highlight w:val="none"/>
          <w:lang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0000</w:t>
      </w:r>
      <w:r>
        <w:rPr>
          <w:rFonts w:hint="eastAsia" w:ascii="宋体" w:hAnsi="宋体" w:cs="宋体"/>
          <w:color w:val="000000" w:themeColor="text1"/>
          <w:sz w:val="24"/>
          <w:szCs w:val="24"/>
          <w:highlight w:val="none"/>
          <w14:textFill>
            <w14:solidFill>
              <w14:schemeClr w14:val="tx1"/>
            </w14:solidFill>
          </w14:textFill>
        </w:rPr>
        <w:t xml:space="preserve">元】；</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）未经甲方书面同意擅自更换其他普通人员，每人次支付违约金人民币【</w:t>
      </w: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cs="宋体"/>
          <w:color w:val="000000" w:themeColor="text1"/>
          <w:sz w:val="24"/>
          <w:szCs w:val="24"/>
          <w:highlight w:val="none"/>
          <w:lang w:val="en-US" w:eastAsia="zh-CN"/>
          <w14:textFill>
            <w14:solidFill>
              <w14:schemeClr w14:val="tx1"/>
            </w14:solidFill>
          </w14:textFill>
        </w:rPr>
        <w:t xml:space="preserve">000</w:t>
      </w:r>
      <w:r>
        <w:rPr>
          <w:rFonts w:hint="eastAsia" w:ascii="宋体" w:hAnsi="宋体" w:cs="宋体"/>
          <w:color w:val="000000" w:themeColor="text1"/>
          <w:sz w:val="24"/>
          <w:szCs w:val="24"/>
          <w:highlight w:val="none"/>
          <w14:textFill>
            <w14:solidFill>
              <w14:schemeClr w14:val="tx1"/>
            </w14:solidFill>
          </w14:textFill>
        </w:rPr>
        <w:t xml:space="preserve">元】；</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）同一岗位累计2次擅自更换，或者乙方拒不按甲方要求补足合格人员的，甲方有权单方面解除合同，乙方承担由此造成甲方全部损失。</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5.甲方有权随时核查在岗人员身份、劳动合同、社保；甲方有充分证据证明人员无法胜任岗位工作的，有权书面要求乙方限期更换，乙方应当在【5】日内完成调整。</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6.本条款项下累计违约金总额最高不超过合同总价【5%】。甲方有权在当期应付合同款项中直接抵扣违约金。</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、不可抗力</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2.受不可抗力事件影响的合同一方对于不可抗力事件导致的任何合同义务的迟延履行或不能履行不承担责任。但该方应尽快以书面方式将不可抗力事件结束或其影响消除的情况通知另一方。</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3.合同双方应在不可抗力事件结束或其影响消除后立即继续履行其合同义务，如果不可抗力事件的影响持续超过本合同规定的期限，合同任何一方均有权发出书面通知终止合同。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color w:val="000000" w:themeColor="text1"/>
          <w:sz w:val="24"/>
          <w:szCs w:val="24"/>
          <w:highlight w:val="none"/>
          <w14:textFill>
            <w14:solidFill>
              <w14:schemeClr w14:val="tx1"/>
            </w14:solidFill>
          </w14:textFill>
        </w:rPr>
        <w:t xml:space="preserve">、争议解决方式</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因执行本合同所发生的或者与本合同有关的一切争议由合同双方通过友好协商解决，如果不能协商一致，合同任何一方有权向甲方所在地人民法院提起诉讼。</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color w:val="000000" w:themeColor="text1"/>
          <w:sz w:val="24"/>
          <w:szCs w:val="24"/>
          <w:highlight w:val="none"/>
          <w14:textFill>
            <w14:solidFill>
              <w14:schemeClr w14:val="tx1"/>
            </w14:solidFill>
          </w14:textFill>
        </w:rPr>
        <w:t xml:space="preserve">、合同的变更和终止</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1.政府采购合同的双方当事人不得擅自变更、中止或者终止本合同。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2.如果乙方有下述违约行为之一的在不妨碍甲方采取其它救济手段的情况下，甲方可以向乙方发出书面违约通知，全部或部分地终止合同：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(1)乙方在合同规定的服务期限内未能按规定的最终期限完成服务的；</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(2)合同标的未能达到要求的；</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(3)乙方未能履行合同项下义务，并且在收到甲方违约通知后未能按规定的期限对其违约行为作出补救。</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3.如果一方破产或发生资不抵债的情况,合同另一方有权在任何时候发出书面通知终止合同。此种情况下合同的终止不妨碍或影响行使任何可能的其它救济手段。</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4.如果甲方认定乙方在投标或执行合同中有腐败或欺诈行为,甲方有权在任何时候发出书面通知终止合同。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color w:val="000000" w:themeColor="text1"/>
          <w:sz w:val="24"/>
          <w:szCs w:val="24"/>
          <w:highlight w:val="none"/>
          <w14:textFill>
            <w14:solidFill>
              <w14:schemeClr w14:val="tx1"/>
            </w14:solidFill>
          </w14:textFill>
        </w:rPr>
        <w:t xml:space="preserve">、合同效力</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1.本合同在甲乙双方加盖公章或合同专用章后生效。</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2.本合同的附件为本合同不可分割的组成部分，与合同正文具有同等法律效力。</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color w:val="000000" w:themeColor="text1"/>
          <w:sz w:val="24"/>
          <w:szCs w:val="24"/>
          <w:highlight w:val="none"/>
          <w14:textFill>
            <w14:solidFill>
              <w14:schemeClr w14:val="tx1"/>
            </w14:solidFill>
          </w14:textFill>
        </w:rPr>
        <w:t xml:space="preserve">、适用法律</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本合同的执行和争议的解决适用中华人民共和国的法律并按中华人民共和国的法律进行解释。</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color w:val="000000" w:themeColor="text1"/>
          <w:sz w:val="24"/>
          <w:szCs w:val="24"/>
          <w:highlight w:val="none"/>
          <w14:textFill>
            <w14:solidFill>
              <w14:schemeClr w14:val="tx1"/>
            </w14:solidFill>
          </w14:textFill>
        </w:rPr>
        <w:t xml:space="preserve">、保密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2.上述秘密，乙方只能用于本合同，而且只能由乙方相应的人员使用；没有必要接触的乙方人员，不得接触。</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3.乙方应当采取适当有效的方式保护所获取的上述秘密。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14:textFill>
            <w14:solidFill>
              <w14:schemeClr w14:val="tx1"/>
            </w14:solidFill>
          </w14:textFill>
        </w:rPr>
        <w:t xml:space="preserve">、甲方组织对乙方运维服务工作进行考核</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考核内容：考核实行百分制，90分(含)以上为优秀，90 分以下 75 分(含)以上为良好，75分以下60分(含)以上为合格，低于60分的为不合格。</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应用：当期考核结果为良好(含良好)以上的，按合同约定全额支付服务费用；当期考核结果为合格的，按（合同约定全额/合同总天数）×运维天数的80%支付；当期考核结果为不合格的，按（合同约定全额/合同总天数）×运维天数的50%支付，采购人可单方终止与乙方的合同关系。乙方在服务期限内无故停止服务或连续两次考核结果均不合格的，停止与乙方续约。</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color w:val="000000" w:themeColor="text1"/>
          <w:sz w:val="24"/>
          <w:szCs w:val="24"/>
          <w:highlight w:val="none"/>
          <w14:textFill>
            <w14:solidFill>
              <w14:schemeClr w14:val="tx1"/>
            </w14:solidFill>
          </w14:textFill>
        </w:rPr>
        <w:t xml:space="preserve">、安全运维管理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必须规范日常的安全操作，符合财政部总体安全策略，通过实施必要的安全运行维护措施，配合甲方定期开展网络安全自查，自查内容至少包括系统日常运行情况、系统漏洞等。配合甲方定期进行安全审计，审计内容至少包括系统账号、权限、操作行为和安全技术措施有效性等，及时发现和处理信息系统运行过程中的安全隐患，减少或避免网络安全事件的发生。</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1.管理技术团队要相对独立，有专门网络安全负责人。</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2.运维操作要保持网络相对独立，要保证“专机专用”，不允许“一机多网”同时混用。</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3.乙方不得转包、分包合同任务；确需分包的，应报经甲方同意，并明确相应的网络安全责任和义务，同时明确不得将合同任务主体和关键部分分包。</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4.实施及运维中产生的系统数据、系统运行数据及收集的个人信息等数据资产归甲方所有。</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5.实施及运维中，乙方如需收集、使用、存储、处理数据必须以申请的方式征求甲方同意后方可进行。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6.乙方要在甲方的授权范围内对数据的访问、利用和支配，并接受甲方所采取的的安全技术上管控措施。</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7乙方必须按要求将政务数据与其他数据分开存储、处理。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8.未经甲方同意，供应商不得变更数据用途、用法，不得访问、修改、公开、披露、利用、转让、销毁、私自留存或向第三方提供。</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9.合同终止时，乙方要按照甲方的要求及时处理数据。</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10.乙方应当按照《数据安全法》《个人信息保护法》等法律法规及相关政策规定的要求，加强个人信息保护。</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11.供应商如需为了运维采购相关产品和服务，必须征求甲方同意。</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12.供应商要建立健全网络和数据安全保护机制，发现重大问题按规定及时向委托单位和相关部门报告。</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13.乙方发生业务转型、合并重组、投资并购等重大事项，或者管理技术团队人员发生重大变化，应提前向委托单位报告。</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14.乙方应积极配合相关部门开展网络安全检查、测评、审计等监督管理工作，以及拒绝或不配合监管的追责措施。</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 乙方应如实完整提供外包网络安全管理情况，如隐匿、瞒报要追究供应商的安全责任。</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 乙方如违反网络安全相关条款，按照《网络安全法》、《数据安全法》相关罚责进行处罚。</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、技术安全防护要求</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规范管理信息化设备的安全维护；根据工作所需设置最小访问权限；禁止将系统管理员权限授予其他人员；禁止绕过运维安全审计系统对基础软件进行远程维护；严格控制运维工具的使用，经过甲方审核后才可接入财政网络进行操作；规范财政网络和信息系统软硬件的配置管理，信息系统配置、升级或改造等方面的变更按照审批流程操作。因运维实施人员配置错误、操作错误，造成的系统、设备、资金损失，追究中标供应商责任。</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、其它</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1.本合同的订立、效力、解释、履行和争议的解决均适用中华人民共和国法律。</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4.本合同一式四份，具有同等法律效力，甲方一份，乙方一份，徐州市政府采购中心存档一份，政府采购监督管理部门备案一份。</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    5.本合同其他未尽事宜及与采购文件有矛盾之处，以招标文件[项目编号：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JSZC-320300-WYKJ-G2026-0027</w:t>
      </w:r>
      <w:r>
        <w:rPr>
          <w:rFonts w:hint="eastAsia" w:ascii="宋体" w:hAnsi="宋体" w:cs="宋体"/>
          <w:color w:val="000000" w:themeColor="text1"/>
          <w:sz w:val="24"/>
          <w:szCs w:val="24"/>
          <w:highlight w:val="none"/>
          <w14:textFill>
            <w14:solidFill>
              <w14:schemeClr w14:val="tx1"/>
            </w14:solidFill>
          </w14:textFill>
        </w:rPr>
        <w:t xml:space="preserve">]为准。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甲方（签章）： 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 ____________________________________</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 ____________________________________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法定代表人或授权代表(签名)： 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乙方（签章）： ____________________________</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 ____________________________________</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 ____________________________________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 ________________________________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银行帐号： ________________________________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法定代表人或授权代表(签名)： ______________</w:t>
      </w:r>
      <w:r/>
    </w:p>
    <w:p>
      <w:pPr>
        <w:pStyle w:val="74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采购包2：财政机房核心软硬件维保</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  购  人：</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成交供应商：</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合同签订日期： 年 月 日</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746"/>
        <w:rPr>
          <w:rFonts w:hint="eastAsia"/>
          <w:color w:val="000000" w:themeColor="text1"/>
          <w:sz w:val="21"/>
          <w:szCs w:val="24"/>
          <w:highlight w:val="none"/>
          <w14:textFill>
            <w14:solidFill>
              <w14:schemeClr w14:val="tx1"/>
            </w14:solidFill>
          </w14:textFill>
        </w:rPr>
      </w:pPr>
      <w:r>
        <w:rPr>
          <w:rFonts w:hint="eastAsia"/>
          <w:color w:val="000000" w:themeColor="text1"/>
          <w:sz w:val="21"/>
          <w:szCs w:val="24"/>
          <w:highlight w:val="none"/>
          <w14:textFill>
            <w14:solidFill>
              <w14:schemeClr w14:val="tx1"/>
            </w14:solidFill>
          </w14:textFill>
        </w:rPr>
      </w:r>
      <w:r/>
    </w:p>
    <w:p>
      <w:pPr>
        <w:ind w:right="-6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甲方：徐州市财政效能中心           </w:t>
      </w:r>
      <w:r/>
    </w:p>
    <w:p>
      <w:pPr>
        <w:ind w:right="-6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 </w:t>
      </w:r>
      <w:r/>
    </w:p>
    <w:p>
      <w:pPr>
        <w:ind w:right="-6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项目名称：财政信息化服务-财政机房核心软硬件系统维保</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甲、乙双方根据《中华人民共和国政府采购法》、《中华人民共和国民法典》等相关法律、法规的规定，本着诚信和平等自愿的原则，经双方友好协商，签订以下合同条款，以资共同遵守。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一、合同文件的组成部分：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1.中标通知书；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2.招标文件；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3.乙方的投标文件；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4.乙方在招投标过程中所作的其它承诺、声明、书面澄清等；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5.合同附件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6.当招标文件和乙方的投标文件不一致时，应当以招标文件为准，但如果投标文件的承诺高于招标文件时，以投标文件为准。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二、维保服务地点及维保服务期限</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1.维保服务地点：江苏省徐州市云龙区昆仑大道1号徐州市行政中心。</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2.维保服务期限：2026年12月21日至2027年12月20日。</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三、维保服务方案：详见合同附件1。</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四、维保服务人员方案：详见合同附件2。</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五、维保服务技术培训方案：详见合同附件3。</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六、数据保密承诺和服务质量承诺书：详见合同附件4。</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七、培训服务承诺函：详见合同附件5。</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八、验收标准（验收要求、验收标准和程序）要求：详见合同附件6。</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九、合同总价：￥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元整）。</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十、支付：</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合同总价的百分之</w:t>
      </w:r>
      <w:r>
        <w:rPr>
          <w:rFonts w:hint="eastAsia" w:ascii="宋体" w:hAnsi="宋体" w:cs="宋体"/>
          <w:color w:val="000000" w:themeColor="text1"/>
          <w:sz w:val="24"/>
          <w:szCs w:val="24"/>
          <w:highlight w:val="none"/>
          <w:u w:val="single"/>
          <w14:textFill>
            <w14:solidFill>
              <w14:schemeClr w14:val="tx1"/>
            </w14:solidFill>
          </w14:textFill>
        </w:rPr>
        <w:t xml:space="preserve">五十</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50</w:t>
      </w:r>
      <w:r>
        <w:rPr>
          <w:rFonts w:hint="eastAsia" w:ascii="宋体" w:hAnsi="宋体" w:cs="宋体"/>
          <w:color w:val="000000" w:themeColor="text1"/>
          <w:sz w:val="24"/>
          <w:szCs w:val="24"/>
          <w:highlight w:val="none"/>
          <w14:textFill>
            <w14:solidFill>
              <w14:schemeClr w14:val="tx1"/>
            </w14:solidFill>
          </w14:textFill>
        </w:rPr>
        <w:t xml:space="preserve"> %)即￥</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，在合同签订生效，甲方自收到发票（发票金额为合同总价的</w:t>
      </w:r>
      <w:r>
        <w:rPr>
          <w:rFonts w:hint="eastAsia" w:ascii="宋体" w:hAnsi="宋体" w:cs="宋体"/>
          <w:color w:val="000000" w:themeColor="text1"/>
          <w:sz w:val="24"/>
          <w:szCs w:val="24"/>
          <w:highlight w:val="none"/>
          <w:u w:val="single"/>
          <w14:textFill>
            <w14:solidFill>
              <w14:schemeClr w14:val="tx1"/>
            </w14:solidFill>
          </w14:textFill>
        </w:rPr>
        <w:t xml:space="preserve"> 50 </w:t>
      </w:r>
      <w:r>
        <w:rPr>
          <w:rFonts w:hint="eastAsia" w:ascii="宋体" w:hAnsi="宋体" w:cs="宋体"/>
          <w:color w:val="000000" w:themeColor="text1"/>
          <w:sz w:val="24"/>
          <w:szCs w:val="24"/>
          <w:highlight w:val="none"/>
          <w14:textFill>
            <w14:solidFill>
              <w14:schemeClr w14:val="tx1"/>
            </w14:solidFill>
          </w14:textFill>
        </w:rPr>
        <w:t xml:space="preserve">%）后（30）工作日内，将资金支付到合同约定的乙方账户。</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合同实施十个月后，进行项目预验收。项目预验收合格后支付合同总价的百分之</w:t>
      </w:r>
      <w:r>
        <w:rPr>
          <w:rFonts w:hint="eastAsia" w:ascii="宋体" w:hAnsi="宋体" w:cs="宋体"/>
          <w:color w:val="000000" w:themeColor="text1"/>
          <w:sz w:val="24"/>
          <w:szCs w:val="24"/>
          <w:highlight w:val="none"/>
          <w:u w:val="single"/>
          <w14:textFill>
            <w14:solidFill>
              <w14:schemeClr w14:val="tx1"/>
            </w14:solidFill>
          </w14:textFill>
        </w:rPr>
        <w:t xml:space="preserve">五十</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50</w:t>
      </w:r>
      <w:r>
        <w:rPr>
          <w:rFonts w:hint="eastAsia" w:ascii="宋体" w:hAnsi="宋体" w:cs="宋体"/>
          <w:color w:val="000000" w:themeColor="text1"/>
          <w:sz w:val="24"/>
          <w:szCs w:val="24"/>
          <w:highlight w:val="none"/>
          <w14:textFill>
            <w14:solidFill>
              <w14:schemeClr w14:val="tx1"/>
            </w14:solidFill>
          </w14:textFill>
        </w:rPr>
        <w:t xml:space="preserve"> %)即￥</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，甲方自收到发票（发票金额为合同总价的</w:t>
      </w:r>
      <w:r>
        <w:rPr>
          <w:rFonts w:hint="eastAsia" w:ascii="宋体" w:hAnsi="宋体" w:cs="宋体"/>
          <w:color w:val="000000" w:themeColor="text1"/>
          <w:sz w:val="24"/>
          <w:szCs w:val="24"/>
          <w:highlight w:val="none"/>
          <w:u w:val="single"/>
          <w14:textFill>
            <w14:solidFill>
              <w14:schemeClr w14:val="tx1"/>
            </w14:solidFill>
          </w14:textFill>
        </w:rPr>
        <w:t xml:space="preserve">50</w:t>
      </w:r>
      <w:r>
        <w:rPr>
          <w:rFonts w:hint="eastAsia" w:ascii="宋体" w:hAnsi="宋体" w:cs="宋体"/>
          <w:color w:val="000000" w:themeColor="text1"/>
          <w:sz w:val="24"/>
          <w:szCs w:val="24"/>
          <w:highlight w:val="none"/>
          <w14:textFill>
            <w14:solidFill>
              <w14:schemeClr w14:val="tx1"/>
            </w14:solidFill>
          </w14:textFill>
        </w:rPr>
        <w:t xml:space="preserve">%）后（30）工作日内，将资金支付到合同约定的乙方账户。</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合同约定的乙方账户：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银行帐号：</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十一、甲乙双方的权利和义务</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1.甲方的权利和义务</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（1）甲方应按照合同约定向乙方支付项目费用；</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（2）甲方应教育员工规范操作、定期检查系统运行情况及维护情况; </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（3）甲方有义务为乙方提供必要的工作条件。</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（4）甲方有权邀请专家对乙方提供的服务进行验收，并根据验收结果进行合同款项支付。</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2.乙方的权利和义务</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(1)乙方应认真执行投标文件[项目编号：      ]中的所有内容，两次不按时到达现场处理故障，视为违约，每次承担合同总金额5%的违约金，且由此造成的损失由乙方负责。造成重大影响的，甲方有权提前终止合同。</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(2)乙方及其工作人员应保守在为甲方服务期间所知悉的技术秘密、商业秘密等。</w:t>
      </w:r>
      <w:r/>
    </w:p>
    <w:p>
      <w:pPr>
        <w:ind w:firstLine="480"/>
        <w:spacing w:line="360" w:lineRule="auto"/>
        <w:tabs>
          <w:tab w:val="left" w:pos="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十二、安全要求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12.1安全运维要求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须规范日常安全操作，符合财政部总体安全策略，通过实施必要的安全运行维护措施，配合甲方定期开展网络安全自查，自查内容至少包括系统日常运行情况、系统漏洞等。配合甲方定期进行安全审计，审计内容至少包括系统账号、权限、操作行为和安全技术措施有效性等，及时发现和处理信息系统运行过程中安全隐患，减少或避免网络安全事件发生。</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（2）管理技术团队要相对独立，有专门网络安全负责人。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（3）运维操作要保持网络相对独立，要保证“专机专用”，不允许“一机多网”同时混用。</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（4）乙方不得转包、分包合同任务。</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（5）实施及运维中产生的系统数据、系统运行数据及收集的个人信息等数据资产归甲方所有。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（6）实施及运维中，乙方如需收集、使用、存储、处理数据，必须以申请的方式征求甲方同意后方可进行。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（7）乙方要在甲方的授权范围内对数据的访问、利用和支配，并接受甲方所采取的的安全技术管控措施。</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（8）乙方必须按要求将政务数据与其他数据分开存储、处理。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（9）未经甲方同意，成交乙方不得变更数据用途、用法，不得访问、修改、公开、披露、利用、转让、销毁、私自留存或向第三方提供。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（10）合同终止时，成交乙方要按照甲方的要求及时处理数据。</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（11）乙方应当按照《数据安全法》《个人信息保护法》等法律法规及相关政策规定的要求，加强个人信息保护。</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（12）乙方如需为了运维采购相关产品和服务，须征得甲方同意。</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（13）乙方要建立健全网络和数据安全保护机制，发现重大问题，按规定及时向甲方和相关部门报告。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（14）乙方发生业务转型、合并重组、投资并购等重大事项，或者管理技术团队人员发生重大变化，应提前向甲方报告。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（15）乙方应积极配合相关部门开展网络安全检查、测评、审计等监督管理工作，履行拒绝或不配合监管的追责措施。</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（16）乙方应如实完整提供外包网络安全管理情况，如隐匿、瞒报要追究成交乙方安全责任。</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（17）乙方如违反网络安全相关条款，按照《网络安全法》、《数据安全法》相关罚责进行处罚。</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12.2技术安全防护要求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（1）规范信息化设备安全维护管理。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（2）根据工作所需设置最小访问权限。</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（3）禁止将系统管理员权限授予其他人员。</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（4）禁止绕过运维安全审计系统对基础软件进行远程维护。</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（5）严格控制运维工具的使用，经甲方审核后方可接入财政网络操作。</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（6）规范财政网络和信息系统软硬件的配置管理，信息系统配置、升级或改造等方面变更按照审批流程操作。因运维实施人员配置错误、操作错误，造成的系统、设备、资金损失，追究乙方责任。</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12.3信息保密要求</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在本合同履行的过程中，或为履行本合同的需要，从甲方所获得的、有关甲方和/或属于甲方的任何信息包括甲方工作方式方法与资料、管理信息、数据库内容、财政工作信息及其他被认为是甲方的信息，都是甲方的秘密，乙方不得泄露给任何第三方。</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（2）上述秘密，乙方只能用于本合同，而且只能由乙方相应的人员使用；没有必要接触的乙方人员，不得接触。</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应书面承诺对甲方提供的内部资料、数据和信息予以保密。未经甲方书面许可，不许以任何形式向第三方透露。如因乙方原因造成失密的，视为乙方自愿放弃自失密发生之日起在徐州财政系统承接所有业务的资格。</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ind w:firstLine="480"/>
        <w:spacing w:line="360" w:lineRule="auto"/>
        <w:tabs>
          <w:tab w:val="left" w:pos="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十三、违约责任：</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1.未经双方协商一致，任何一方均不得提前中止、终止、变更或解除合同，如有违反，应向对方支付违约金伍万元。给对方造成经济损失的，还应追加赔偿。</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2.本合同执行期间发生不可抗力事件，致使合同无法履行时，双方均不承担违约责任，并按照有关政策法规及时协商处理善后事宜。</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3.项目到期前两个月内进行项目终验，终验不合格的，乙方不再作为甲方后续相同项目的合作对象。</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十四、不可抗力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十五、争议解决方式</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因执行本合同所发生的或者与本合同有关的一切争议由合同双方通过友好协商解决，如果不能协商一致，合同任何一方有权向甲方所在地人民法院提起诉讼</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十六、合同的变更和终止</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1.政府采购合同的双方当事人不得擅自变更、中止或者终止本合同。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2.如果乙方有下述违约行为之一的在不妨碍甲方采取其它救济手段的情况下，甲方可以向乙方发出书面违约通知，全部或部分地终止合同：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乙方在合同规定的服务期限内未能按规定的最终期限完成服务的；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合同标的未能达到要求的；</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乙方未能履行合同项下义务，并且在收到甲方违约通知后未能按规定的期限对其违约行为作出补救。</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3.如果一方破产或发生资不抵债的情况,合同另一方有权在任何时候发出书面通知终止合同。此种情况下合同的终止不妨碍或影响行使任何可能的其它救济手段。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4.如果甲方认定乙方在投标或执行合同中有腐败或欺诈行为,甲方有权在任何时候发出书面通知终止合同。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十七、合同效力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1.本合同在甲乙双方加盖公章或合同专用章后生效。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2.本合同的附件为本合同不可分割的组成部分，与合同正文具有同等法律效力。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十八、其它</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1.本合同的订立、效力、解释、履行和争议的解决均适用中华人民共和国法律。</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3.本合同一式叁份，具有同等法律效力，甲方贰份，乙方壹份。</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4.本合同其他未尽事宜及与采购文件有矛盾之处，以采购文件[项目编号：      ]为准。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5.按照《财政部关于做好政府采购信息公开工作的通知》（财库〔2015〕135号），甲方依据《保守国家秘密法》等法律制度规定确定本合同</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部分涉及国家秘密，该涉及国家秘密部分不公告；甲方依据《反不正当竞争法》等法律制度的规定与乙方约定本合同</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部分涉及商业秘密，该涉及商业秘密部分不公告。</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甲方（签章）：</w:t>
      </w:r>
      <w:r>
        <w:rPr>
          <w:rFonts w:hint="eastAsia" w:ascii="宋体" w:hAnsi="宋体" w:cs="宋体"/>
          <w:color w:val="000000" w:themeColor="text1"/>
          <w:sz w:val="24"/>
          <w:szCs w:val="24"/>
          <w:highlight w:val="none"/>
          <w:u w:val="single"/>
          <w14:textFill>
            <w14:solidFill>
              <w14:schemeClr w14:val="tx1"/>
            </w14:solidFill>
          </w14:textFill>
        </w:rPr>
        <w:t xml:space="preserve">徐州市财政效能中心</w:t>
      </w: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u w:val="single"/>
          <w14:textFill>
            <w14:solidFill>
              <w14:schemeClr w14:val="tx1"/>
            </w14:solidFill>
          </w14:textFill>
        </w:rPr>
        <w:t xml:space="preserve">徐州市新城区行政中心北二区</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u w:val="single"/>
          <w14:textFill>
            <w14:solidFill>
              <w14:schemeClr w14:val="tx1"/>
            </w14:solidFill>
          </w14:textFill>
        </w:rPr>
        <w:t xml:space="preserve"> 0516-83791151</w:t>
      </w: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法定代表人或授权代表(签名)： ______________ </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乙方（签章）：</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银行帐号：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法定代表人或授权代表(签名)： ______________</w:t>
      </w:r>
      <w:r/>
    </w:p>
    <w:p>
      <w:pPr>
        <w:jc w:val="center"/>
        <w:pageBreakBefore/>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w:t>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合同附件1： 《维保服务方案》</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[要求见采购文件《2、项目要求（采购需求）》；内容见乙方响应文件(项目编号：           ]</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合同附件2：《维保服务人员方案》</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[要求见采购文件《2、项目要求（采购需求）》；内容见乙方响应文件(项目编号：          ]</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合同附件3：《维保服务技术培训方案》</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[要求见采购文件《2、项目要求（采购需求）》；内容见乙方响应文件(项目编号：         ]</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合同附件4：《数据保密承诺和服务质量承诺书》</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合同附件5：《培训服务承诺函》</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合同附件6：《验收标准（验收要求、验收标准和程序）要求》</w:t>
      </w:r>
      <w:r/>
    </w:p>
    <w:p>
      <w:pPr>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[要求见采购文件《2、项目要求（采购需求）》；内容见乙方响应文件(项目编号：            ]</w:t>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附件4：</w:t>
      </w:r>
      <w:r/>
    </w:p>
    <w:p>
      <w:pPr>
        <w:jc w:val="center"/>
        <w:keepLines/>
        <w:keepNext/>
        <w:spacing w:before="280" w:after="290" w:line="360" w:lineRule="auto"/>
        <w:rPr>
          <w:rFonts w:hint="eastAsia" w:ascii="宋体" w:hAnsi="宋体" w:cs="宋体"/>
          <w:b/>
          <w:color w:val="000000" w:themeColor="text1"/>
          <w:sz w:val="24"/>
          <w:szCs w:val="24"/>
          <w:highlight w:val="none"/>
          <w14:textFill>
            <w14:solidFill>
              <w14:schemeClr w14:val="tx1"/>
            </w14:solidFill>
          </w14:textFill>
        </w:rPr>
        <w:outlineLvl w:val="3"/>
      </w:pPr>
      <w:r>
        <w:rPr>
          <w:rFonts w:hint="eastAsia" w:ascii="宋体" w:hAnsi="宋体" w:cs="宋体"/>
          <w:b/>
          <w:color w:val="000000" w:themeColor="text1"/>
          <w:sz w:val="24"/>
          <w:szCs w:val="24"/>
          <w:highlight w:val="none"/>
          <w14:textFill>
            <w14:solidFill>
              <w14:schemeClr w14:val="tx1"/>
            </w14:solidFill>
          </w14:textFill>
        </w:rPr>
        <w:t xml:space="preserve">数据保密承诺和服务质量承诺书</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致：</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我公司严格遵守《国家相关秘密及密级具体范围》和贵方的有关保密规定，不泄漏贵方的一切机密；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我公司对贵方发出的各种文件内容保密，绝不擅自泄密；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在维护服务期间，对贵方软硬件的配置、应用等严格保密，决不外传；</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我公司提供的服务质量满足采购人提出的服务要求。</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在中标后签订政府采购合同前，向采购人提供认可过的数据保密承诺书和服务质量承诺书。</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特此承诺</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240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投标人名称（公章）：</w:t>
      </w:r>
      <w:r/>
    </w:p>
    <w:p>
      <w:pPr>
        <w:ind w:firstLine="240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年    月   日</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附件5：</w:t>
      </w:r>
      <w:r/>
    </w:p>
    <w:p>
      <w:pPr>
        <w:jc w:val="cente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培训服务承诺函</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致：</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计算机信息系统的建设是涉及到管理、技术、人员等多方面因素的整体工程。为了能够充分发挥用户主机系统的功能，对主机的使用人员和管理人员进行系统的、科学的主机技术培训是提高主机使用、管理能力的一项必不可少的工作。为了保证整个系统能良好运行，我公司将在施工现场为用户培训一批质量合格的维护人员、少量高级工程技术人员和系统管理人员。</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维护人员经培训后，在建设、运营中能有效地操作和维护信息化系统，掌握包括通信在内的软件及硬件维护工作，并能及时排除大部分的设备故障。从而能独立进行主机管理、故障处理、日常测试维护等工作，确保系统能够正常安全运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高级工程技术人员经培训后，除熟悉相关的设备、软件的操作、维护管理系统的基本原理与总体概念外，还应熟练掌握系统命令，具备组织管理整个应用系统的能力，应能负责相应的技术管理工作，可指导维护工作人员进行日常维护管理工作，掌握软件的操作，熟悉硬件的功能，能处理一些设备故障，阅读软件清单、分析软件故障并能掌握组织、扩建网络/系统业务的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系统管理人员经培训后能负责全系统的运行管理工作，除熟悉系统构成及基本管理操作外，还应掌握系统间的接口、网络的管理和系统扩展等方面的知识。能够独立承担日常备份、日常管理等常规性工作。</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一个管理信息系统的成功实现很重要的一条就是用户的积极参与，这其中包括领导的重视，业务部门的配合以及用户自己的技术人员的参与。</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在项目实施过程中，我公司分阶段开展多层次的培训工作，采取理论与实践相结合的方式，以网络维护和系统管理为重点内容。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了确保招标人顺利完成核心系统项目建设的工作目标，需要充足的人才的配备及培养，以提高现有技术团队的整体技能水平。我方为徐州财政信息系统基础建设系统相关管理人员提供现场培训，同时，对徐州财政一般机关人员进行简单的操作技能培训。</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项目培训内容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培训课程的细则和计划、人数等由双方商定。培训方式为现场培训、专业理论培训。培训用教材（书面文档或电子文档）包括相关设备的安装、测试和维护技术。培训用教材提供最新的并和供给的设备相一致，保证数量要求，我公司提供培训人员实习所需的设备及测试条件。</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现场培训</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现场培训：在系统维护时提供现场的技术培训，包括小型机、服务器、存储、网络、Oracle数据库、容灾备份的日常操作、简单的维护和错误处理等。在我公司提供的现场服务中，就服务过程中的问题，要与采购人进行沟通，在解决问题的同时，提高采购人技术人员的技术能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在系统的安装过程中，由我公司的技术人员对用户提供现场培训，主要包括网络技术系统和主机系统培训。现场培训要求信息中心的网络管理员、计算机系统管理员参加。</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现场培训主要涉及网络设备的配置、调试以及以外情况的处理方法等。技术人员通过具体参与工程的实施了解整个工程过程的重点、难点等，同时也为工程完成后的维护工作打好基础。</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在保修期内，我方根据系统升级等需要，不定期组织采购人的技术人员进行相关的技术培训。</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通过进行主机系统培训可以让网络管理人员更好的进行服务器系统维护管理工作,掌握基本使用、管理，学会简单的维护保养工作。</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我公司承诺提供的所有培训均为免费提供，采购人不再支付任何费用。</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3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投标人名称（公章）：</w:t>
      </w:r>
      <w:r/>
    </w:p>
    <w:p>
      <w:pPr>
        <w:ind w:firstLine="33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年   月  日</w:t>
      </w:r>
      <w:r/>
    </w:p>
    <w:p>
      <w:pPr>
        <w:pStyle w:val="747"/>
        <w:rPr>
          <w:rFonts w:hint="eastAsia" w:ascii="宋体" w:eastAsia="宋体"/>
          <w:color w:val="000000" w:themeColor="text1"/>
          <w:sz w:val="21"/>
          <w:szCs w:val="24"/>
          <w:highlight w:val="none"/>
          <w14:textFill>
            <w14:solidFill>
              <w14:schemeClr w14:val="tx1"/>
            </w14:solidFill>
          </w14:textFill>
        </w:rPr>
      </w:pPr>
      <w:r>
        <w:rPr>
          <w:rFonts w:hint="eastAsia" w:ascii="宋体" w:eastAsia="宋体"/>
          <w:color w:val="000000" w:themeColor="text1"/>
          <w:sz w:val="21"/>
          <w:szCs w:val="24"/>
          <w:highlight w:val="none"/>
          <w14:textFill>
            <w14:solidFill>
              <w14:schemeClr w14:val="tx1"/>
            </w14:solidFill>
          </w14:textFill>
        </w:rPr>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采购包3：徐州市非税系统运维服务</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  购  人：</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成交供应商：</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合同签订日期： 年 月 日</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徐州市财政效能中心   </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依据《中华人民共和国民法典》、《中华人民共和国政府采购法》等相关法律法规的有关规定，经双方友好协商，达成一致协议如下： </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一、合同标的</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软件技术服务，具体服务内容见本协议第三条的规定。</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二、服务对象</w:t>
      </w:r>
      <w:r/>
    </w:p>
    <w:p>
      <w:pPr>
        <w:ind w:firstLine="480"/>
        <w:spacing w:line="52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徐州市本级非税系统用户</w:t>
      </w:r>
      <w:r>
        <w:rPr>
          <w:rFonts w:hint="eastAsia" w:ascii="宋体" w:hAnsi="宋体" w:cs="宋体"/>
          <w:color w:val="000000" w:themeColor="text1"/>
          <w:sz w:val="24"/>
          <w:szCs w:val="24"/>
          <w:highlight w:val="none"/>
          <w:lang w:val="zh-CN"/>
          <w14:textFill>
            <w14:solidFill>
              <w14:schemeClr w14:val="tx1"/>
            </w14:solidFill>
          </w14:textFill>
        </w:rPr>
        <w:t xml:space="preserve">。</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三、服务内容</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1.财政服务内容</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（1）技术支持服务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日常运维保障：用户终端正式环境的产品故障问题、误操作产生的问题排查和处理。</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（2）业务支持服务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咨询解答：向财政用户提供系统产品操作使用咨询的解答服务；向社会公众提供缴款业务、退费业务操作的咨询答复服务。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定制化培训：根据财政需求，安排中、高级培训讲师，组织专场培训会议或提供一对一培训服务。培训内容包括：业务规范、业务流程、系统功能操作。</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业务协助：提供非税收入退付审核协助、项目分成数据校验协助、非税对账协助、账务处理协助。</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四、服务方式</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1.服务方式：热线电话服务、运维群服务、在线远程支持服务。</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2.服务时间：电话服务7*24小时。</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3.服务热线：乙方的服务热线为</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4.运维群服务：乙方提供项目运维群支持服务，甲方可在相关运维群中发起服务请求，乙方技术人员将及时回复并处理问题。</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5.远程服务：乙方提供远程维护的服务体系，如出现紧急情况，技术人员通过远程登陆系统端，及时进行远程服务。</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五、服务期限</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本合同约定的服务期限自</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日至</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六、费用和支付方式</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1.费用   </w:t>
      </w:r>
      <w:r/>
    </w:p>
    <w:tbl>
      <w:tblPr>
        <w:tblStyle w:val="710"/>
        <w:tblpPr w:horzAnchor="margin" w:tblpXSpec="center" w:vertAnchor="text" w:tblpY="91" w:leftFromText="180" w:topFromText="0" w:rightFromText="180" w:bottomFromText="0"/>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1"/>
        <w:gridCol w:w="972"/>
        <w:gridCol w:w="1476"/>
        <w:gridCol w:w="1428"/>
        <w:gridCol w:w="1001"/>
        <w:gridCol w:w="1800"/>
      </w:tblGrid>
      <w:tr>
        <w:trPr>
          <w:trHeight w:val="776"/>
        </w:trPr>
        <w:tc>
          <w:tcPr>
            <w:tcBorders>
              <w:top w:val="single" w:color="auto" w:sz="4" w:space="0"/>
              <w:left w:val="single" w:color="auto" w:sz="4" w:space="0"/>
              <w:bottom w:val="single" w:color="auto" w:sz="4" w:space="0"/>
              <w:right w:val="single" w:color="auto" w:sz="4" w:space="0"/>
            </w:tcBorders>
            <w:tcW w:w="189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名   称</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数量</w:t>
            </w:r>
            <w:r/>
          </w:p>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含税单价</w:t>
            </w:r>
            <w:r/>
          </w:p>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不含税总金额（元）</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税率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价税合计（元）</w:t>
            </w:r>
            <w:r/>
          </w:p>
        </w:tc>
      </w:tr>
      <w:tr>
        <w:trPr>
          <w:trHeight w:val="919"/>
        </w:trPr>
        <w:tc>
          <w:tcPr>
            <w:tcBorders>
              <w:top w:val="single" w:color="auto" w:sz="4" w:space="0"/>
              <w:left w:val="single" w:color="auto" w:sz="4" w:space="0"/>
              <w:bottom w:val="single" w:color="auto" w:sz="4" w:space="0"/>
              <w:right w:val="single" w:color="auto" w:sz="4" w:space="0"/>
            </w:tcBorders>
            <w:tcW w:w="1891"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left="0" w:right="0" w:firstLine="480"/>
              <w:jc w:val="both"/>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left="0" w:right="0" w:firstLine="480"/>
              <w:jc w:val="both"/>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842"/>
        </w:trPr>
        <w:tc>
          <w:tcPr>
            <w:gridSpan w:val="6"/>
            <w:tcBorders>
              <w:top w:val="single" w:color="auto" w:sz="4" w:space="0"/>
              <w:left w:val="single" w:color="auto" w:sz="4" w:space="0"/>
              <w:bottom w:val="single" w:color="auto" w:sz="4" w:space="0"/>
              <w:right w:val="single" w:color="auto" w:sz="4" w:space="0"/>
            </w:tcBorders>
            <w:tcW w:w="8568"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合计（大写）：            （小写）：￥          元</w:t>
            </w:r>
            <w:r/>
          </w:p>
        </w:tc>
      </w:tr>
    </w:tbl>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2.支付时间和方式</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（1）甲方在合同签订、收到乙方开具的发票后30个工作日内，支付乙方合同金额的50%。</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（2）甲方在服务满10个月后组织项目验收。项目验收合格、收到乙方开具的发票后30个工作日内，甲方支付乙方合同金额50%。</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3.服务费用调整</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期限内，如甲方要求乙方增加服务范围和内容（包括但不限于服务软件的种类、数量及服务范围的增加），双方应就新增内容与费用另行订立补充协议或以其他书面方式确认，新增服务费用可与本合同服务费用一并收取和支付。</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七、权利和义务</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甲方的权利和义务</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指定系统负责人和联系方式；</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本合同执行期间，甲方提供运维服务过程中所需的合理资源需求，定期做好系统数据备份，并对备份数据进行妥善保管；</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如经乙方分析确定故障系基于第三方原因发生（如网络线路故障等），甲方在第三方排除该故障发生原因时可以要求乙方给予配合；</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在乙方服务人员提供服务完成时，甲方需予以确认；</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向乙方支付约定的合同约定费用。</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2.乙方的权利和义务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在本合同的履行期内，按本合同约定的方式为甲方提供本合同第三条所描述的服务范围内的技术服务，并全力保障甲方的系统能够正常运行。 </w:t>
      </w:r>
      <w:r/>
    </w:p>
    <w:p>
      <w:pPr>
        <w:numPr>
          <w:ilvl w:val="0"/>
          <w:numId w:val="3"/>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甲方人员非法操作、计算机设备感染病毒或第三方产品的故障、计算机设备故障、网络故障等原因致使许可软件无法正常运行，乙方有义务协助甲方提供处置方案和临时替代方案；</w:t>
      </w:r>
      <w:r/>
    </w:p>
    <w:p>
      <w:pPr>
        <w:numPr>
          <w:ilvl w:val="0"/>
          <w:numId w:val="3"/>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甲方因各种设备和网络故障、操作失误等情况造成数据混乱和丢失，乙方需协助甲方尽快恢复相关数据。</w:t>
      </w:r>
      <w:r/>
    </w:p>
    <w:p>
      <w:pPr>
        <w:numPr>
          <w:ilvl w:val="0"/>
          <w:numId w:val="3"/>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对非乙方销售的第三方软硬件，如和本合同提供的服务相关，乙方提供相应技术指导。</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3.甲方要求乙方超出本合同约定的范围提供支持服务的，按照本合同第六条第3点“服务费用调整”之约定与乙方另行协商。甲乙双方协商确定增加服务内容和增加费用事宜后，以书面补充协议形式予以履行。</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八、安全要求</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（一）安全运维要求</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须规范日常安全操作，符合财政部总体安全策略，通过实施必要的安全运行维护措施，配合甲方定期开展网络安全自查，自查内容至少包括系统日常运行情况、系统漏洞等。配合甲方定期进行安全审计，审计内容至少包括系统账号、权限、操作行为和安全技术措施有效性等，及时发现和处理信息系统运行过程中安全隐患，减少或避免网络安全事件发生。</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2.管理技术团队要相对独立，有专门网络安全负责人。</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3.运维操作要保持网络相对独立，要保证“专机专用”，不允许“一机多网”同时混用。</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4.乙方不得转包、分包合同任务；确需分包的，应报经甲方同意，并明确相应网络安全责任和义务，同时明确不得将合同任务主体和关键部分分包。</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5.实施及运维中产生的系统数据、系统运行数据及收集的个人信息等数据资产归甲方所有。</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6.实施及运维中，乙方如需收集、使用、存储、处理数据，必须以申请的方式征求甲方同意后方可进行。</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7.乙方要在甲方的授权范围内对数据的访问、利用和支配，并接受甲方所采取的的安全技术管控措施。</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8.乙方必须按要求将政务数据与其他数据分开存储、处理。</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9.未经甲方同意，乙方不得变更数据用途、用法，不得访问、修改、公开、披露、利用、转让、销毁、私自留存或向第三方提供。</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10.合同终止时，乙方要按照甲方的要求及时处理数据。</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11.乙方应当按照《数据安全法》《个人信息保护法》等法律法规及相关政策规定的要求，加强个人信息保护。</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12.乙方如需为了运维采购相关产品和服务，须征得甲方同意。</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13.乙方要建立健全网络和数据安全保护机制，发现重大问题，按规定及时向甲方和相关部门报告。</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14.乙方发生业务转型、合并重组、投资并购等重大事项，或者管理技术团队人员发生重大变化，应提前向甲方报告。</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15.乙方应积极配合相关部门开展网络安全检查、测评、审计等监督管理工作，履行拒绝或不配合监管的追责措施。</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16.乙方应如实完整提供外包网络安全管理情况，如隐匿、瞒报要追究乙方安全责任。</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17.乙方如违反网络安全相关条款，按照《网络安全法》、《数据安全法》相关罚责进行处罚。</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（二）技术安全防护要求</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1.规范管理信息化设备的安全维护。</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2.根据工作所需设置最小访问权限。</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3.禁止将系统管理员权限授予其他人员。</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4.禁止绕过运维安全审计系统对基础软件进行远程维护。</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5.严格控制运维工具的使用，经甲方审核后方可接入财政网络操作。</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6.规范财政网络和信息系统软硬件的配置管理，信息系统配置、升级或改造等方面变更按照审批流程操作。因运维实施人员配置错误、操作错误，造成的系统、设备、资金损失，追究乙方责任。</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（三）人员管理要求</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1.乙方应择优选择经过预算管理一体化系统相关技术培训，胜任一体化系统日常运维工作的运维服务人员，报市、区财政共同批准后方可入场服务；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2.乙方应根据相关管理规定和甲方要求，每季度对运维服务人员进行综合考评，包括：技术能力、日常工作状态、服务态度、工作纪律等方面，并将考评结果报告甲方；</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为保障预算管理一体化系统服务工作，未经市、区财政共同确认的情况下，乙方不得随意调整或变更运维服务人员。确需调整的，须提前1个月报告市、区财政，在征得双方同意后正式调换，并做好接替人员的上岗培训和交接工作；</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4.乙方应服从市、区财政共同管理。日常工作应积极主动，耐心细致；遇到急、难、重任务时，乙方应积极响应、主动跟随客户工作节奏、担当作为；准确、及时、高效的完成所有相关运维服务工作；</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5.乙方应专职于一体化系统运维服务，不得兼职；</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6.乙方不得有借用技术或信息优势，吃拿卡要、推销产品或服务等额外收费行为；乙方不得有敷衍推诿，漫不经心，态度粗暴不耐烦，或其他不当言行；</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7.乙方应严格遵守保密协议和相关工作纪律。规范上班考勤、按时提交签章后的工单和技术支持记录单，并计入乙方综合考评。定期报告驻场单位，验收前检查；</w:t>
      </w:r>
      <w:r/>
    </w:p>
    <w:p>
      <w:pPr>
        <w:ind w:firstLine="480"/>
        <w:spacing w:line="52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8.乙方为运维服务人员工作中的表现和结果负责。如出现运维服务人员原因影响工作进度或影响财政相关考核、被服务对象投诉、违反相关管理规定等情况，甲方有权要求乙方更换运维服务人员。</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九、保密条款</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1.双方都有责任保守所知晓的对方的商业秘密，除法律法规另有规定的情形外，未经对方同意，不得向第三方泄露，商业秘密的范围包括但不限于技术情报、数据资料及其他商业秘密。</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除法律法规另有规定的情形外，任何一方未征得对方的同意，不得为其它任何目的而自行使用或允许他人使用从对方获得的信息（信息包括所有的报告、摘录、纪要、文件、计划、报表、复印件以及对方的业务数据等）。</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3.双方应对参加项目工作人员严格要求，确保其遵守本协议规定的保密条款。</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4.任何一方违反本保密规定，给对方造成损失，须承担赔偿责任，赔偿金额以本合同金额为限。</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十、违约责任</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1.甲方未履行或不完全履行付款义务的，每逾期一日，应向乙方支付合同总金额的万分之五作为违约金。</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因自身原因未履行或不完全履行合同义务，经甲方书面提醒后仍未整改的，每逾期提供合格服务一日，应向甲方支付合同总金额的万分之五作为违约金，因逾期提供合格服务造成甲方经济损失的，还应对甲方的直接经济损失承担赔偿责任。</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3.任意一方违约的，除上述违约金外，还应承担守约方为实现自身债权的全部合理支出，包括但不限于诉讼费、仲裁费、律师费、鉴定费、保全费、公告费等。</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十一、争议解决</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本协议在执行过程中若有争议，双方协商解决。协商不成，可向有管辖权的人民法院提起诉讼。</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十二、不可抗力</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甲、乙双方任何一方由于不可抗力不能履行或不能完全履行合同时，均应及时以书面形式通知对方，并自该书面通知之日起10个工作日内提供有关主管部门的证明。</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合同一方对因不可抗力而致的延期履行、部分履行或者履行不能免于承担责任。</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十三、其他事项</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1.本合同未尽事宜，由双方另行订立补充协议作为本合同不可分割的一部分。若本合同与补充协议内容有冲突的，以补充协议为准。</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2.合同一式肆份，甲、乙双方各执贰份，经双方法定代表人/授权代表签字/盖章并加盖公章/合同专用章后生效，具有同等效力。</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甲方（盖章）：徐州市财政效能中心</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负责人（签字）：</w:t>
      </w:r>
      <w:r>
        <w:rPr>
          <w:rFonts w:hint="eastAsia" w:ascii="宋体" w:hAnsi="宋体" w:cs="宋体"/>
          <w:color w:val="000000" w:themeColor="text1"/>
          <w:sz w:val="24"/>
          <w:szCs w:val="24"/>
          <w:highlight w:val="none"/>
          <w14:textFill>
            <w14:solidFill>
              <w14:schemeClr w14:val="tx1"/>
            </w14:solidFill>
          </w14:textFill>
        </w:rPr>
        <w:tab/>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乙方（盖章）： </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法定代表人或授权代表（签字）：</w:t>
      </w:r>
      <w:r/>
    </w:p>
    <w:p>
      <w:pPr>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right"/>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合同签署日期：       年    月    日</w:t>
      </w:r>
      <w:r/>
    </w:p>
    <w:p>
      <w:pPr>
        <w:ind w:firstLine="420"/>
        <w:spacing w:line="360" w:lineRule="exact"/>
        <w:rPr>
          <w:rFonts w:hint="eastAsia" w:ascii="宋体" w:hAnsi="宋体"/>
          <w:color w:val="000000" w:themeColor="text1"/>
          <w:sz w:val="21"/>
          <w:szCs w:val="24"/>
          <w:highlight w:val="none"/>
          <w14:textFill>
            <w14:solidFill>
              <w14:schemeClr w14:val="tx1"/>
            </w14:solidFill>
          </w14:textFill>
        </w:rPr>
      </w:pPr>
      <w:r>
        <w:rPr>
          <w:rFonts w:hint="eastAsia" w:ascii="宋体" w:hAnsi="宋体"/>
          <w:color w:val="000000" w:themeColor="text1"/>
          <w:sz w:val="21"/>
          <w:szCs w:val="24"/>
          <w:highlight w:val="none"/>
          <w14:textFill>
            <w14:solidFill>
              <w14:schemeClr w14:val="tx1"/>
            </w14:solidFill>
          </w14:textFill>
        </w:rPr>
      </w:r>
      <w:r/>
    </w:p>
    <w:p>
      <w:pPr>
        <w:pStyle w:val="74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采购包4：苏采云系统运维服务</w:t>
      </w:r>
      <w:r/>
    </w:p>
    <w:p>
      <w:pPr>
        <w:pStyle w:val="749"/>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  购  人：</w:t>
      </w:r>
      <w:r/>
    </w:p>
    <w:p>
      <w:pPr>
        <w:pStyle w:val="749"/>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成交供应商：</w:t>
      </w:r>
      <w:r/>
    </w:p>
    <w:p>
      <w:pPr>
        <w:pStyle w:val="749"/>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合同签订日期： 年 月 日</w:t>
      </w:r>
      <w:r/>
    </w:p>
    <w:p>
      <w:pPr>
        <w:ind w:firstLine="560"/>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736"/>
        <w:ind w:right="403"/>
        <w:spacing w:line="440" w:lineRule="exact"/>
        <w:rPr>
          <w:rFonts w:hint="default"/>
          <w:b/>
          <w:color w:val="000000" w:themeColor="text1"/>
          <w:sz w:val="28"/>
          <w:szCs w:val="28"/>
          <w:highlight w:val="none"/>
          <w14:textFill>
            <w14:solidFill>
              <w14:schemeClr w14:val="tx1"/>
            </w14:solidFill>
          </w14:textFill>
        </w:rPr>
      </w:pPr>
      <w:r>
        <w:rPr>
          <w:rFonts w:hint="default"/>
          <w:b/>
          <w:color w:val="000000" w:themeColor="text1"/>
          <w:sz w:val="28"/>
          <w:szCs w:val="28"/>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w:t>
      </w:r>
      <w:r>
        <w:rPr>
          <w:rFonts w:hint="eastAsia" w:ascii="宋体" w:hAnsi="宋体" w:cs="宋体"/>
          <w:b/>
          <w:color w:val="000000" w:themeColor="text1"/>
          <w:sz w:val="24"/>
          <w:szCs w:val="24"/>
          <w:highlight w:val="none"/>
          <w:u w:val="single"/>
          <w14:textFill>
            <w14:solidFill>
              <w14:schemeClr w14:val="tx1"/>
            </w14:solidFill>
          </w14:textFill>
        </w:rPr>
        <w:t xml:space="preserve">徐州市财政效能中心        </w:t>
      </w:r>
      <w:r/>
    </w:p>
    <w:p>
      <w:pPr>
        <w:ind w:firstLine="48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w:t>
      </w: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3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江苏省政府采购“苏采云”平台产品由省财政厅统筹建设开发，甲方无需支付产品费用。甲、乙双方就</w:t>
      </w:r>
      <w:r>
        <w:rPr>
          <w:rFonts w:hint="eastAsia" w:ascii="宋体" w:hAnsi="宋体" w:cs="宋体"/>
          <w:b/>
          <w:color w:val="000000" w:themeColor="text1"/>
          <w:sz w:val="24"/>
          <w:szCs w:val="24"/>
          <w:highlight w:val="none"/>
          <w:u w:val="single"/>
          <w14:textFill>
            <w14:solidFill>
              <w14:schemeClr w14:val="tx1"/>
            </w14:solidFill>
          </w14:textFill>
        </w:rPr>
        <w:t xml:space="preserve">徐州市数智化财政业务平台-财政信息化服务项目 采购包4 苏采云系统运维服务</w:t>
      </w:r>
      <w:r>
        <w:rPr>
          <w:rFonts w:hint="eastAsia" w:ascii="宋体" w:hAnsi="宋体" w:cs="宋体"/>
          <w:color w:val="000000" w:themeColor="text1"/>
          <w:sz w:val="24"/>
          <w:szCs w:val="24"/>
          <w:highlight w:val="none"/>
          <w14:textFill>
            <w14:solidFill>
              <w14:schemeClr w14:val="tx1"/>
            </w14:solidFill>
          </w14:textFill>
        </w:rPr>
        <w:t xml:space="preserve">，本着平等互利原则，就相关事宜达成如下合同：</w:t>
      </w:r>
      <w:r/>
    </w:p>
    <w:p>
      <w:pPr>
        <w:pStyle w:val="786"/>
        <w:numPr>
          <w:ilvl w:val="0"/>
          <w:numId w:val="0"/>
        </w:numPr>
        <w:ind w:left="426"/>
        <w:jc w:val="left"/>
        <w:spacing w:before="156"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一、工作内容 </w:t>
      </w:r>
      <w:r/>
    </w:p>
    <w:p>
      <w:pPr>
        <w:ind w:firstLine="43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u w:val="single"/>
          <w14:textFill>
            <w14:solidFill>
              <w14:schemeClr w14:val="tx1"/>
            </w14:solidFill>
          </w14:textFill>
        </w:rPr>
        <w:t xml:space="preserve">苏采云系统运维服务</w:t>
      </w:r>
      <w:r>
        <w:rPr>
          <w:rFonts w:hint="eastAsia" w:ascii="宋体" w:hAnsi="宋体" w:cs="宋体"/>
          <w:color w:val="000000" w:themeColor="text1"/>
          <w:sz w:val="24"/>
          <w:szCs w:val="24"/>
          <w:highlight w:val="none"/>
          <w14:textFill>
            <w14:solidFill>
              <w14:schemeClr w14:val="tx1"/>
            </w14:solidFill>
          </w14:textFill>
        </w:rPr>
        <w:t xml:space="preserve">工作的具体内容如下：</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1、提供平台的运维和运营服务：核心功能模块主要包括政府采购项目采购系统、框架协议电子化采购系统、监督管理功能等。同时提供徐州政府采购网运维及安全保障服务。</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2、项目范围：覆盖公开招标、邀请招标、竞争性谈判、竞争性磋商、单一来源采购、询价采购、框架协议采购等采购方式。</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范围：覆盖政府采购项目的采购意向公开、采购计划、采购委托、代理机构受理、采购需求确认、采购文件确认、采购公告发布、开评标管理、采购结果确认、中标结果公示、合同签订、合同归档等全部环节；覆盖框架协议电子化采购的征集、合同签订、商品上架、采购人下单采购等全部环节；覆盖监管审批、预警监督、数据统计、报表查询等环节。</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4、服务对象：包含财政监管部门、采购人、代理机构、评审专家、供应商等五大采购主体。</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5、服务方式：包含热线电话、QQ/微信/邮件/向日葵等远程服务、智能客服平台7*24小时服务、项目经理区域负责制、定制化工单服务、紧急或重大项目按需提供现场保障等。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6、系统运维服务内容：</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（1）系统日常运维与技术支持：系统故障排查与修复、系统异常数据处理等，例如：针对登录异常、操作报错、数据同步失败等问题，快速定位原因并解决，减少系统中断时间。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定期巡检与应急响应：项目经理或服务人员提供巡检服务，出现系统故障（例如：页面无法访问、功能报错、流程卡顿等）时，立即启动应急预案，快速定位原因并解决问题，恢复服务。针对网站公告接口数据每日巡检，排查发现推送失败数据，根据失败原因进行数据并反馈给相应采购人或代理机构，避免产生后续影响。</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接口运维保障：对系统衔接的其他相关系统（例如：预算管理一体化系统、政府采购评审专家库系统、省政府采购网、CA和签章、人行中征管理平台、网上商城等）在业务开展过程中的异常进行迅速处理，（例如：省网公告异常、数据对接异常等），保障数据交互顺畅。</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7、系统运营服务内容：</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（1）对财政监管部门、采购人、代理机构、评审专家、供应商等五大采购主体均提供的服务：</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①业务咨询类：例如账号和密码登录咨询、CA和签章办理咨询、政策要求咨询、系统填写规范咨询、项目管理流程咨询等。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②操作指导类：例如浏览器版本登录指导、系统控件安装指导、开评标过程指导、因用户本地计算机、网络环境、操作系统导致系统无法正常使用的解决方案指导等。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业务培训和操作培训类：结合本地实际业务，编写适用于本地的操作手册和操作视频，根据每年的升级内容进行相应的更新和调整。根据财政监管部门的工作安排，提供针对采购人或代理机构的规模型集中培训。同时，根据财政监管部门需求，可配合开展其他针对性主题的培训（例如：当年系统升级内容、当年政策性调整内容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④功能配置类：根据用户个性化业务需求、流程规则要求，初始化、调整系统本地功能配置（例如：业务流程、文件模板、权限配置、规则配置等）及因本地化调整涉及的相关测试，提升响应速度和处理能力。</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不见面交易所涉及的音视频服务流量：开展不见面交易（例如：开标大厅语音播报、评标时视频会议、在线评审等业务场景）过程中，使用音视频服务时产生的网络数据传输。--说明：该项服务目前由乙方免费提供。本合同范围内，乙方未向甲方收取任何费用。</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对财政监管部门：重点提供数据整理校对、数据汇总统计等，协助其通过系统开展采购流程监管、违规行为预警等工作；同时，根据政府采购政策调整及业务需求变化，配合进行本地个性化需求梳理、上报等，确保系统与最新政策要求和业务场景适配。业务涉及采购计划、采购委托、代理机构、采购人、采购合同、CA签章、采购公告、评审专家库、场地预约、电子化开评标、框架协议、审批业务、质疑投诉、监管规则、文件模板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（3）对采购人：重点提供采购项目全过程电子化的操作支持（例如：采购计划填报、采购意向发布、采购文件确认、中标结果确认、电子合同签订等）。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（4）对代理机构：重点提供入驻平台和信息维护支持、采购项目全过程电子化的操作支持（例如：项目创建、专家抽取、评审组织、采购全流程电子化管理、开评标电子化管理、档案电子化管理等）。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（5）对评审专家：重点提供在线评审操作支持以及远程异地评审支持（例如：综合评审打分、折扣报价确认等操作指导）。</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对供应商：重点提供入驻平台和信息维护支持、投标参与支持（例如：线上参与投标、采购文件下载、投标/响应文件在线制作、投标/响应文件在线加密递交、投标/响应文件在线解密、评标过程中的二次报价、电子合同签订等）以及融资服务信息对接支持等。</w:t>
      </w:r>
      <w:r/>
    </w:p>
    <w:p>
      <w:pPr>
        <w:pStyle w:val="786"/>
        <w:numPr>
          <w:ilvl w:val="0"/>
          <w:numId w:val="0"/>
        </w:numPr>
        <w:ind w:left="426"/>
        <w:jc w:val="left"/>
        <w:spacing w:before="156"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二、权利和义务</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1、甲方的权利和义务</w:t>
      </w:r>
      <w:r/>
    </w:p>
    <w:p>
      <w:pPr>
        <w:pStyle w:val="786"/>
        <w:numPr>
          <w:ilvl w:val="0"/>
          <w:numId w:val="4"/>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对乙方的服务工作进行确认和签字。</w:t>
      </w:r>
      <w:r/>
    </w:p>
    <w:p>
      <w:pPr>
        <w:pStyle w:val="786"/>
        <w:numPr>
          <w:ilvl w:val="0"/>
          <w:numId w:val="4"/>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根据本合同规定金额及支付进度向乙方支付合同款项。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2、乙方的权利和义务</w:t>
      </w:r>
      <w:r/>
    </w:p>
    <w:p>
      <w:pPr>
        <w:pStyle w:val="786"/>
        <w:numPr>
          <w:ilvl w:val="0"/>
          <w:numId w:val="5"/>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按照合同约定，完成工作内容。</w:t>
      </w:r>
      <w:r/>
    </w:p>
    <w:p>
      <w:pPr>
        <w:pStyle w:val="786"/>
        <w:numPr>
          <w:ilvl w:val="0"/>
          <w:numId w:val="5"/>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负责提供应用软件的服务，主要是提供系统运维服务和系统运营服务。</w:t>
      </w:r>
      <w:r/>
    </w:p>
    <w:p>
      <w:pPr>
        <w:pStyle w:val="786"/>
        <w:numPr>
          <w:ilvl w:val="0"/>
          <w:numId w:val="0"/>
        </w:numPr>
        <w:ind w:left="426"/>
        <w:jc w:val="left"/>
        <w:spacing w:before="156"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三、服务期限</w:t>
      </w:r>
      <w:r/>
    </w:p>
    <w:p>
      <w:pPr>
        <w:pStyle w:val="786"/>
        <w:numPr>
          <w:ilvl w:val="0"/>
          <w:numId w:val="0"/>
        </w:numPr>
        <w:ind w:left="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服务周期：（2027年1月1日-2027年12月31日）。</w:t>
      </w:r>
      <w:r/>
    </w:p>
    <w:p>
      <w:pPr>
        <w:pStyle w:val="786"/>
        <w:numPr>
          <w:ilvl w:val="0"/>
          <w:numId w:val="0"/>
        </w:numPr>
        <w:ind w:left="426"/>
        <w:jc w:val="left"/>
        <w:spacing w:before="156"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四、合同金额及付款方式</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1、本合同金额为人民币（含税价）：</w:t>
      </w: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元整（</w:t>
      </w: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w:t>
      </w:r>
      <w:r/>
    </w:p>
    <w:p>
      <w:pPr>
        <w:ind w:firstLine="480"/>
        <w:spacing w:line="360" w:lineRule="auto"/>
        <w:tabs>
          <w:tab w:val="left" w:pos="-14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2、付款方式：合同签订后两个月内，甲方向乙方一次性支付合同总额的50%；服务周期临近结束验收合格后后，甲方向乙方一次性支付合同总额的50%，付清款项。</w:t>
      </w:r>
      <w:r/>
    </w:p>
    <w:p>
      <w:pPr>
        <w:ind w:firstLine="480"/>
        <w:spacing w:line="360" w:lineRule="auto"/>
        <w:tabs>
          <w:tab w:val="left" w:pos="-14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3、每次付款前，乙方需向甲方开具符合甲方财务制度的正规增值税发票，税率6%。乙方未开具发票的，甲方有权拒绝付款。</w:t>
      </w:r>
      <w:r/>
    </w:p>
    <w:p>
      <w:pPr>
        <w:ind w:firstLine="480"/>
        <w:spacing w:line="360" w:lineRule="auto"/>
        <w:tabs>
          <w:tab w:val="left" w:pos="-14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4、乙方账户相关信息：</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户    名：</w:t>
      </w:r>
      <w:r/>
    </w:p>
    <w:p>
      <w:pPr>
        <w:ind w:firstLine="7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税    号：</w:t>
      </w:r>
      <w:r/>
    </w:p>
    <w:p>
      <w:pPr>
        <w:ind w:firstLine="7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p>
    <w:p>
      <w:pPr>
        <w:ind w:firstLine="7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    话：</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开户银行：</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银行账号：</w:t>
      </w:r>
      <w:r/>
    </w:p>
    <w:p>
      <w:pPr>
        <w:pStyle w:val="786"/>
        <w:numPr>
          <w:ilvl w:val="0"/>
          <w:numId w:val="0"/>
        </w:numPr>
        <w:ind w:left="426"/>
        <w:jc w:val="left"/>
        <w:spacing w:before="312"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五、保密原则</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2、保密信息指任何一方因履行本合同所知悉的任何以口头、书面、图表或电子形式存在的对方信息，包括并不限于：</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（1）任何涉及对方过去、现在或将来的商业计划、规章制度、操作规程、处理手段、财务信息。</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（2）任何对方的技术措施、技术方案、软件应用及开发，硬件设备的品种、质量、数量、品牌等。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（3）任何对方的技术秘密或专有知识、文件 、报告、数据、客户软件、流程图、数据库、发明、知识、贸易秘密。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3、乙方根据甲方需要，可另行签署相应的保密协议，保密协议与本条款存在不一致的，以保密协议为准。</w:t>
      </w:r>
      <w:r/>
    </w:p>
    <w:p>
      <w:pPr>
        <w:pStyle w:val="786"/>
        <w:numPr>
          <w:ilvl w:val="0"/>
          <w:numId w:val="0"/>
        </w:numPr>
        <w:ind w:left="426"/>
        <w:jc w:val="left"/>
        <w:spacing w:before="312"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六、知识产权</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乙方应保证甲方在使用、接受本合同中产品和服务或其任何一部分时不受第三方提出侵犯其专利权、版权、商标权、工业设计权和商业秘密等知识产权的起诉。</w:t>
      </w:r>
      <w:r/>
    </w:p>
    <w:p>
      <w:pPr>
        <w:pStyle w:val="786"/>
        <w:numPr>
          <w:ilvl w:val="0"/>
          <w:numId w:val="0"/>
        </w:numPr>
        <w:ind w:left="426"/>
        <w:jc w:val="left"/>
        <w:spacing w:before="312"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七、违约责任</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发生以下任何一个或多个事件都将构成对本合同的违约：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1、任何一方实质性违反本合同的条款，或未能在任一实质方面履行其在本合同项下的义务，且在收到另一方要求补救的书面通知后10日内未能补救上述违约或不履约行为。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2、违约方应向守约方支付违约金，违约金数额不得超过本合同总计收费数额的20%。</w:t>
      </w:r>
      <w:r/>
    </w:p>
    <w:p>
      <w:pPr>
        <w:pStyle w:val="786"/>
        <w:numPr>
          <w:ilvl w:val="0"/>
          <w:numId w:val="0"/>
        </w:numPr>
        <w:ind w:left="426"/>
        <w:jc w:val="left"/>
        <w:spacing w:before="312" w:after="156"/>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八、不可抗力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签订后，任何一方由于受火灾、旱灾、台风、大雪、地震、战争或政策法规调整等不可预见、不能避免并不能克服的事件（即不可抗力事件）影响而不能全部或部分履行其在本合同下义务的，可根据其受不可抗力事件影响的情况而部分或全部免予承担违约责任。</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受不可抗力事件影响的一方应尽快将不可抗力事件的发生及其受之影响而全部或部分不能履行义务的情况以传真方式通知对方，并在合理的期限内向对方提供相关权威机构出具的有关不可抗力事件发生的书面证明。</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当不可抗力事件停止或消除影响后，受其影响的一方应尽快以传真方式通知对方并恢复履行其在本合同项下应履行的全部或部分义务。不可抗力事件持续超过30天的，任何一方均有权随时决定单方终止本合同而无需承担任何风险。</w:t>
      </w:r>
      <w:r/>
    </w:p>
    <w:p>
      <w:pPr>
        <w:pStyle w:val="786"/>
        <w:numPr>
          <w:ilvl w:val="0"/>
          <w:numId w:val="0"/>
        </w:numPr>
        <w:ind w:left="426"/>
        <w:jc w:val="left"/>
        <w:spacing w:before="312" w:after="156"/>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九、合同纠纷处理</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甲乙双方如对合同条款规定的理解有异议，或者对与合同有关的事项发生争议，双方应本着友好合作的精神进行协商，协商不成的，由原告所在地人民法院通过诉讼解决争议。</w:t>
      </w:r>
      <w:r/>
    </w:p>
    <w:p>
      <w:pPr>
        <w:pStyle w:val="786"/>
        <w:numPr>
          <w:ilvl w:val="0"/>
          <w:numId w:val="0"/>
        </w:numPr>
        <w:ind w:left="426"/>
        <w:jc w:val="left"/>
        <w:spacing w:before="312" w:after="156"/>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十、合同体系构成</w:t>
      </w:r>
      <w:r/>
    </w:p>
    <w:p>
      <w:pPr>
        <w:pStyle w:val="786"/>
        <w:numPr>
          <w:ilvl w:val="0"/>
          <w:numId w:val="0"/>
        </w:numPr>
        <w:ind w:left="0" w:firstLine="480"/>
        <w:jc w:val="left"/>
        <w:spacing w:before="312" w:after="156"/>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由本合同文本、甲方招标文件、乙方投标文件共同构成完整合同文件体系，全部文件均具备同等法律效力。</w:t>
      </w:r>
      <w:r/>
    </w:p>
    <w:p>
      <w:pPr>
        <w:pStyle w:val="786"/>
        <w:numPr>
          <w:ilvl w:val="0"/>
          <w:numId w:val="0"/>
        </w:numPr>
        <w:ind w:left="426"/>
        <w:jc w:val="left"/>
        <w:spacing w:before="312" w:after="156"/>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十一、合同生效、变更、补充及终止</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1、合同生效。本合同自双方加盖公章之日起生效。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2、合同变更和终止。合同自签署生效之日起一年有效，有效期内不得擅自变更或终止合同。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3、合同补充。本合同未尽事宜，由甲乙双方协商后产生书面文件，作为本合同的补充条款，具备与本合同同等法律效力。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4、合同履行期间，如遇与合同生效后颁布的法律、法规、政策规定不符的情况，双方应按新的法律、法规、政策规定执行。</w:t>
      </w:r>
      <w:r/>
    </w:p>
    <w:p>
      <w:pPr>
        <w:ind w:firstLine="480"/>
        <w:jc w:val="left"/>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本合同一式叁份，甲方执贰份，乙方执壹份，具有同等法律效力。</w:t>
      </w:r>
      <w:r/>
    </w:p>
    <w:p>
      <w:pPr>
        <w:ind w:firstLine="48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甲方</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单位名称（章）：</w:t>
      </w:r>
      <w:r>
        <w:rPr>
          <w:rFonts w:hint="eastAsia" w:ascii="宋体" w:hAnsi="宋体" w:cs="宋体"/>
          <w:color w:val="000000" w:themeColor="text1"/>
          <w:sz w:val="24"/>
          <w:szCs w:val="24"/>
          <w:highlight w:val="none"/>
          <w:u w:val="single"/>
          <w14:textFill>
            <w14:solidFill>
              <w14:schemeClr w14:val="tx1"/>
            </w14:solidFill>
          </w14:textFill>
        </w:rPr>
        <w:t xml:space="preserve">  徐州市财政效能中心       </w:t>
      </w:r>
      <w:r/>
    </w:p>
    <w:p>
      <w:pPr>
        <w:ind w:firstLine="48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单位地址：</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法人代表或授权代表：</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ind w:firstLine="48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乙方</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单位名称（章）：</w:t>
      </w:r>
      <w:r>
        <w:rPr>
          <w:rFonts w:hint="eastAsia" w:ascii="宋体" w:hAnsi="宋体" w:cs="宋体"/>
          <w:b/>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单位地址： </w:t>
      </w:r>
      <w:r>
        <w:rPr>
          <w:rFonts w:hint="eastAsia" w:ascii="宋体" w:hAnsi="宋体" w:cs="宋体"/>
          <w:b/>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法人代表或授权代表：               电  话：</w:t>
      </w:r>
      <w:r>
        <w:rPr>
          <w:rFonts w:hint="eastAsia" w:ascii="宋体" w:hAnsi="宋体" w:cs="宋体"/>
          <w:b/>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bookmarkEnd w:id="18"/>
      <w:r/>
      <w:bookmarkEnd w:id="19"/>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0" w:name="_Toc522790135"/>
      <w:r/>
      <w:bookmarkStart w:id="21" w:name="_Toc523404700"/>
      <w:r/>
      <w:r/>
    </w:p>
    <w:p>
      <w:pPr>
        <w:jc w:val="center"/>
        <w:rPr>
          <w:rFonts w:hint="default"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30"/>
          <w:szCs w:val="44"/>
          <w:highlight w:val="none"/>
          <w14:textFill>
            <w14:solidFill>
              <w14:schemeClr w14:val="tx1"/>
            </w14:solidFill>
          </w14:textFill>
        </w:rPr>
        <w:t xml:space="preserve">第六章  采购需求</w:t>
      </w:r>
      <w:bookmarkEnd w:id="20"/>
      <w:r/>
      <w:bookmarkEnd w:id="21"/>
      <w:r/>
      <w:bookmarkStart w:id="22" w:name="_Toc522790136"/>
      <w:r/>
      <w:bookmarkStart w:id="23" w:name="_Toc523404701"/>
      <w:r/>
      <w:r/>
    </w:p>
    <w:p>
      <w:pPr>
        <w:pStyle w:val="1040"/>
        <w:numPr>
          <w:ilvl w:val="0"/>
          <w:numId w:val="0"/>
        </w:numPr>
        <w:jc w:val="center"/>
        <w:keepLines w:val="0"/>
        <w:keepNext w:val="0"/>
        <w:pageBreakBefore w:val="0"/>
        <w:spacing w:after="0" w:line="360" w:lineRule="auto"/>
        <w:widowControl w:val="off"/>
        <w:rPr>
          <w:rFonts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第一部分 项目说明</w:t>
      </w:r>
      <w:r/>
    </w:p>
    <w:p>
      <w:pPr>
        <w:pStyle w:val="1040"/>
        <w:numPr>
          <w:ilvl w:val="0"/>
          <w:numId w:val="0"/>
        </w:numPr>
        <w:ind w:right="0"/>
        <w:keepLines w:val="0"/>
        <w:keepNext w:val="0"/>
        <w:pageBreakBefore w:val="0"/>
        <w:spacing w:after="0" w:line="312"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一、项目概况</w:t>
      </w:r>
      <w:r/>
    </w:p>
    <w:p>
      <w:pPr>
        <w:pStyle w:val="1040"/>
        <w:numPr>
          <w:ilvl w:val="0"/>
          <w:numId w:val="0"/>
        </w:numPr>
        <w:ind w:right="0" w:firstLine="480"/>
        <w:keepLines w:val="0"/>
        <w:keepNext w:val="0"/>
        <w:pageBreakBefore w:val="0"/>
        <w:spacing w:after="0" w:line="312"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p>
      <w:pPr>
        <w:ind w:right="0" w:firstLine="480"/>
        <w:keepLines w:val="0"/>
        <w:keepNext w:val="0"/>
        <w:pageBreakBefore w:val="0"/>
        <w:spacing w:line="312" w:lineRule="auto"/>
        <w:widowControl w:val="off"/>
        <w:rPr>
          <w:rFonts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2、项目内容：</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财政信息化服务</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，详见第二部分采购需求。</w:t>
      </w:r>
      <w:r/>
    </w:p>
    <w:p>
      <w:pPr>
        <w:ind w:right="0" w:firstLine="480"/>
        <w:keepLines w:val="0"/>
        <w:keepNext w:val="0"/>
        <w:pageBreakBefore w:val="0"/>
        <w:spacing w:line="312"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3、标段划分：本项目划分4个采购包，其中：</w:t>
      </w:r>
      <w:r/>
    </w:p>
    <w:p>
      <w:pPr>
        <w:ind w:right="0" w:firstLine="480"/>
        <w:keepLines w:val="0"/>
        <w:keepNext w:val="0"/>
        <w:pageBreakBefore w:val="0"/>
        <w:spacing w:line="312"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采购包1：财政信息化软硬件运维服务</w:t>
      </w:r>
      <w:r/>
    </w:p>
    <w:p>
      <w:pPr>
        <w:ind w:right="0" w:firstLine="480"/>
        <w:keepLines w:val="0"/>
        <w:keepNext w:val="0"/>
        <w:pageBreakBefore w:val="0"/>
        <w:spacing w:line="312"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采购包2：财政机房核心软硬件维保</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采购包3：徐州市非税系统运维服务</w:t>
      </w:r>
      <w:r/>
    </w:p>
    <w:p>
      <w:pPr>
        <w:ind w:right="0" w:firstLine="480"/>
        <w:keepLines w:val="0"/>
        <w:keepNext w:val="0"/>
        <w:pageBreakBefore w:val="0"/>
        <w:spacing w:line="312" w:lineRule="auto"/>
        <w:widowControl w:val="off"/>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采购包4：</w:t>
      </w:r>
      <w:r>
        <w:rPr>
          <w:rFonts w:hint="eastAsia" w:ascii="宋体" w:hAnsi="宋体" w:cs="宋体"/>
          <w:color w:val="000000" w:themeColor="text1"/>
          <w:sz w:val="24"/>
          <w:szCs w:val="24"/>
          <w:highlight w:val="none"/>
          <w:lang w:val="en-US" w:eastAsia="zh-CN"/>
          <w14:textFill>
            <w14:solidFill>
              <w14:schemeClr w14:val="tx1"/>
            </w14:solidFill>
          </w14:textFill>
        </w:rPr>
        <w:t xml:space="preserve">苏采云系统运维服务</w:t>
      </w:r>
      <w:r/>
    </w:p>
    <w:p>
      <w:pPr>
        <w:ind w:right="0" w:firstLine="480"/>
        <w:keepLines w:val="0"/>
        <w:keepNext w:val="0"/>
        <w:pageBreakBefore w:val="0"/>
        <w:spacing w:line="312"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说明：</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每个投标人可以同时参加</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以上4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个采购包的投标与评审，但每个投标人最多允许</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中标1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个采购包。若投标人已在前采购包中推荐为第一中标候选人的，可继续参与后续采购包的评审，但不得再次中标，且不再推荐为后续采购包的中标候选人。各采购包中标候选人数量不得低于3个，否则该采购包按废标处理。本项目按照采购包</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、采购包3、采购包</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的顺序进行评审。</w:t>
      </w:r>
      <w:r/>
    </w:p>
    <w:p>
      <w:pPr>
        <w:ind w:right="0"/>
        <w:keepLines w:val="0"/>
        <w:keepNext w:val="0"/>
        <w:pageBreakBefore w:val="0"/>
        <w:spacing w:line="312" w:lineRule="auto"/>
        <w:widowControl w:val="off"/>
        <w:rPr>
          <w:rFonts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szCs w:val="24"/>
          <w:highlight w:val="none"/>
          <w14:textFill>
            <w14:solidFill>
              <w14:schemeClr w14:val="tx1"/>
            </w14:solidFill>
          </w14:textFill>
        </w:rPr>
        <w:t xml:space="preserve">预算金额</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本项目不接受超过</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199.75</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eastAsia="宋体" w:cs="宋体"/>
          <w:color w:val="000000" w:themeColor="text1"/>
          <w:sz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其中：</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采购包1</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87</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采购包2</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cs="宋体"/>
          <w:color w:val="000000" w:themeColor="text1"/>
          <w:sz w:val="24"/>
          <w:highlight w:val="none"/>
          <w:lang w:val="en-US" w:eastAsia="zh-CN"/>
          <w14:textFill>
            <w14:solidFill>
              <w14:schemeClr w14:val="tx1"/>
            </w14:solidFill>
          </w14:textFill>
        </w:rPr>
        <w:t xml:space="preserve">45</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采购包3</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超过38.95</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right="0" w:firstLine="480"/>
        <w:keepLines w:val="0"/>
        <w:keepNext w:val="0"/>
        <w:pageBreakBefore w:val="0"/>
        <w:spacing w:line="312" w:lineRule="auto"/>
        <w:widowControl w:val="off"/>
        <w:rPr>
          <w:rFonts w:hint="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采购包4</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.8万元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041"/>
        <w:ind w:right="0"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投标报价包括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为本项目提供的所有服务费用及税金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采购人不再支付报价以外的任何费用。</w:t>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t xml:space="preserve">第二部分 采购需求</w:t>
      </w:r>
      <w:r/>
    </w:p>
    <w:p>
      <w:pPr>
        <w:ind w:right="0"/>
        <w:jc w:val="center"/>
        <w:keepLines w:val="0"/>
        <w:keepNext w:val="0"/>
        <w:pageBreakBefore w:val="0"/>
        <w:spacing w:line="312" w:lineRule="auto"/>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采购包1：财政信息化软硬件运维服务</w:t>
      </w:r>
      <w:r/>
    </w:p>
    <w:p>
      <w:pPr>
        <w:ind w:firstLine="655"/>
        <w:keepLines w:val="0"/>
        <w:keepNext w:val="0"/>
        <w:pageBreakBefore w:val="0"/>
        <w:spacing w:line="440" w:lineRule="exact"/>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一、说明</w:t>
      </w:r>
      <w:r/>
    </w:p>
    <w:p>
      <w:pPr>
        <w:ind w:firstLine="56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徐州市财政效能中心</w:t>
      </w:r>
      <w:r/>
    </w:p>
    <w:p>
      <w:pPr>
        <w:ind w:firstLine="56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徐州市数智化财政业务平台一财政信息化服务。</w:t>
      </w:r>
      <w:r/>
    </w:p>
    <w:p>
      <w:pPr>
        <w:ind w:firstLine="56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采购标的：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采购包1:财政信息化软硬件运维服务。</w:t>
      </w:r>
      <w:r/>
    </w:p>
    <w:p>
      <w:pPr>
        <w:ind w:firstLine="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采购标的对应的中小企业划分标准所属行业为软件和信息技术服务业</w:t>
      </w:r>
      <w:r/>
    </w:p>
    <w:p>
      <w:pPr>
        <w:ind w:firstLine="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注：中小企业划分标准所属行业以《关于印发中小企业划型标准规定的通知》（工信部联企业[2011]300号）的规定为准。</w:t>
      </w:r>
      <w:r/>
    </w:p>
    <w:p>
      <w:pPr>
        <w:ind w:firstLine="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本项目为专门面向中小企业的项目。</w:t>
      </w:r>
      <w:r/>
    </w:p>
    <w:p>
      <w:pPr>
        <w:ind w:firstLine="560"/>
        <w:keepLines w:val="0"/>
        <w:keepNext w:val="0"/>
        <w:pageBreakBefore w:val="0"/>
        <w:spacing w:line="360" w:lineRule="auto"/>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87</w:t>
      </w:r>
      <w:r>
        <w:rPr>
          <w:rFonts w:hint="eastAsia" w:ascii="宋体" w:hAnsi="宋体" w:eastAsia="宋体" w:cs="宋体"/>
          <w:b/>
          <w:bCs/>
          <w:color w:val="000000" w:themeColor="text1"/>
          <w:sz w:val="24"/>
          <w:szCs w:val="24"/>
          <w:highlight w:val="none"/>
          <w14:textFill>
            <w14:solidFill>
              <w14:schemeClr w14:val="tx1"/>
            </w14:solidFill>
          </w14:textFill>
        </w:rPr>
        <w:t xml:space="preserve">万元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（采购项目预算金额）</w:t>
      </w:r>
      <w:r>
        <w:rPr>
          <w:rFonts w:hint="eastAsia" w:ascii="宋体" w:hAnsi="宋体" w:eastAsia="宋体" w:cs="宋体"/>
          <w:color w:val="000000" w:themeColor="text1"/>
          <w:sz w:val="24"/>
          <w:szCs w:val="24"/>
          <w:highlight w:val="none"/>
          <w14:textFill>
            <w14:solidFill>
              <w14:schemeClr w14:val="tx1"/>
            </w14:solidFill>
          </w14:textFill>
        </w:rPr>
        <w:t xml:space="preserve">的投标报价。</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二、技术要求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（一）技术具体要求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开发要求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(1)为保持与现有信息化系统环境一致，系统开发需采用J2EE架构、JAVA语言、数据库开发；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(2)系统设计要面向徐州市财政局信息化系统整体解决方案；设计要具有前瞻性、先进性、可靠性以及可扩展性，符合财政信息化发展的方向；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(3)软件开发从需求分析、系统设计、编码、测试到系统的正式运行，须遵循财政部要求的数据基础规范；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徐州市</w:t>
      </w:r>
      <w:r>
        <w:rPr>
          <w:rFonts w:hint="eastAsia" w:ascii="宋体" w:hAnsi="宋体" w:eastAsia="宋体" w:cs="宋体"/>
          <w:color w:val="000000" w:themeColor="text1"/>
          <w:sz w:val="24"/>
          <w:szCs w:val="24"/>
          <w:highlight w:val="none"/>
          <w14:textFill>
            <w14:solidFill>
              <w14:schemeClr w14:val="tx1"/>
            </w14:solidFill>
          </w14:textFill>
        </w:rPr>
        <w:t xml:space="preserve">财政</w:t>
      </w:r>
      <w:r>
        <w:rPr>
          <w:rFonts w:hint="eastAsia" w:ascii="宋体" w:hAnsi="宋体" w:cs="宋体"/>
          <w:color w:val="000000" w:themeColor="text1"/>
          <w:sz w:val="24"/>
          <w:szCs w:val="24"/>
          <w:highlight w:val="none"/>
          <w:lang w:eastAsia="zh-CN"/>
          <w14:textFill>
            <w14:solidFill>
              <w14:schemeClr w14:val="tx1"/>
            </w14:solidFill>
          </w14:textFill>
        </w:rPr>
        <w:t xml:space="preserve">效能中心</w:t>
      </w:r>
      <w:r>
        <w:rPr>
          <w:rFonts w:hint="eastAsia" w:ascii="宋体" w:hAnsi="宋体" w:eastAsia="宋体" w:cs="宋体"/>
          <w:color w:val="000000" w:themeColor="text1"/>
          <w:sz w:val="24"/>
          <w:szCs w:val="24"/>
          <w:highlight w:val="none"/>
          <w14:textFill>
            <w14:solidFill>
              <w14:schemeClr w14:val="tx1"/>
            </w14:solidFill>
          </w14:textFill>
        </w:rPr>
        <w:t xml:space="preserve">拥有对合同有效期间内开发的系统中的数据库设计、数据字典、程序源代码、开发文档等</w:t>
      </w:r>
      <w:r>
        <w:rPr>
          <w:rFonts w:hint="eastAsia" w:ascii="宋体" w:hAnsi="宋体" w:cs="宋体"/>
          <w:color w:val="000000" w:themeColor="text1"/>
          <w:sz w:val="24"/>
          <w:szCs w:val="24"/>
          <w:highlight w:val="none"/>
          <w:lang w:eastAsia="zh-CN"/>
          <w14:textFill>
            <w14:solidFill>
              <w14:schemeClr w14:val="tx1"/>
            </w14:solidFill>
          </w14:textFill>
        </w:rPr>
        <w:t xml:space="preserve">开发资料</w:t>
      </w:r>
      <w:r>
        <w:rPr>
          <w:rFonts w:hint="eastAsia" w:ascii="宋体" w:hAnsi="宋体" w:eastAsia="宋体" w:cs="宋体"/>
          <w:color w:val="000000" w:themeColor="text1"/>
          <w:sz w:val="24"/>
          <w:szCs w:val="24"/>
          <w:highlight w:val="none"/>
          <w14:textFill>
            <w14:solidFill>
              <w14:schemeClr w14:val="tx1"/>
            </w14:solidFill>
          </w14:textFill>
        </w:rPr>
        <w:t xml:space="preserve">，需要至少半年一次</w:t>
      </w:r>
      <w:r>
        <w:rPr>
          <w:rFonts w:hint="eastAsia" w:ascii="宋体" w:hAnsi="宋体" w:cs="宋体"/>
          <w:color w:val="000000" w:themeColor="text1"/>
          <w:sz w:val="24"/>
          <w:szCs w:val="24"/>
          <w:highlight w:val="none"/>
          <w:lang w:eastAsia="zh-CN"/>
          <w14:textFill>
            <w14:solidFill>
              <w14:schemeClr w14:val="tx1"/>
            </w14:solidFill>
          </w14:textFill>
        </w:rPr>
        <w:t xml:space="preserve">主动</w:t>
      </w:r>
      <w:r>
        <w:rPr>
          <w:rFonts w:hint="eastAsia" w:ascii="宋体" w:hAnsi="宋体" w:eastAsia="宋体" w:cs="宋体"/>
          <w:color w:val="000000" w:themeColor="text1"/>
          <w:sz w:val="24"/>
          <w:szCs w:val="24"/>
          <w:highlight w:val="none"/>
          <w14:textFill>
            <w14:solidFill>
              <w14:schemeClr w14:val="tx1"/>
            </w14:solidFill>
          </w14:textFill>
        </w:rPr>
        <w:t xml:space="preserve">交由</w:t>
      </w:r>
      <w:r>
        <w:rPr>
          <w:rFonts w:hint="eastAsia" w:ascii="宋体" w:hAnsi="宋体" w:cs="宋体"/>
          <w:color w:val="000000" w:themeColor="text1"/>
          <w:sz w:val="24"/>
          <w:szCs w:val="24"/>
          <w:highlight w:val="none"/>
          <w:lang w:eastAsia="zh-CN"/>
          <w14:textFill>
            <w14:solidFill>
              <w14:schemeClr w14:val="tx1"/>
            </w14:solidFill>
          </w14:textFill>
        </w:rPr>
        <w:t xml:space="preserve">徐州市</w:t>
      </w:r>
      <w:r>
        <w:rPr>
          <w:rFonts w:hint="eastAsia" w:ascii="宋体" w:hAnsi="宋体" w:eastAsia="宋体" w:cs="宋体"/>
          <w:color w:val="000000" w:themeColor="text1"/>
          <w:sz w:val="24"/>
          <w:szCs w:val="24"/>
          <w:highlight w:val="none"/>
          <w14:textFill>
            <w14:solidFill>
              <w14:schemeClr w14:val="tx1"/>
            </w14:solidFill>
          </w14:textFill>
        </w:rPr>
        <w:t xml:space="preserve">财政</w:t>
      </w:r>
      <w:r>
        <w:rPr>
          <w:rFonts w:hint="eastAsia" w:ascii="宋体" w:hAnsi="宋体" w:cs="宋体"/>
          <w:color w:val="000000" w:themeColor="text1"/>
          <w:sz w:val="24"/>
          <w:szCs w:val="24"/>
          <w:highlight w:val="none"/>
          <w:lang w:eastAsia="zh-CN"/>
          <w14:textFill>
            <w14:solidFill>
              <w14:schemeClr w14:val="tx1"/>
            </w14:solidFill>
          </w14:textFill>
        </w:rPr>
        <w:t xml:space="preserve">效能</w:t>
      </w:r>
      <w:r>
        <w:rPr>
          <w:rFonts w:hint="eastAsia" w:ascii="宋体" w:hAnsi="宋体" w:eastAsia="宋体" w:cs="宋体"/>
          <w:color w:val="000000" w:themeColor="text1"/>
          <w:sz w:val="24"/>
          <w:szCs w:val="24"/>
          <w:highlight w:val="none"/>
          <w14:textFill>
            <w14:solidFill>
              <w14:schemeClr w14:val="tx1"/>
            </w14:solidFill>
          </w14:textFill>
        </w:rPr>
        <w:t xml:space="preserve">中心留存。</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(5)开发及运维人员要严格遵守财政局保密制度，禁止在没有审批的情况下将财政的任何业务数据私自存储或带出，也禁止在没有在审批的情况下擅自更改业务数据库及已上线投入生产的任何程序源代码。</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(6)根据财政业务信息化建设要求，负责需求分析、编程、调试、测试等软件开发任务，开发完善财政重点工作及综合考核、工作周记、财政综合业务管理平台等系统。对接财政业务需求进行接口及二次开发，开发及完善短信平台与办公OA接口、财政与大数据管理中心接口、财政与人社部门接口等等。</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维护要求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(1)负责市本级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预算管理一体化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数据回流系统、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清单化工作平台、运维工单系统、</w:t>
      </w:r>
      <w:r>
        <w:rPr>
          <w:rFonts w:hint="eastAsia" w:ascii="宋体" w:hAnsi="宋体" w:eastAsia="宋体" w:cs="宋体"/>
          <w:color w:val="000000" w:themeColor="text1"/>
          <w:sz w:val="24"/>
          <w:szCs w:val="24"/>
          <w:highlight w:val="none"/>
          <w14:textFill>
            <w14:solidFill>
              <w14:schemeClr w14:val="tx1"/>
            </w14:solidFill>
          </w14:textFill>
        </w:rPr>
        <w:t xml:space="preserve">财政统一会计核算系统（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老系统</w:t>
      </w:r>
      <w:r>
        <w:rPr>
          <w:rFonts w:hint="eastAsia" w:ascii="宋体" w:hAnsi="宋体" w:eastAsia="宋体" w:cs="宋体"/>
          <w:color w:val="000000" w:themeColor="text1"/>
          <w:sz w:val="24"/>
          <w:szCs w:val="24"/>
          <w:highlight w:val="none"/>
          <w14:textFill>
            <w14:solidFill>
              <w14:schemeClr w14:val="tx1"/>
            </w14:solidFill>
          </w14:textFill>
        </w:rPr>
        <w:t xml:space="preserve">）、非税征缴及票据管理系统（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老系统</w:t>
      </w:r>
      <w:r>
        <w:rPr>
          <w:rFonts w:hint="eastAsia" w:ascii="宋体" w:hAnsi="宋体" w:eastAsia="宋体" w:cs="宋体"/>
          <w:color w:val="000000" w:themeColor="text1"/>
          <w:sz w:val="24"/>
          <w:szCs w:val="24"/>
          <w:highlight w:val="none"/>
          <w14:textFill>
            <w14:solidFill>
              <w14:schemeClr w14:val="tx1"/>
            </w14:solidFill>
          </w14:textFill>
        </w:rPr>
        <w:t xml:space="preserve">）、直达资金监控系统、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部门预算系统（老系统）、</w:t>
      </w:r>
      <w:r>
        <w:rPr>
          <w:rFonts w:hint="eastAsia" w:ascii="宋体" w:hAnsi="宋体" w:eastAsia="宋体" w:cs="宋体"/>
          <w:color w:val="000000" w:themeColor="text1"/>
          <w:sz w:val="24"/>
          <w:szCs w:val="24"/>
          <w:highlight w:val="none"/>
          <w14:textFill>
            <w14:solidFill>
              <w14:schemeClr w14:val="tx1"/>
            </w14:solidFill>
          </w14:textFill>
        </w:rPr>
        <w:t xml:space="preserve">预算执行系统（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老系统</w:t>
      </w:r>
      <w:r>
        <w:rPr>
          <w:rFonts w:hint="eastAsia" w:ascii="宋体" w:hAnsi="宋体" w:eastAsia="宋体" w:cs="宋体"/>
          <w:color w:val="000000" w:themeColor="text1"/>
          <w:sz w:val="24"/>
          <w:szCs w:val="24"/>
          <w:highlight w:val="none"/>
          <w14:textFill>
            <w14:solidFill>
              <w14:schemeClr w14:val="tx1"/>
            </w14:solidFill>
          </w14:textFill>
        </w:rPr>
        <w:t xml:space="preserve">）、工资发放系统（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老系统</w:t>
      </w:r>
      <w:r>
        <w:rPr>
          <w:rFonts w:hint="eastAsia" w:ascii="宋体" w:hAnsi="宋体" w:eastAsia="宋体" w:cs="宋体"/>
          <w:color w:val="000000" w:themeColor="text1"/>
          <w:sz w:val="24"/>
          <w:szCs w:val="24"/>
          <w:highlight w:val="none"/>
          <w14:textFill>
            <w14:solidFill>
              <w14:schemeClr w14:val="tx1"/>
            </w14:solidFill>
          </w14:textFill>
        </w:rPr>
        <w:t xml:space="preserve">）、财政证书管理系统、财政业务系统异地灾备双活系统、财政云中心业务工作平台、财政身份认证、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财政杀毒软件系统、</w:t>
      </w:r>
      <w:r>
        <w:rPr>
          <w:rFonts w:hint="eastAsia" w:ascii="宋体" w:hAnsi="宋体" w:eastAsia="宋体" w:cs="宋体"/>
          <w:color w:val="000000" w:themeColor="text1"/>
          <w:sz w:val="24"/>
          <w:szCs w:val="24"/>
          <w:highlight w:val="none"/>
          <w14:textFill>
            <w14:solidFill>
              <w14:schemeClr w14:val="tx1"/>
            </w14:solidFill>
          </w14:textFill>
        </w:rPr>
        <w:t xml:space="preserve">短信平台等应用部署、运行维护、故障检测与恢复、系统调优、使用培训、日常操作指导与相关技术问题答疑等相关工作。</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参与日常驻场运维江苏省</w:t>
      </w:r>
      <w:r>
        <w:rPr>
          <w:rFonts w:hint="eastAsia" w:ascii="宋体" w:hAnsi="宋体" w:eastAsia="宋体" w:cs="宋体"/>
          <w:color w:val="000000" w:themeColor="text1"/>
          <w:sz w:val="24"/>
          <w:szCs w:val="24"/>
          <w:highlight w:val="none"/>
          <w14:textFill>
            <w14:solidFill>
              <w14:schemeClr w14:val="tx1"/>
            </w14:solidFill>
          </w14:textFill>
        </w:rPr>
        <w:t xml:space="preserve">预算管理一体化系统、办公OA系统、非税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电子化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征缴</w:t>
      </w:r>
      <w:r>
        <w:rPr>
          <w:rFonts w:hint="eastAsia" w:ascii="宋体" w:hAnsi="宋体" w:eastAsia="宋体" w:cs="宋体"/>
          <w:color w:val="000000" w:themeColor="text1"/>
          <w:sz w:val="24"/>
          <w:szCs w:val="24"/>
          <w:highlight w:val="none"/>
          <w14:textFill>
            <w14:solidFill>
              <w14:schemeClr w14:val="tx1"/>
            </w14:solidFill>
          </w14:textFill>
        </w:rPr>
        <w:t xml:space="preserve">管理系统、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信息网</w:t>
      </w:r>
      <w:r>
        <w:rPr>
          <w:rFonts w:hint="eastAsia" w:ascii="宋体" w:hAnsi="宋体" w:eastAsia="宋体" w:cs="宋体"/>
          <w:color w:val="000000" w:themeColor="text1"/>
          <w:sz w:val="24"/>
          <w:szCs w:val="24"/>
          <w:highlight w:val="none"/>
          <w14:textFill>
            <w14:solidFill>
              <w14:schemeClr w14:val="tx1"/>
            </w14:solidFill>
          </w14:textFill>
        </w:rPr>
        <w:t xml:space="preserve">、大数据交换平台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、财政应用数据库、中间件</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相关的软硬件</w:t>
      </w:r>
      <w:r>
        <w:rPr>
          <w:rFonts w:hint="eastAsia" w:ascii="宋体" w:hAnsi="宋体" w:eastAsia="宋体" w:cs="宋体"/>
          <w:color w:val="000000" w:themeColor="text1"/>
          <w:sz w:val="24"/>
          <w:szCs w:val="24"/>
          <w:highlight w:val="none"/>
          <w14:textFill>
            <w14:solidFill>
              <w14:schemeClr w14:val="tx1"/>
            </w14:solidFill>
          </w14:textFill>
        </w:rPr>
        <w:t xml:space="preserve">应用部署、运行维护、故障检测与恢复、系统调优、使用培训、日常操作指导与相关技术问题答疑等相关工作。</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(3)负责检查并排除财政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所有</w:t>
      </w:r>
      <w:r>
        <w:rPr>
          <w:rFonts w:hint="eastAsia" w:ascii="宋体" w:hAnsi="宋体" w:eastAsia="宋体" w:cs="宋体"/>
          <w:color w:val="000000" w:themeColor="text1"/>
          <w:sz w:val="24"/>
          <w:szCs w:val="24"/>
          <w:highlight w:val="none"/>
          <w14:textFill>
            <w14:solidFill>
              <w14:schemeClr w14:val="tx1"/>
            </w14:solidFill>
          </w14:textFill>
        </w:rPr>
        <w:t xml:space="preserve">办公电脑及外围设备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及相关</w:t>
      </w:r>
      <w:r>
        <w:rPr>
          <w:rFonts w:hint="eastAsia" w:ascii="宋体" w:hAnsi="宋体" w:eastAsia="宋体" w:cs="宋体"/>
          <w:color w:val="000000" w:themeColor="text1"/>
          <w:sz w:val="24"/>
          <w:szCs w:val="24"/>
          <w:highlight w:val="none"/>
          <w14:textFill>
            <w14:solidFill>
              <w14:schemeClr w14:val="tx1"/>
            </w14:solidFill>
          </w14:textFill>
        </w:rPr>
        <w:t xml:space="preserve">的软硬件故障，排除财政客户端、楼层交换设备网络等问题；安装及调试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各类</w:t>
      </w:r>
      <w:r>
        <w:rPr>
          <w:rFonts w:hint="eastAsia" w:ascii="宋体" w:hAnsi="宋体" w:eastAsia="宋体" w:cs="宋体"/>
          <w:color w:val="000000" w:themeColor="text1"/>
          <w:sz w:val="24"/>
          <w:szCs w:val="24"/>
          <w:highlight w:val="none"/>
          <w14:textFill>
            <w14:solidFill>
              <w14:schemeClr w14:val="tx1"/>
            </w14:solidFill>
          </w14:textFill>
        </w:rPr>
        <w:t xml:space="preserve">财政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业务软件、</w:t>
      </w:r>
      <w:r>
        <w:rPr>
          <w:rFonts w:hint="eastAsia" w:ascii="宋体" w:hAnsi="宋体" w:eastAsia="宋体" w:cs="宋体"/>
          <w:color w:val="000000" w:themeColor="text1"/>
          <w:sz w:val="24"/>
          <w:szCs w:val="24"/>
          <w:highlight w:val="none"/>
          <w14:textFill>
            <w14:solidFill>
              <w14:schemeClr w14:val="tx1"/>
            </w14:solidFill>
          </w14:textFill>
        </w:rPr>
        <w:t xml:space="preserve">办公OA</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及办公工具软件（如：</w:t>
      </w:r>
      <w:r>
        <w:rPr>
          <w:rFonts w:hint="eastAsia" w:ascii="宋体" w:hAnsi="宋体" w:eastAsia="宋体" w:cs="宋体"/>
          <w:color w:val="000000" w:themeColor="text1"/>
          <w:sz w:val="24"/>
          <w:szCs w:val="24"/>
          <w:highlight w:val="none"/>
          <w14:textFill>
            <w14:solidFill>
              <w14:schemeClr w14:val="tx1"/>
            </w14:solidFill>
          </w14:textFill>
        </w:rPr>
        <w:t xml:space="preserve">杀毒软件、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省厅邮件、工作助手</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，进行故障检测及排除；按照要求操作及维护视频会议设备、财政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w:t>
      </w:r>
      <w:r>
        <w:rPr>
          <w:rFonts w:hint="eastAsia" w:ascii="宋体" w:hAnsi="宋体" w:eastAsia="宋体" w:cs="宋体"/>
          <w:color w:val="000000" w:themeColor="text1"/>
          <w:sz w:val="24"/>
          <w:szCs w:val="24"/>
          <w:highlight w:val="none"/>
          <w14:textFill>
            <w14:solidFill>
              <w14:schemeClr w14:val="tx1"/>
            </w14:solidFill>
          </w14:textFill>
        </w:rPr>
        <w:t xml:space="preserve">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桌面等，</w:t>
      </w:r>
      <w:r>
        <w:rPr>
          <w:rFonts w:hint="eastAsia" w:ascii="宋体" w:hAnsi="宋体" w:eastAsia="宋体" w:cs="宋体"/>
          <w:color w:val="000000" w:themeColor="text1"/>
          <w:sz w:val="24"/>
          <w:szCs w:val="24"/>
          <w:highlight w:val="none"/>
          <w14:textFill>
            <w14:solidFill>
              <w14:schemeClr w14:val="tx1"/>
            </w14:solidFill>
          </w14:textFill>
        </w:rPr>
        <w:t xml:space="preserve">协助管理办公设备相关资产。</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（4）负责检查并排除财政办公电脑及外围设备所有的软硬件故障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；定期巡检并</w:t>
      </w:r>
      <w:r>
        <w:rPr>
          <w:rFonts w:hint="eastAsia" w:ascii="宋体" w:hAnsi="宋体" w:eastAsia="宋体" w:cs="宋体"/>
          <w:color w:val="000000" w:themeColor="text1"/>
          <w:sz w:val="24"/>
          <w:szCs w:val="24"/>
          <w:highlight w:val="none"/>
          <w14:textFill>
            <w14:solidFill>
              <w14:schemeClr w14:val="tx1"/>
            </w14:solidFill>
          </w14:textFill>
        </w:rPr>
        <w:t xml:space="preserve">排除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财政机房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UPS、精密空调、动环监控等问题；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定期巡检并</w:t>
      </w:r>
      <w:r>
        <w:rPr>
          <w:rFonts w:hint="eastAsia" w:ascii="宋体" w:hAnsi="宋体" w:eastAsia="宋体" w:cs="宋体"/>
          <w:color w:val="000000" w:themeColor="text1"/>
          <w:sz w:val="24"/>
          <w:szCs w:val="24"/>
          <w:highlight w:val="none"/>
          <w14:textFill>
            <w14:solidFill>
              <w14:schemeClr w14:val="tx1"/>
            </w14:solidFill>
          </w14:textFill>
        </w:rPr>
        <w:t xml:space="preserve">排除财政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所使用的</w:t>
      </w:r>
      <w:r>
        <w:rPr>
          <w:rFonts w:hint="eastAsia" w:ascii="宋体" w:hAnsi="宋体" w:eastAsia="宋体" w:cs="宋体"/>
          <w:color w:val="000000" w:themeColor="text1"/>
          <w:sz w:val="24"/>
          <w:szCs w:val="24"/>
          <w:highlight w:val="none"/>
          <w14:textFill>
            <w14:solidFill>
              <w14:schemeClr w14:val="tx1"/>
            </w14:solidFill>
          </w14:textFill>
        </w:rPr>
        <w:t xml:space="preserve">楼层交换设备网络等问题；协助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排除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问题，</w:t>
      </w:r>
      <w:r>
        <w:rPr>
          <w:rFonts w:hint="eastAsia" w:ascii="宋体" w:hAnsi="宋体" w:eastAsia="宋体" w:cs="宋体"/>
          <w:color w:val="000000" w:themeColor="text1"/>
          <w:sz w:val="24"/>
          <w:szCs w:val="24"/>
          <w:highlight w:val="none"/>
          <w14:textFill>
            <w14:solidFill>
              <w14:schemeClr w14:val="tx1"/>
            </w14:solidFill>
          </w14:textFill>
        </w:rPr>
        <w:t xml:space="preserve">管理办公设备相关资产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（主要包括</w:t>
      </w:r>
      <w:r>
        <w:rPr>
          <w:rFonts w:hint="eastAsia" w:ascii="宋体" w:hAnsi="宋体" w:eastAsia="宋体" w:cs="宋体"/>
          <w:color w:val="000000" w:themeColor="text1"/>
          <w:sz w:val="24"/>
          <w:szCs w:val="24"/>
          <w:highlight w:val="none"/>
          <w14:textFill>
            <w14:solidFill>
              <w14:schemeClr w14:val="tx1"/>
            </w14:solidFill>
          </w14:textFill>
        </w:rPr>
        <w:t xml:space="preserve">台式计算机含华为云终端 387</w:t>
      </w:r>
      <w:r>
        <w:rPr>
          <w:rFonts w:hint="eastAsia" w:ascii="宋体" w:hAnsi="宋体" w:cs="宋体"/>
          <w:color w:val="000000" w:themeColor="text1"/>
          <w:sz w:val="24"/>
          <w:szCs w:val="24"/>
          <w:highlight w:val="none"/>
          <w:lang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，便携式计算机 81</w:t>
      </w:r>
      <w:r>
        <w:rPr>
          <w:rFonts w:hint="eastAsia" w:ascii="宋体" w:hAnsi="宋体" w:cs="宋体"/>
          <w:color w:val="000000" w:themeColor="text1"/>
          <w:sz w:val="24"/>
          <w:szCs w:val="24"/>
          <w:highlight w:val="none"/>
          <w:lang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，打印机含一体机237</w:t>
      </w:r>
      <w:r>
        <w:rPr>
          <w:rFonts w:hint="eastAsia" w:ascii="宋体" w:hAnsi="宋体" w:cs="宋体"/>
          <w:color w:val="000000" w:themeColor="text1"/>
          <w:sz w:val="24"/>
          <w:szCs w:val="24"/>
          <w:highlight w:val="none"/>
          <w:lang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，扫描仪11</w:t>
      </w:r>
      <w:r>
        <w:rPr>
          <w:rFonts w:hint="eastAsia" w:ascii="宋体" w:hAnsi="宋体" w:cs="宋体"/>
          <w:color w:val="000000" w:themeColor="text1"/>
          <w:sz w:val="24"/>
          <w:szCs w:val="24"/>
          <w:highlight w:val="none"/>
          <w:lang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）；更换办公设备耗材；参与登记</w:t>
      </w:r>
      <w:r>
        <w:rPr>
          <w:rFonts w:hint="eastAsia" w:ascii="宋体" w:hAnsi="宋体" w:cs="宋体"/>
          <w:color w:val="000000" w:themeColor="text1"/>
          <w:sz w:val="24"/>
          <w:szCs w:val="24"/>
          <w:highlight w:val="none"/>
          <w:lang w:eastAsia="zh-CN"/>
          <w14:textFill>
            <w14:solidFill>
              <w14:schemeClr w14:val="tx1"/>
            </w14:solidFill>
          </w14:textFill>
        </w:rPr>
        <w:t xml:space="preserve">资产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管理台账等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11"/>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（5）负责对预算单位的入网规范管理，排除预算单位在日常访问财政业务系统中的网络、终端及相关的软硬件故障；</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网络管理员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做好财政网络</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（包括网络安全设备的日常巡检和管理）；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安全管理员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要求做好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财政网络安全、财政内部的终端及相关的软硬件安全</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，对所负责开发及运维的系统及所在的服务器及相关设备上及时做好安全漏洞补丁。</w:t>
      </w:r>
      <w:r/>
    </w:p>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（6）负责按要求对财政及预算单位使用财政业务系统的计算机及相关设备进行国产化部署、升级和适配。</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投标文件中提供《技术方案》文件；</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《技术方案》包括以下内容：</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(1)《开发方案》；</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(2)《维护方案》。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三、项目实施要求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（一）项目实施具体要求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项目进度与计划管理措施要求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项目进度与计划管理涵盖项目进度控制的前提条件、主要控制手段、控制内容以及不同阶段的详细控制方案。其中，进度控制的前提需明确项目的目标、范围和资源配置；主要手段应包含定期的进度评估、偏差分析与纠正措施的制定；控制内容涵盖任务的起止时间、关键路径和里程碑节点；不同阶段如项目启动、规划、执行、监控和收尾等的进度控制方案应详尽且具有针对性。</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项目实施计划措施要求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项目实施计划涵盖项目工程的实施原则以及总体的推进计划等方案。实施原则要遵循科学性、合理性和可行性，确保项目有序推进；总体推进计划需明确各阶段的工作重点、时间节点和资源需求，保障项目按时高质量完成。</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项目质量保证措施要求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项目质量保证措施包含项目需求分析、总体设计、详细设计、系统开发、系统实施和试运行、项目验收、系统正式运行及维护等阶段，以及各阶段辅助文档的整理汇总等方案。在需求分析阶段，要确保需求的准确性和完整性；总体设计阶段注重系统架构的合理性和稳定性；详细设计阶段细化各模块的功能和接口；系统开发阶段遵循规范的开发流程和质量标准；系统实施和试运行阶段做好系统部署和测试；项目验收阶段严格按照验收标准进行评估；系统正式运行及维护阶段及时处理问题和优化系统，并确保各阶段辅助文档的规范整理和汇总。</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系统测试措施要求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系统测试涵盖测试工作准备、软件开发测试、设计测试用例和数据整理等方案。测试工作准备需明确测试目标、范围和环境搭建；软件开发测试要遵循严格的测试流程和标准；设计测试用例要保证覆盖全面、重点突出；数据整理要确保准确、完整和有效，为系统的稳定运行提供有力保障。</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投标文件中提供《项目实施方案》；</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对照“(一)项目实施具体要求”，编制《项目实施方案》。</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四、人员配备要求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（一）驻场人员配备要求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（投标文件中提供</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劳动合同、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及投标人为以上配备人员缴纳的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开标时间（不含开标当月）前6个月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任何1月</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社会保障资金的相关材料扫描件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、程序开发人员 1 名，投标人承诺中标后为本项目配备稳定开发人员。人员需具备 Java 程序开发经验熟悉Java设计模式，精通Java及Web应用的开发；熟练使用Spring技术栈（Spring Cloud，Spring Boot，Spring Data, Spring Security）等主流框架和技术；掌握代码管理技术，熟悉SVN/GIT等代码管理系统，有优秀的代码管理经验；熟悉</w:t>
      </w:r>
      <w:r>
        <w:rPr>
          <w:rFonts w:hint="eastAsia" w:ascii="宋体" w:hAnsi="宋体" w:cs="宋体"/>
          <w:color w:val="000000" w:themeColor="text1"/>
          <w:sz w:val="24"/>
          <w:szCs w:val="24"/>
          <w:highlight w:val="none"/>
          <w:lang w:eastAsia="zh-CN"/>
          <w14:textFill>
            <w14:solidFill>
              <w14:schemeClr w14:val="tx1"/>
            </w14:solidFill>
          </w14:textFill>
        </w:rPr>
        <w:t xml:space="preserve">达梦、高斯、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Oracle、SQLsever、Mysql等关系型数据库基本操作，并能熟练使用数据库语句，精通数据库优先；熟悉Unix、Linux操作系统；熟练掌握</w:t>
      </w:r>
      <w:r>
        <w:rPr>
          <w:rFonts w:hint="eastAsia" w:ascii="宋体" w:hAnsi="宋体" w:cs="宋体"/>
          <w:color w:val="000000" w:themeColor="text1"/>
          <w:sz w:val="24"/>
          <w:szCs w:val="24"/>
          <w:highlight w:val="none"/>
          <w:lang w:eastAsia="zh-CN"/>
          <w14:textFill>
            <w14:solidFill>
              <w14:schemeClr w14:val="tx1"/>
            </w14:solidFill>
          </w14:textFill>
        </w:rPr>
        <w:t xml:space="preserve">东方通、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Weblogic、Tomcat、MQ等中间件的部署及配置；对互联网技术感兴趣，具有快速学习不同技术和编程语言能力以及较强的逻辑分析和独立解决问题能力，具有Android 平台开发经验者。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软件运维人员2名，熟练掌握财政业务知识和工作流程；熟悉</w:t>
      </w:r>
      <w:r>
        <w:rPr>
          <w:rFonts w:hint="eastAsia" w:ascii="宋体" w:hAnsi="宋体" w:cs="宋体"/>
          <w:color w:val="000000" w:themeColor="text1"/>
          <w:sz w:val="24"/>
          <w:szCs w:val="24"/>
          <w:highlight w:val="none"/>
          <w:lang w:eastAsia="zh-CN"/>
          <w14:textFill>
            <w14:solidFill>
              <w14:schemeClr w14:val="tx1"/>
            </w14:solidFill>
          </w14:textFill>
        </w:rPr>
        <w:t xml:space="preserve">达梦、高斯、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Oracle、</w:t>
      </w:r>
      <w:r>
        <w:rPr>
          <w:rFonts w:hint="eastAsia" w:ascii="宋体" w:hAnsi="宋体" w:eastAsia="宋体" w:cs="宋体"/>
          <w:color w:val="000000" w:themeColor="text1"/>
          <w:sz w:val="24"/>
          <w:szCs w:val="24"/>
          <w:highlight w:val="none"/>
          <w14:textFill>
            <w14:solidFill>
              <w14:schemeClr w14:val="tx1"/>
            </w14:solidFill>
          </w14:textFill>
        </w:rPr>
        <w:t xml:space="preserve">SQLsever、Mysql等关系型数据库基本操作，并能熟练使用数据库语句；熟练掌握</w:t>
      </w:r>
      <w:r>
        <w:rPr>
          <w:rFonts w:hint="eastAsia" w:ascii="宋体" w:hAnsi="宋体" w:cs="宋体"/>
          <w:color w:val="000000" w:themeColor="text1"/>
          <w:sz w:val="24"/>
          <w:szCs w:val="24"/>
          <w:highlight w:val="none"/>
          <w:lang w:eastAsia="zh-CN"/>
          <w14:textFill>
            <w14:solidFill>
              <w14:schemeClr w14:val="tx1"/>
            </w14:solidFill>
          </w14:textFill>
        </w:rPr>
        <w:t xml:space="preserve">东方通、</w:t>
      </w:r>
      <w:r>
        <w:rPr>
          <w:rFonts w:hint="eastAsia" w:ascii="宋体" w:hAnsi="宋体" w:eastAsia="宋体" w:cs="宋体"/>
          <w:color w:val="000000" w:themeColor="text1"/>
          <w:sz w:val="24"/>
          <w:szCs w:val="24"/>
          <w:highlight w:val="none"/>
          <w14:textFill>
            <w14:solidFill>
              <w14:schemeClr w14:val="tx1"/>
            </w14:solidFill>
          </w14:textFill>
        </w:rPr>
        <w:t xml:space="preserve">Weblogic、Tomcat、MQ等中间件的配置及管理；熟练掌握财政使用的用友政务软件。</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硬件运维人员1名，具有中级（四级）及以上的计算机调试相关职业技能证书且能够熟练维修PC台式机、笔记本、打印机、扫描仪等办公终端设备、熟练掌握客户端网络设置与故障修复；熟练掌握</w:t>
      </w:r>
      <w:r>
        <w:rPr>
          <w:rFonts w:hint="eastAsia" w:ascii="宋体" w:hAnsi="宋体" w:cs="宋体"/>
          <w:color w:val="000000" w:themeColor="text1"/>
          <w:sz w:val="24"/>
          <w:szCs w:val="24"/>
          <w:highlight w:val="none"/>
          <w:lang w:eastAsia="zh-CN"/>
          <w14:textFill>
            <w14:solidFill>
              <w14:schemeClr w14:val="tx1"/>
            </w14:solidFill>
          </w14:textFill>
        </w:rPr>
        <w:t xml:space="preserve">银河麒麟、统信、</w:t>
      </w:r>
      <w:r>
        <w:rPr>
          <w:rFonts w:hint="eastAsia" w:ascii="宋体" w:hAnsi="宋体" w:cs="宋体"/>
          <w:color w:val="000000" w:themeColor="text1"/>
          <w:sz w:val="24"/>
          <w:szCs w:val="24"/>
          <w:highlight w:val="none"/>
          <w:lang w:val="en-US" w:eastAsia="zh-CN"/>
          <w14:textFill>
            <w14:solidFill>
              <w14:schemeClr w14:val="tx1"/>
            </w14:solidFill>
          </w14:textFill>
        </w:rPr>
        <w:t xml:space="preserve">Linux等</w:t>
      </w:r>
      <w:r>
        <w:rPr>
          <w:rFonts w:hint="eastAsia" w:ascii="宋体" w:hAnsi="宋体" w:eastAsia="宋体" w:cs="宋体"/>
          <w:color w:val="000000" w:themeColor="text1"/>
          <w:sz w:val="24"/>
          <w:szCs w:val="24"/>
          <w:highlight w:val="none"/>
          <w14:textFill>
            <w14:solidFill>
              <w14:schemeClr w14:val="tx1"/>
            </w14:solidFill>
          </w14:textFill>
        </w:rPr>
        <w:t xml:space="preserve">操作系统、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WPS</w:t>
      </w:r>
      <w:r>
        <w:rPr>
          <w:rFonts w:hint="eastAsia" w:ascii="宋体" w:hAnsi="宋体" w:eastAsia="宋体" w:cs="宋体"/>
          <w:color w:val="000000" w:themeColor="text1"/>
          <w:sz w:val="24"/>
          <w:szCs w:val="24"/>
          <w:highlight w:val="none"/>
          <w14:textFill>
            <w14:solidFill>
              <w14:schemeClr w14:val="tx1"/>
            </w14:solidFill>
          </w14:textFill>
        </w:rPr>
        <w:t xml:space="preserve">办公系统、趋势杀毒网络软件、常用PDF软件、工具等安装及故障排除；熟练掌握数据备份与恢复相关技术；具有操作视频会议室全套设备的基本技能；具有对UPS稳压电源、精密空调等机房外围硬件设备管理经验。</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上技术人员全部要求驻场不低于5*8小时服务，严格按照采购人要求的工作时间进行出勤。驻场人员应对安全应急响应：全面应急响应，5分钟响应，半小时内到达现场；一般网络安全问题2小时内解决，重大安全事件8小时内解决。应急响应内容包括：入侵调查、入侵取证、主机、网络异常响应、攻击溯源、业务恢复并出具报告。</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驻场人员应对项目内容中承担运维的系统（包括数据库和服务器）至少每月进行一次全面的安全风险检查，并提供检查报告。</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协助采购人处理安全通报的技术问题（包括且不限于上级财政部门、以及政府部门的通告）。</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7.驻场人员应对项目内容中承担运维的系统进行安全监测，结合日志审计工具、漏洞扫描软件、态势感知平台以及风险预警平台等安全工具进行网络安全问题自查以及问题处理。</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投标文件中提供《人员配备方案》；</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对照“(一)驻场人员配备要求”，编制《人员配备方案》。</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五、技术培训要求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（一）技术培训具体要求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培训内容： 培训为综合型内容，需针对各财政业务系统，针对不同用户层次、不同用户角色进行全面系统的培训，涵盖普通用户层、系统管理员和应用级管理员层、技术人员等的培训方案。中标人的所有培训均为免费提供，采购人不再支付任何费用。</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培训计划：培训计划要求为系统管理员提供至少 1 - 3 人的培训，中标人应负责准备培训地点及相关资料等与培训相关的事宜。</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培训方式：培训方式要求中标人采用课堂现场讲解和授课相结合、理论和实践相结合的形式，通过培训提高用户对业务系统的操作和常规维护能力。</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培训质量控制计划措施：培训质量控制针对操作环节，通过多渠道通知、多方式培训、多场次安排，确保培训工作高效开展。</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投标文件中提供《技术培训方案》；</w:t>
      </w:r>
      <w:r/>
    </w:p>
    <w:p>
      <w:pPr>
        <w:ind w:firstLine="562"/>
        <w:jc w:val="left"/>
        <w:keepLines w:val="0"/>
        <w:keepNext w:val="0"/>
        <w:pageBreakBefore w:val="0"/>
        <w:spacing w:line="360" w:lineRule="auto"/>
        <w:widowControl/>
        <w:rPr>
          <w:rFonts w:hint="eastAsia" w:ascii="宋体" w:hAnsi="宋体" w:eastAsia="宋体" w:cs="宋体"/>
          <w:b/>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对照“(一)技术培训具体要求”，编制《技术培训方案》。</w:t>
      </w:r>
      <w:r/>
    </w:p>
    <w:p>
      <w:pPr>
        <w:ind w:left="0"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安全保障及保密要求</w:t>
      </w:r>
      <w:r/>
    </w:p>
    <w:p>
      <w:pPr>
        <w:ind w:left="0"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安全运维管理要求。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left="0"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p>
    <w:p>
      <w:pPr>
        <w:ind w:left="0"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信息保密要求。供应商承诺对采购人提供的内部资料、数据和信息予以保密。未经采购人书面许可，不许以任何形式向第三方透露。成交供应商应与驻场运维服务人员签订保密协议，督促运维服务人员严格遵守保密规定。</w:t>
      </w:r>
      <w:r/>
    </w:p>
    <w:p>
      <w:pPr>
        <w:ind w:left="0" w:right="0" w:firstLine="562"/>
        <w:jc w:val="left"/>
        <w:keepLines w:val="0"/>
        <w:keepNext w:val="0"/>
        <w:pageBreakBefore w:val="0"/>
        <w:spacing w:before="0"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bookmarkStart w:id="24" w:name="_Toc7337441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工作</w:t>
      </w:r>
      <w:r>
        <w:rPr>
          <w:rFonts w:hint="eastAsia" w:ascii="宋体" w:hAnsi="宋体" w:eastAsia="宋体" w:cs="宋体"/>
          <w:b/>
          <w:bCs/>
          <w:color w:val="000000" w:themeColor="text1"/>
          <w:sz w:val="24"/>
          <w:szCs w:val="24"/>
          <w:highlight w:val="none"/>
          <w14:textFill>
            <w14:solidFill>
              <w14:schemeClr w14:val="tx1"/>
            </w14:solidFill>
          </w14:textFill>
        </w:rPr>
        <w:t xml:space="preserve">考核</w:t>
      </w:r>
      <w:r/>
    </w:p>
    <w:p>
      <w:pPr>
        <w:ind w:left="0" w:right="0" w:firstLine="562"/>
        <w:jc w:val="left"/>
        <w:keepLines w:val="0"/>
        <w:keepNext w:val="0"/>
        <w:pageBreakBefore w:val="0"/>
        <w:spacing w:before="0" w:line="360" w:lineRule="auto"/>
        <w:widowControl/>
        <w:rPr>
          <w:rFonts w:hint="eastAsia" w:ascii="宋体" w:hAnsi="宋体" w:eastAsia="宋体" w:cs="宋体"/>
          <w:b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采购人组织对中标供应商运维服务工作进行考核。</w:t>
      </w:r>
      <w:r/>
    </w:p>
    <w:p>
      <w:pPr>
        <w:ind w:left="0" w:right="0" w:firstLine="562"/>
        <w:jc w:val="left"/>
        <w:keepLines w:val="0"/>
        <w:keepNext w:val="0"/>
        <w:pageBreakBefore w:val="0"/>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b w:val="0"/>
          <w:color w:val="000000" w:themeColor="text1"/>
          <w:sz w:val="24"/>
          <w:szCs w:val="24"/>
          <w:highlight w:val="none"/>
          <w14:textFill>
            <w14:solidFill>
              <w14:schemeClr w14:val="tx1"/>
            </w14:solidFill>
          </w14:textFill>
        </w:rPr>
        <w:t xml:space="preserve">考核内容：</w:t>
      </w:r>
      <w:r/>
    </w:p>
    <w:p>
      <w:pPr>
        <w:ind w:left="0" w:right="0" w:firstLine="562"/>
        <w:jc w:val="left"/>
        <w:keepLines w:val="0"/>
        <w:keepNext w:val="0"/>
        <w:pageBreakBefore w:val="0"/>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考核实行百分制，90分(含)以上为优秀，90 分以下 75 分(含)以上为良好，75分以下60分(含)以上为合格，低于60分的为不合格。</w:t>
      </w:r>
      <w:r/>
    </w:p>
    <w:p>
      <w:pPr>
        <w:ind w:left="0" w:right="0" w:firstLine="562"/>
        <w:jc w:val="left"/>
        <w:keepLines w:val="0"/>
        <w:keepNext w:val="0"/>
        <w:pageBreakBefore w:val="0"/>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b w:val="0"/>
          <w:color w:val="000000" w:themeColor="text1"/>
          <w:sz w:val="24"/>
          <w:szCs w:val="24"/>
          <w:highlight w:val="none"/>
          <w14:textFill>
            <w14:solidFill>
              <w14:schemeClr w14:val="tx1"/>
            </w14:solidFill>
          </w14:textFill>
        </w:rPr>
        <w:t xml:space="preserve">考核应用：</w:t>
      </w:r>
      <w:r/>
    </w:p>
    <w:p>
      <w:pPr>
        <w:ind w:left="0" w:right="0" w:firstLine="562"/>
        <w:jc w:val="left"/>
        <w:keepLines w:val="0"/>
        <w:keepNext w:val="0"/>
        <w:pageBreakBefore w:val="0"/>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当期考核结果为良好(含良好)以上的，按合同约定全额支付服务费用；当期考核结果为合格的，按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合同约定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全</w:t>
      </w:r>
      <w:r>
        <w:rPr>
          <w:rFonts w:hint="eastAsia" w:ascii="宋体" w:hAnsi="宋体" w:eastAsia="宋体" w:cs="宋体"/>
          <w:color w:val="000000" w:themeColor="text1"/>
          <w:sz w:val="24"/>
          <w:szCs w:val="24"/>
          <w:highlight w:val="none"/>
          <w14:textFill>
            <w14:solidFill>
              <w14:schemeClr w14:val="tx1"/>
            </w14:solidFill>
          </w14:textFill>
        </w:rPr>
        <w:t xml:space="preserve">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/合同总天数）×运维天数的</w:t>
      </w:r>
      <w:r>
        <w:rPr>
          <w:rFonts w:hint="eastAsia" w:ascii="宋体" w:hAnsi="宋体" w:eastAsia="宋体" w:cs="宋体"/>
          <w:color w:val="000000" w:themeColor="text1"/>
          <w:sz w:val="24"/>
          <w:szCs w:val="24"/>
          <w:highlight w:val="none"/>
          <w14:textFill>
            <w14:solidFill>
              <w14:schemeClr w14:val="tx1"/>
            </w14:solidFill>
          </w14:textFill>
        </w:rPr>
        <w:t xml:space="preserve">80%支付；当期考核结果为不合格的，按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合同约定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全</w:t>
      </w:r>
      <w:r>
        <w:rPr>
          <w:rFonts w:hint="eastAsia" w:ascii="宋体" w:hAnsi="宋体" w:eastAsia="宋体" w:cs="宋体"/>
          <w:color w:val="000000" w:themeColor="text1"/>
          <w:sz w:val="24"/>
          <w:szCs w:val="24"/>
          <w:highlight w:val="none"/>
          <w14:textFill>
            <w14:solidFill>
              <w14:schemeClr w14:val="tx1"/>
            </w14:solidFill>
          </w14:textFill>
        </w:rPr>
        <w:t xml:space="preserve">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/合同总天数）×运维天数的</w:t>
      </w:r>
      <w:r>
        <w:rPr>
          <w:rFonts w:hint="eastAsia" w:ascii="宋体" w:hAnsi="宋体" w:eastAsia="宋体" w:cs="宋体"/>
          <w:color w:val="000000" w:themeColor="text1"/>
          <w:sz w:val="24"/>
          <w:szCs w:val="24"/>
          <w:highlight w:val="none"/>
          <w14:textFill>
            <w14:solidFill>
              <w14:schemeClr w14:val="tx1"/>
            </w14:solidFill>
          </w14:textFill>
        </w:rPr>
        <w:t xml:space="preserve">50%支付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，采购人可单方终止与中标供应商的合同关系</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在服务期限内无故停止服务或连续两次考核结果均不合格的，停止与该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续约。 </w:t>
      </w:r>
      <w:r/>
    </w:p>
    <w:p>
      <w:pPr>
        <w:ind w:left="0" w:right="0" w:firstLine="562"/>
        <w:jc w:val="left"/>
        <w:keepLines w:val="0"/>
        <w:keepNext w:val="0"/>
        <w:pageBreakBefore w:val="0"/>
        <w:spacing w:before="0" w:after="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b w:val="0"/>
          <w:color w:val="000000" w:themeColor="text1"/>
          <w:sz w:val="24"/>
          <w:szCs w:val="24"/>
          <w:highlight w:val="none"/>
          <w14:textFill>
            <w14:solidFill>
              <w14:schemeClr w14:val="tx1"/>
            </w14:solidFill>
          </w14:textFill>
        </w:rPr>
        <w:t xml:space="preserve">主要考核指标：（具体考核项根据实际工作需要调整）</w:t>
      </w:r>
      <w:r/>
    </w:p>
    <w:tbl>
      <w:tblPr>
        <w:tblStyle w:val="1043"/>
        <w:tblW w:w="8732"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9"/>
        <w:gridCol w:w="3113"/>
        <w:gridCol w:w="1687"/>
        <w:gridCol w:w="1175"/>
        <w:gridCol w:w="1388"/>
      </w:tblGrid>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Mar>
              <w:left w:w="108" w:type="dxa"/>
              <w:top w:w="0" w:type="dxa"/>
              <w:right w:w="108" w:type="dxa"/>
              <w:bottom w:w="0" w:type="dxa"/>
            </w:tcMar>
            <w:tcW w:w="3113"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考核项</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分值</w:t>
            </w:r>
            <w:r/>
          </w:p>
        </w:tc>
        <w:tc>
          <w:tcPr>
            <w:tcMar>
              <w:left w:w="108" w:type="dxa"/>
              <w:top w:w="0" w:type="dxa"/>
              <w:right w:w="108" w:type="dxa"/>
              <w:bottom w:w="0" w:type="dxa"/>
            </w:tcMar>
            <w:tcW w:w="1175"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得分</w:t>
            </w:r>
            <w:r/>
          </w:p>
        </w:tc>
        <w:tc>
          <w:tcPr>
            <w:tcMar>
              <w:left w:w="108" w:type="dxa"/>
              <w:top w:w="0" w:type="dxa"/>
              <w:right w:w="108" w:type="dxa"/>
              <w:bottom w:w="0" w:type="dxa"/>
            </w:tcMar>
            <w:tcW w:w="1388"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日常考勤</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工作量</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服务响应效率</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解决问题能力</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人员稳定性</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团队</w:t>
            </w:r>
            <w:r>
              <w:rPr>
                <w:rFonts w:hint="eastAsia" w:ascii="宋体" w:hAnsi="宋体" w:eastAsia="宋体" w:cs="宋体"/>
                <w:color w:val="000000" w:themeColor="text1"/>
                <w:sz w:val="24"/>
                <w:szCs w:val="24"/>
                <w:highlight w:val="none"/>
                <w14:textFill>
                  <w14:solidFill>
                    <w14:schemeClr w14:val="tx1"/>
                  </w14:solidFill>
                </w14:textFill>
              </w:rPr>
              <w:t xml:space="preserve">内部管理</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网络安全</w:t>
            </w:r>
            <w:r>
              <w:rPr>
                <w:rFonts w:hint="eastAsia" w:ascii="宋体" w:hAnsi="宋体" w:eastAsia="宋体" w:cs="宋体"/>
                <w:color w:val="000000" w:themeColor="text1"/>
                <w:sz w:val="24"/>
                <w:szCs w:val="24"/>
                <w:highlight w:val="none"/>
                <w14:textFill>
                  <w14:solidFill>
                    <w14:schemeClr w14:val="tx1"/>
                  </w14:solidFill>
                </w14:textFill>
              </w:rPr>
              <w:t xml:space="preserve">情况</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应急处理能力</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w:t>
            </w:r>
            <w:r>
              <w:rPr>
                <w:rFonts w:hint="eastAsia" w:ascii="宋体" w:hAnsi="宋体" w:eastAsia="宋体" w:cs="宋体"/>
                <w:color w:val="000000" w:themeColor="text1"/>
                <w:sz w:val="24"/>
                <w:szCs w:val="24"/>
                <w:highlight w:val="none"/>
                <w14:textFill>
                  <w14:solidFill>
                    <w14:schemeClr w14:val="tx1"/>
                  </w14:solidFill>
                </w14:textFill>
              </w:rPr>
              <w:t xml:space="preserve">工作态度</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人员沟通能力</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tcMar>
              <w:left w:w="108" w:type="dxa"/>
              <w:top w:w="0" w:type="dxa"/>
              <w:right w:w="108" w:type="dxa"/>
              <w:bottom w:w="0" w:type="dxa"/>
            </w:tcMar>
            <w:tcW w:w="3113"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其它任务完成情况</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06"/>
        </w:trPr>
        <w:tc>
          <w:tcPr>
            <w:gridSpan w:val="2"/>
            <w:tcMar>
              <w:left w:w="108" w:type="dxa"/>
              <w:top w:w="0" w:type="dxa"/>
              <w:right w:w="108" w:type="dxa"/>
              <w:bottom w:w="0" w:type="dxa"/>
            </w:tcMar>
            <w:tcW w:w="4482"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06"/>
        </w:trPr>
        <w:tc>
          <w:tcPr>
            <w:gridSpan w:val="5"/>
            <w:tcMar>
              <w:left w:w="108" w:type="dxa"/>
              <w:top w:w="0" w:type="dxa"/>
              <w:right w:w="108" w:type="dxa"/>
              <w:bottom w:w="0" w:type="dxa"/>
            </w:tcMar>
            <w:tcW w:w="8732"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考核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（签字）：</w:t>
            </w:r>
            <w:r/>
          </w:p>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日期：</w:t>
            </w:r>
            <w:bookmarkEnd w:id="24"/>
            <w:r/>
            <w:r/>
          </w:p>
        </w:tc>
      </w:tr>
    </w:tbl>
    <w:p>
      <w:pPr>
        <w:ind w:firstLine="48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、项目服务期限：</w:t>
      </w:r>
      <w:r>
        <w:rPr>
          <w:rFonts w:hint="eastAsia" w:ascii="宋体" w:hAnsi="宋体" w:eastAsia="宋体" w:cs="宋体"/>
          <w:color w:val="000000" w:themeColor="text1"/>
          <w:sz w:val="24"/>
          <w:szCs w:val="24"/>
          <w:highlight w:val="none"/>
          <w14:textFill>
            <w14:solidFill>
              <w14:schemeClr w14:val="tx1"/>
            </w14:solidFill>
          </w14:textFill>
        </w:rPr>
        <w:t xml:space="preserve">自合同签订生效之日起1年。</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说明：本“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、项目服务期限”为不允许偏离的实质性要求和条件，如有偏离，在符合性审查时按照投标无效处理。</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、项目服务地点：</w:t>
      </w:r>
      <w:r>
        <w:rPr>
          <w:rFonts w:hint="eastAsia" w:ascii="宋体" w:hAnsi="宋体" w:eastAsia="宋体" w:cs="宋体"/>
          <w:color w:val="000000" w:themeColor="text1"/>
          <w:sz w:val="24"/>
          <w:szCs w:val="24"/>
          <w:highlight w:val="none"/>
          <w14:textFill>
            <w14:solidFill>
              <w14:schemeClr w14:val="tx1"/>
            </w14:solidFill>
          </w14:textFill>
        </w:rPr>
        <w:t xml:space="preserve">徐州市财政效能中心。</w:t>
      </w:r>
      <w:r/>
    </w:p>
    <w:p>
      <w:pPr>
        <w:ind w:firstLine="48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、关于支付（采购资金的支付方式、时间、条件）的要求</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招标文件中《拟签订的合同文本》中“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、支付（采购资金的支付方式、时间、条件）” 是不允许偏离的实质性要求和条件，如有偏离，在符合性审查时按照投标无效处理。</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十一</w:t>
      </w:r>
      <w:r>
        <w:rPr>
          <w:rFonts w:hint="eastAsia" w:ascii="宋体" w:hAnsi="宋体" w:eastAsia="宋体" w:cs="宋体"/>
          <w:b/>
          <w:bCs/>
          <w:color w:val="000000" w:themeColor="text1"/>
          <w:sz w:val="24"/>
          <w:szCs w:val="24"/>
          <w:highlight w:val="none"/>
          <w14:textFill>
            <w14:solidFill>
              <w14:schemeClr w14:val="tx1"/>
            </w14:solidFill>
          </w14:textFill>
        </w:rPr>
        <w:t xml:space="preserve">、验收标准（验收要求、验收标准和程序）要求</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以供应商的投标文件和供应商的澄清、说明或者更正为验收标准；供应商的投标文件和供应商的澄清、说明或者更正不明确的，以《招标文件》相关要求为验收标准；供应商的投标文件和供应商的澄清、说明或者更正和相关要求都不明确的，按国家相关标准；以上都不明确的，以通常标准为准。</w:t>
      </w:r>
      <w:r/>
    </w:p>
    <w:p>
      <w:pPr>
        <w:ind w:firstLine="562"/>
        <w:jc w:val="left"/>
        <w:keepLines w:val="0"/>
        <w:keepNext w:val="0"/>
        <w:pageBreakBefore w:val="0"/>
        <w:spacing w:line="44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、其他要求：见招标文件第五章《拟签订的合同文本》。</w:t>
      </w:r>
      <w:r/>
    </w:p>
    <w:p>
      <w:pPr>
        <w:ind w:right="0"/>
        <w:jc w:val="center"/>
        <w:keepLines w:val="0"/>
        <w:keepNext w:val="0"/>
        <w:pageBreakBefore w:val="0"/>
        <w:spacing w:line="312"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采购包2：财政机房核心软硬件维保</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一、说明</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本项目不接受超过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14:textFill>
            <w14:solidFill>
              <w14:schemeClr w14:val="tx1"/>
            </w14:solidFill>
          </w14:textFill>
        </w:rPr>
        <w:t xml:space="preserve">万元的报价。</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2.本项目为专门面向中小企业的项目。</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采购标的：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财政机房核心软硬件维保</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（财政机房核心软硬件维保）对应的中小企业划分标准所属行业为（</w:t>
      </w:r>
      <w:r>
        <w:rPr>
          <w:rFonts w:hint="eastAsia" w:ascii="宋体" w:hAnsi="宋体" w:eastAsia="宋体" w:cs="宋体"/>
          <w:color w:val="000000" w:themeColor="text1"/>
          <w:sz w:val="24"/>
          <w:szCs w:val="24"/>
          <w:highlight w:val="none"/>
          <w14:textFill>
            <w14:solidFill>
              <w14:schemeClr w14:val="tx1"/>
            </w14:solidFill>
          </w14:textFill>
        </w:rPr>
        <w:t xml:space="preserve">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注：中小企业划分标准所属行业以《工业和信息化部、国家统计局、国家发展和改革委员会、财政部关于印发中小企业划型标准规定的通知》（工信部联企业[2011]300号）的规定为准。</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二、维保服务期限自采购合同签订并生效后1年。</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三、维保服务要求</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  （一）维保服务清单</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1.硬件部分清单</w:t>
      </w:r>
      <w:r/>
    </w:p>
    <w:tbl>
      <w:tblPr>
        <w:tblStyle w:val="710"/>
        <w:tblW w:w="8241" w:type="dxa"/>
        <w:jc w:val="center"/>
        <w:tblLayout w:type="fixed"/>
        <w:tblCellMar>
          <w:left w:w="108" w:type="dxa"/>
          <w:top w:w="0" w:type="dxa"/>
          <w:right w:w="108" w:type="dxa"/>
          <w:bottom w:w="0" w:type="dxa"/>
        </w:tblCellMar>
        <w:tblLook w:val="04A0" w:firstRow="1" w:lastRow="0" w:firstColumn="1" w:lastColumn="0" w:noHBand="0" w:noVBand="1"/>
      </w:tblPr>
      <w:tblGrid>
        <w:gridCol w:w="1228"/>
        <w:gridCol w:w="945"/>
        <w:gridCol w:w="1552"/>
        <w:gridCol w:w="2615"/>
        <w:gridCol w:w="1901"/>
      </w:tblGrid>
      <w:tr>
        <w:trPr>
          <w:jc w:val="center"/>
          <w:trHeight w:val="567"/>
        </w:trPr>
        <w:tc>
          <w:tcPr>
            <w:tcBorders>
              <w:top w:val="single" w:color="auto" w:sz="4" w:space="0"/>
              <w:left w:val="single" w:color="auto" w:sz="8" w:space="0"/>
              <w:bottom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硬件</w:t>
            </w:r>
            <w:r>
              <w:rPr>
                <w:rFonts w:hint="eastAsia" w:ascii="宋体" w:hAnsi="宋体" w:eastAsia="宋体" w:cs="宋体"/>
                <w:b/>
                <w:bCs/>
                <w:color w:val="000000" w:themeColor="text1"/>
                <w:sz w:val="24"/>
                <w:szCs w:val="24"/>
                <w:highlight w:val="none"/>
                <w14:textFill>
                  <w14:solidFill>
                    <w14:schemeClr w14:val="tx1"/>
                  </w14:solidFill>
                </w14:textFill>
              </w:rPr>
              <w:t xml:space="preserve">类别</w:t>
            </w:r>
            <w:r/>
          </w:p>
        </w:tc>
        <w:tc>
          <w:tcPr>
            <w:tcBorders>
              <w:top w:val="single" w:color="auto"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设备名称</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型号</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序列号</w:t>
            </w:r>
            <w:r/>
          </w:p>
        </w:tc>
      </w:tr>
      <w:tr>
        <w:trPr>
          <w:jc w:val="center"/>
          <w:trHeight w:val="567"/>
        </w:trPr>
        <w:tc>
          <w:tcPr>
            <w:tcBorders>
              <w:top w:val="none" w:color="000000" w:sz="4" w:space="0"/>
              <w:left w:val="single" w:color="auto" w:sz="8" w:space="0"/>
              <w:right w:val="single" w:color="auto" w:sz="8" w:space="0"/>
            </w:tcBorders>
            <w:tcW w:w="1228"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小型机及其相关设备</w:t>
            </w:r>
            <w:r/>
          </w:p>
        </w:tc>
        <w:tc>
          <w:tcPr>
            <w:tcBorders>
              <w:top w:val="none" w:color="000000" w:sz="4" w:space="0"/>
              <w:left w:val="single" w:color="auto" w:sz="8" w:space="0"/>
              <w:bottom w:val="single" w:color="000000"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8" w:space="0"/>
              <w:left w:val="single" w:color="auto" w:sz="8" w:space="0"/>
              <w:bottom w:val="single" w:color="000000"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小型机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S824(8286-42A）</w:t>
            </w:r>
            <w:r/>
          </w:p>
        </w:tc>
        <w:tc>
          <w:tcPr>
            <w:tcBorders>
              <w:top w:val="single" w:color="auto" w:sz="8" w:space="0"/>
              <w:left w:val="single" w:color="auto" w:sz="8" w:space="0"/>
              <w:bottom w:val="single" w:color="000000"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84BD9FW</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8" w:space="0"/>
              <w:left w:val="single" w:color="auto" w:sz="8" w:space="0"/>
              <w:bottom w:val="single" w:color="000000"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小型机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S824(8286-42A）</w:t>
            </w:r>
            <w:r/>
          </w:p>
        </w:tc>
        <w:tc>
          <w:tcPr>
            <w:tcBorders>
              <w:top w:val="single" w:color="auto" w:sz="8" w:space="0"/>
              <w:left w:val="single" w:color="auto" w:sz="8" w:space="0"/>
              <w:bottom w:val="single" w:color="000000"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84BDA0W</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8" w:space="0"/>
              <w:left w:val="single" w:color="auto" w:sz="8" w:space="0"/>
              <w:bottom w:val="single" w:color="000000"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小型机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P560(8234-EMA)</w:t>
            </w:r>
            <w:r/>
          </w:p>
        </w:tc>
        <w:tc>
          <w:tcPr>
            <w:tcBorders>
              <w:top w:val="single" w:color="auto" w:sz="8" w:space="0"/>
              <w:left w:val="single" w:color="auto" w:sz="8" w:space="0"/>
              <w:bottom w:val="single" w:color="000000"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06CBA14</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8" w:space="0"/>
              <w:left w:val="single" w:color="auto" w:sz="8" w:space="0"/>
              <w:bottom w:val="single" w:color="000000"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小型机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P560(8234-EMA)</w:t>
            </w:r>
            <w:r/>
          </w:p>
        </w:tc>
        <w:tc>
          <w:tcPr>
            <w:tcBorders>
              <w:top w:val="single" w:color="auto" w:sz="8" w:space="0"/>
              <w:left w:val="single" w:color="auto" w:sz="8" w:space="0"/>
              <w:bottom w:val="single" w:color="000000"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06CB7F4</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8" w:space="0"/>
              <w:left w:val="single" w:color="auto" w:sz="8" w:space="0"/>
              <w:bottom w:val="single" w:color="000000"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小型机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P570(9117-570)</w:t>
            </w:r>
            <w:r/>
          </w:p>
        </w:tc>
        <w:tc>
          <w:tcPr>
            <w:tcBorders>
              <w:top w:val="single" w:color="auto" w:sz="8" w:space="0"/>
              <w:left w:val="single" w:color="auto" w:sz="8" w:space="0"/>
              <w:bottom w:val="single" w:color="000000"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0638DF0</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single" w:color="auto" w:sz="8" w:space="0"/>
              <w:bottom w:val="single" w:color="000000"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8" w:space="0"/>
              <w:left w:val="single" w:color="auto" w:sz="8" w:space="0"/>
              <w:bottom w:val="single" w:color="000000"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小型机</w:t>
            </w:r>
            <w:r/>
          </w:p>
        </w:tc>
        <w:tc>
          <w:tcPr>
            <w:tcBorders>
              <w:top w:val="single" w:color="auto" w:sz="8" w:space="0"/>
              <w:left w:val="none" w:color="000000" w:sz="4" w:space="0"/>
              <w:bottom w:val="single" w:color="auto" w:sz="4"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P570(9117-570)</w:t>
            </w:r>
            <w:r/>
          </w:p>
        </w:tc>
        <w:tc>
          <w:tcPr>
            <w:tcBorders>
              <w:top w:val="single" w:color="auto" w:sz="8" w:space="0"/>
              <w:left w:val="single" w:color="auto" w:sz="8" w:space="0"/>
              <w:bottom w:val="single" w:color="000000"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0638DD0</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8" w:space="0"/>
              <w:bottom w:val="single" w:color="000000"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8" w:space="0"/>
              <w:bottom w:val="single" w:color="000000"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小型机</w:t>
            </w:r>
            <w:r/>
          </w:p>
        </w:tc>
        <w:tc>
          <w:tcPr>
            <w:tcBorders>
              <w:top w:val="single" w:color="auto" w:sz="4"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S824(8286-42A）</w:t>
            </w:r>
            <w:r/>
          </w:p>
        </w:tc>
        <w:tc>
          <w:tcPr>
            <w:tcBorders>
              <w:top w:val="single" w:color="auto" w:sz="4" w:space="0"/>
              <w:left w:val="single" w:color="auto" w:sz="8" w:space="0"/>
              <w:bottom w:val="single" w:color="000000"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683819X</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主存储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DS4800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1305302J</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主存储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V7000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23D0835</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主存储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新云东方NV7030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7823FKB</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主存储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V7000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78RGFNV</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主存储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V7000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782579H</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主存储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V7000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78251KM</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Borders>
              <w:top w:val="single" w:color="auto" w:sz="4"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存储网关</w:t>
            </w:r>
            <w:r/>
          </w:p>
        </w:tc>
        <w:tc>
          <w:tcPr>
            <w:tcBorders>
              <w:top w:val="single" w:color="auto" w:sz="4"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Emcvplex</w:t>
            </w:r>
            <w:r/>
          </w:p>
        </w:tc>
        <w:tc>
          <w:tcPr>
            <w:tcBorders>
              <w:top w:val="single" w:color="auto" w:sz="4"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CKM00172802547</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存储网关</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Emcvplex</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CKM00181302557</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光纤交换机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IBM-B24</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10504NT　</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auto" w:sz="8" w:space="0"/>
              <w:left w:val="none" w:color="000000" w:sz="4" w:space="0"/>
              <w:bottom w:val="single" w:color="auto" w:sz="4"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光纤交换机</w:t>
            </w:r>
            <w:r/>
          </w:p>
        </w:tc>
        <w:tc>
          <w:tcPr>
            <w:tcBorders>
              <w:top w:val="single" w:color="auto" w:sz="8" w:space="0"/>
              <w:left w:val="none" w:color="000000" w:sz="4" w:space="0"/>
              <w:bottom w:val="single" w:color="auto" w:sz="4"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IBM-B24</w:t>
            </w:r>
            <w:r/>
          </w:p>
        </w:tc>
        <w:tc>
          <w:tcPr>
            <w:tcBorders>
              <w:top w:val="single" w:color="auto" w:sz="8" w:space="0"/>
              <w:left w:val="none" w:color="000000" w:sz="4" w:space="0"/>
              <w:bottom w:val="single" w:color="auto" w:sz="4"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10504NY</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auto" w:sz="4"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光纤交换机</w:t>
            </w:r>
            <w:r/>
          </w:p>
        </w:tc>
        <w:tc>
          <w:tcPr>
            <w:tcBorders>
              <w:top w:val="single" w:color="auto" w:sz="4"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IBM-B24</w:t>
            </w:r>
            <w:r/>
          </w:p>
        </w:tc>
        <w:tc>
          <w:tcPr>
            <w:tcBorders>
              <w:top w:val="single" w:color="auto" w:sz="4"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10511LZ</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4"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p>
        </w:tc>
        <w:tc>
          <w:tcPr>
            <w:tcBorders>
              <w:top w:val="single" w:color="auto" w:sz="8" w:space="0"/>
              <w:left w:val="none" w:color="000000" w:sz="4" w:space="0"/>
              <w:bottom w:val="single" w:color="auto" w:sz="4"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光纤交换机</w:t>
            </w:r>
            <w:r/>
          </w:p>
        </w:tc>
        <w:tc>
          <w:tcPr>
            <w:tcBorders>
              <w:top w:val="single" w:color="auto" w:sz="8" w:space="0"/>
              <w:left w:val="none" w:color="000000" w:sz="4" w:space="0"/>
              <w:bottom w:val="single" w:color="auto" w:sz="4"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IBM-B24</w:t>
            </w:r>
            <w:r/>
          </w:p>
        </w:tc>
        <w:tc>
          <w:tcPr>
            <w:tcBorders>
              <w:top w:val="single" w:color="auto" w:sz="8" w:space="0"/>
              <w:left w:val="none" w:color="000000" w:sz="4" w:space="0"/>
              <w:bottom w:val="single" w:color="auto" w:sz="4"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10511LY</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c>
          <w:tcPr>
            <w:tcBorders>
              <w:top w:val="single" w:color="auto" w:sz="4" w:space="0"/>
              <w:left w:val="none" w:color="000000" w:sz="4" w:space="0"/>
              <w:bottom w:val="single" w:color="auto" w:sz="4"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TF3</w:t>
            </w:r>
            <w:r/>
          </w:p>
        </w:tc>
        <w:tc>
          <w:tcPr>
            <w:tcBorders>
              <w:top w:val="single" w:color="auto" w:sz="4" w:space="0"/>
              <w:left w:val="none" w:color="000000" w:sz="4" w:space="0"/>
              <w:bottom w:val="single" w:color="auto" w:sz="4"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7316-TF3</w:t>
            </w:r>
            <w:r/>
          </w:p>
        </w:tc>
        <w:tc>
          <w:tcPr>
            <w:tcBorders>
              <w:top w:val="single" w:color="auto" w:sz="4" w:space="0"/>
              <w:left w:val="none" w:color="000000" w:sz="4" w:space="0"/>
              <w:bottom w:val="single" w:color="auto" w:sz="4"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06272L</w:t>
            </w:r>
            <w:r/>
          </w:p>
        </w:tc>
      </w:tr>
      <w:tr>
        <w:trPr>
          <w:jc w:val="center"/>
          <w:trHeight w:val="599"/>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HMC</w:t>
            </w:r>
            <w:r/>
          </w:p>
        </w:tc>
        <w:tc>
          <w:tcPr>
            <w:tcBorders>
              <w:top w:val="single" w:color="auto" w:sz="4" w:space="0"/>
              <w:left w:val="none" w:color="000000" w:sz="4" w:space="0"/>
              <w:bottom w:val="single" w:color="auto" w:sz="4"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7042-CR5</w:t>
            </w:r>
            <w:r/>
          </w:p>
        </w:tc>
        <w:tc>
          <w:tcPr>
            <w:tcBorders>
              <w:top w:val="single" w:color="auto" w:sz="4" w:space="0"/>
              <w:left w:val="none" w:color="000000" w:sz="4" w:space="0"/>
              <w:bottom w:val="single" w:color="auto" w:sz="4"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7946PAL99E0003</w:t>
            </w:r>
            <w:r/>
          </w:p>
        </w:tc>
      </w:tr>
      <w:tr>
        <w:trPr>
          <w:jc w:val="center"/>
          <w:trHeight w:val="567"/>
        </w:trPr>
        <w:tc>
          <w:tcPr>
            <w:tcBorders>
              <w:left w:val="single" w:color="auto" w:sz="8" w:space="0"/>
              <w:bottom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 HMC</w:t>
            </w:r>
            <w:r/>
          </w:p>
        </w:tc>
        <w:tc>
          <w:tcPr>
            <w:tcBorders>
              <w:top w:val="single" w:color="auto" w:sz="4"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7042-CR9</w:t>
            </w:r>
            <w:r/>
          </w:p>
        </w:tc>
        <w:tc>
          <w:tcPr>
            <w:tcBorders>
              <w:top w:val="single" w:color="auto" w:sz="4"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844ED9D</w:t>
            </w:r>
            <w:r/>
          </w:p>
        </w:tc>
      </w:tr>
      <w:tr>
        <w:trPr>
          <w:jc w:val="center"/>
          <w:trHeight w:val="567"/>
        </w:trPr>
        <w:tc>
          <w:tcPr>
            <w:tcBorders>
              <w:top w:val="single" w:color="auto" w:sz="4" w:space="0"/>
              <w:left w:val="single" w:color="auto" w:sz="4" w:space="0"/>
              <w:bottom w:val="single" w:color="auto" w:sz="4" w:space="0"/>
              <w:right w:val="single" w:color="auto" w:sz="8" w:space="0"/>
            </w:tcBorders>
            <w:tcW w:w="1228"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网络设备</w:t>
            </w:r>
            <w:r/>
          </w:p>
        </w:tc>
        <w:tc>
          <w:tcPr>
            <w:tcBorders>
              <w:top w:val="single" w:color="auto" w:sz="4" w:space="0"/>
              <w:left w:val="none" w:color="000000" w:sz="4" w:space="0"/>
              <w:bottom w:val="single" w:color="auto" w:sz="4"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核心交换机</w:t>
            </w:r>
            <w:r/>
          </w:p>
        </w:tc>
        <w:tc>
          <w:tcPr>
            <w:tcBorders>
              <w:top w:val="single" w:color="auto" w:sz="8" w:space="0"/>
              <w:left w:val="single" w:color="auto"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 S12700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P02160013228</w:t>
            </w:r>
            <w:r/>
          </w:p>
        </w:tc>
      </w:tr>
      <w:tr>
        <w:trPr>
          <w:jc w:val="center"/>
          <w:trHeight w:val="567"/>
        </w:trPr>
        <w:tc>
          <w:tcPr>
            <w:tcBorders>
              <w:top w:val="single" w:color="auto" w:sz="4" w:space="0"/>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核心交换机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 S12700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2102114480P0JC000080</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核心交换机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 S12700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2102114178P0JC000520</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核心交换机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 S12700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P02160012316</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华为S5720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2102350B ECDMHB000041</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华为S5720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2102350BECDMHB000015</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华为S5700-24TP</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210235236010EC000628</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华为S5700-24TP</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210235236010EC000719</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华为S5700-52C-SI</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2102352356W0E9000101</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华为S5700-52C-SI</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2102352356W0E9000020</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华为S5700-52C-SI</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2102352356W0E9000006</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路由器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华为AR3260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2102113374P0G9000351</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华三1526</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219801A0CG9</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华为Quidway S7703</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2102353353P0L900</w:t>
            </w:r>
            <w:r/>
          </w:p>
        </w:tc>
      </w:tr>
      <w:tr>
        <w:trPr>
          <w:jc w:val="center"/>
          <w:trHeight w:val="567"/>
        </w:trPr>
        <w:tc>
          <w:tcPr>
            <w:tcBorders>
              <w:left w:val="single" w:color="auto" w:sz="4"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华三SR6608</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210231A2SQB176000133</w:t>
            </w:r>
            <w:r/>
          </w:p>
        </w:tc>
      </w:tr>
      <w:tr>
        <w:trPr>
          <w:jc w:val="center"/>
          <w:trHeight w:val="567"/>
        </w:trPr>
        <w:tc>
          <w:tcPr>
            <w:tcBorders>
              <w:top w:val="single" w:color="auto" w:sz="4" w:space="0"/>
              <w:left w:val="single" w:color="auto" w:sz="8" w:space="0"/>
              <w:right w:val="single" w:color="auto" w:sz="4" w:space="0"/>
            </w:tcBorders>
            <w:tcW w:w="1228"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安全设备</w:t>
            </w:r>
            <w:r/>
          </w:p>
        </w:tc>
        <w:tc>
          <w:tcPr>
            <w:tcBorders>
              <w:top w:val="single" w:color="auto" w:sz="4" w:space="0"/>
              <w:left w:val="single" w:color="auto" w:sz="4" w:space="0"/>
              <w:bottom w:val="single" w:color="auto" w:sz="4"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single" w:color="auto"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天融信NGFW4000-T</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A15040710166</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天融信NGFW4000-T</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A15040710172</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签名服务器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信安世纪NETSIGN3300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Q2014011627</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签名服务器</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信安世纪NETSIGN3300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Q2014011734</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天融信NGFW4000-UF</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Q1711010769</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天融信NGFW4000-UF</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Q1711610770</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天融信NGFW4000-UF(NG-81242)</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Q1712649114</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入网规范</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盈高ASM6307</w:t>
            </w:r>
            <w:r/>
          </w:p>
        </w:tc>
        <w:tc>
          <w:tcPr>
            <w:tcBorders>
              <w:top w:val="none" w:color="000000" w:sz="4" w:space="0"/>
              <w:left w:val="none" w:color="000000" w:sz="4" w:space="0"/>
              <w:bottom w:val="single" w:color="auto" w:sz="8" w:space="0"/>
              <w:right w:val="single" w:color="auto"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600024-003511</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K1005012214</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HillStone</w:t>
            </w:r>
            <w:r/>
          </w:p>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SG-6000 E3660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2809043150001033</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Q56871131866</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入侵防御</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天融信TOPIDP3000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Q1795018483</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Q2112898092</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防火墙</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天融信NGFW4000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Q2108156138</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安恒信息</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AiNTA流量分析系统（探针）</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DAS-ADL-SP600</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2109X231021</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安恒信息</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2U Rack Server</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AiLPHA大数据智能安全平台</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DAS-ADL-A780</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left"/>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9400069503060794</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天融信</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TopSentry 3000(ZX-A)(千兆)V3</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Q2112897595</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t xml:space="preserve">21</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信安世纪</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NetOpti2200</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1343G6688</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t xml:space="preserve">22</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信安世纪</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NSAE-2800B-DA</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243E10028</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
                <w14:textFill>
                  <w14:solidFill>
                    <w14:schemeClr w14:val="tx1"/>
                  </w14:solidFill>
                </w14:textFill>
              </w:rPr>
              <w:t xml:space="preserve">23</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信安世纪</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SJJ1515</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1719C1253</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安恒信息</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明御：全流量深度威胁检测平台</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1912X200752</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金电网安</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MISP V1.0-S4000D</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CGPBJEKC3621L1063</w:t>
            </w:r>
            <w:r/>
          </w:p>
        </w:tc>
      </w:tr>
      <w:tr>
        <w:trPr>
          <w:jc w:val="center"/>
          <w:trHeight w:val="567"/>
        </w:trPr>
        <w:tc>
          <w:tcPr>
            <w:tcBorders>
              <w:top w:val="single" w:color="auto" w:sz="8" w:space="0"/>
              <w:left w:val="single" w:color="auto" w:sz="8" w:space="0"/>
              <w:bottom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备份一体机</w:t>
            </w:r>
            <w:r/>
          </w:p>
        </w:tc>
        <w:tc>
          <w:tcPr>
            <w:tcBorders>
              <w:top w:val="single" w:color="auto" w:sz="8" w:space="0"/>
              <w:left w:val="single" w:color="auto" w:sz="8"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赛门铁克</w:t>
            </w:r>
            <w:r/>
          </w:p>
        </w:tc>
        <w:tc>
          <w:tcPr>
            <w:tcBorders>
              <w:top w:val="single" w:color="auto" w:sz="8" w:space="0"/>
              <w:left w:val="single" w:color="auto" w:sz="8" w:space="0"/>
              <w:bottom w:val="single" w:color="auto" w:sz="8" w:space="0"/>
              <w:right w:val="single" w:color="auto"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NBU5220</w:t>
            </w:r>
            <w:r/>
          </w:p>
        </w:tc>
        <w:tc>
          <w:tcPr>
            <w:tcBorders>
              <w:top w:val="single" w:color="auto" w:sz="8" w:space="0"/>
              <w:left w:val="single" w:color="auto" w:sz="8" w:space="0"/>
              <w:bottom w:val="single" w:color="auto" w:sz="8" w:space="0"/>
              <w:right w:val="single" w:color="auto"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NB754TJ</w:t>
            </w:r>
            <w:r/>
          </w:p>
        </w:tc>
      </w:tr>
      <w:tr>
        <w:trPr>
          <w:jc w:val="center"/>
          <w:trHeight w:val="567"/>
        </w:trPr>
        <w:tc>
          <w:tcPr>
            <w:tcBorders>
              <w:left w:val="single" w:color="auto" w:sz="8" w:space="0"/>
              <w:right w:val="single" w:color="auto" w:sz="8" w:space="0"/>
            </w:tcBorders>
            <w:tcW w:w="1228"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服务器部分</w:t>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3850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06UOUM0</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IBM</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3850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06YERM9</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Dell</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R320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3M6Z83X</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超融合节点01</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EMC SATADOM-MV 3SE</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QCFND172870801</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超融合节点02</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EMC SATADOM-MV 3SE</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QCFND172870802</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超融合节点03</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EMC SATADOM-MV 3SE</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QCFND172870803</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超融合节点04</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EMC SATADOM-MV 3SE</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QCFND172870804</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联想</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SR550</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J302531WL</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华为</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E9000</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8刀用6刀</w:t>
            </w:r>
            <w:r/>
          </w:p>
        </w:tc>
        <w:tc>
          <w:tcPr>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HF983068</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Macro</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Union</w:t>
            </w:r>
            <w:r/>
          </w:p>
        </w:tc>
        <w:tc>
          <w:tcPr>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动环服务器</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MU11216041901</w:t>
            </w:r>
            <w:r/>
          </w:p>
        </w:tc>
      </w:tr>
      <w:tr>
        <w:trPr>
          <w:jc w:val="center"/>
          <w:trHeight w:val="567"/>
        </w:trPr>
        <w:tc>
          <w:tcPr>
            <w:tcBorders>
              <w:left w:val="single" w:color="auto" w:sz="8" w:space="0"/>
              <w:right w:val="single" w:color="auto" w:sz="8" w:space="0"/>
            </w:tcBorders>
            <w:tcW w:w="12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auto" w:sz="8" w:space="0"/>
              <w:left w:val="none" w:color="000000" w:sz="4" w:space="0"/>
              <w:bottom w:val="single" w:color="auto" w:sz="8" w:space="0"/>
              <w:right w:val="single" w:color="auto"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shd w:val="clear" w:color="auto" w:fill="auto"/>
            <w:tcBorders>
              <w:top w:val="single" w:color="auto" w:sz="8" w:space="0"/>
              <w:left w:val="none" w:color="000000" w:sz="4" w:space="0"/>
              <w:bottom w:val="single" w:color="auto" w:sz="8" w:space="0"/>
              <w:right w:val="single" w:color="000000" w:sz="8" w:space="0"/>
            </w:tcBorders>
            <w:tcW w:w="1552"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联想</w:t>
            </w:r>
            <w:r/>
          </w:p>
        </w:tc>
        <w:tc>
          <w:tcPr>
            <w:shd w:val="clear" w:color="auto" w:fill="auto"/>
            <w:tcBorders>
              <w:top w:val="single" w:color="auto" w:sz="8" w:space="0"/>
              <w:left w:val="none" w:color="000000" w:sz="4" w:space="0"/>
              <w:bottom w:val="single" w:color="auto" w:sz="8" w:space="0"/>
              <w:right w:val="single" w:color="000000" w:sz="8" w:space="0"/>
            </w:tcBorders>
            <w:tcW w:w="2615"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SR658H V2-738</w:t>
            </w:r>
            <w:r/>
          </w:p>
        </w:tc>
        <w:tc>
          <w:tcPr>
            <w:shd w:val="clear" w:color="auto" w:fill="auto"/>
            <w:tcBorders>
              <w:top w:val="single" w:color="auto" w:sz="8" w:space="0"/>
              <w:left w:val="none" w:color="000000" w:sz="4" w:space="0"/>
              <w:bottom w:val="single" w:color="auto" w:sz="8" w:space="0"/>
              <w:right w:val="single" w:color="000000" w:sz="8" w:space="0"/>
            </w:tcBorders>
            <w:tcW w:w="190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KT01B1TS</w:t>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2.软件部分清单</w:t>
      </w:r>
      <w:r/>
    </w:p>
    <w:tbl>
      <w:tblPr>
        <w:tblStyle w:val="710"/>
        <w:tblW w:w="8264" w:type="dxa"/>
        <w:jc w:val="center"/>
        <w:tblLayout w:type="fixed"/>
        <w:tblCellMar>
          <w:left w:w="108" w:type="dxa"/>
          <w:top w:w="0" w:type="dxa"/>
          <w:right w:w="108" w:type="dxa"/>
          <w:bottom w:w="0" w:type="dxa"/>
        </w:tblCellMar>
        <w:tblLook w:val="04A0" w:firstRow="1" w:lastRow="0" w:firstColumn="1" w:lastColumn="0" w:noHBand="0" w:noVBand="1"/>
      </w:tblPr>
      <w:tblGrid>
        <w:gridCol w:w="1228"/>
        <w:gridCol w:w="945"/>
        <w:gridCol w:w="2928"/>
        <w:gridCol w:w="1848"/>
        <w:gridCol w:w="1315"/>
      </w:tblGrid>
      <w:tr>
        <w:trPr>
          <w:jc w:val="center"/>
          <w:trHeight w:val="567"/>
        </w:trPr>
        <w:tc>
          <w:tcPr>
            <w:tcBorders>
              <w:top w:val="single" w:color="auto" w:sz="4" w:space="0"/>
              <w:left w:val="single" w:color="auto" w:sz="4" w:space="0"/>
              <w:bottom w:val="single" w:color="auto" w:sz="4" w:space="0"/>
              <w:right w:val="single" w:color="auto" w:sz="8" w:space="0"/>
            </w:tcBorders>
            <w:tcW w:w="122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软件类别</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8" w:space="0"/>
              <w:left w:val="single" w:color="auto"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软件名称</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版本号</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r>
      <w:tr>
        <w:trPr>
          <w:jc w:val="center"/>
          <w:trHeight w:val="567"/>
        </w:trPr>
        <w:tc>
          <w:tcPr>
            <w:tcBorders>
              <w:top w:val="single" w:color="auto" w:sz="4" w:space="0"/>
              <w:left w:val="single" w:color="auto" w:sz="8" w:space="0"/>
              <w:bottom w:val="single" w:color="000000" w:sz="8" w:space="0"/>
              <w:right w:val="single" w:color="auto" w:sz="8" w:space="0"/>
            </w:tcBorders>
            <w:tcW w:w="1228"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同城异地容灾备份</w:t>
            </w:r>
            <w:r/>
          </w:p>
        </w:tc>
        <w:tc>
          <w:tcPr>
            <w:tcBorders>
              <w:top w:val="single" w:color="auto" w:sz="4" w:space="0"/>
              <w:left w:val="none" w:color="000000" w:sz="4" w:space="0"/>
              <w:bottom w:val="single" w:color="auto" w:sz="8" w:space="0"/>
              <w:right w:val="single" w:color="000000"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8" w:space="0"/>
              <w:left w:val="none" w:color="000000"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Oracle dataguard</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11g</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567"/>
        </w:trPr>
        <w:tc>
          <w:tcPr>
            <w:tcBorders>
              <w:top w:val="none" w:color="000000" w:sz="4" w:space="0"/>
              <w:left w:val="single" w:color="auto" w:sz="8" w:space="0"/>
              <w:bottom w:val="single" w:color="000000"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000000"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8" w:space="0"/>
              <w:left w:val="none" w:color="000000"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Oracle GoldenGate</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567"/>
        </w:trPr>
        <w:tc>
          <w:tcPr>
            <w:tcBorders>
              <w:top w:val="none" w:color="000000" w:sz="4" w:space="0"/>
              <w:left w:val="single" w:color="auto" w:sz="8" w:space="0"/>
              <w:bottom w:val="single" w:color="000000"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000000"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8" w:space="0"/>
              <w:left w:val="none" w:color="000000"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SYMC NETBACKUP Opsenter</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r>
        <w:trPr>
          <w:jc w:val="center"/>
          <w:trHeight w:val="567"/>
        </w:trPr>
        <w:tc>
          <w:tcPr>
            <w:tcBorders>
              <w:top w:val="none" w:color="000000" w:sz="4" w:space="0"/>
              <w:left w:val="single" w:color="auto" w:sz="8" w:space="0"/>
              <w:right w:val="single" w:color="auto" w:sz="8" w:space="0"/>
            </w:tcBorders>
            <w:tcW w:w="1228"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数据库</w:t>
            </w:r>
            <w:r/>
          </w:p>
        </w:tc>
        <w:tc>
          <w:tcPr>
            <w:tcBorders>
              <w:top w:val="single" w:color="auto" w:sz="8" w:space="0"/>
              <w:left w:val="none" w:color="000000" w:sz="4" w:space="0"/>
              <w:bottom w:val="single" w:color="auto" w:sz="8" w:space="0"/>
              <w:right w:val="single" w:color="000000"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8" w:space="0"/>
              <w:left w:val="none" w:color="000000"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Oracle database</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10g</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000000"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8" w:space="0"/>
              <w:left w:val="none" w:color="000000"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Oracle database</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11g</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r>
      <w:tr>
        <w:trPr>
          <w:jc w:val="center"/>
          <w:trHeight w:val="567"/>
        </w:trPr>
        <w:tc>
          <w:tcPr>
            <w:tcBorders>
              <w:left w:val="single" w:color="auto"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000000"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8" w:space="0"/>
              <w:left w:val="none" w:color="000000"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Oracle database</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19c</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r>
        <w:trPr>
          <w:jc w:val="center"/>
          <w:trHeight w:val="567"/>
        </w:trPr>
        <w:tc>
          <w:tcPr>
            <w:tcBorders>
              <w:top w:val="single" w:color="auto" w:sz="4" w:space="0"/>
              <w:left w:val="single" w:color="auto" w:sz="8" w:space="0"/>
              <w:bottom w:val="single" w:color="000000" w:sz="8" w:space="0"/>
              <w:right w:val="single" w:color="auto" w:sz="8" w:space="0"/>
            </w:tcBorders>
            <w:tcW w:w="1228" w:type="dxa"/>
            <w:vAlign w:val="center"/>
            <w:vMerge w:val="restart"/>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中间件</w:t>
            </w:r>
            <w:r/>
          </w:p>
        </w:tc>
        <w:tc>
          <w:tcPr>
            <w:tcBorders>
              <w:top w:val="single" w:color="auto" w:sz="8" w:space="0"/>
              <w:left w:val="none" w:color="000000" w:sz="4" w:space="0"/>
              <w:bottom w:val="single" w:color="auto" w:sz="8" w:space="0"/>
              <w:right w:val="single" w:color="000000"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8" w:space="0"/>
              <w:left w:val="none" w:color="000000"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weblogic</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g</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r>
      <w:tr>
        <w:trPr>
          <w:jc w:val="center"/>
          <w:trHeight w:val="567"/>
        </w:trPr>
        <w:tc>
          <w:tcPr>
            <w:tcBorders>
              <w:top w:val="none" w:color="000000" w:sz="4" w:space="0"/>
              <w:left w:val="single" w:color="auto" w:sz="8" w:space="0"/>
              <w:bottom w:val="single" w:color="000000" w:sz="8" w:space="0"/>
              <w:right w:val="single" w:color="auto" w:sz="8" w:space="0"/>
            </w:tcBorders>
            <w:tcW w:w="1228" w:type="dxa"/>
            <w:vAlign w:val="center"/>
            <w:vMerge w:val="continue"/>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8" w:space="0"/>
              <w:left w:val="none" w:color="000000" w:sz="4" w:space="0"/>
              <w:bottom w:val="single" w:color="auto" w:sz="8" w:space="0"/>
              <w:right w:val="single" w:color="000000" w:sz="8" w:space="0"/>
            </w:tcBorders>
            <w:tcW w:w="94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8" w:space="0"/>
              <w:left w:val="none" w:color="000000" w:sz="4" w:space="0"/>
              <w:bottom w:val="single" w:color="auto" w:sz="8" w:space="0"/>
              <w:right w:val="single" w:color="000000" w:sz="8" w:space="0"/>
            </w:tcBorders>
            <w:tcW w:w="2928"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weblogic</w:t>
            </w:r>
            <w:r/>
          </w:p>
        </w:tc>
        <w:tc>
          <w:tcPr>
            <w:tcBorders>
              <w:top w:val="single" w:color="auto" w:sz="8" w:space="0"/>
              <w:left w:val="none" w:color="000000" w:sz="4" w:space="0"/>
              <w:bottom w:val="single" w:color="auto" w:sz="8" w:space="0"/>
              <w:right w:val="single" w:color="000000" w:sz="8" w:space="0"/>
            </w:tcBorders>
            <w:tcW w:w="1848"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10.3</w:t>
            </w:r>
            <w:r/>
          </w:p>
        </w:tc>
        <w:tc>
          <w:tcPr>
            <w:tcBorders>
              <w:top w:val="single" w:color="auto" w:sz="8" w:space="0"/>
              <w:left w:val="none" w:color="000000" w:sz="4" w:space="0"/>
              <w:bottom w:val="single" w:color="auto" w:sz="8" w:space="0"/>
              <w:right w:val="single" w:color="000000" w:sz="8" w:space="0"/>
            </w:tcBorders>
            <w:tcW w:w="1315" w:type="dxa"/>
            <w:vAlign w:val="center"/>
            <w:textDirection w:val="lrTb"/>
            <w:noWrap w:val="false"/>
          </w:tcPr>
          <w:p>
            <w:pPr>
              <w:jc w:val="cente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r>
    </w:tbl>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（二）维保服务具体要求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1.维保服务内容要求：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（1）成交后，成交供应商提供技术支持和服务、定期巡检、紧急故障响应和排除、故障部件免费更换、系统升级和性能优化、漏洞检测和补丁服务、数据备份及灾难恢复、服务报告和建议、保密及质量承诺等。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因其它设备更换、维修而需要对本维护服务项目所涉及的软硬件进行配置调整时，成交供应商应免费提供对维护服务项目中所涉及的软硬件进行相应的软件安装、数据迁移等技术服务。若未按期提供维护或到达现场，用户可以拒付或降低支付服务费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成交供应商应在维保服务前对本项目所有硬件部分及软件部分进行检查，发现问题进行免费更换部件、排除故障；在维护期限内，免费更换硬件部分中的故障硬件。更换的部件必须使用原厂部件，不再另行收取备件、维护等任何费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（4）成交供应商在维保期限内应根据采购人需要，对操作系统、数据库系统等软件部分中的软件进行免费的升级、修补、调优，确保上述系统的稳定高效安全运行。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数据库</w:t>
      </w:r>
      <w:r>
        <w:rPr>
          <w:rFonts w:hint="eastAsia" w:ascii="宋体" w:hAnsi="宋体" w:eastAsia="宋体" w:cs="宋体"/>
          <w:color w:val="000000" w:themeColor="text1"/>
          <w:sz w:val="24"/>
          <w:szCs w:val="24"/>
          <w:highlight w:val="none"/>
          <w14:textFill>
            <w14:solidFill>
              <w14:schemeClr w14:val="tx1"/>
            </w14:solidFill>
          </w14:textFill>
        </w:rPr>
        <w:t xml:space="preserve">软件维护，安装、优化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oracle</w:t>
      </w:r>
      <w:r>
        <w:rPr>
          <w:rFonts w:hint="eastAsia" w:ascii="宋体" w:hAnsi="宋体" w:eastAsia="宋体" w:cs="宋体"/>
          <w:color w:val="000000" w:themeColor="text1"/>
          <w:sz w:val="24"/>
          <w:szCs w:val="24"/>
          <w:highlight w:val="none"/>
          <w14:textFill>
            <w14:solidFill>
              <w14:schemeClr w14:val="tx1"/>
            </w14:solidFill>
          </w14:textFill>
        </w:rPr>
        <w:t xml:space="preserve">设置，配合软件厂商完成业务软件的安装，定期进行相关系统的优化配置。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（5）定期检测备份的有效性，发现问题及时进行恢复。能够根据采购人的要求进行日常备份及调整备份策略。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每年</w:t>
      </w:r>
      <w:r>
        <w:rPr>
          <w:rFonts w:hint="eastAsia" w:ascii="宋体" w:hAnsi="宋体" w:eastAsia="宋体" w:cs="宋体"/>
          <w:color w:val="000000" w:themeColor="text1"/>
          <w:sz w:val="24"/>
          <w:szCs w:val="24"/>
          <w:highlight w:val="none"/>
          <w14:textFill>
            <w14:solidFill>
              <w14:schemeClr w14:val="tx1"/>
            </w14:solidFill>
          </w14:textFill>
        </w:rPr>
        <w:t xml:space="preserve">不少于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次指导各备份节点进行灾难备份及恢复演习。如由于成交供应商技术原因造成的数据损坏或丢失，应赔偿因此给采购人造成的所有损失。</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）保证维护期限内所使用的故障诊断软件、管理软件等相关系统是通过合法途径取得，成交供应商承担使用这些软件所带来的版权、许可证等所有法律责任，一旦与第三方发生法律纠纷均与采购人无关。</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网络（安全）维护要求：在现有设备范围内，成交供应商应对网络进行定期的维护管理和配置优化，确保整个网络运转的高效、稳定和安全，减少和避免网络瓶颈，杜绝网络安全事故，并且能根据需要，及时调整网络分支拓扑结构和内网地址、VLAN等，提供网络运转的合理化建议和方案；帮助调整网络配置，将防火墙等安全设备按照新的部署重新配置，提供网络安全，保证信息安全体保体系的开展和建设。</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）当系统出现故障，维保人员应及时解决，待</w:t>
      </w:r>
      <w:r>
        <w:rPr>
          <w:rFonts w:hint="eastAsia" w:ascii="宋体" w:hAnsi="宋体" w:eastAsia="宋体" w:cs="宋体"/>
          <w:color w:val="000000" w:themeColor="text1"/>
          <w:sz w:val="24"/>
          <w:szCs w:val="24"/>
          <w:highlight w:val="none"/>
          <w14:textFill>
            <w14:solidFill>
              <w14:schemeClr w14:val="tx1"/>
            </w14:solidFill>
          </w14:textFill>
        </w:rPr>
        <w:t xml:space="preserve">系统恢复正常后，维保人员将对系统进行持续跟踪并提供故障分析报告，详细说明故障原因、处理过程、解决办法、预防措施等关键内容，由双方备案。一般故障说明在一个工作日内提供，重大故障说明在三个工作日内提供。</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维保服务商应定期根据IBM AIX操作系统的运行情况，及时免费进行设备控件升级，调整优化操作系统参数，定期清理各文件系统，确保操作系统平台运行稳定高效，根据用户和系统运转的需要，免费升级到操作系统的更新版本。</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）服务承诺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投标人须在响应文件中提交《数据保密承诺和服务质量承诺书》，具体格式内容见采购文件《合同草案条款》合同附件4。</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核心数据</w:t>
      </w:r>
      <w:r>
        <w:rPr>
          <w:rFonts w:hint="eastAsia" w:ascii="宋体" w:hAnsi="宋体" w:eastAsia="宋体" w:cs="宋体"/>
          <w:color w:val="000000" w:themeColor="text1"/>
          <w:sz w:val="24"/>
          <w:szCs w:val="24"/>
          <w:highlight w:val="none"/>
          <w14:textFill>
            <w14:solidFill>
              <w14:schemeClr w14:val="tx1"/>
            </w14:solidFill>
          </w14:textFill>
        </w:rPr>
        <w:t xml:space="preserve">服务要求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2.1、Oracle数据库系统维保服务及定期巡检服务。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（1）按照Oracle数据库管理维护标准做好采购方Oracle数据库的安装、配置、性能优化、备份、恢复、数据迁移等工作，并按照Oracle公司规范要求出具相关文档提交采购方。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因意外因素致使Oracle数据库无法正常工作，由投标方工程师及时检查并提出最优解决方案，以最小代价进行数据库恢复，最大限度降低故障对采购方带来的负面影响，记录故障恢复过程。故障排除后需派专人跟踪数据库运行情况，确保无误。</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（3）建立数据库故障应急响应机制。充分了解数据库应用结构基础，建立数据库突发事件应急机制，以尽可能短的时间和代价保证应用的连续性。</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（4）当问题完全解决后，提交完整的问题解决文档，形成今后数据库系统维护参考。</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（5）根据采购方要求，配合主机系统供应维护商，存储系统供应维护商和应用系统设计开发维护商，网络设备供应维护商等系统协建单位做好信息系统的运行、维护工作。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（6）根据采购方要求，做好数据库运行、维护、管理范围内的其它工作。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与应用系统开发商等采购方指定单位积极配合，及时响应，并配合进行数据库系统调整（包括数据表空间的监控和调整），承担及时的维护与优化服务工作（包括为应用系统优化提供参考意见），根据采购方要求定期刷新应用系统测试数据库。</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（8）负责采购方容灾系统数据库的运行与维护，并参照生产系统数据库提供相应的服务支持，根据采购方要求配合其他协建单位定期参加信息系统容灾演练。</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（9）负责备份系统数据库的建设、运维工作，提供数据库恢复测试方案，并按照采购方要求进行数据库恢复测试。</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（10）服务期内每月为采购方进行一次全面巡检并提交巡检报告。</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2.2、Oracle Goldengate 容灾系统软件维保服务及定期巡检服务。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（1）容灾数据库系统紧急故障处理服务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当发生容灾数据库突发性故障时，如数据库宕机、数据坏块、备份恢复、数据库 </w:t>
      </w:r>
      <w:r>
        <w:rPr>
          <w:rFonts w:hint="eastAsia" w:ascii="宋体" w:hAnsi="宋体" w:eastAsia="宋体" w:cs="宋体"/>
          <w:color w:val="000000" w:themeColor="text1"/>
          <w:sz w:val="24"/>
          <w:szCs w:val="24"/>
          <w:highlight w:val="none"/>
          <w14:textFill>
            <w14:solidFill>
              <w14:schemeClr w14:val="tx1"/>
            </w14:solidFill>
          </w14:textFill>
        </w:rPr>
        <w:t xml:space="preserve">BUG 等严重影响正常生产运行的数据库故障，可以首先采用电话、财政专网等方式远程登录提供服务支持，当电话或远程登录服务不能在半小时内解决问题时，投标方必须派出工程师并在4个小时内到达采购方现场。要求现场或远程服务人员对AIX， Linux等相关操作系统和DB的使用操作命令熟练掌握；要求从响应（接到电话）开始（如是硬件故障则从硬件恢复时间开始算起）在数据库恢复后将向招标方提供故障分析报告，对招标方相关人员进行恢复培训。要求投标方服务人员对主机，存储，网络等硬件要熟悉了解，在发生故障时能及时准确的定位问题所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（2）容灾系统定期例行巡检服务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针对Oracle Goldengate容灾系统的稳定运行及高可用性，检查并提供分析与建议。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提供OGG容灾的维护工作，必须保证容灾的正常同步，保证数据库的一致性。保证数据同步链路不发生中断，数据同步链路发生中断后要在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小时之内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开始，24小内</w:t>
      </w:r>
      <w:r>
        <w:rPr>
          <w:rFonts w:hint="eastAsia" w:ascii="宋体" w:hAnsi="宋体" w:eastAsia="宋体" w:cs="宋体"/>
          <w:color w:val="000000" w:themeColor="text1"/>
          <w:sz w:val="24"/>
          <w:szCs w:val="24"/>
          <w:highlight w:val="none"/>
          <w14:textFill>
            <w14:solidFill>
              <w14:schemeClr w14:val="tx1"/>
            </w14:solidFill>
          </w14:textFill>
        </w:rPr>
        <w:t xml:space="preserve">恢复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完成</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容灾Oracle在相关硬件及软件环境中的配置提出建议，提供性能及配置检查报告。应包含但不仅限于以下内容：数据库安装、数据库同步软件的安装、排错，检查容灾系统和生产数据库判断是否需要应用最新的补丁集，检查数据库备份的完整性，灾容数据库补丁的安装、升级服务与实施。</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定期进行现场巡检服务要求至少每1月提供一次(12次/年)。工程师到现场后要生成巡检报告，在巡检过程中发现问题或者隐患，要能够分析问题原因并提出书面整改意见。特殊情况随时响应。</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服务期内投标方须制定出现重大故障时的应急备份切换方案及措施，确保用户方的关键业务系统在最短时间内恢复。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2.3、数据库性能监测及优化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每月对生产数据库进行现场采集，由投标方专业数据库分析人员对数据进行分析，提供相关的数据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w:t>
      </w:r>
      <w:r>
        <w:rPr>
          <w:rFonts w:hint="eastAsia" w:ascii="宋体" w:hAnsi="宋体" w:eastAsia="宋体" w:cs="宋体"/>
          <w:color w:val="000000" w:themeColor="text1"/>
          <w:sz w:val="24"/>
          <w:szCs w:val="24"/>
          <w:highlight w:val="none"/>
          <w14:textFill>
            <w14:solidFill>
              <w14:schemeClr w14:val="tx1"/>
            </w14:solidFill>
          </w14:textFill>
        </w:rPr>
        <w:t xml:space="preserve">报告，然后根据具体的报告数据进行数据库性能分析、优化、调整，应用程序优 化调整及操作系统性能优化调整。</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2.4、Symantec NBU备份软件本地服务系统故障处理及巡检服务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针对徐州市财政局一体备份系统要求，当备份系统发现故障时，如数据库无法备份，备份服务器无法启动、使用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当电话或远程登录服务不能在半小时内解决问题时，维保服务商必须派出工程师并在4个小时内到达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方现场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以最小的代价进行恢复，以最大限度降低故障对采购方的业务环境带来的负面影响， 同时记录故障的恢复过程。要求现场或远程服务人员对AIX、Linux、Windows等操作系统和Oracle的使用操作命令熟练掌握；并对集中式数据备份架构有很深入的了解。</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2.5、Symantec NBU备份软件恢复演练</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针对徐州市财政局备份的各业务数据，分别定期进行异机环境的恢复演练，确保数据备份和恢复的有效性和可恢复性。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维保期内至少</w:t>
      </w:r>
      <w:r>
        <w:rPr>
          <w:rFonts w:hint="eastAsia" w:ascii="宋体" w:hAnsi="宋体" w:eastAsia="宋体" w:cs="宋体"/>
          <w:color w:val="000000" w:themeColor="text1"/>
          <w:sz w:val="24"/>
          <w:szCs w:val="24"/>
          <w:highlight w:val="none"/>
          <w14:textFill>
            <w14:solidFill>
              <w14:schemeClr w14:val="tx1"/>
            </w14:solidFill>
          </w14:textFill>
        </w:rPr>
        <w:t xml:space="preserve">为采购方进行一次现场备份恢复演练。要求现场或远程服务人员对AIX、Linux，windows等操作系统和Oracle的使用操作命令熟练掌握，能够独立搭建在各个操作系统平台的恢复演练环境。</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vplex存储双活灾备维保服务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针对徐州市财政局的vplex双活业务，确保</w:t>
      </w:r>
      <w:r>
        <w:rPr>
          <w:rFonts w:hint="eastAsia" w:ascii="宋体" w:hAnsi="宋体" w:eastAsia="宋体" w:cs="宋体"/>
          <w:color w:val="000000" w:themeColor="text1"/>
          <w:sz w:val="24"/>
          <w:szCs w:val="24"/>
          <w:highlight w:val="none"/>
          <w14:textFill>
            <w14:solidFill>
              <w14:schemeClr w14:val="tx1"/>
            </w14:solidFill>
          </w14:textFill>
        </w:rPr>
        <w:t xml:space="preserve"> VPLEX 存储双活链路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正常</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在同步情况</w:t>
      </w:r>
      <w:r>
        <w:rPr>
          <w:rFonts w:hint="eastAsia" w:ascii="宋体" w:hAnsi="宋体" w:eastAsia="宋体" w:cs="宋体"/>
          <w:color w:val="000000" w:themeColor="text1"/>
          <w:sz w:val="24"/>
          <w:szCs w:val="24"/>
          <w:highlight w:val="none"/>
          <w14:textFill>
            <w14:solidFill>
              <w14:schemeClr w14:val="tx1"/>
            </w14:solidFill>
          </w14:textFill>
        </w:rPr>
        <w:t xml:space="preserve">下存储高可用与数据一致性，分布式卷同步状态无延迟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szCs w:val="24"/>
          <w:highlight w:val="none"/>
          <w14:textFill>
            <w14:solidFill>
              <w14:schemeClr w14:val="tx1"/>
            </w14:solidFill>
          </w14:textFill>
        </w:rPr>
        <w:t xml:space="preserve">断连、心跳链路连通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性的监控。</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对vplex</w:t>
      </w:r>
      <w:r>
        <w:rPr>
          <w:rFonts w:hint="eastAsia" w:ascii="宋体" w:hAnsi="宋体" w:eastAsia="宋体" w:cs="宋体"/>
          <w:color w:val="000000" w:themeColor="text1"/>
          <w:sz w:val="24"/>
          <w:szCs w:val="24"/>
          <w:highlight w:val="none"/>
          <w14:textFill>
            <w14:solidFill>
              <w14:schemeClr w14:val="tx1"/>
            </w14:solidFill>
          </w14:textFill>
        </w:rPr>
        <w:t xml:space="preserve">软件版本日志、存储卷容量使用率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，配置变更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实时记录，包括卷扩容、一致性组调整、链路参数修改等，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每年在数据库恢复演练时也同时要进行一次vplex双活模拟链路断开演练，确保双活的稳定运行和数据同步。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.维保服务备品备件要求：</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（1）投标人须在江苏设有符合采购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设备维保的备品备件库（提供相关证明材料），并书面承诺（加盖公章）。备品备件库应包含小型机，服务器，存储，网络等主要设备的CPU、内存、硬盘、电源、光纤卡等易损部件。</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后，采购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将随时进行走访查验，若发现</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不能达到该要求，采购</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有权申请取消</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成交供应商成交</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资格。</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（2）为了保证核心业务的运行，成交供应商须无条件响应采购人在现场放置小型机整机备机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的要求，以满足定期数据库异机还原和灾备的要求，必要情况下还要提供</w:t>
      </w:r>
      <w:r>
        <w:rPr>
          <w:rFonts w:hint="eastAsia" w:ascii="宋体" w:hAnsi="宋体" w:eastAsia="宋体" w:cs="宋体"/>
          <w:color w:val="000000" w:themeColor="text1"/>
          <w:sz w:val="24"/>
          <w:szCs w:val="24"/>
          <w:highlight w:val="none"/>
          <w14:textFill>
            <w14:solidFill>
              <w14:schemeClr w14:val="tx1"/>
            </w14:solidFill>
          </w14:textFill>
        </w:rPr>
        <w:t xml:space="preserve">服务器、存储、容灾备份及核心网络设备。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（3）本项目所有维护设备必须使用原厂备品备件。</w:t>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说明：本</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）”要求为</w:t>
      </w:r>
      <w:r>
        <w:rPr>
          <w:rFonts w:hint="eastAsia" w:ascii="宋体" w:hAnsi="宋体" w:eastAsia="宋体" w:cs="宋体"/>
          <w:b/>
          <w:color w:val="000000" w:themeColor="text1"/>
          <w:sz w:val="24"/>
          <w:szCs w:val="24"/>
          <w:highlight w:val="none"/>
          <w14:textFill>
            <w14:solidFill>
              <w14:schemeClr w14:val="tx1"/>
            </w14:solidFill>
          </w14:textFill>
        </w:rPr>
        <w:t xml:space="preserve">实质性要求，如不提供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小型机备机</w:t>
      </w:r>
      <w:r>
        <w:rPr>
          <w:rFonts w:hint="eastAsia" w:ascii="宋体" w:hAnsi="宋体" w:eastAsia="宋体" w:cs="宋体"/>
          <w:b/>
          <w:color w:val="000000" w:themeColor="text1"/>
          <w:sz w:val="24"/>
          <w:szCs w:val="24"/>
          <w:highlight w:val="none"/>
          <w14:textFill>
            <w14:solidFill>
              <w14:schemeClr w14:val="tx1"/>
            </w14:solidFill>
          </w14:textFill>
        </w:rPr>
        <w:t xml:space="preserve">，在符合性审查时按照投标无效处理。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.维保服务巡检和预防性维护要求：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必须提供不少于每月1次的上门系统巡检和预防性维护（包括设备的全面检查、故障部件的免费更换、现场故障排除、建立设备档案、提供巡检报告等），及时发现设备系统隐患，做到防患于未然。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.维保服务响应时间要求：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提供7×24小时维护服务，包括电话支持、远程支持、现场支持等技术支持和服务。对于采购人故障申告的服务电话在10分钟内响应；需要技术工程师到达现场的，不超过2小时，并且在到达现场后的12小时内予以解决技术问题和更新故障软硬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当发生紧急故障、系统调整、软件上线或者升级等需要技术配合的情况时，能够根据采购人规定的时间和技术要求提供现场服务。并提供应对采购人各种故障的应急预案，如不能在承诺时间内解决技术问题和更新故障软硬件的，应提供备机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（3）如未能在承诺时间内解决故障、恢复系统运行或者未按要求提供原厂配件的，采购人有权请第三方进行处理，发生的所有费用由</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（4）因成交供应商自身原因造成采购人软硬件损坏、故障未能按期排除或未能完全排除的，成交供应商应赔偿采购人的全部损失及因此给造成的其他损失。</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现场勘查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投标人需在对现有环境进行勘查，根据现场勘查情况制定符合上述要求的实施方案，投标人需在投标文件中提供经用户现场确认的“现场勘查回执”，否则视为无效投标。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现场勘查回执</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兹证明 （投标单位）已派_________（电话：______________ ）到现场踏勘。投标单位已了解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财政机房核心软硬件系统维保</w:t>
      </w:r>
      <w:r>
        <w:rPr>
          <w:rFonts w:hint="eastAsia" w:ascii="宋体" w:hAnsi="宋体" w:eastAsia="宋体" w:cs="宋体"/>
          <w:color w:val="000000" w:themeColor="text1"/>
          <w:sz w:val="24"/>
          <w:szCs w:val="24"/>
          <w:highlight w:val="none"/>
          <w14:textFill>
            <w14:solidFill>
              <w14:schemeClr w14:val="tx1"/>
            </w14:solidFill>
          </w14:textFill>
        </w:rPr>
        <w:t xml:space="preserve">项目现场情况，主要内容包括但不限于：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网络拓扑结构；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小型机</w:t>
      </w:r>
      <w:r>
        <w:rPr>
          <w:rFonts w:hint="eastAsia" w:ascii="宋体" w:hAnsi="宋体" w:eastAsia="宋体" w:cs="宋体"/>
          <w:color w:val="000000" w:themeColor="text1"/>
          <w:sz w:val="24"/>
          <w:szCs w:val="24"/>
          <w:highlight w:val="none"/>
          <w14:textFill>
            <w14:solidFill>
              <w14:schemeClr w14:val="tx1"/>
            </w14:solidFill>
          </w14:textFill>
        </w:rPr>
        <w:t xml:space="preserve">服务器及存储连接配置情况；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库和</w:t>
      </w:r>
      <w:r>
        <w:rPr>
          <w:rFonts w:hint="eastAsia" w:ascii="宋体" w:hAnsi="宋体" w:eastAsia="宋体" w:cs="宋体"/>
          <w:color w:val="000000" w:themeColor="text1"/>
          <w:sz w:val="24"/>
          <w:szCs w:val="24"/>
          <w:highlight w:val="none"/>
          <w14:textFill>
            <w14:solidFill>
              <w14:schemeClr w14:val="tx1"/>
            </w14:solidFill>
          </w14:textFill>
        </w:rPr>
        <w:t xml:space="preserve">备份情况；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系统应用情况；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机房环境。</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徐州市财政效能中心              投标</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                                勘查人：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服务如不达标，按以下规定进行违约处罚：</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维保设备承载的核心系统因维保不到位发生第1次严重故障，扣除年度服务金额的5%，出现第2次严重故障扣除年度服务金额的10%，出现第3次严重故障，有权中止合同执行，并由中标人承担相应的经济及法律责任。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成交供应商必须将对上述条款的承诺应答及相关技术方案、证明材料、资格证书等作为标书应答的一部分。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（三）投标文件要求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1.响应文件中提供《维保服务方案》文件。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2.按照以上“（二）维保服务具体要求”，《维保服务方案》包括：</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（1）维保服务具体方案；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（2）维保服务备品备件方案；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（3）维保服务巡检和预防性维护方案；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（4）维保服务响应时间方案。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四、维保服务人员要求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（一）人员配备要求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1.本地服务人员要求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成交供应商须在采购人本地安排至少1名技术人员协助采购人进行日常设备检测、维护管理、故障处置等。采购人认为成交供应商提供的技术人员不能满足工作需要的，有权要求成交供应商无条件更换。</w:t>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w:t>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本“1.本地服务人员要求”要求为</w:t>
      </w:r>
      <w:r>
        <w:rPr>
          <w:rFonts w:hint="eastAsia" w:ascii="宋体" w:hAnsi="宋体" w:eastAsia="宋体" w:cs="宋体"/>
          <w:b/>
          <w:color w:val="000000" w:themeColor="text1"/>
          <w:sz w:val="24"/>
          <w:szCs w:val="24"/>
          <w:highlight w:val="none"/>
          <w14:textFill>
            <w14:solidFill>
              <w14:schemeClr w14:val="tx1"/>
            </w14:solidFill>
          </w14:textFill>
        </w:rPr>
        <w:t xml:space="preserve">实质性要求，如不提供，在符合性审查时按照投标无效处理。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2.其他维保人员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至少具备</w:t>
      </w:r>
      <w:r>
        <w:rPr>
          <w:rFonts w:hint="eastAsia" w:ascii="宋体" w:hAnsi="宋体" w:eastAsia="宋体" w:cs="宋体"/>
          <w:color w:val="000000" w:themeColor="text1"/>
          <w:sz w:val="24"/>
          <w:szCs w:val="24"/>
          <w:highlight w:val="none"/>
          <w14:textFill>
            <w14:solidFill>
              <w14:schemeClr w14:val="tx1"/>
            </w14:solidFill>
          </w14:textFill>
        </w:rPr>
        <w:t xml:space="preserve">IBM CATE认证工程师、</w:t>
      </w:r>
      <w:r>
        <w:rPr>
          <w:rFonts w:hint="eastAsia" w:ascii="宋体" w:hAnsi="宋体" w:eastAsia="宋体" w:cs="宋体"/>
          <w:color w:val="000000" w:themeColor="text1"/>
          <w:sz w:val="24"/>
          <w:szCs w:val="24"/>
          <w:highlight w:val="none"/>
          <w14:textFill>
            <w14:solidFill>
              <w14:schemeClr w14:val="tx1"/>
            </w14:solidFill>
          </w14:textFill>
        </w:rPr>
        <w:t xml:space="preserve">VCP</w:t>
      </w:r>
      <w:r>
        <w:rPr>
          <w:rFonts w:hint="eastAsia" w:ascii="宋体" w:hAnsi="宋体" w:eastAsia="宋体" w:cs="宋体"/>
          <w:color w:val="000000" w:themeColor="text1"/>
          <w:sz w:val="24"/>
          <w:szCs w:val="24"/>
          <w:highlight w:val="none"/>
          <w14:textFill>
            <w14:solidFill>
              <w14:schemeClr w14:val="tx1"/>
            </w14:solidFill>
          </w14:textFill>
        </w:rPr>
        <w:t xml:space="preserve">认证工程师、OCM认证工程师、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HCIP或HCIE</w:t>
      </w:r>
      <w:r>
        <w:rPr>
          <w:rFonts w:hint="eastAsia" w:ascii="宋体" w:hAnsi="宋体" w:eastAsia="宋体" w:cs="宋体"/>
          <w:color w:val="000000" w:themeColor="text1"/>
          <w:sz w:val="24"/>
          <w:szCs w:val="24"/>
          <w:highlight w:val="none"/>
          <w14:textFill>
            <w14:solidFill>
              <w14:schemeClr w14:val="tx1"/>
            </w14:solidFill>
          </w14:textFill>
        </w:rPr>
        <w:t xml:space="preserve">认证工程师、</w:t>
      </w:r>
      <w:r>
        <w:rPr>
          <w:rFonts w:hint="eastAsia" w:ascii="宋体" w:hAnsi="宋体" w:eastAsia="宋体" w:cs="宋体"/>
          <w:color w:val="000000" w:themeColor="text1"/>
          <w:sz w:val="24"/>
          <w:szCs w:val="24"/>
          <w:highlight w:val="none"/>
          <w14:textFill>
            <w14:solidFill>
              <w14:schemeClr w14:val="tx1"/>
            </w14:solidFill>
          </w14:textFill>
        </w:rPr>
        <w:t xml:space="preserve">Veritas</w:t>
      </w:r>
      <w:r>
        <w:rPr>
          <w:rFonts w:hint="eastAsia" w:ascii="宋体" w:hAnsi="宋体" w:eastAsia="宋体" w:cs="宋体"/>
          <w:color w:val="000000" w:themeColor="text1"/>
          <w:sz w:val="24"/>
          <w:szCs w:val="24"/>
          <w:highlight w:val="none"/>
          <w14:textFill>
            <w14:solidFill>
              <w14:schemeClr w14:val="tx1"/>
            </w14:solidFill>
          </w14:textFill>
        </w:rPr>
        <w:t xml:space="preserve">认证工程师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数据库OCP工程师</w:t>
      </w:r>
      <w:r>
        <w:rPr>
          <w:rFonts w:hint="eastAsia" w:ascii="宋体" w:hAnsi="宋体" w:eastAsia="宋体" w:cs="宋体"/>
          <w:color w:val="000000" w:themeColor="text1"/>
          <w:sz w:val="24"/>
          <w:szCs w:val="24"/>
          <w:highlight w:val="none"/>
          <w14:textFill>
            <w14:solidFill>
              <w14:schemeClr w14:val="tx1"/>
            </w14:solidFill>
          </w14:textFill>
        </w:rPr>
        <w:t xml:space="preserve">各1名，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文件中提供证书原件的扫描件及投标人为该人员缴纳的本项目开标前连续</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个月的社会保障资金的相关材料原件的扫描件。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（二）响应文件要求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1.响应文件中提供《维保服务人员方案》文件。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2.按照以上“（一）人员配备要求”，《维保服务方案》包括：</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（1）本地服务人员方案；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（2）其他维保人员方案。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五、维保服务技术培训要求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（一）维保服务技术培训具体要求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1.成交供应商的所有培训均为免费提供，采购人不再支付任何费用。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维护期限内提供现场的技术培训，包括小型机、服务器、存储、网络、Oracle数据库、容灾备份的日常操作、简单的维护和错误处理等。在中标人提供的现场服务中，就服务过程中的问题，要与采购人进行沟通，在解决问题的同时，提高采购人技术人员的技术能力。</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3.成交供应商须邀请具有相当资质和实际工作经验的教师进行培训，并提出相关培训计划及承诺（包括培训名额、培训课程内容、培训时间安排、地点等）。</w:t>
      </w:r>
      <w:r/>
    </w:p>
    <w:p>
      <w:pPr>
        <w:ind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4.投标人须在投标文件中提交《培训服务承诺函》，具体格式内容见采购文件《合同草案条款》合同附件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本要求为</w:t>
      </w:r>
      <w:r>
        <w:rPr>
          <w:rFonts w:hint="eastAsia" w:ascii="宋体" w:hAnsi="宋体" w:eastAsia="宋体" w:cs="宋体"/>
          <w:b/>
          <w:color w:val="000000" w:themeColor="text1"/>
          <w:sz w:val="24"/>
          <w:szCs w:val="24"/>
          <w:highlight w:val="none"/>
          <w14:textFill>
            <w14:solidFill>
              <w14:schemeClr w14:val="tx1"/>
            </w14:solidFill>
          </w14:textFill>
        </w:rPr>
        <w:t xml:space="preserve">实质性要求，如不提供，在符合性审查时按照投标无效处理。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1.响应文件中提供《维保服务技术培训方案》文件。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2.《维保服务技术培训方案》对照以上“（一）维保服务技术培训具体要求”编制。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六、验收标准（验收要求、验收标准和程序）要求</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合同期满后采购人组织专家进行验收，</w:t>
      </w:r>
      <w:r>
        <w:rPr>
          <w:rFonts w:hint="eastAsia" w:ascii="宋体" w:hAnsi="宋体" w:eastAsia="宋体" w:cs="宋体"/>
          <w:color w:val="000000" w:themeColor="text1"/>
          <w:sz w:val="24"/>
          <w:szCs w:val="24"/>
          <w:highlight w:val="none"/>
          <w14:textFill>
            <w14:solidFill>
              <w14:schemeClr w14:val="tx1"/>
            </w14:solidFill>
          </w14:textFill>
        </w:rPr>
        <w:t xml:space="preserve">以合同乙方的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文件和供应商的澄清、说明或者更正为验收标准；合同乙方的响应文件和供应商的澄清、说明或者更正不明确的，以《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文件》相关要求为验收标准；供应商的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文件和供应商的澄清、说明或者更正和《采购文件》相关要求都不明确的，按国家相关标准；以上都不明确的，以通常标准为准。</w:t>
      </w:r>
      <w:r/>
    </w:p>
    <w:p>
      <w:pPr>
        <w:pStyle w:val="718"/>
        <w:ind w:left="0" w:firstLine="42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七、采</w:t>
      </w:r>
      <w:r>
        <w:rPr>
          <w:rFonts w:hint="eastAsia" w:ascii="宋体" w:hAnsi="宋体" w:eastAsia="宋体" w:cs="宋体"/>
          <w:b/>
          <w:color w:val="000000" w:themeColor="text1"/>
          <w:szCs w:val="24"/>
          <w:highlight w:val="none"/>
          <w14:textFill>
            <w14:solidFill>
              <w14:schemeClr w14:val="tx1"/>
            </w14:solidFill>
          </w14:textFill>
        </w:rPr>
        <w:t xml:space="preserve">购文件中《合同草案条款》中“支付”为不允许偏离的实质性要求和条件，如有偏离，在符合性审查时按照投标无效处理。</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其他要求：见招标文件第五章《拟签订的合同文本》。</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0"/>
        <w:jc w:val="both"/>
        <w:keepLines w:val="0"/>
        <w:keepNext w:val="0"/>
        <w:pageBreakBefore w:val="0"/>
        <w:spacing w:line="312"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12"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采购包3：徐州市非税系统运维服务</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一、项目概况</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运维项目旨在对正在使用的徐州市非税系统进行运行监控和日常维护，及时解决系统用户日常使用中遇到的问题，及时排除系统故障，更好地服务于徐州市财政局及市本级各执收单位和各缴费人，确保相关业务正常开展，保证系统运行稳定、数据准确、安全。</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38.95</w:t>
      </w:r>
      <w:r>
        <w:rPr>
          <w:rFonts w:hint="eastAsia" w:ascii="宋体" w:hAnsi="宋体" w:eastAsia="宋体" w:cs="宋体"/>
          <w:color w:val="000000" w:themeColor="text1"/>
          <w:sz w:val="24"/>
          <w:szCs w:val="24"/>
          <w:highlight w:val="none"/>
          <w14:textFill>
            <w14:solidFill>
              <w14:schemeClr w14:val="tx1"/>
            </w14:solidFill>
          </w14:textFill>
        </w:rPr>
        <w:t xml:space="preserve">万元的报价。</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二、服务需求</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1.运维的主要内容</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运维服务项目范围服务内容主要包括软件的调试、系统日常维护服务、技术培训服务务、系统功能优化服务、咨询服务等。提供高质量推广实施服务和运维保障服务，保障徐州市非税系统正常运行。</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2.信息系统运维内容</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支撑团队通过现场服务的方式为采购人提供技术保障支撑，要求具有从事同类业务系统开发建设或运行维护经验，熟悉同类业务系统开发建设或运行维护升级、配置、性能、流程，并能及时对所有系统故障进行判断和排除；通过电话、上门服务等多种支持方式，提供技术支撑，服务时间：7*24 小时。</w:t>
      </w:r>
      <w:r/>
    </w:p>
    <w:p>
      <w:pPr>
        <w:ind w:firstLine="482"/>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说明：本项“2.信息系统运维内容”中的“服务时间：7*24 小时”为实质性要求，需供应商提供服务时间承诺函并加盖公章。如不提供，在符合性审查时按照投标无效处理。</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要求：服务时间内须确保电话等各类通讯方式畅通，并具备通话记录查询功能；对于业务咨询和数据查询类客户服务，应在2小时内完成处理、反馈和记录工作；对于需财政工作人员处理的问题，应及时记录、汇报并做好反馈；运维服务须做到耐心、热情、细致，并按日提供工作日志；具体运维内容如下：</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日常技术支持。主要包含接听财政和使用单位及缴费人的电话，解答关于系统操作、缴费流程和票据开具的具体问题；跟踪系统运行，现场故障处理，问题定期反馈。发现系统漏洞进行冻结，防止错误积累和蔓延，排除应用故障，增强系统的安全稳定性。</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（2）问题处理。故障排除及故障处理，负责对系统各模块及接口问题进行收集整理、跟踪、排查、诊断和处理等。</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日常巡检。定期进行日常巡检工作。检查系统的内存使用情况、队列是否有排队情况、数据库是否有长时间锁表的情况、连接池是否有泄漏情况、应用部署是否有异常情况，以及系统的宕机等，保证系统的正常运行。</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系统检修与优化。要求每个季度必须进行一次，内容包括：业务系统基础数据变动更新；系统数据库优化；定期进行系统巡检，检查系统的内存使用情况、队列是否有排队情况、数据库是否有长时间锁表的情况、应用部署是否有异常情况等，保证系统的正常运行。</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报表服务。新增报表：在现有报表功能不能满足用户需求的情况下，按照采购人所提的新需求，配置新的报表供用户查询；报表样式调整：根据采购人需求对现有的报表进行调整；报表数据核对：针对每一张报表确保数据无误。</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（6）系统年度切换以及跨年度衔接工作。做好非税管理系统新老年度切换，以及系统运行保障工作。</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（7）培训服务。对非税系统的所有相关操作人员提供全面的系统培训，包括系统业务操作培训、系统管理培训等。</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3.服务评价要求</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快速响应与问题解决</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现场技术支持：根据工作需要确保至少1名长期驻场人员，提供即时的技术支持，运维人员直接在现场诊断和解决技术问题，减少故障恢复时间。及时解决非税收入执收单位及缴费人有关非税收入收缴和票据管理的相关问题，提升相关用户满意度。</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开展紧急情况处理：在突发事件中，运维人员能够迅速介入，确保系统正常运行。尤其要迅速响应窗口类业务或关键时间节点对办理时限的要求，在系统升级更新前后确保业务不中断等。</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业务连续性和稳定性</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开展预防性维护：定期进行应用服务、服务器资源检查维护，预防潜在故障，保障业务的连续性运行。</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进行系统监控：现场监控系统状态，及时发现并解决问题，防止业务堆积。如确保每月银行对账数据准确、不同系统间数据推送及时、与省公共支付平台保持数据对接顺畅，确保业务流、信息流、资金流及时匹配。</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专业知识指导</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提供技术指导：根据业务发展需要，配合财政部门对执收单位开展系统操作培训并提供全面的技术指导。</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数据安全</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确保数据安全：可直接接入财政内网，确保财政非税收入数据的安全性。</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运维制度与规范</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对提供服务的公司人员和工作进行规范化和标准化管理，涵盖运维人员管理、操作规程、日志记录、运维报告、故障级别定义及故障升级规范、保密制度、运维流程和运维记录单据等等。</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4.人员及实施要求</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工作需要确保至少3名长期驻场人员，提供即时的技术支持，运维人员直接在现场诊断和解决技术问题，减少故障恢复时间。及时解决非税收入执收单位及缴费人有关非税收入收缴和票据管理的相关问题，提升相关用户满意度。</w:t>
      </w:r>
      <w:r/>
    </w:p>
    <w:p>
      <w:pPr>
        <w:ind w:firstLine="482"/>
        <w:spacing w:line="36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说明：本项“4.人员及实施要求”为实质性要求，需供应商提供驻场人员承</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诺函并加盖公章。如不提供，在符合性审查时按照投标无效处理。</w:t>
      </w:r>
      <w:r/>
    </w:p>
    <w:p>
      <w:pPr>
        <w:ind w:firstLine="482"/>
        <w:spacing w:line="36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三、其他要求：见招标文件第五章《拟签订的合同文本》。</w:t>
      </w:r>
      <w:r/>
    </w:p>
    <w:p>
      <w:pPr>
        <w:ind w:right="0"/>
        <w:jc w:val="center"/>
        <w:keepLines w:val="0"/>
        <w:keepNext w:val="0"/>
        <w:pageBreakBefore w:val="0"/>
        <w:spacing w:line="312"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12" w:lineRule="auto"/>
        <w:widowControl w:val="off"/>
        <w:rPr>
          <w:rFonts w:hint="eastAsia" w:asciiTheme="minorEastAsia" w:hAnsiTheme="minorEastAsia" w:eastAsiaTheme="minorEastAsia" w:cstheme="minorEastAsia"/>
          <w:b w:val="0"/>
          <w:bCs w:val="0"/>
          <w:strike/>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采购包4：</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苏采云系统运维服务</w:t>
      </w:r>
      <w:r/>
    </w:p>
    <w:p>
      <w:pPr>
        <w:ind w:firstLine="482"/>
        <w:jc w:val="left"/>
        <w:pageBreakBefore w:val="0"/>
        <w:spacing w:line="520" w:lineRule="exact"/>
        <w:widowControl w:val="off"/>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b/>
          <w:bCs/>
          <w:color w:val="ff0000"/>
          <w:sz w:val="24"/>
          <w:szCs w:val="24"/>
          <w:highlight w:val="none"/>
        </w:rPr>
        <w:t xml:space="preserve">本项目需求中标注★号的款项为实质性要求和条件，由采购人根据实际情况设置，供应商必须逐条明确作出满足实质性要求和条件的响应，否则按照无效响应处理。</w:t>
      </w:r>
      <w:r/>
    </w:p>
    <w:p>
      <w:pPr>
        <w:ind w:firstLine="482"/>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一、项目概况</w:t>
      </w:r>
      <w:r/>
    </w:p>
    <w:p>
      <w:pPr>
        <w:ind w:firstLine="480"/>
        <w:pageBreakBefore w:val="0"/>
        <w:spacing w:line="52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根据省财政厅推进苏采云平台建设部署要求，2021年8月份起苏采云平台已经进入全省全面部署阶段。按照省财政厅统筹建设原则，省财政厅负责系统的顶层设计规划和相关功能开发，地市财政负责本区域系统实施部署运维服务工作。</w:t>
      </w:r>
      <w:r/>
    </w:p>
    <w:p>
      <w:pPr>
        <w:ind w:firstLine="480"/>
        <w:pageBreakBefore w:val="0"/>
        <w:spacing w:line="52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2021年4月14日，省财政厅下发了《关于进一步加强政府采购预算编制和执行管理的通知》（苏财购〔2021〕36号），结合“一体化系统”建设在全省推广应用“苏采云”。根据苏财购〔2023〕35号《关于启用江苏省政府采购框架协议电子采购平台的通知》文件要求：自2023年3月15日起，框架协议电子采购平台在全省正式启，使用“苏采云”系统的市、县，均应当通过此平台开展框架协议采购活动。</w:t>
      </w:r>
      <w:r/>
    </w:p>
    <w:p>
      <w:pPr>
        <w:ind w:firstLine="480"/>
        <w:pageBreakBefore w:val="0"/>
        <w:spacing w:line="52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2023年10月9日，省财政厅联合江苏省政务服务管理办公室下发了《关于在全省推广应用“苏采云”政府集中采购交易系统的通知》（苏财购〔2023〕130号），文件要求：2023年年底前全省政府集中采购业务全部纳入“苏采云”系统。</w:t>
      </w:r>
      <w:r/>
    </w:p>
    <w:p>
      <w:pPr>
        <w:ind w:firstLine="480"/>
        <w:pageBreakBefore w:val="0"/>
        <w:spacing w:line="52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2027年需持续保障苏采云平台运维服务和根据省厅统一规划升级“苏采云”平台应用。</w:t>
      </w:r>
      <w:r/>
    </w:p>
    <w:p>
      <w:pPr>
        <w:ind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二、苏采云运维服务工作</w:t>
      </w:r>
      <w:r/>
    </w:p>
    <w:p>
      <w:pPr>
        <w:pStyle w:val="767"/>
        <w:numPr>
          <w:ilvl w:val="0"/>
          <w:numId w:val="0"/>
        </w:numPr>
        <w:ind w:firstLine="482"/>
        <w:pageBreakBefore w:val="0"/>
        <w:spacing w:before="0" w:after="0" w:line="520" w:lineRule="exact"/>
        <w:widowControl w:val="off"/>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outlineLvl w:val="2"/>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1、“苏采云”年度运维服务工作</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苏采云”平台日常运维保障（包括解答财政监管部门、采购人、代理机构、供应商用户使用过程中出现的咨询、指导用户操作、问题排查、协助数据整理校对、网络异常、服务器异常、省网公告异常协调、数据对接异常协调处理等），详细如下：</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（1）7种采购方式的项目业务流转过程中出现的问题处理包括：项目管理流程问题、开评标过程中指导。 </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（2）系统控件指导：账号和密码登录咨询、浏览器版本登录指导、系统控件安装指导。</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（3）系统填写规范咨询、业务流程调整。</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（4）协助解决因用户计算机、网络环境、操作系统导致系统无法正常使用的问题。</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（5）供应商：供应商注册咨询、投标流程咨询、投标文件下载\导入问题、制作投标文件、投标文件解密。</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（6）评审专家：资格审查、符合审查、综合评审打分、折扣报价确认操作指导。</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（7）系统接口保障：采购公告接口、专家库接口、中征平台接口、财政一体化接口等运维保障，相关问题排查解决。</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CA及控件运维：涵盖各采购主体业务使用过程中的CA问题处理，各采购环节涉及的Word编辑器日常控件加载显示问题处理，各采购环节涉及的需签章内容PDF显示及电子签章问题处理以及处理由于帆软导致的系统问题。</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（9）系统培训：对采购人、代理机构、财政监管部门等相关人员进行系统运行管理、日常维护、使用操作等方面的培训。</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为了保证系统更好的适应业务需要，支持工程师在解决问题的过程中要记录各类用户针对系统提出的新需求和修改建议。同时从技术的角度协助地方用户进行需求分析，筛选出其中能够提高系统易用性或业务适应性的需求提出解决方案。</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为了保证系统能够更好的与其他财政业务进行衔接，工程师在系统维护过程中协助地市用户挖掘系统与其他财政系统的业务接口，并从技术角度分析系统与其他业务系统进行衔接的可行性，设计数据接口解决方案。</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（12）重大项目或紧急情况下，提供现场技术支持服务。</w:t>
      </w:r>
      <w:r/>
    </w:p>
    <w:p>
      <w:pPr>
        <w:pStyle w:val="767"/>
        <w:numPr>
          <w:ilvl w:val="0"/>
          <w:numId w:val="0"/>
        </w:numPr>
        <w:ind w:firstLine="482"/>
        <w:keepLines/>
        <w:keepNext/>
        <w:pageBreakBefore w:val="0"/>
        <w:spacing w:before="0" w:after="0" w:line="520" w:lineRule="exact"/>
        <w:widowControl w:val="off"/>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outlineLvl w:val="2"/>
      </w:pPr>
      <w:r/>
      <w:bookmarkStart w:id="25" w:name="_Toc173764537"/>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2、智能服务平台保障</w:t>
      </w:r>
      <w:bookmarkEnd w:id="25"/>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苏采云智能客服平台为采购人、代理机构、供应商、评审专家、监管部门均提供一对一专属服务通道以及便捷的自助服务窗口，通过统一在线服务入口、智能分发、多渠道智能协同服务进一步优化运维服务能力，提升问题处理效率，提高用户满意度。</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（1）智能问答服务：用户输入咨询内容后，系统可根据输入内容的语境、语义，推送与之匹配度最高的相关问题的解决方案，实现7*24小时全天候服务。</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（2）人工客服服务：用户可申请人工客服服务，后台客服接受用户请求并提供相应服务，可实现跨地区问题转接，有效避免用户重复咨询，提高咨询效率。</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（3）自助服务：提供客服热线查询以及系统公告、常见问题、操作手册在线查看等，方便用户快速查看并了解相关信息。</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（4）服务评价：用户咨询结束后，可以对智能客服提供的解决方案进行评价，也可以对人工客服提供的服务进行星级评分。</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（5）预约回访：若因人工客服接入超时未响应，用户可进行在线留言，预约人工客服进行回访并解决相关问题。</w:t>
      </w:r>
      <w:r/>
    </w:p>
    <w:p>
      <w:pPr>
        <w:pStyle w:val="767"/>
        <w:numPr>
          <w:ilvl w:val="0"/>
          <w:numId w:val="0"/>
        </w:numPr>
        <w:ind w:firstLine="482"/>
        <w:keepLines/>
        <w:keepNext/>
        <w:pageBreakBefore w:val="0"/>
        <w:spacing w:before="0" w:after="0" w:line="520" w:lineRule="exact"/>
        <w:widowControl w:val="off"/>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outlineLvl w:val="2"/>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3、“苏采云”运营保障服务 </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系统运营服务内容：</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（1）对财政监管部门、采购人、代理机构、评审专家、供应商等五大采购主体均提供的服务：</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①业务咨询类：例如账号和密码登录咨询、CA和签章办理咨询、政策要求咨询、系统填写规范咨询、项目管理流程咨询等。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②操作指导类：例如浏览器版本登录指导、系统控件安装指导、开评标过程指导、因用户本地计算机、网络环境、操作系统导致系统无法正常使用的解决方案指导等。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业务培训和操作培训类：结合本地实际业务，编写适用于本地的操作手册和操作视频，根据每年的升级内容进行相应的更新和调整。根据财政监管部门的工作安排，提供针对采购人或代理机构的规模型集中培训。同时，根据财政监管部门需求，可配合开展其他针对性主题的培训（例如：当年系统升级内容、当年政策性调整内容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④功能配置类：根据用户个性化业务需求、流程规则要求，初始化、调整系统本地功能配置（例如：业务流程、文件模板、权限配置、规则配置等）及因本地化调整涉及的相关测试，提升响应速度和处理能力。</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⑤不见面交易所涉及的音视频服务流量：开展不见面交易（例如：开标大厅语音播报、评标时视频会议、在线评审等业务场景）过程中，使用音视频服务时产生的网络数据传输。说明：该项服务目前由</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免费提供。本合同范围内，</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收取任何费用。</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对财政监管部门：重点提供数据整理校对、数据汇总统计等，协助其通过系统开展采购流程监管、违规行为预警等工作；同时，根据政府采购政策调整及业务需求变化，配合进行本地个性化需求梳理、上报等，确保系统与最新政策要求和业务场景适配。业务涉及采购计划、采购委托、代理机构、采购人、采购合同、CA签章、采购公告、评审专家库、场地预约、电子化开评标、框架协议、审批业务、质疑投诉、监管规则、文件模板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（3）对采购人：重点提供采购项目全过程电子化的操作支持（例如：采购计划填报、采购意向发布、采购文件确认、中标结果确认、电子合同签订等）。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（4）对代理机构：重点提供入驻平台和信息维护支持、采购项目全过程电子化的操作支持（例如：项目创建、专家抽取、评审组织、采购全流程电子化管理、开评标电子化管理、档案电子化管理等）。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（5）对评审专家：重点提供在线评审操作支持以及远程异地评审支持（例如：综合评审打分、折扣报价确认等操作指导）。</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对供应商：重点提供入驻平台和信息维护支持、投标参与支持（例如：线上参与投标、采购文件下载、投标/响应文件在线制作、投标/响应文件在线加密递交、投标/响应文件在线解密、评标过程中的二次报价、电子合同签订等）以及融资服务信息对接支持等。</w:t>
      </w:r>
      <w:r/>
    </w:p>
    <w:p>
      <w:pPr>
        <w:ind w:firstLine="482"/>
        <w:jc w:val="left"/>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4、安全运维需求</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必须规范日常的安全操作，符合财政部总体安全策略，通过实施必要的安全运行维护措施，配合</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定期开展网络安全自查，自查内容至少包括系统日常运行情况、系统漏洞等。配合</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定期进行安全审计，审计内容至少包括系统账号、权限、操作行为和安全技术措施有效性等，及时发现和处理信息系统运行过程中的安全隐患，减少或避免网络安全事件的发生。</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禁止将系统管理员权限授予其他人员</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禁止绕过运维安全审计系统对基础软件进行远程维护</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因实施运维人员配置错误、操作错误，造成的损失，</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依法</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追究</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责任。</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供应商的</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技术团队要相对独立，有专门网络安全负责人。</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运维操作要保持网络相对独立，要保证“专机专用”，不允许“一机多网”同时混用。</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不得转包、分包合同任务；确需分包的，应报经</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同意，并明确相应的网络安全责任和义务，同时明确不得将合同任务主体和关键部分分包。</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实施及运维中产生的系统数据、系统运行数据及收集的个人信息等数据资产归</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所有。</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5.实施及运维中，</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如需收集、使用、存储、处理数据必须以申请的方式征求</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同意后方可进行。</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要在</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的授权范围内对数据的访问、利用和支配，并接受</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所采取的的安全技术上管控措施。</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必须按要求将政务数据与其他数据分开存储、处理。</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8.未经</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同意，</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不得变更数据用途、用法，不得访问、修改、公开、披露、利用、转让、销毁、私自留存或向第三方提供。</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9.合同终止时，</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要按照</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的要求及时处理数据。</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应当按照《数据安全法》《个人信息保护法》等法律法规及相关政策规定的要求，加强个人信息保护。</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如需为了运维采购相关产品和服务，必须征求</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同意。</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12.</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要建立健全网络和数据安全保护机制，发现重大问题按规定及时向委托单位和相关部门报告。</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发生业务转型、合并重组、投资并购等重大事项，或者管理技术团队人员发生重大变化，应提前向委托单位报告。</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应积极配合相关部门开展网络安全检查、测评、审计等监督管理工作，以及拒绝或不配合监管的追责措施。</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15. </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应如实完整提供外包网络安全管理情况，如隐匿、瞒报要追究供应商的安全责任。</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16. </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如违反网络安全相关条款，按照《网络安全法》、《数据安全法》相关罚责进行处罚。</w:t>
      </w:r>
      <w:r/>
    </w:p>
    <w:p>
      <w:pPr>
        <w:ind w:firstLine="482"/>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三、服务期限与项目进度安排</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★服务期限：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2027年1月1日至2027年12月31日</w:t>
      </w:r>
      <w:r>
        <w:rPr>
          <w:rFonts w:hint="eastAsia" w:asciiTheme="minorEastAsia" w:hAnsiTheme="minorEastAsia" w:eastAsiaTheme="minorEastAsia" w:cstheme="minorEastAsia"/>
          <w:color w:val="000000" w:themeColor="text1"/>
          <w:sz w:val="24"/>
          <w:szCs w:val="28"/>
          <w:highlight w:val="none"/>
          <w14:textFill>
            <w14:solidFill>
              <w14:schemeClr w14:val="tx1"/>
            </w14:solidFill>
          </w14:textFill>
        </w:rPr>
        <w:t xml:space="preserve">。</w:t>
      </w:r>
      <w:r/>
    </w:p>
    <w:p>
      <w:pPr>
        <w:ind w:firstLine="482"/>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四、付款方式与履约保证金</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1、付款方式</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合同签订生效后，两个月内支付合同总金额的50%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服务周期</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临近结束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运维服务验收合格后一次性支付尾款。</w:t>
      </w:r>
      <w:r/>
    </w:p>
    <w:p>
      <w:pPr>
        <w:pStyle w:val="711"/>
        <w:ind w:firstLine="480"/>
        <w:keepLines w:val="0"/>
        <w:keepNext w:val="0"/>
        <w:pageBreakBefore w:val="0"/>
        <w:spacing w:after="0" w:line="520" w:lineRule="exact"/>
        <w:widowControl/>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2、本采购包不需履约保证金。</w:t>
      </w:r>
      <w:r/>
    </w:p>
    <w:p>
      <w:pPr>
        <w:ind w:firstLine="482"/>
        <w:keepLines w:val="0"/>
        <w:keepNext w:val="0"/>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五、响应报价要求</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1.报价币种为人民币，项目报价不得超过预算价。</w:t>
      </w:r>
      <w:r/>
    </w:p>
    <w:p>
      <w:pPr>
        <w:ind w:firstLine="480"/>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.8万元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2"/>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五、其他要求：见招标文件第五章《拟签订的合同文本》。</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pStyle w:val="925"/>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投标文件相关格式</w:t>
      </w:r>
      <w:bookmarkEnd w:id="22"/>
      <w:r/>
      <w:bookmarkEnd w:id="23"/>
      <w:r/>
      <w:r/>
    </w:p>
    <w:p>
      <w:pPr>
        <w:jc w:val="center"/>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一、投标函格式</w:t>
      </w:r>
      <w:r/>
    </w:p>
    <w:p>
      <w:pP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中通服网盈科技有限公司</w:t>
      </w:r>
      <w:r/>
    </w:p>
    <w:p>
      <w:pPr>
        <w:ind w:firstLine="561"/>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JSZC-320300-WYKJ-G2026-0027</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]招标文件，</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(姓名)代表我方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（投标人的名称）全权处理本次投标的有关事宜。</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据此函，投标人承诺并同意如下： </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1.投标人唯一投标报价见《开标一览表》。</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2.投标人将按招标文件的规定履行合同责任和义务。</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4.投标有效期为开标之日后90天。</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6.投标人同意在授予合同后，按照有关规定支付公证费(如有)。</w:t>
      </w:r>
      <w:r/>
    </w:p>
    <w:p>
      <w:pPr>
        <w:ind w:right="29"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有权将我单位本项目的《开标一览表》和《分项价格表》予以公示，公示的方式由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p>
    <w:p>
      <w:pPr>
        <w:ind w:right="29"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9.与本投标有关的一切正式往来信函请寄：</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移动电话： </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 </w:t>
      </w:r>
      <w:r/>
    </w:p>
    <w:p>
      <w:pPr>
        <w:ind w:firstLine="364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投标人：（电子签章）</w:t>
      </w:r>
      <w:r/>
    </w:p>
    <w:p>
      <w:pPr>
        <w:ind w:firstLine="45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日期：   年  月  日</w:t>
      </w:r>
      <w:r/>
    </w:p>
    <w:p>
      <w:pPr>
        <w:jc w:val="center"/>
        <w:spacing w:line="48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二、开标一览表格式</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JSZC-320300-WYKJ-G2026-0027</w:t>
      </w:r>
      <w:r/>
    </w:p>
    <w:p>
      <w:pPr>
        <w:ind w:firstLine="56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采购包号：</w:t>
      </w:r>
      <w:r/>
    </w:p>
    <w:p>
      <w:pPr>
        <w:ind w:firstLine="560"/>
        <w:jc w:val="right"/>
        <w:spacing w:line="520" w:lineRule="exact"/>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货币单位：人民币元</w:t>
      </w:r>
      <w:r/>
    </w:p>
    <w:tbl>
      <w:tblPr>
        <w:tblStyle w:val="710"/>
        <w:tblW w:w="931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7"/>
        <w:gridCol w:w="1664"/>
        <w:gridCol w:w="3407"/>
        <w:gridCol w:w="1840"/>
      </w:tblGrid>
      <w:tr>
        <w:trPr>
          <w:cantSplit/>
          <w:jc w:val="center"/>
          <w:trHeight w:val="1137"/>
        </w:trPr>
        <w:tc>
          <w:tcPr>
            <w:tcW w:w="24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664"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W w:w="34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w:t>
            </w:r>
            <w:r/>
          </w:p>
        </w:tc>
        <w:tc>
          <w:tcPr>
            <w:tcW w:w="184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cantSplit/>
          <w:jc w:val="center"/>
          <w:trHeight w:val="1177"/>
        </w:trPr>
        <w:tc>
          <w:tcPr>
            <w:tcW w:w="24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tc>
        <w:tc>
          <w:tcPr>
            <w:tcW w:w="1664"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w:t>
            </w:r>
            <w:r/>
          </w:p>
        </w:tc>
        <w:tc>
          <w:tcPr>
            <w:tcW w:w="3407"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0" w:type="dxa"/>
            <w:vAlign w:val="center"/>
            <w:vMerge w:val="restart"/>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报价为《分项价格表》的总价。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11"/>
        </w:trPr>
        <w:tc>
          <w:tcPr>
            <w:tcW w:w="24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gridSpan w:val="2"/>
            <w:tcW w:w="507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0" w:type="dxa"/>
            <w:vAlign w:val="center"/>
            <w:vMerge w:val="continue"/>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56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详见苏采云系统中的格式。</w:t>
      </w:r>
      <w:r/>
    </w:p>
    <w:p>
      <w:pPr>
        <w:spacing w:line="520" w:lineRule="exact"/>
        <w:rPr>
          <w:rStyle w:val="979"/>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520" w:lineRule="exact"/>
        <w:rPr>
          <w:rStyle w:val="979"/>
          <w:rFonts w:hint="eastAsia" w:ascii="宋体" w:hAnsi="宋体" w:eastAsia="宋体" w:cs="宋体"/>
          <w:b/>
          <w:color w:val="000000" w:themeColor="text1"/>
          <w:sz w:val="24"/>
          <w:highlight w:val="none"/>
          <w14:textFill>
            <w14:solidFill>
              <w14:schemeClr w14:val="tx1"/>
            </w14:solidFill>
          </w14:textFill>
        </w:rPr>
      </w:pPr>
      <w:r>
        <w:rPr>
          <w:rStyle w:val="979"/>
          <w:rFonts w:hint="eastAsia" w:ascii="宋体" w:hAnsi="宋体" w:eastAsia="宋体" w:cs="宋体"/>
          <w:b/>
          <w:color w:val="000000" w:themeColor="text1"/>
          <w:sz w:val="24"/>
          <w:highlight w:val="none"/>
          <w14:textFill>
            <w14:solidFill>
              <w14:schemeClr w14:val="tx1"/>
            </w14:solidFill>
          </w14:textFill>
        </w:rPr>
        <w:t xml:space="preserve">报价说明：</w:t>
      </w:r>
      <w:r/>
    </w:p>
    <w:p>
      <w:pPr>
        <w:pStyle w:val="748"/>
        <w:ind w:firstLine="482"/>
        <w:jc w:val="left"/>
        <w:spacing w:line="360" w:lineRule="auto"/>
        <w:widowControl w:val="off"/>
        <w:rPr>
          <w:rStyle w:val="979"/>
          <w:rFonts w:hint="eastAsia" w:ascii="宋体" w:hAnsi="宋体" w:eastAsia="宋体" w:cs="宋体"/>
          <w:b/>
          <w:color w:val="000000" w:themeColor="text1"/>
          <w:sz w:val="24"/>
          <w:highlight w:val="none"/>
          <w14:textFill>
            <w14:solidFill>
              <w14:schemeClr w14:val="tx1"/>
            </w14:solidFill>
          </w14:textFill>
        </w:rPr>
      </w:pPr>
      <w:r>
        <w:rPr>
          <w:rStyle w:val="979"/>
          <w:rFonts w:hint="eastAsia" w:ascii="宋体" w:hAnsi="宋体" w:eastAsia="宋体" w:cs="宋体"/>
          <w:b/>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748"/>
        <w:ind w:firstLine="482"/>
        <w:jc w:val="left"/>
        <w:spacing w:line="360" w:lineRule="auto"/>
        <w:widowControl w:val="off"/>
        <w:rPr>
          <w:rStyle w:val="979"/>
          <w:rFonts w:hint="eastAsia" w:ascii="宋体" w:hAnsi="宋体" w:eastAsia="宋体" w:cs="宋体"/>
          <w:b/>
          <w:color w:val="000000" w:themeColor="text1"/>
          <w:sz w:val="24"/>
          <w:highlight w:val="none"/>
          <w14:textFill>
            <w14:solidFill>
              <w14:schemeClr w14:val="tx1"/>
            </w14:solidFill>
          </w14:textFill>
        </w:rPr>
      </w:pPr>
      <w:r>
        <w:rPr>
          <w:rStyle w:val="979"/>
          <w:rFonts w:hint="eastAsia" w:ascii="宋体" w:hAnsi="宋体" w:eastAsia="宋体" w:cs="宋体"/>
          <w:b/>
          <w:color w:val="000000" w:themeColor="text1"/>
          <w:sz w:val="24"/>
          <w:highlight w:val="none"/>
          <w14:textFill>
            <w14:solidFill>
              <w14:schemeClr w14:val="tx1"/>
            </w14:solidFill>
          </w14:textFill>
        </w:rPr>
        <w:t xml:space="preserve">2、报价以总价为准，大小写不一致以大写为准；</w:t>
      </w:r>
      <w:r/>
    </w:p>
    <w:p>
      <w:pPr>
        <w:pStyle w:val="748"/>
        <w:ind w:firstLine="482"/>
        <w:jc w:val="left"/>
        <w:spacing w:line="360" w:lineRule="auto"/>
        <w:widowControl w:val="off"/>
        <w:rPr>
          <w:rStyle w:val="979"/>
          <w:rFonts w:hint="eastAsia" w:ascii="宋体" w:hAnsi="宋体" w:eastAsia="宋体" w:cs="宋体"/>
          <w:b/>
          <w:color w:val="000000" w:themeColor="text1"/>
          <w:sz w:val="24"/>
          <w:highlight w:val="none"/>
          <w14:textFill>
            <w14:solidFill>
              <w14:schemeClr w14:val="tx1"/>
            </w14:solidFill>
          </w14:textFill>
        </w:rPr>
      </w:pPr>
      <w:r>
        <w:rPr>
          <w:rStyle w:val="979"/>
          <w:rFonts w:hint="eastAsia" w:ascii="宋体" w:hAnsi="宋体" w:eastAsia="宋体" w:cs="宋体"/>
          <w:b/>
          <w:color w:val="000000" w:themeColor="text1"/>
          <w:sz w:val="24"/>
          <w:highlight w:val="none"/>
          <w14:textFill>
            <w14:solidFill>
              <w14:schemeClr w14:val="tx1"/>
            </w14:solidFill>
          </w14:textFill>
        </w:rPr>
        <w:t xml:space="preserve">3、偏离说明：详见《偏离表》；</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94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投标人：（电子签章）</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9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三、分项价格表格式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JSZC-320300-WYKJ-G2026-0027</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采购包号：</w:t>
      </w:r>
      <w:r/>
    </w:p>
    <w:p>
      <w:pPr>
        <w:ind w:firstLine="560"/>
        <w:jc w:val="righ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货币单位：人民币元</w:t>
      </w:r>
      <w:r/>
    </w:p>
    <w:p>
      <w:pPr>
        <w:ind w:firstLine="266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266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格式自拟。</w:t>
      </w:r>
      <w:r/>
    </w:p>
    <w:p>
      <w:pPr>
        <w:ind w:firstLine="26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6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14:textFill>
            <w14:solidFill>
              <w14:schemeClr w14:val="tx1"/>
            </w14:solidFill>
          </w14:textFill>
        </w:rPr>
      </w:r>
      <w:r/>
    </w:p>
    <w:p>
      <w:pPr>
        <w:ind w:firstLine="26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投标人：（电子签章）</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4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注：①如果不提供将视为没有实质性响应招标文件。</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②投标人对以上数据的真实性负责。</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有权将以上内容进行公示。</w:t>
      </w:r>
      <w:r/>
    </w:p>
    <w:p>
      <w:pPr>
        <w:jc w:val="cente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四、偏离表格式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徐州市数智化财政业务平台-财政信息化服务</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JSZC-320300-WYKJ-G2026-0027</w:t>
      </w:r>
      <w:r/>
    </w:p>
    <w:p>
      <w:pPr>
        <w:ind w:firstLine="600"/>
        <w:spacing w:line="48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采购包号：</w:t>
      </w:r>
      <w:r/>
    </w:p>
    <w:p>
      <w:pPr>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r>
      <w:r/>
    </w:p>
    <w:tbl>
      <w:tblPr>
        <w:tblStyle w:val="710"/>
        <w:tblpPr w:horzAnchor="page" w:tblpX="1644" w:vertAnchor="text" w:tblpY="346" w:leftFromText="180" w:topFromText="0" w:rightFromText="180" w:bottomFromText="0"/>
        <w:tblW w:w="8513"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1313"/>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aps/>
                <w:color w:val="000000" w:themeColor="text1"/>
                <w:sz w:val="22"/>
                <w:szCs w:val="22"/>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aps/>
                <w:color w:val="000000" w:themeColor="text1"/>
                <w:sz w:val="22"/>
                <w:szCs w:val="22"/>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aps/>
                <w:color w:val="000000" w:themeColor="text1"/>
                <w:sz w:val="22"/>
                <w:szCs w:val="22"/>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aps/>
                <w:color w:val="000000" w:themeColor="text1"/>
                <w:sz w:val="22"/>
                <w:szCs w:val="22"/>
                <w:highlight w:val="none"/>
                <w14:textFill>
                  <w14:solidFill>
                    <w14:schemeClr w14:val="tx1"/>
                  </w14:solidFill>
                </w14:textFill>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bl>
    <w:p>
      <w:pPr>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r>
      <w:r/>
    </w:p>
    <w:p>
      <w:pPr>
        <w:ind w:firstLine="562"/>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600"/>
        <w:spacing w:line="30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9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480" w:lineRule="exact"/>
        <w:rPr>
          <w:rFonts w:hint="eastAsia" w:ascii="宋体" w:hAnsi="宋体" w:eastAsia="宋体" w:cs="宋体"/>
          <w:b/>
          <w:bCs w:val="0"/>
          <w:color w:val="000000" w:themeColor="text1"/>
          <w:sz w:val="30"/>
          <w:szCs w:val="30"/>
          <w:highlight w:val="none"/>
          <w14:textFill>
            <w14:solidFill>
              <w14:schemeClr w14:val="tx1"/>
            </w14:solidFill>
          </w14:textFill>
        </w:rPr>
      </w:pPr>
      <w:r>
        <w:rPr>
          <w:rFonts w:hint="eastAsia" w:ascii="宋体" w:hAnsi="宋体" w:eastAsia="宋体" w:cs="宋体"/>
          <w:b/>
          <w:bCs w:val="0"/>
          <w:color w:val="000000" w:themeColor="text1"/>
          <w:sz w:val="30"/>
          <w:szCs w:val="30"/>
          <w:highlight w:val="none"/>
          <w14:textFill>
            <w14:solidFill>
              <w14:schemeClr w14:val="tx1"/>
            </w14:solidFill>
          </w14:textFill>
        </w:rPr>
        <w:t xml:space="preserve">五、法定代表人授权书格式</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委托人：</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地  址：</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法定代表人（负责人）：               职务：</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统一社会信用代码：</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受托人：                   性别：男（女）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年龄：  岁                 民族：   族</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职务：</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身份证号：</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兹委托（      ）全权代表我企业（公司）参与（</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JSZC-320300-WYKJ-G2026-0027</w:t>
      </w:r>
      <w:r>
        <w:rPr>
          <w:rFonts w:hint="eastAsia" w:ascii="宋体" w:hAnsi="宋体" w:eastAsia="宋体" w:cs="宋体"/>
          <w:color w:val="000000" w:themeColor="text1"/>
          <w:sz w:val="28"/>
          <w:szCs w:val="28"/>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3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特此授权委托。</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委托人（盖章）：             </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right="600"/>
        <w:jc w:val="right"/>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年   月   日</w:t>
      </w:r>
      <w:r/>
    </w:p>
    <w:p>
      <w:pPr>
        <w:jc w:val="center"/>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(受托人身份证复印件附后)</w:t>
      </w:r>
      <w:r/>
    </w:p>
    <w:p>
      <w:pPr>
        <w:ind w:firstLine="447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before="100" w:beforeAutospacing="1" w:after="100" w:afterAutospacing="1" w:line="48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spacing w:before="100" w:beforeAutospacing="1" w:after="100" w:afterAutospacing="1" w:line="48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0"/>
          <w:szCs w:val="30"/>
          <w:highlight w:val="none"/>
          <w14:textFill>
            <w14:solidFill>
              <w14:schemeClr w14:val="tx1"/>
            </w14:solidFill>
          </w14:textFill>
        </w:rPr>
        <w:t xml:space="preserve">、中小企业声明函格式</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p>
    <w:p>
      <w:pPr>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采购包号：</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徐州市财政效能中心</w:t>
      </w:r>
      <w:r>
        <w:rPr>
          <w:rFonts w:hint="eastAsia" w:ascii="宋体" w:hAnsi="宋体" w:eastAsia="宋体" w:cs="宋体"/>
          <w:color w:val="000000" w:themeColor="text1"/>
          <w:sz w:val="28"/>
          <w:szCs w:val="28"/>
          <w:highlight w:val="none"/>
          <w14:textFill>
            <w14:solidFill>
              <w14:schemeClr w14:val="tx1"/>
            </w14:solidFill>
          </w14:textFill>
        </w:rPr>
        <w:t xml:space="preserve">）的（</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徐州市数智化财政业务平台-财政信息化服务</w:t>
      </w:r>
      <w:r>
        <w:rPr>
          <w:rFonts w:hint="eastAsia" w:ascii="宋体" w:hAnsi="宋体" w:eastAsia="宋体" w:cs="宋体"/>
          <w:color w:val="000000" w:themeColor="text1"/>
          <w:sz w:val="28"/>
          <w:szCs w:val="28"/>
          <w:highlight w:val="none"/>
          <w14:textFill>
            <w14:solidFill>
              <w14:schemeClr w14:val="tx1"/>
            </w14:solidFill>
          </w14:textFill>
        </w:rPr>
        <w:t xml:space="preserve">）采购活动，服务全部由符合政策要求的中小企业承接。相关企业的具体情况如下：</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），属于</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（软件和信息技术服务业）</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行</w:t>
      </w:r>
      <w:r>
        <w:rPr>
          <w:rFonts w:hint="eastAsia" w:ascii="宋体" w:hAnsi="宋体" w:eastAsia="宋体" w:cs="宋体"/>
          <w:color w:val="000000" w:themeColor="text1"/>
          <w:sz w:val="28"/>
          <w:szCs w:val="28"/>
          <w:highlight w:val="none"/>
          <w:u w:val="none"/>
          <w14:textFill>
            <w14:solidFill>
              <w14:schemeClr w14:val="tx1"/>
            </w14:solidFill>
          </w14:textFill>
        </w:rPr>
        <w:t xml:space="preserve">业</w:t>
      </w:r>
      <w:r>
        <w:rPr>
          <w:rFonts w:hint="eastAsia" w:ascii="宋体" w:hAnsi="宋体" w:eastAsia="宋体" w:cs="宋体"/>
          <w:color w:val="000000" w:themeColor="text1"/>
          <w:sz w:val="28"/>
          <w:szCs w:val="28"/>
          <w:highlight w:val="none"/>
          <w14:textFill>
            <w14:solidFill>
              <w14:schemeClr w14:val="tx1"/>
            </w14:solidFill>
          </w14:textFill>
        </w:rPr>
        <w:t xml:space="preserve">；承建（承接）企业为（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企业名称</w:t>
      </w:r>
      <w:r>
        <w:rPr>
          <w:rFonts w:hint="eastAsia" w:ascii="宋体" w:hAnsi="宋体" w:eastAsia="宋体" w:cs="宋体"/>
          <w:color w:val="000000" w:themeColor="text1"/>
          <w:sz w:val="28"/>
          <w:szCs w:val="28"/>
          <w:highlight w:val="none"/>
          <w14:textFill>
            <w14:solidFill>
              <w14:schemeClr w14:val="tx1"/>
            </w14:solidFill>
          </w14:textFill>
        </w:rPr>
        <w:t xml:space="preserve">），从业人员人，营业收入为万元，资产总额为万元，属于（□中型企业、□小型企业、□微型企业，请勾选！)；</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firstLine="480"/>
        <w:jc w:val="center"/>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企业名称（供应商名称）</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（电子签章）</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right="48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日  期：  年  月  日</w:t>
      </w:r>
      <w:r/>
    </w:p>
    <w:p>
      <w:pPr>
        <w:spacing w:line="3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注：本项目采购的服务属于软件和信息技术服务业。</w:t>
      </w:r>
      <w:r/>
    </w:p>
    <w:p>
      <w:pPr>
        <w:ind w:firstLine="600"/>
        <w:jc w:val="left"/>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备注：</w:t>
      </w:r>
      <w:r/>
    </w:p>
    <w:p>
      <w:pPr>
        <w:ind w:firstLine="600"/>
        <w:jc w:val="left"/>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1、从业人员、营业收入、资产总额填报上一年度数据，无上一年度数据的新成立企业可不填报。</w:t>
      </w:r>
      <w:r/>
    </w:p>
    <w:p>
      <w:pPr>
        <w:ind w:firstLine="560"/>
        <w:jc w:val="center"/>
        <w:spacing w:line="312" w:lineRule="atLeast"/>
        <w:rPr>
          <w:rFonts w:hint="eastAsia" w:ascii="宋体" w:hAnsi="宋体" w:eastAsia="宋体" w:cs="宋体"/>
          <w:b/>
          <w:color w:val="000000" w:themeColor="text1"/>
          <w:spacing w:val="6"/>
          <w:sz w:val="30"/>
          <w:szCs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t xml:space="preserve">2、《中小企业声明函》查询渠道用微信搜索“中小企业规模类型自测小程序”。</w:t>
      </w:r>
      <w:r>
        <w:rPr>
          <w:rFonts w:ascii="Times New Roman" w:hAnsi="Times New Roman" w:eastAsia="Times New Roman" w:cs="Times New Roman"/>
          <w:color w:val="auto"/>
          <w:sz w:val="24"/>
        </w:rPr>
        <w:t xml:space="preserve"> </w: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1559560</wp:posOffset>
                </wp:positionH>
                <wp:positionV relativeFrom="paragraph">
                  <wp:posOffset>1590040</wp:posOffset>
                </wp:positionV>
                <wp:extent cx="2231390" cy="4554220"/>
                <wp:effectExtent l="0" t="0" r="3810" b="5080"/>
                <wp:wrapSquare wrapText="bothSides"/>
                <wp:docPr id="3"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rcRect l="0" t="4825" r="0" b="0"/>
                        <a:stretch/>
                      </pic:blipFill>
                      <pic:spPr bwMode="auto">
                        <a:xfrm>
                          <a:off x="0" y="0"/>
                          <a:ext cx="2231390" cy="4554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2.8pt;mso-position-horizontal:absolute;mso-position-vertical-relative:text;margin-top:125.2pt;mso-position-vertical:absolute;width:175.7pt;height:358.6pt;mso-wrap-distance-left:0.0pt;mso-wrap-distance-top:0.0pt;mso-wrap-distance-right:0.0pt;mso-wrap-distance-bottom:0.0pt;" stroked="f">
                <v:path textboxrect="0,0,0,0"/>
                <w10:wrap type="square"/>
                <v:imagedata r:id="rId14" o:title=""/>
              </v:shape>
            </w:pict>
          </mc:Fallback>
        </mc:AlternateContent>
      </w: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30"/>
          <w:szCs w:val="30"/>
          <w:highlight w:val="none"/>
          <w14:textFill>
            <w14:solidFill>
              <w14:schemeClr w14:val="tx1"/>
            </w14:solidFill>
          </w14:textFill>
        </w:rPr>
        <w:t xml:space="preserve">、残疾人福利性单位声明函格式</w:t>
      </w:r>
      <w:r/>
    </w:p>
    <w:p>
      <w:pPr>
        <w:ind w:firstLine="624"/>
        <w:spacing w:line="480"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项目名称：</w:t>
      </w:r>
      <w:r>
        <w:rPr>
          <w:rFonts w:hint="eastAsia" w:ascii="宋体" w:hAnsi="宋体" w:eastAsia="宋体" w:cs="宋体"/>
          <w:color w:val="000000" w:themeColor="text1"/>
          <w:spacing w:val="6"/>
          <w:sz w:val="28"/>
          <w:szCs w:val="28"/>
          <w:highlight w:val="none"/>
          <w:lang w:eastAsia="zh-CN"/>
          <w14:textFill>
            <w14:solidFill>
              <w14:schemeClr w14:val="tx1"/>
            </w14:solidFill>
          </w14:textFill>
        </w:rPr>
        <w:t xml:space="preserve">徐州市数智化财政业务平台-财政信息化服务</w:t>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项目编号：</w:t>
      </w:r>
      <w:r>
        <w:rPr>
          <w:rFonts w:hint="eastAsia" w:ascii="宋体" w:hAnsi="宋体" w:cs="宋体"/>
          <w:color w:val="000000" w:themeColor="text1"/>
          <w:spacing w:val="6"/>
          <w:sz w:val="28"/>
          <w:szCs w:val="28"/>
          <w:highlight w:val="none"/>
          <w:lang w:eastAsia="zh-CN"/>
          <w14:textFill>
            <w14:solidFill>
              <w14:schemeClr w14:val="tx1"/>
            </w14:solidFill>
          </w14:textFill>
        </w:rPr>
        <w:t xml:space="preserve">JSZC-320300-WYKJ-G2026-0027</w:t>
      </w:r>
      <w:r/>
    </w:p>
    <w:p>
      <w:pPr>
        <w:ind w:firstLine="624"/>
        <w:spacing w:line="480" w:lineRule="exact"/>
        <w:rPr>
          <w:rFonts w:hint="eastAsia" w:ascii="宋体" w:hAnsi="宋体" w:eastAsia="宋体" w:cs="宋体"/>
          <w:color w:val="000000" w:themeColor="text1"/>
          <w:spacing w:val="6"/>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6"/>
          <w:sz w:val="28"/>
          <w:szCs w:val="28"/>
          <w:highlight w:val="none"/>
          <w:lang w:val="en-US" w:eastAsia="zh-CN"/>
          <w14:textFill>
            <w14:solidFill>
              <w14:schemeClr w14:val="tx1"/>
            </w14:solidFill>
          </w14:textFill>
        </w:rPr>
        <w:t xml:space="preserve">采购包号：</w:t>
      </w:r>
      <w:r/>
    </w:p>
    <w:p>
      <w:pPr>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8"/>
          <w:szCs w:val="28"/>
          <w:highlight w:val="none"/>
          <w14:textFill>
            <w14:solidFill>
              <w14:schemeClr w14:val="tx1"/>
            </w14:solidFill>
          </w14:textFill>
        </w:rPr>
        <w:t xml:space="preserve">〔2017〕141</w:t>
      </w:r>
      <w:r>
        <w:rPr>
          <w:rFonts w:hint="eastAsia" w:ascii="宋体" w:hAnsi="宋体" w:eastAsia="宋体" w:cs="宋体"/>
          <w:color w:val="000000" w:themeColor="text1"/>
          <w:spacing w:val="6"/>
          <w:sz w:val="28"/>
          <w:szCs w:val="28"/>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8"/>
          <w:szCs w:val="28"/>
          <w:highlight w:val="none"/>
          <w14:textFill>
            <w14:solidFill>
              <w14:schemeClr w14:val="tx1"/>
            </w14:solidFill>
          </w14:textFill>
        </w:rPr>
        <w:t xml:space="preserve">______</w:t>
      </w:r>
      <w:r>
        <w:rPr>
          <w:rFonts w:hint="eastAsia" w:ascii="宋体" w:hAnsi="宋体" w:eastAsia="宋体" w:cs="宋体"/>
          <w:color w:val="000000" w:themeColor="text1"/>
          <w:spacing w:val="6"/>
          <w:sz w:val="28"/>
          <w:szCs w:val="28"/>
          <w:highlight w:val="none"/>
          <w14:textFill>
            <w14:solidFill>
              <w14:schemeClr w14:val="tx1"/>
            </w14:solidFill>
          </w14:textFill>
        </w:rPr>
        <w:t xml:space="preserve">单位的</w:t>
      </w:r>
      <w:r>
        <w:rPr>
          <w:rFonts w:hint="eastAsia" w:ascii="宋体" w:hAnsi="宋体" w:eastAsia="宋体" w:cs="宋体"/>
          <w:color w:val="000000" w:themeColor="text1"/>
          <w:sz w:val="28"/>
          <w:szCs w:val="28"/>
          <w:highlight w:val="none"/>
          <w14:textFill>
            <w14:solidFill>
              <w14:schemeClr w14:val="tx1"/>
            </w14:solidFill>
          </w14:textFill>
        </w:rPr>
        <w:t xml:space="preserve">______</w:t>
      </w:r>
      <w:r>
        <w:rPr>
          <w:rFonts w:hint="eastAsia" w:ascii="宋体" w:hAnsi="宋体" w:eastAsia="宋体" w:cs="宋体"/>
          <w:color w:val="000000" w:themeColor="text1"/>
          <w:spacing w:val="6"/>
          <w:sz w:val="28"/>
          <w:szCs w:val="28"/>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本单位对上述声明的真实性负责。如有虚假，将依法承担相应责任。</w:t>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25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投标人：（电子签章）</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ind w:firstLine="45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30"/>
          <w:szCs w:val="30"/>
          <w:highlight w:val="none"/>
          <w14:textFill>
            <w14:solidFill>
              <w14:schemeClr w14:val="tx1"/>
            </w14:solidFill>
          </w14:textFill>
        </w:rPr>
        <w:t xml:space="preserve">、投标人参加政府采购活动前3年内在经营活动中没有重大违法记录的书面声明格式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我单位在参加</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徐州市数智化财政业务平台-财政信息化服务</w:t>
      </w:r>
      <w:r>
        <w:rPr>
          <w:rFonts w:hint="eastAsia" w:ascii="宋体" w:hAnsi="宋体" w:eastAsia="宋体" w:cs="宋体"/>
          <w:color w:val="000000" w:themeColor="text1"/>
          <w:sz w:val="28"/>
          <w:szCs w:val="28"/>
          <w:highlight w:val="none"/>
          <w14:textFill>
            <w14:solidFill>
              <w14:schemeClr w14:val="tx1"/>
            </w14:solidFill>
          </w14:textFill>
        </w:rPr>
        <w:t xml:space="preserve">（项目编号：）政府采购活动前3年内，在经营活动中没有重大违法记录。重大违法记录是指因违法经营受到刑事处罚或者责令停产停业、吊销许可证或者执照、较大数额罚款等行政处罚。</w:t>
      </w:r>
      <w:r/>
    </w:p>
    <w:p>
      <w:pPr>
        <w:pStyle w:val="1000"/>
        <w:ind w:firstLine="600"/>
        <w:spacing w:before="0" w:beforeAutospacing="0" w:after="0" w:afterAutospacing="0"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我单位对上述声明的真实性负责。如有虚假，将依法承担相应责任。</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28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投标人：（电子签章）</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562"/>
        <w:jc w:val="left"/>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clear="all"/>
      </w:r>
      <w:r/>
    </w:p>
    <w:p>
      <w:pPr>
        <w:jc w:val="center"/>
        <w:spacing w:line="480" w:lineRule="exact"/>
        <w:rPr>
          <w:rFonts w:hint="eastAsia" w:ascii="宋体" w:hAnsi="宋体" w:eastAsia="宋体" w:cs="宋体"/>
          <w:b/>
          <w:bCs/>
          <w:color w:val="000000" w:themeColor="text1"/>
          <w:sz w:val="30"/>
          <w:szCs w:val="30"/>
          <w:highlight w:val="none"/>
          <w14:textFill>
            <w14:solidFill>
              <w14:schemeClr w14:val="tx1"/>
            </w14:solidFill>
          </w14:textFill>
        </w:rPr>
      </w:pPr>
      <w:r/>
      <w:bookmarkStart w:id="26" w:name="OLE_LINK1"/>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30"/>
          <w:szCs w:val="30"/>
          <w:highlight w:val="none"/>
          <w14:textFill>
            <w14:solidFill>
              <w14:schemeClr w14:val="tx1"/>
            </w14:solidFill>
          </w14:textFill>
        </w:rPr>
        <w:t xml:space="preserve">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采购包号：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供应商郑重声明：投标人具备履行合同（项目名称：，项目编号： 所必需的设备和专业技术能力</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firstLine="56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供应商对上述声明的真实性负责。如有虚假，将依法承担相应责任。</w:t>
      </w:r>
      <w:r/>
    </w:p>
    <w:p>
      <w:pPr>
        <w:ind w:right="2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投标人（电子签章）：</w:t>
      </w:r>
      <w:r/>
    </w:p>
    <w:p>
      <w:pPr>
        <w:ind w:right="2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日期：  年  月  日</w:t>
      </w:r>
      <w:bookmarkEnd w:id="26"/>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br w:type="page" w:clear="all"/>
      </w:r>
      <w:r/>
    </w:p>
    <w:p>
      <w:pPr>
        <w:jc w:val="center"/>
        <w:spacing w:line="48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十、预付款保函支付条款模板</w:t>
      </w:r>
      <w:r/>
    </w:p>
    <w:p>
      <w:pPr>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符合条件一：提交预付款保函的</w:t>
      </w:r>
      <w:r/>
    </w:p>
    <w:p>
      <w:pPr>
        <w:ind w:firstLine="602"/>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（1）合同签订且乙方向甲方出具预付款保函后个工作日内，甲方应支付合同价款的百分之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        XX（    XX%），</w:t>
      </w:r>
      <w:r>
        <w:rPr>
          <w:rFonts w:hint="eastAsia" w:ascii="宋体" w:hAnsi="宋体" w:eastAsia="宋体" w:cs="宋体"/>
          <w:color w:val="000000" w:themeColor="text1"/>
          <w:sz w:val="28"/>
          <w:szCs w:val="28"/>
          <w:highlight w:val="none"/>
          <w14:textFill>
            <w14:solidFill>
              <w14:schemeClr w14:val="tx1"/>
            </w14:solidFill>
          </w14:textFill>
        </w:rPr>
        <w:t xml:space="preserve">小写￥大写：人民币。</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乙方需提交的支付文件：乙方出具的全额正式发票。</w:t>
      </w:r>
      <w:r>
        <w:rPr>
          <w:rFonts w:hint="eastAsia" w:ascii="宋体" w:hAnsi="宋体" w:eastAsia="宋体" w:cs="宋体"/>
          <w:color w:val="000000" w:themeColor="text1"/>
          <w:sz w:val="28"/>
          <w:szCs w:val="28"/>
          <w:highlight w:val="none"/>
          <w14:textFill>
            <w14:solidFill>
              <w14:schemeClr w14:val="tx1"/>
            </w14:solidFill>
          </w14:textFill>
        </w:rPr>
        <w:br w:type="textWrapping" w:clear="all"/>
      </w:r>
      <w:r>
        <w:rPr>
          <w:rFonts w:hint="eastAsia" w:ascii="宋体" w:hAnsi="宋体" w:eastAsia="宋体" w:cs="宋体"/>
          <w:color w:val="000000" w:themeColor="text1"/>
          <w:sz w:val="28"/>
          <w:szCs w:val="28"/>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小写￥大写：人民币。</w:t>
      </w:r>
      <w:r/>
    </w:p>
    <w:p>
      <w:pPr>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w:t>
      </w:r>
      <w:r/>
    </w:p>
    <w:p>
      <w:pPr>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符合条件二：不提交预付款保函的</w:t>
      </w:r>
      <w:r/>
    </w:p>
    <w:p>
      <w:pPr>
        <w:ind w:firstLine="602"/>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（1）合同签订后个工作日内，甲方应支付合同价款的百分之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小写￥大写：人民币。</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乙方需提交的支付文件：乙方出具的全额正式发票。</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小写￥大写：人民币。</w:t>
      </w:r>
      <w:r/>
    </w:p>
    <w:p>
      <w:pPr>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w:t>
      </w:r>
      <w:r/>
    </w:p>
    <w:p>
      <w:pPr>
        <w:ind w:left="140"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注:</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042"/>
        <w:ind w:left="0" w:right="0" w:firstLine="0"/>
        <w:jc w:val="both"/>
        <w:keepLines w:val="0"/>
        <w:keepNext w:val="0"/>
        <w:pageBreakBefore w:val="0"/>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1"/>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footerReference w:type="default" r:id="rId11"/>
      <w:footnotePr/>
      <w:endnotePr/>
      <w:type w:val="nextPage"/>
      <w:pgSz w:w="11906" w:h="16838" w:orient="portrait"/>
      <w:pgMar w:top="1134" w:right="850" w:bottom="1134" w:left="1701" w:header="709" w:footer="709"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w:panose1 w:val="02010600030101010101"/>
  </w:font>
  <w:font w:name="仿宋">
    <w:panose1 w:val="02010609060101010101"/>
  </w:font>
  <w:font w:name="等线 Light">
    <w:panose1 w:val="0201060003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隶书">
    <w:panose1 w:val="02010509060101010101"/>
  </w:font>
  <w:font w:name="Georgia">
    <w:panose1 w:val="02040502050405020303"/>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699"/>
    <w:link w:val="777"/>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78"/>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79"/>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80"/>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81"/>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82"/>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84"/>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85"/>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1"/>
    <w:basedOn w:val="699"/>
    <w:next w:val="699"/>
    <w:uiPriority w:val="39"/>
    <w:unhideWhenUsed/>
    <w:qFormat/>
    <w:pPr>
      <w:ind w:left="0" w:right="0" w:firstLine="0"/>
      <w:spacing w:after="57"/>
    </w:pPr>
  </w:style>
  <w:style w:type="paragraph" w:styleId="712">
    <w:name w:val="toc 7"/>
    <w:basedOn w:val="699"/>
    <w:next w:val="699"/>
    <w:uiPriority w:val="39"/>
    <w:unhideWhenUsed/>
    <w:qFormat/>
    <w:pPr>
      <w:ind w:left="1701" w:right="0" w:firstLine="0"/>
      <w:spacing w:after="57"/>
    </w:pPr>
  </w:style>
  <w:style w:type="paragraph" w:styleId="713">
    <w:name w:val="Normal Indent"/>
    <w:basedOn w:val="699"/>
    <w:next w:val="699"/>
    <w:uiPriority w:val="0"/>
    <w:qFormat/>
    <w:pPr>
      <w:ind w:firstLine="420"/>
    </w:pPr>
  </w:style>
  <w:style w:type="paragraph" w:styleId="714">
    <w:name w:val="Caption"/>
    <w:basedOn w:val="699"/>
    <w:next w:val="69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5">
    <w:name w:val="index 5"/>
    <w:basedOn w:val="699"/>
    <w:next w:val="699"/>
    <w:uiPriority w:val="0"/>
    <w:qFormat/>
    <w:pPr>
      <w:ind w:left="798"/>
      <w:jc w:val="left"/>
    </w:pPr>
    <w:rPr>
      <w:rFonts w:ascii="Calibri" w:hAnsi="Calibri"/>
    </w:rPr>
  </w:style>
  <w:style w:type="paragraph" w:styleId="716">
    <w:name w:val="annotation text"/>
    <w:basedOn w:val="699"/>
    <w:uiPriority w:val="99"/>
    <w:semiHidden/>
    <w:unhideWhenUsed/>
    <w:qFormat/>
    <w:pPr>
      <w:jc w:val="left"/>
    </w:pPr>
  </w:style>
  <w:style w:type="paragraph" w:styleId="717">
    <w:name w:val="Body Text"/>
    <w:basedOn w:val="699"/>
    <w:next w:val="699"/>
    <w:uiPriority w:val="0"/>
    <w:qFormat/>
    <w:pPr>
      <w:spacing w:after="120"/>
    </w:pPr>
  </w:style>
  <w:style w:type="paragraph" w:styleId="718">
    <w:name w:val="Body Text Indent"/>
    <w:basedOn w:val="699"/>
    <w:uiPriority w:val="99"/>
    <w:qFormat/>
    <w:pPr>
      <w:ind w:left="420"/>
      <w:spacing w:after="120"/>
    </w:pPr>
  </w:style>
  <w:style w:type="paragraph" w:styleId="719">
    <w:name w:val="Block Text"/>
    <w:basedOn w:val="699"/>
    <w:uiPriority w:val="0"/>
    <w:qFormat/>
    <w:pPr>
      <w:ind w:left="567" w:right="454" w:firstLine="498"/>
    </w:pPr>
    <w:rPr>
      <w:rFonts w:ascii="仿宋_GB2312" w:eastAsia="仿宋_GB2312"/>
      <w:sz w:val="30"/>
    </w:rPr>
  </w:style>
  <w:style w:type="paragraph" w:styleId="720">
    <w:name w:val="toc 5"/>
    <w:basedOn w:val="699"/>
    <w:next w:val="699"/>
    <w:uiPriority w:val="39"/>
    <w:unhideWhenUsed/>
    <w:qFormat/>
    <w:pPr>
      <w:ind w:left="1134" w:right="0" w:firstLine="0"/>
      <w:spacing w:after="57"/>
    </w:pPr>
  </w:style>
  <w:style w:type="paragraph" w:styleId="721">
    <w:name w:val="toc 3"/>
    <w:basedOn w:val="699"/>
    <w:next w:val="699"/>
    <w:uiPriority w:val="39"/>
    <w:unhideWhenUsed/>
    <w:qFormat/>
    <w:pPr>
      <w:ind w:left="567" w:right="0" w:firstLine="0"/>
      <w:spacing w:after="57"/>
    </w:pPr>
  </w:style>
  <w:style w:type="paragraph" w:styleId="722">
    <w:name w:val="Plain Text"/>
    <w:basedOn w:val="699"/>
    <w:uiPriority w:val="0"/>
    <w:qFormat/>
    <w:rPr>
      <w:rFonts w:ascii="宋体" w:hAnsi="Courier New"/>
      <w:szCs w:val="20"/>
    </w:rPr>
  </w:style>
  <w:style w:type="paragraph" w:styleId="723">
    <w:name w:val="toc 8"/>
    <w:basedOn w:val="699"/>
    <w:next w:val="699"/>
    <w:uiPriority w:val="39"/>
    <w:unhideWhenUsed/>
    <w:qFormat/>
    <w:pPr>
      <w:ind w:left="1984" w:right="0" w:firstLine="0"/>
      <w:spacing w:after="57"/>
    </w:pPr>
  </w:style>
  <w:style w:type="paragraph" w:styleId="724">
    <w:name w:val="Body Text Indent 2"/>
    <w:basedOn w:val="699"/>
    <w:uiPriority w:val="0"/>
    <w:qFormat/>
    <w:pPr>
      <w:ind w:firstLine="640"/>
      <w:jc w:val="left"/>
      <w:spacing w:line="590" w:lineRule="exact"/>
    </w:pPr>
    <w:rPr>
      <w:rFonts w:ascii="仿宋_GB2312" w:hAnsi="宋体" w:eastAsia="仿宋_GB2312" w:cs="Times New Roman"/>
      <w:sz w:val="32"/>
      <w:szCs w:val="28"/>
    </w:rPr>
  </w:style>
  <w:style w:type="paragraph" w:styleId="725">
    <w:name w:val="endnote text"/>
    <w:basedOn w:val="699"/>
    <w:link w:val="923"/>
    <w:uiPriority w:val="99"/>
    <w:semiHidden/>
    <w:unhideWhenUsed/>
    <w:qFormat/>
    <w:pPr>
      <w:spacing w:after="0" w:line="240" w:lineRule="auto"/>
    </w:pPr>
    <w:rPr>
      <w:sz w:val="20"/>
    </w:rPr>
  </w:style>
  <w:style w:type="paragraph" w:styleId="726">
    <w:name w:val="Footer"/>
    <w:basedOn w:val="699"/>
    <w:link w:val="796"/>
    <w:uiPriority w:val="99"/>
    <w:unhideWhenUsed/>
    <w:qFormat/>
    <w:pPr>
      <w:spacing w:after="0" w:line="240" w:lineRule="auto"/>
      <w:tabs>
        <w:tab w:val="center" w:pos="7143" w:leader="none"/>
        <w:tab w:val="right" w:pos="14287" w:leader="none"/>
      </w:tabs>
    </w:pPr>
  </w:style>
  <w:style w:type="paragraph" w:styleId="727">
    <w:name w:val="envelope return"/>
    <w:basedOn w:val="699"/>
    <w:uiPriority w:val="0"/>
    <w:qFormat/>
    <w:rPr>
      <w:rFonts w:ascii="Arial" w:hAnsi="Arial"/>
    </w:rPr>
  </w:style>
  <w:style w:type="paragraph" w:styleId="728">
    <w:name w:val="Header"/>
    <w:basedOn w:val="699"/>
    <w:link w:val="794"/>
    <w:uiPriority w:val="99"/>
    <w:unhideWhenUsed/>
    <w:qFormat/>
    <w:pPr>
      <w:spacing w:after="0" w:line="240" w:lineRule="auto"/>
      <w:tabs>
        <w:tab w:val="center" w:pos="7143" w:leader="none"/>
        <w:tab w:val="right" w:pos="14287" w:leader="none"/>
      </w:tabs>
    </w:pPr>
  </w:style>
  <w:style w:type="paragraph" w:styleId="729">
    <w:name w:val="toc 4"/>
    <w:basedOn w:val="699"/>
    <w:next w:val="699"/>
    <w:uiPriority w:val="39"/>
    <w:unhideWhenUsed/>
    <w:qFormat/>
    <w:pPr>
      <w:ind w:left="850" w:right="0" w:firstLine="0"/>
      <w:spacing w:after="57"/>
    </w:pPr>
  </w:style>
  <w:style w:type="paragraph" w:styleId="730">
    <w:name w:val="Subtitle"/>
    <w:basedOn w:val="699"/>
    <w:next w:val="699"/>
    <w:link w:val="789"/>
    <w:uiPriority w:val="11"/>
    <w:qFormat/>
    <w:pPr>
      <w:spacing w:before="200" w:after="200"/>
    </w:pPr>
    <w:rPr>
      <w:sz w:val="24"/>
      <w:szCs w:val="24"/>
    </w:rPr>
  </w:style>
  <w:style w:type="paragraph" w:styleId="731">
    <w:name w:val="footnote text"/>
    <w:basedOn w:val="699"/>
    <w:next w:val="715"/>
    <w:link w:val="922"/>
    <w:uiPriority w:val="99"/>
    <w:semiHidden/>
    <w:unhideWhenUsed/>
    <w:qFormat/>
    <w:pPr>
      <w:spacing w:after="40" w:line="240" w:lineRule="auto"/>
    </w:pPr>
    <w:rPr>
      <w:sz w:val="18"/>
    </w:rPr>
  </w:style>
  <w:style w:type="paragraph" w:styleId="732">
    <w:name w:val="toc 6"/>
    <w:basedOn w:val="699"/>
    <w:next w:val="699"/>
    <w:uiPriority w:val="39"/>
    <w:unhideWhenUsed/>
    <w:qFormat/>
    <w:pPr>
      <w:ind w:left="1417" w:right="0" w:firstLine="0"/>
      <w:spacing w:after="57"/>
    </w:pPr>
  </w:style>
  <w:style w:type="paragraph" w:styleId="733">
    <w:name w:val="table of figures"/>
    <w:basedOn w:val="699"/>
    <w:next w:val="699"/>
    <w:uiPriority w:val="99"/>
    <w:unhideWhenUsed/>
    <w:qFormat/>
    <w:pPr>
      <w:spacing w:after="0" w:afterAutospacing="0"/>
    </w:pPr>
  </w:style>
  <w:style w:type="paragraph" w:styleId="734">
    <w:name w:val="toc 2"/>
    <w:basedOn w:val="699"/>
    <w:next w:val="699"/>
    <w:uiPriority w:val="39"/>
    <w:unhideWhenUsed/>
    <w:qFormat/>
    <w:pPr>
      <w:ind w:left="283" w:right="0" w:firstLine="0"/>
      <w:spacing w:after="57"/>
    </w:pPr>
  </w:style>
  <w:style w:type="paragraph" w:styleId="735">
    <w:name w:val="toc 9"/>
    <w:basedOn w:val="699"/>
    <w:next w:val="699"/>
    <w:uiPriority w:val="39"/>
    <w:unhideWhenUsed/>
    <w:qFormat/>
    <w:pPr>
      <w:ind w:left="2268" w:right="0" w:firstLine="0"/>
      <w:spacing w:after="57"/>
    </w:pPr>
  </w:style>
  <w:style w:type="paragraph" w:styleId="736">
    <w:name w:val="Normal (Web)"/>
    <w:basedOn w:val="699"/>
    <w:uiPriority w:val="99"/>
    <w:qFormat/>
    <w:pPr>
      <w:jc w:val="left"/>
      <w:spacing w:before="100" w:beforeAutospacing="1" w:after="100" w:afterAutospacing="1"/>
      <w:widowControl/>
    </w:pPr>
    <w:rPr>
      <w:rFonts w:ascii="宋体" w:hAnsi="宋体" w:cs="宋体"/>
      <w:sz w:val="24"/>
    </w:rPr>
  </w:style>
  <w:style w:type="paragraph" w:styleId="737">
    <w:name w:val="Title"/>
    <w:basedOn w:val="699"/>
    <w:next w:val="699"/>
    <w:link w:val="788"/>
    <w:uiPriority w:val="10"/>
    <w:qFormat/>
    <w:pPr>
      <w:contextualSpacing/>
      <w:spacing w:before="300" w:after="200"/>
    </w:pPr>
    <w:rPr>
      <w:sz w:val="48"/>
      <w:szCs w:val="48"/>
    </w:rPr>
  </w:style>
  <w:style w:type="paragraph" w:styleId="738">
    <w:name w:val="Body Text First Indent"/>
    <w:basedOn w:val="717"/>
    <w:next w:val="739"/>
    <w:uiPriority w:val="0"/>
    <w:qFormat/>
    <w:pPr>
      <w:ind w:firstLine="200"/>
      <w:spacing w:line="360" w:lineRule="auto"/>
    </w:pPr>
    <w:rPr>
      <w:rFonts w:ascii="仿宋_GB2312" w:eastAsia="仿宋_GB2312"/>
      <w:sz w:val="30"/>
      <w:szCs w:val="30"/>
    </w:rPr>
  </w:style>
  <w:style w:type="paragraph" w:styleId="739">
    <w:name w:val="Body Text First Indent 2"/>
    <w:basedOn w:val="718"/>
    <w:uiPriority w:val="99"/>
    <w:qFormat/>
    <w:pPr>
      <w:ind w:left="0" w:firstLine="420"/>
      <w:spacing w:after="0" w:line="360" w:lineRule="auto"/>
    </w:pPr>
    <w:rPr>
      <w:rFonts w:ascii="宋体" w:hAnsi="宋体"/>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09"/>
    <w:uiPriority w:val="22"/>
    <w:qFormat/>
    <w:rPr>
      <w:b/>
    </w:rPr>
  </w:style>
  <w:style w:type="character" w:styleId="742">
    <w:name w:val="endnote reference"/>
    <w:uiPriority w:val="99"/>
    <w:semiHidden/>
    <w:unhideWhenUsed/>
    <w:qFormat/>
    <w:rPr>
      <w:vertAlign w:val="superscript"/>
    </w:rPr>
  </w:style>
  <w:style w:type="character" w:styleId="743">
    <w:name w:val="Emphasis"/>
    <w:basedOn w:val="709"/>
    <w:uiPriority w:val="20"/>
    <w:qFormat/>
    <w:rPr>
      <w:i/>
    </w:rPr>
  </w:style>
  <w:style w:type="character" w:styleId="744">
    <w:name w:val="Hyperlink"/>
    <w:uiPriority w:val="99"/>
    <w:unhideWhenUsed/>
    <w:qFormat/>
    <w:rPr>
      <w:color w:val="0563c1"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customStyle="1">
    <w:name w:val="列表段落1"/>
    <w:basedOn w:val="747"/>
    <w:next w:val="699"/>
    <w:uiPriority w:val="99"/>
    <w:qFormat/>
    <w:pPr>
      <w:ind w:firstLine="420"/>
    </w:pPr>
  </w:style>
  <w:style w:type="paragraph" w:styleId="747" w:customStyle="1">
    <w:name w:val="正文1"/>
    <w:basedOn w:val="748"/>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11"/>
    <w:next w:val="699"/>
    <w:uiPriority w:val="0"/>
    <w:qFormat/>
    <w:pPr>
      <w:jc w:val="both"/>
    </w:pPr>
    <w:rPr>
      <w:rFonts w:hint="default" w:ascii="Times New Roman" w:hAnsi="Times New Roman" w:eastAsia="宋体" w:cs="Times New Roman"/>
      <w:lang w:val="en-US" w:eastAsia="zh-CN" w:bidi="ar-SA"/>
    </w:rPr>
  </w:style>
  <w:style w:type="paragraph" w:styleId="749" w:customStyle="1">
    <w:name w:val="正文文本1"/>
    <w:basedOn w:val="699"/>
    <w:next w:val="747"/>
    <w:link w:val="962"/>
    <w:uiPriority w:val="0"/>
    <w:qFormat/>
    <w:pPr>
      <w:spacing w:after="120"/>
    </w:pPr>
    <w:rPr>
      <w:rFonts w:ascii="Calibri" w:hAnsi="Calibri"/>
    </w:rPr>
  </w:style>
  <w:style w:type="paragraph" w:styleId="750" w:customStyle="1">
    <w:name w:val="TOC Heading1"/>
    <w:next w:val="699"/>
    <w:uiPriority w:val="0"/>
    <w:qFormat/>
    <w:rPr>
      <w:rFonts w:hint="default" w:ascii="Calibri" w:hAnsi="Calibri" w:eastAsia="宋体" w:cs="Times New Roman"/>
      <w:sz w:val="32"/>
    </w:rPr>
  </w:style>
  <w:style w:type="paragraph" w:styleId="751" w:customStyle="1">
    <w:name w:val="正文首行缩进 21"/>
    <w:basedOn w:val="752"/>
    <w:next w:val="699"/>
    <w:link w:val="953"/>
    <w:uiPriority w:val="0"/>
    <w:qFormat/>
    <w:pPr>
      <w:ind w:firstLine="420"/>
    </w:pPr>
    <w:rPr>
      <w:rFonts w:ascii="Times New Roman" w:hAnsi="Times New Roman"/>
    </w:rPr>
  </w:style>
  <w:style w:type="paragraph" w:styleId="752" w:customStyle="1">
    <w:name w:val="正文文本缩进1"/>
    <w:basedOn w:val="748"/>
    <w:next w:val="753"/>
    <w:link w:val="947"/>
    <w:uiPriority w:val="99"/>
    <w:qFormat/>
    <w:pPr>
      <w:ind w:left="420"/>
      <w:spacing w:after="120"/>
    </w:pPr>
    <w:rPr>
      <w:rFonts w:ascii="Calibri" w:hAnsi="Calibri"/>
    </w:rPr>
  </w:style>
  <w:style w:type="paragraph" w:styleId="753" w:customStyle="1">
    <w:name w:val="寄信人地址1"/>
    <w:basedOn w:val="748"/>
    <w:uiPriority w:val="0"/>
    <w:qFormat/>
    <w:rPr>
      <w:rFonts w:ascii="Arial" w:hAnsi="Arial"/>
    </w:rPr>
  </w:style>
  <w:style w:type="paragraph" w:styleId="754"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755" w:customStyle="1">
    <w:name w:val="正文111"/>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正文首行缩进1"/>
    <w:basedOn w:val="757"/>
    <w:next w:val="751"/>
    <w:link w:val="977"/>
    <w:uiPriority w:val="0"/>
    <w:qFormat/>
    <w:pPr>
      <w:ind w:firstLine="420"/>
    </w:pPr>
    <w:rPr>
      <w:rFonts w:ascii="仿宋_GB2312" w:hAnsi="Times New Roman" w:eastAsia="仿宋_GB2312"/>
      <w:sz w:val="30"/>
      <w:szCs w:val="30"/>
    </w:rPr>
  </w:style>
  <w:style w:type="paragraph" w:styleId="757" w:customStyle="1">
    <w:name w:val="正文文本11"/>
    <w:basedOn w:val="758"/>
    <w:next w:val="748"/>
    <w:uiPriority w:val="0"/>
    <w:qFormat/>
    <w:pPr>
      <w:spacing w:after="120"/>
    </w:pPr>
  </w:style>
  <w:style w:type="paragraph" w:styleId="758" w:customStyle="1">
    <w:name w:val="正文112"/>
    <w:next w:val="6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脚注文本1"/>
    <w:basedOn w:val="747"/>
    <w:next w:val="760"/>
    <w:uiPriority w:val="0"/>
    <w:qFormat/>
    <w:pPr>
      <w:jc w:val="left"/>
    </w:pPr>
    <w:rPr>
      <w:rFonts w:ascii="宋体" w:eastAsia="Times New Roman"/>
      <w:sz w:val="18"/>
      <w:szCs w:val="18"/>
    </w:rPr>
  </w:style>
  <w:style w:type="paragraph" w:styleId="760" w:customStyle="1">
    <w:name w:val="索引 51"/>
    <w:basedOn w:val="747"/>
    <w:next w:val="747"/>
    <w:uiPriority w:val="0"/>
    <w:qFormat/>
    <w:pPr>
      <w:ind w:left="798"/>
      <w:jc w:val="left"/>
    </w:pPr>
    <w:rPr>
      <w:rFonts w:ascii="Calibri" w:hAnsi="Calibri"/>
    </w:rPr>
  </w:style>
  <w:style w:type="paragraph" w:styleId="761" w:customStyle="1">
    <w:name w:val="文本块11"/>
    <w:basedOn w:val="762"/>
    <w:uiPriority w:val="6"/>
    <w:unhideWhenUsed/>
    <w:qFormat/>
    <w:pPr>
      <w:ind w:left="1440" w:right="1440"/>
      <w:spacing w:after="120"/>
    </w:pPr>
  </w:style>
  <w:style w:type="paragraph" w:styleId="762" w:customStyle="1">
    <w:name w:val="正文12"/>
    <w:next w:val="76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3" w:customStyle="1">
    <w:name w:val="一级条标题"/>
    <w:basedOn w:val="764"/>
    <w:next w:val="7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4" w:customStyle="1">
    <w:name w:val="章标题"/>
    <w:basedOn w:val="758"/>
    <w:next w:val="69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5" w:customStyle="1">
    <w:name w:val="段"/>
    <w:basedOn w:val="699"/>
    <w:next w:val="699"/>
    <w:uiPriority w:val="0"/>
    <w:qFormat/>
    <w:pPr>
      <w:ind w:firstLine="200"/>
      <w:widowControl/>
    </w:pPr>
    <w:rPr>
      <w:rFonts w:hint="eastAsia" w:ascii="宋体"/>
      <w:szCs w:val="20"/>
    </w:rPr>
  </w:style>
  <w:style w:type="paragraph" w:styleId="766" w:customStyle="1">
    <w:name w:val="文本块1"/>
    <w:basedOn w:val="699"/>
    <w:uiPriority w:val="0"/>
    <w:qFormat/>
    <w:pPr>
      <w:ind w:left="420" w:right="33"/>
      <w:jc w:val="left"/>
    </w:pPr>
    <w:rPr>
      <w:sz w:val="24"/>
      <w:szCs w:val="20"/>
    </w:rPr>
  </w:style>
  <w:style w:type="paragraph" w:styleId="767" w:customStyle="1">
    <w:name w:val="标题 41"/>
    <w:basedOn w:val="762"/>
    <w:next w:val="699"/>
    <w:link w:val="957"/>
    <w:uiPriority w:val="9"/>
    <w:qFormat/>
    <w:pPr>
      <w:keepLines/>
      <w:keepNext/>
      <w:spacing w:before="280" w:after="290" w:line="376" w:lineRule="auto"/>
      <w:outlineLvl w:val="3"/>
    </w:pPr>
    <w:rPr>
      <w:rFonts w:ascii="Cambria" w:hAnsi="Cambria"/>
      <w:b/>
      <w:bCs/>
      <w:sz w:val="28"/>
      <w:szCs w:val="28"/>
    </w:rPr>
  </w:style>
  <w:style w:type="paragraph" w:styleId="768" w:customStyle="1">
    <w:name w:val="目录 1111"/>
    <w:basedOn w:val="699"/>
    <w:next w:val="699"/>
    <w:uiPriority w:val="39"/>
    <w:unhideWhenUsed/>
    <w:qFormat/>
    <w:pPr>
      <w:jc w:val="left"/>
      <w:spacing w:after="100" w:line="259" w:lineRule="auto"/>
      <w:widowControl/>
    </w:pPr>
    <w:rPr>
      <w:rFonts w:ascii="Calibri" w:hAnsi="Calibri" w:eastAsia="宋体"/>
      <w:sz w:val="22"/>
      <w:szCs w:val="22"/>
    </w:rPr>
  </w:style>
  <w:style w:type="paragraph" w:styleId="769" w:customStyle="1">
    <w:name w:val="正文首行缩进11"/>
    <w:basedOn w:val="757"/>
    <w:next w:val="770"/>
    <w:uiPriority w:val="0"/>
    <w:qFormat/>
    <w:pPr>
      <w:ind w:firstLine="420"/>
    </w:pPr>
    <w:rPr>
      <w:rFonts w:ascii="仿宋_GB2312" w:eastAsia="仿宋_GB2312"/>
      <w:sz w:val="30"/>
      <w:szCs w:val="30"/>
    </w:rPr>
  </w:style>
  <w:style w:type="paragraph" w:styleId="770" w:customStyle="1">
    <w:name w:val="正文首行缩进 211"/>
    <w:basedOn w:val="771"/>
    <w:uiPriority w:val="0"/>
    <w:qFormat/>
    <w:pPr>
      <w:ind w:firstLine="420"/>
    </w:pPr>
    <w:rPr>
      <w:rFonts w:ascii="Times New Roman" w:hAnsi="Times New Roman"/>
    </w:rPr>
  </w:style>
  <w:style w:type="paragraph" w:styleId="771" w:customStyle="1">
    <w:name w:val="正文文本缩进11"/>
    <w:basedOn w:val="748"/>
    <w:next w:val="772"/>
    <w:uiPriority w:val="0"/>
    <w:qFormat/>
    <w:pPr>
      <w:ind w:left="420"/>
      <w:spacing w:after="120"/>
    </w:pPr>
    <w:rPr>
      <w:rFonts w:ascii="Calibri" w:hAnsi="Calibri"/>
    </w:rPr>
  </w:style>
  <w:style w:type="paragraph" w:styleId="772" w:customStyle="1">
    <w:name w:val="寄信人地址11"/>
    <w:basedOn w:val="748"/>
    <w:uiPriority w:val="0"/>
    <w:qFormat/>
    <w:rPr>
      <w:rFonts w:ascii="Arial" w:hAnsi="Arial"/>
    </w:rPr>
  </w:style>
  <w:style w:type="paragraph" w:styleId="773" w:customStyle="1">
    <w:name w:val="目录 11"/>
    <w:basedOn w:val="762"/>
    <w:next w:val="748"/>
    <w:uiPriority w:val="39"/>
    <w:qFormat/>
  </w:style>
  <w:style w:type="paragraph" w:styleId="774" w:customStyle="1">
    <w:name w:val="正文文本111"/>
    <w:basedOn w:val="762"/>
    <w:next w:val="762"/>
    <w:uiPriority w:val="0"/>
    <w:qFormat/>
  </w:style>
  <w:style w:type="paragraph" w:styleId="775" w:customStyle="1">
    <w:name w:val="正文49"/>
    <w:uiPriority w:val="0"/>
    <w:qFormat/>
    <w:pPr>
      <w:jc w:val="both"/>
      <w:widowControl w:val="off"/>
    </w:pPr>
    <w:rPr>
      <w:rFonts w:hint="default" w:ascii="Calibri" w:hAnsi="Calibri" w:eastAsia="宋体" w:cs="Times New Roman"/>
      <w:sz w:val="21"/>
      <w:szCs w:val="22"/>
    </w:rPr>
  </w:style>
  <w:style w:type="paragraph" w:styleId="776" w:customStyle="1">
    <w:name w:val="目录 111"/>
    <w:basedOn w:val="699"/>
    <w:next w:val="755"/>
    <w:uiPriority w:val="39"/>
    <w:unhideWhenUsed/>
    <w:qFormat/>
    <w:pPr>
      <w:jc w:val="left"/>
      <w:spacing w:after="100" w:line="259" w:lineRule="auto"/>
      <w:widowControl/>
    </w:pPr>
    <w:rPr>
      <w:rFonts w:ascii="Calibri" w:hAnsi="Calibri"/>
      <w:sz w:val="22"/>
      <w:szCs w:val="22"/>
    </w:rPr>
  </w:style>
  <w:style w:type="character" w:styleId="777" w:customStyle="1">
    <w:name w:val="Heading 1 Char"/>
    <w:link w:val="700"/>
    <w:uiPriority w:val="9"/>
    <w:qFormat/>
    <w:rPr>
      <w:rFonts w:ascii="Arial" w:hAnsi="Arial" w:eastAsia="Arial" w:cs="Arial"/>
      <w:sz w:val="40"/>
      <w:szCs w:val="40"/>
    </w:rPr>
  </w:style>
  <w:style w:type="character" w:styleId="778" w:customStyle="1">
    <w:name w:val="Heading 2 Char"/>
    <w:link w:val="701"/>
    <w:uiPriority w:val="9"/>
    <w:qFormat/>
    <w:rPr>
      <w:rFonts w:ascii="Arial" w:hAnsi="Arial" w:eastAsia="Arial" w:cs="Arial"/>
      <w:sz w:val="34"/>
    </w:rPr>
  </w:style>
  <w:style w:type="character" w:styleId="779" w:customStyle="1">
    <w:name w:val="Heading 3 Char"/>
    <w:link w:val="702"/>
    <w:uiPriority w:val="9"/>
    <w:qFormat/>
    <w:rPr>
      <w:rFonts w:ascii="Arial" w:hAnsi="Arial" w:eastAsia="Arial" w:cs="Arial"/>
      <w:sz w:val="30"/>
      <w:szCs w:val="30"/>
    </w:rPr>
  </w:style>
  <w:style w:type="character" w:styleId="780" w:customStyle="1">
    <w:name w:val="Heading 4 Char"/>
    <w:link w:val="703"/>
    <w:uiPriority w:val="9"/>
    <w:qFormat/>
    <w:rPr>
      <w:rFonts w:ascii="Arial" w:hAnsi="Arial" w:eastAsia="Arial" w:cs="Arial"/>
      <w:b/>
      <w:bCs/>
      <w:sz w:val="26"/>
      <w:szCs w:val="26"/>
    </w:rPr>
  </w:style>
  <w:style w:type="character" w:styleId="781" w:customStyle="1">
    <w:name w:val="Heading 5 Char"/>
    <w:link w:val="704"/>
    <w:uiPriority w:val="9"/>
    <w:qFormat/>
    <w:rPr>
      <w:rFonts w:ascii="Arial" w:hAnsi="Arial" w:eastAsia="Arial" w:cs="Arial"/>
      <w:b/>
      <w:bCs/>
      <w:sz w:val="24"/>
      <w:szCs w:val="24"/>
    </w:rPr>
  </w:style>
  <w:style w:type="character" w:styleId="782" w:customStyle="1">
    <w:name w:val="Heading 6 Char"/>
    <w:link w:val="705"/>
    <w:uiPriority w:val="9"/>
    <w:qFormat/>
    <w:rPr>
      <w:rFonts w:ascii="Arial" w:hAnsi="Arial" w:eastAsia="Arial" w:cs="Arial"/>
      <w:b/>
      <w:bCs/>
      <w:sz w:val="22"/>
      <w:szCs w:val="22"/>
    </w:rPr>
  </w:style>
  <w:style w:type="character" w:styleId="783" w:customStyle="1">
    <w:name w:val="Heading 7 Char"/>
    <w:link w:val="706"/>
    <w:uiPriority w:val="9"/>
    <w:qFormat/>
    <w:rPr>
      <w:rFonts w:ascii="Arial" w:hAnsi="Arial" w:eastAsia="Arial" w:cs="Arial"/>
      <w:b/>
      <w:bCs/>
      <w:i/>
      <w:iCs/>
      <w:sz w:val="22"/>
      <w:szCs w:val="22"/>
    </w:rPr>
  </w:style>
  <w:style w:type="character" w:styleId="784" w:customStyle="1">
    <w:name w:val="Heading 8 Char"/>
    <w:link w:val="707"/>
    <w:uiPriority w:val="9"/>
    <w:qFormat/>
    <w:rPr>
      <w:rFonts w:ascii="Arial" w:hAnsi="Arial" w:eastAsia="Arial" w:cs="Arial"/>
      <w:i/>
      <w:iCs/>
      <w:sz w:val="22"/>
      <w:szCs w:val="22"/>
    </w:rPr>
  </w:style>
  <w:style w:type="character" w:styleId="785" w:customStyle="1">
    <w:name w:val="Heading 9 Char"/>
    <w:link w:val="708"/>
    <w:uiPriority w:val="9"/>
    <w:qFormat/>
    <w:rPr>
      <w:rFonts w:ascii="Arial" w:hAnsi="Arial" w:eastAsia="Arial" w:cs="Arial"/>
      <w:i/>
      <w:iCs/>
      <w:sz w:val="21"/>
      <w:szCs w:val="21"/>
    </w:rPr>
  </w:style>
  <w:style w:type="paragraph" w:styleId="786">
    <w:name w:val="List Paragraph"/>
    <w:basedOn w:val="699"/>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37"/>
    <w:uiPriority w:val="10"/>
    <w:qFormat/>
    <w:rPr>
      <w:sz w:val="48"/>
      <w:szCs w:val="48"/>
    </w:rPr>
  </w:style>
  <w:style w:type="character" w:styleId="789" w:customStyle="1">
    <w:name w:val="Subtitle Char"/>
    <w:link w:val="730"/>
    <w:uiPriority w:val="11"/>
    <w:qFormat/>
    <w:rPr>
      <w:sz w:val="24"/>
      <w:szCs w:val="24"/>
    </w:rPr>
  </w:style>
  <w:style w:type="paragraph" w:styleId="790">
    <w:name w:val="Quote"/>
    <w:basedOn w:val="699"/>
    <w:next w:val="699"/>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699"/>
    <w:next w:val="699"/>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28"/>
    <w:uiPriority w:val="99"/>
    <w:qFormat/>
  </w:style>
  <w:style w:type="character" w:styleId="795" w:customStyle="1">
    <w:name w:val="Footer Char"/>
    <w:link w:val="726"/>
    <w:uiPriority w:val="99"/>
    <w:qFormat/>
  </w:style>
  <w:style w:type="character" w:styleId="796" w:customStyle="1">
    <w:name w:val="Caption Char"/>
    <w:link w:val="726"/>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6" w:customStyle="1">
    <w:name w:val="Grid Table 4 - Accent 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8" w:customStyle="1">
    <w:name w:val="Grid Table 4 - Accent 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9" w:customStyle="1">
    <w:name w:val="Grid Table 4 - Accent 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0" w:customStyle="1">
    <w:name w:val="Grid Table 4 - Accent 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4" w:customStyle="1">
    <w:name w:val="Grid Table 6 Colorful - Accent 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9" w:customStyle="1">
    <w:name w:val="List Table 6 Colorful - Accent 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4" w:customStyle="1">
    <w:name w:val="Bordered &amp; Lined - Accent 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7" w:customStyle="1">
    <w:name w:val="Bordered - Accent 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8" w:customStyle="1">
    <w:name w:val="Bordered - Accent 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9" w:customStyle="1">
    <w:name w:val="Bordered - Accent 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0" w:customStyle="1">
    <w:name w:val="Bordered - Accent 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1" w:customStyle="1">
    <w:name w:val="Bordered - Accent 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2" w:customStyle="1">
    <w:name w:val="Footnote Text Char"/>
    <w:link w:val="731"/>
    <w:uiPriority w:val="99"/>
    <w:qFormat/>
    <w:rPr>
      <w:sz w:val="18"/>
    </w:rPr>
  </w:style>
  <w:style w:type="character" w:styleId="923" w:customStyle="1">
    <w:name w:val="Endnote Text Char"/>
    <w:link w:val="725"/>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1"/>
    <w:basedOn w:val="699"/>
    <w:next w:val="699"/>
    <w:link w:val="954"/>
    <w:uiPriority w:val="9"/>
    <w:qFormat/>
    <w:pPr>
      <w:jc w:val="center"/>
      <w:keepLines/>
      <w:keepNext/>
      <w:spacing w:line="578" w:lineRule="auto"/>
      <w:outlineLvl w:val="0"/>
    </w:pPr>
    <w:rPr>
      <w:rFonts w:eastAsia="新宋体"/>
      <w:b/>
      <w:bCs/>
      <w:sz w:val="30"/>
      <w:szCs w:val="44"/>
    </w:rPr>
  </w:style>
  <w:style w:type="paragraph" w:styleId="926" w:customStyle="1">
    <w:name w:val="标题 21"/>
    <w:basedOn w:val="699"/>
    <w:next w:val="699"/>
    <w:link w:val="955"/>
    <w:uiPriority w:val="0"/>
    <w:qFormat/>
    <w:pPr>
      <w:keepLines/>
      <w:keepNext/>
      <w:spacing w:before="260" w:after="260" w:line="416" w:lineRule="auto"/>
      <w:outlineLvl w:val="1"/>
    </w:pPr>
    <w:rPr>
      <w:rFonts w:ascii="Cambria" w:hAnsi="Cambria"/>
      <w:b/>
      <w:bCs/>
      <w:sz w:val="32"/>
      <w:szCs w:val="32"/>
    </w:rPr>
  </w:style>
  <w:style w:type="paragraph" w:styleId="927" w:customStyle="1">
    <w:name w:val="标题 31"/>
    <w:basedOn w:val="699"/>
    <w:next w:val="699"/>
    <w:link w:val="956"/>
    <w:uiPriority w:val="9"/>
    <w:qFormat/>
    <w:pPr>
      <w:keepLines/>
      <w:keepNext/>
      <w:spacing w:before="260" w:after="260" w:line="416" w:lineRule="auto"/>
      <w:outlineLvl w:val="2"/>
    </w:pPr>
    <w:rPr>
      <w:b/>
      <w:bCs/>
      <w:sz w:val="32"/>
      <w:szCs w:val="32"/>
    </w:rPr>
  </w:style>
  <w:style w:type="paragraph" w:styleId="928" w:customStyle="1">
    <w:name w:val="标题 51"/>
    <w:basedOn w:val="699"/>
    <w:next w:val="699"/>
    <w:link w:val="946"/>
    <w:uiPriority w:val="0"/>
    <w:qFormat/>
    <w:pPr>
      <w:keepLines/>
      <w:keepNext/>
      <w:spacing w:before="280" w:after="290" w:line="376" w:lineRule="auto"/>
      <w:outlineLvl w:val="4"/>
    </w:pPr>
    <w:rPr>
      <w:b/>
      <w:bCs/>
      <w:sz w:val="28"/>
      <w:szCs w:val="28"/>
    </w:rPr>
  </w:style>
  <w:style w:type="paragraph" w:styleId="929" w:customStyle="1">
    <w:name w:val="标题 71"/>
    <w:basedOn w:val="699"/>
    <w:next w:val="699"/>
    <w:link w:val="948"/>
    <w:uiPriority w:val="9"/>
    <w:qFormat/>
    <w:pPr>
      <w:keepLines/>
      <w:keepNext/>
      <w:spacing w:before="240" w:after="64" w:line="320" w:lineRule="auto"/>
      <w:outlineLvl w:val="6"/>
    </w:pPr>
    <w:rPr>
      <w:rFonts w:ascii="Calibri" w:hAnsi="Calibri"/>
      <w:b/>
      <w:bCs/>
      <w:sz w:val="24"/>
    </w:rPr>
  </w:style>
  <w:style w:type="character" w:styleId="930" w:customStyle="1">
    <w:name w:val="默认段落字体1"/>
    <w:link w:val="699"/>
    <w:uiPriority w:val="0"/>
    <w:semiHidden/>
    <w:qFormat/>
  </w:style>
  <w:style w:type="table" w:styleId="931" w:customStyle="1">
    <w:name w:val="普通表格1"/>
    <w:uiPriority w:val="0"/>
    <w:semiHidden/>
    <w:qFormat/>
    <w:tblPr/>
  </w:style>
  <w:style w:type="character" w:styleId="932" w:customStyle="1">
    <w:name w:val="font01"/>
    <w:link w:val="699"/>
    <w:uiPriority w:val="0"/>
    <w:qFormat/>
    <w:rPr>
      <w:rFonts w:hint="eastAsia" w:ascii="仿宋" w:hAnsi="仿宋" w:eastAsia="仿宋" w:cs="仿宋"/>
      <w:color w:val="000000"/>
      <w:sz w:val="20"/>
      <w:szCs w:val="20"/>
      <w:u w:val="none"/>
    </w:rPr>
  </w:style>
  <w:style w:type="character" w:styleId="933" w:customStyle="1">
    <w:name w:val="文档结构图 字符"/>
    <w:link w:val="699"/>
    <w:uiPriority w:val="0"/>
    <w:qFormat/>
    <w:rPr>
      <w:rFonts w:ascii="Microsoft YaHei UI" w:eastAsia="Microsoft YaHei UI"/>
      <w:sz w:val="18"/>
      <w:szCs w:val="18"/>
    </w:rPr>
  </w:style>
  <w:style w:type="character" w:styleId="934" w:customStyle="1">
    <w:name w:val="标书正文 Char1"/>
    <w:link w:val="935"/>
    <w:uiPriority w:val="0"/>
    <w:qFormat/>
    <w:rPr>
      <w:color w:val="000000"/>
      <w:sz w:val="22"/>
      <w:szCs w:val="28"/>
      <w:lang w:eastAsia="en-US"/>
    </w:rPr>
  </w:style>
  <w:style w:type="paragraph" w:styleId="935" w:customStyle="1">
    <w:name w:val="标书正文"/>
    <w:basedOn w:val="699"/>
    <w:link w:val="93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6" w:customStyle="1">
    <w:name w:val="批注文字 Char1"/>
    <w:link w:val="699"/>
    <w:uiPriority w:val="0"/>
    <w:qFormat/>
    <w:rPr>
      <w:sz w:val="21"/>
      <w:szCs w:val="24"/>
    </w:rPr>
  </w:style>
  <w:style w:type="character" w:styleId="937" w:customStyle="1">
    <w:name w:val="标题 2 Char"/>
    <w:link w:val="699"/>
    <w:uiPriority w:val="0"/>
    <w:qFormat/>
    <w:rPr>
      <w:rFonts w:ascii="Cambria" w:hAnsi="Cambria" w:eastAsia="宋体" w:cs="Times New Roman"/>
      <w:b/>
      <w:bCs/>
      <w:sz w:val="32"/>
      <w:szCs w:val="32"/>
    </w:rPr>
  </w:style>
  <w:style w:type="character" w:styleId="938" w:customStyle="1">
    <w:name w:val="标题 4 字符"/>
    <w:link w:val="699"/>
    <w:uiPriority w:val="0"/>
    <w:semiHidden/>
    <w:qFormat/>
    <w:rPr>
      <w:rFonts w:ascii="等线 Light" w:hAnsi="等线 Light" w:eastAsia="等线 Light" w:cs="Times New Roman"/>
      <w:b/>
      <w:bCs/>
      <w:sz w:val="28"/>
      <w:szCs w:val="28"/>
    </w:rPr>
  </w:style>
  <w:style w:type="character" w:styleId="939" w:customStyle="1">
    <w:name w:val="正文文本 Char"/>
    <w:link w:val="699"/>
    <w:uiPriority w:val="0"/>
    <w:qFormat/>
    <w:rPr>
      <w:sz w:val="21"/>
      <w:szCs w:val="24"/>
    </w:rPr>
  </w:style>
  <w:style w:type="character" w:styleId="940" w:customStyle="1">
    <w:name w:val="页脚 Char"/>
    <w:link w:val="699"/>
    <w:uiPriority w:val="0"/>
    <w:qFormat/>
    <w:rPr>
      <w:sz w:val="18"/>
      <w:szCs w:val="18"/>
    </w:rPr>
  </w:style>
  <w:style w:type="character" w:styleId="941" w:customStyle="1">
    <w:name w:val="批注引用1"/>
    <w:link w:val="699"/>
    <w:uiPriority w:val="99"/>
    <w:qFormat/>
    <w:rPr>
      <w:sz w:val="21"/>
      <w:szCs w:val="21"/>
    </w:rPr>
  </w:style>
  <w:style w:type="character" w:styleId="942" w:customStyle="1">
    <w:name w:val="要点1"/>
    <w:link w:val="699"/>
    <w:uiPriority w:val="0"/>
    <w:qFormat/>
    <w:rPr>
      <w:b/>
      <w:bCs/>
    </w:rPr>
  </w:style>
  <w:style w:type="character" w:styleId="943" w:customStyle="1">
    <w:name w:val="超链接1"/>
    <w:link w:val="699"/>
    <w:uiPriority w:val="0"/>
    <w:unhideWhenUsed/>
    <w:qFormat/>
    <w:rPr>
      <w:color w:val="0000ff"/>
      <w:u w:val="single"/>
    </w:rPr>
  </w:style>
  <w:style w:type="character" w:styleId="944" w:customStyle="1">
    <w:name w:val="页码1"/>
    <w:link w:val="699"/>
    <w:uiPriority w:val="0"/>
    <w:qFormat/>
  </w:style>
  <w:style w:type="character" w:styleId="945" w:customStyle="1">
    <w:name w:val="强调1"/>
    <w:link w:val="699"/>
    <w:uiPriority w:val="0"/>
    <w:qFormat/>
    <w:rPr>
      <w:i/>
    </w:rPr>
  </w:style>
  <w:style w:type="character" w:styleId="946" w:customStyle="1">
    <w:name w:val="标题 5 字符"/>
    <w:link w:val="928"/>
    <w:uiPriority w:val="0"/>
    <w:semiHidden/>
    <w:qFormat/>
    <w:rPr>
      <w:b/>
      <w:bCs/>
      <w:sz w:val="28"/>
      <w:szCs w:val="28"/>
    </w:rPr>
  </w:style>
  <w:style w:type="character" w:styleId="947" w:customStyle="1">
    <w:name w:val="正文文本缩进 字符"/>
    <w:link w:val="752"/>
    <w:uiPriority w:val="99"/>
    <w:qFormat/>
    <w:rPr>
      <w:rFonts w:ascii="Calibri" w:hAnsi="Calibri"/>
      <w:sz w:val="21"/>
      <w:szCs w:val="24"/>
    </w:rPr>
  </w:style>
  <w:style w:type="character" w:styleId="948" w:customStyle="1">
    <w:name w:val="标题 7 字符"/>
    <w:link w:val="929"/>
    <w:uiPriority w:val="9"/>
    <w:semiHidden/>
    <w:qFormat/>
    <w:rPr>
      <w:rFonts w:ascii="Calibri" w:hAnsi="Calibri"/>
      <w:b/>
      <w:bCs/>
      <w:sz w:val="24"/>
      <w:szCs w:val="24"/>
    </w:rPr>
  </w:style>
  <w:style w:type="character" w:styleId="949" w:customStyle="1">
    <w:name w:val="标题 2 字符"/>
    <w:link w:val="699"/>
    <w:uiPriority w:val="0"/>
    <w:semiHidden/>
    <w:qFormat/>
    <w:rPr>
      <w:rFonts w:ascii="等线 Light" w:hAnsi="等线 Light" w:eastAsia="等线 Light" w:cs="Times New Roman"/>
      <w:b/>
      <w:bCs/>
      <w:sz w:val="32"/>
      <w:szCs w:val="32"/>
    </w:rPr>
  </w:style>
  <w:style w:type="character" w:styleId="950" w:customStyle="1">
    <w:name w:val="正文缩进 字符"/>
    <w:link w:val="951"/>
    <w:uiPriority w:val="0"/>
    <w:qFormat/>
    <w:rPr>
      <w:sz w:val="21"/>
      <w:szCs w:val="24"/>
      <w:lang w:bidi="ar-SA"/>
    </w:rPr>
  </w:style>
  <w:style w:type="paragraph" w:styleId="951" w:customStyle="1">
    <w:name w:val="正文缩进1"/>
    <w:basedOn w:val="699"/>
    <w:link w:val="950"/>
    <w:uiPriority w:val="0"/>
    <w:qFormat/>
    <w:pPr>
      <w:ind w:firstLine="420"/>
    </w:pPr>
  </w:style>
  <w:style w:type="character" w:styleId="952" w:customStyle="1">
    <w:name w:val="fontstyle01"/>
    <w:link w:val="699"/>
    <w:uiPriority w:val="0"/>
    <w:qFormat/>
    <w:rPr>
      <w:rFonts w:ascii="MicrosoftYaHeiLight" w:hAnsi="MicrosoftYaHeiLight"/>
      <w:color w:val="000000"/>
      <w:sz w:val="22"/>
      <w:szCs w:val="22"/>
    </w:rPr>
  </w:style>
  <w:style w:type="character" w:styleId="953" w:customStyle="1">
    <w:name w:val="正文文本首行缩进 2 字符"/>
    <w:link w:val="751"/>
    <w:uiPriority w:val="0"/>
    <w:qFormat/>
  </w:style>
  <w:style w:type="character" w:styleId="954" w:customStyle="1">
    <w:name w:val="标题 1 字符"/>
    <w:link w:val="925"/>
    <w:uiPriority w:val="0"/>
    <w:qFormat/>
    <w:rPr>
      <w:rFonts w:eastAsia="新宋体"/>
      <w:b/>
      <w:bCs/>
      <w:sz w:val="30"/>
      <w:szCs w:val="44"/>
    </w:rPr>
  </w:style>
  <w:style w:type="character" w:styleId="955" w:customStyle="1">
    <w:name w:val="标题 2 字符1"/>
    <w:link w:val="926"/>
    <w:uiPriority w:val="9"/>
    <w:qFormat/>
    <w:rPr>
      <w:rFonts w:ascii="Cambria" w:hAnsi="Cambria"/>
      <w:b/>
      <w:bCs/>
      <w:sz w:val="32"/>
      <w:szCs w:val="32"/>
    </w:rPr>
  </w:style>
  <w:style w:type="character" w:styleId="956" w:customStyle="1">
    <w:name w:val="标题 3 字符"/>
    <w:link w:val="927"/>
    <w:uiPriority w:val="0"/>
    <w:semiHidden/>
    <w:qFormat/>
    <w:rPr>
      <w:b/>
      <w:bCs/>
      <w:sz w:val="32"/>
      <w:szCs w:val="32"/>
    </w:rPr>
  </w:style>
  <w:style w:type="character" w:styleId="957" w:customStyle="1">
    <w:name w:val="标题 4 字符1"/>
    <w:link w:val="767"/>
    <w:uiPriority w:val="9"/>
    <w:semiHidden/>
    <w:qFormat/>
    <w:rPr>
      <w:rFonts w:ascii="Cambria" w:hAnsi="Cambria"/>
      <w:b/>
      <w:bCs/>
      <w:sz w:val="28"/>
      <w:szCs w:val="28"/>
    </w:rPr>
  </w:style>
  <w:style w:type="character" w:styleId="958" w:customStyle="1">
    <w:name w:val="文档结构图 字符1"/>
    <w:link w:val="959"/>
    <w:uiPriority w:val="99"/>
    <w:qFormat/>
    <w:rPr>
      <w:rFonts w:ascii="宋体" w:hAnsi="Calibri"/>
      <w:sz w:val="18"/>
      <w:szCs w:val="18"/>
    </w:rPr>
  </w:style>
  <w:style w:type="paragraph" w:styleId="959" w:customStyle="1">
    <w:name w:val="文档结构图1"/>
    <w:basedOn w:val="699"/>
    <w:link w:val="958"/>
    <w:uiPriority w:val="99"/>
    <w:unhideWhenUsed/>
    <w:qFormat/>
    <w:rPr>
      <w:rFonts w:ascii="宋体" w:hAnsi="Calibri"/>
      <w:sz w:val="18"/>
      <w:szCs w:val="18"/>
    </w:rPr>
  </w:style>
  <w:style w:type="character" w:styleId="960" w:customStyle="1">
    <w:name w:val="批注文字 字符"/>
    <w:link w:val="961"/>
    <w:uiPriority w:val="0"/>
    <w:qFormat/>
    <w:rPr>
      <w:sz w:val="21"/>
      <w:szCs w:val="24"/>
    </w:rPr>
  </w:style>
  <w:style w:type="paragraph" w:styleId="961" w:customStyle="1">
    <w:name w:val="批注文字1"/>
    <w:basedOn w:val="699"/>
    <w:link w:val="960"/>
    <w:uiPriority w:val="0"/>
    <w:qFormat/>
    <w:pPr>
      <w:jc w:val="left"/>
    </w:pPr>
  </w:style>
  <w:style w:type="character" w:styleId="962" w:customStyle="1">
    <w:name w:val="正文文本 字符"/>
    <w:link w:val="749"/>
    <w:uiPriority w:val="1"/>
    <w:qFormat/>
    <w:rPr>
      <w:rFonts w:ascii="Calibri" w:hAnsi="Calibri"/>
      <w:sz w:val="21"/>
      <w:szCs w:val="24"/>
    </w:rPr>
  </w:style>
  <w:style w:type="character" w:styleId="963" w:customStyle="1">
    <w:name w:val="纯文本 字符"/>
    <w:link w:val="964"/>
    <w:uiPriority w:val="0"/>
    <w:qFormat/>
    <w:rPr>
      <w:rFonts w:ascii="宋体" w:hAnsi="Courier New"/>
      <w:sz w:val="21"/>
    </w:rPr>
  </w:style>
  <w:style w:type="paragraph" w:styleId="964" w:customStyle="1">
    <w:name w:val="纯文本1"/>
    <w:basedOn w:val="699"/>
    <w:link w:val="963"/>
    <w:uiPriority w:val="0"/>
    <w:qFormat/>
    <w:rPr>
      <w:rFonts w:ascii="宋体" w:hAnsi="Courier New"/>
      <w:szCs w:val="20"/>
    </w:rPr>
  </w:style>
  <w:style w:type="character" w:styleId="965" w:customStyle="1">
    <w:name w:val="日期 字符"/>
    <w:link w:val="966"/>
    <w:uiPriority w:val="99"/>
    <w:qFormat/>
    <w:rPr>
      <w:rFonts w:eastAsia="仿宋_GB2312"/>
      <w:sz w:val="28"/>
    </w:rPr>
  </w:style>
  <w:style w:type="paragraph" w:styleId="966" w:customStyle="1">
    <w:name w:val="日期1"/>
    <w:basedOn w:val="699"/>
    <w:next w:val="699"/>
    <w:link w:val="965"/>
    <w:uiPriority w:val="99"/>
    <w:qFormat/>
    <w:rPr>
      <w:rFonts w:eastAsia="仿宋_GB2312"/>
      <w:sz w:val="28"/>
      <w:szCs w:val="20"/>
    </w:rPr>
  </w:style>
  <w:style w:type="character" w:styleId="967" w:customStyle="1">
    <w:name w:val="正文文本缩进 2 字符"/>
    <w:link w:val="968"/>
    <w:uiPriority w:val="0"/>
    <w:qFormat/>
    <w:rPr>
      <w:rFonts w:ascii="仿宋_GB2312" w:eastAsia="仿宋_GB2312"/>
      <w:sz w:val="24"/>
      <w:szCs w:val="24"/>
      <w:lang w:bidi="ar-SA"/>
    </w:rPr>
  </w:style>
  <w:style w:type="paragraph" w:styleId="968" w:customStyle="1">
    <w:name w:val="正文文本缩进 21"/>
    <w:basedOn w:val="699"/>
    <w:link w:val="967"/>
    <w:uiPriority w:val="0"/>
    <w:qFormat/>
    <w:pPr>
      <w:ind w:firstLine="475"/>
      <w:spacing w:line="10" w:lineRule="atLeast"/>
    </w:pPr>
    <w:rPr>
      <w:rFonts w:ascii="仿宋_GB2312" w:eastAsia="仿宋_GB2312"/>
      <w:sz w:val="24"/>
    </w:rPr>
  </w:style>
  <w:style w:type="character" w:styleId="969" w:customStyle="1">
    <w:name w:val="批注框文本 字符"/>
    <w:link w:val="970"/>
    <w:uiPriority w:val="0"/>
    <w:qFormat/>
    <w:rPr>
      <w:sz w:val="18"/>
      <w:szCs w:val="18"/>
    </w:rPr>
  </w:style>
  <w:style w:type="paragraph" w:styleId="970" w:customStyle="1">
    <w:name w:val="批注框文本1"/>
    <w:basedOn w:val="699"/>
    <w:link w:val="969"/>
    <w:uiPriority w:val="0"/>
    <w:qFormat/>
    <w:rPr>
      <w:sz w:val="18"/>
      <w:szCs w:val="18"/>
    </w:rPr>
  </w:style>
  <w:style w:type="character" w:styleId="971" w:customStyle="1">
    <w:name w:val="页脚 字符"/>
    <w:link w:val="972"/>
    <w:uiPriority w:val="99"/>
    <w:qFormat/>
    <w:rPr>
      <w:sz w:val="18"/>
      <w:szCs w:val="18"/>
    </w:rPr>
  </w:style>
  <w:style w:type="paragraph" w:styleId="972" w:customStyle="1">
    <w:name w:val="页脚1"/>
    <w:basedOn w:val="699"/>
    <w:link w:val="971"/>
    <w:uiPriority w:val="0"/>
    <w:qFormat/>
    <w:pPr>
      <w:jc w:val="left"/>
      <w:tabs>
        <w:tab w:val="center" w:pos="4153" w:leader="none"/>
        <w:tab w:val="right" w:pos="8306" w:leader="none"/>
      </w:tabs>
    </w:pPr>
    <w:rPr>
      <w:sz w:val="18"/>
      <w:szCs w:val="18"/>
    </w:rPr>
  </w:style>
  <w:style w:type="character" w:styleId="973" w:customStyle="1">
    <w:name w:val="页眉 字符"/>
    <w:link w:val="974"/>
    <w:uiPriority w:val="0"/>
    <w:qFormat/>
    <w:rPr>
      <w:sz w:val="18"/>
      <w:szCs w:val="18"/>
    </w:rPr>
  </w:style>
  <w:style w:type="paragraph" w:styleId="974" w:customStyle="1">
    <w:name w:val="页眉1"/>
    <w:basedOn w:val="699"/>
    <w:link w:val="973"/>
    <w:uiPriority w:val="0"/>
    <w:qFormat/>
    <w:pPr>
      <w:jc w:val="center"/>
      <w:tabs>
        <w:tab w:val="center" w:pos="4153" w:leader="none"/>
        <w:tab w:val="right" w:pos="8306" w:leader="none"/>
      </w:tabs>
      <w:pBdr>
        <w:bottom w:val="single" w:color="000000" w:sz="6" w:space="1"/>
      </w:pBdr>
    </w:pPr>
    <w:rPr>
      <w:sz w:val="18"/>
      <w:szCs w:val="18"/>
    </w:rPr>
  </w:style>
  <w:style w:type="character" w:styleId="975" w:customStyle="1">
    <w:name w:val="批注主题 字符"/>
    <w:link w:val="976"/>
    <w:uiPriority w:val="0"/>
    <w:qFormat/>
    <w:rPr>
      <w:b/>
      <w:bCs/>
      <w:sz w:val="21"/>
      <w:szCs w:val="24"/>
    </w:rPr>
  </w:style>
  <w:style w:type="paragraph" w:styleId="976" w:customStyle="1">
    <w:name w:val="批注主题1"/>
    <w:basedOn w:val="961"/>
    <w:next w:val="961"/>
    <w:link w:val="975"/>
    <w:uiPriority w:val="0"/>
    <w:qFormat/>
    <w:rPr>
      <w:b/>
      <w:bCs/>
    </w:rPr>
  </w:style>
  <w:style w:type="character" w:styleId="977" w:customStyle="1">
    <w:name w:val="正文文本首行缩进 字符1"/>
    <w:link w:val="756"/>
    <w:uiPriority w:val="0"/>
    <w:qFormat/>
    <w:rPr>
      <w:rFonts w:ascii="仿宋_GB2312" w:hAnsi="Times New Roman" w:eastAsia="仿宋_GB2312"/>
      <w:sz w:val="30"/>
      <w:szCs w:val="30"/>
    </w:rPr>
  </w:style>
  <w:style w:type="character" w:styleId="978" w:customStyle="1">
    <w:name w:val="标题 3 Char"/>
    <w:link w:val="699"/>
    <w:uiPriority w:val="9"/>
    <w:qFormat/>
    <w:rPr>
      <w:rFonts w:ascii="Arial" w:hAnsi="Arial" w:eastAsia="宋体" w:cs="Times New Roman"/>
      <w:b/>
      <w:sz w:val="32"/>
      <w:szCs w:val="20"/>
    </w:rPr>
  </w:style>
  <w:style w:type="character" w:styleId="979" w:customStyle="1">
    <w:name w:val="NormalCharacter1"/>
    <w:link w:val="699"/>
    <w:uiPriority w:val="0"/>
    <w:semiHidden/>
    <w:qFormat/>
    <w:rPr>
      <w:sz w:val="28"/>
      <w:lang w:val="en-US" w:eastAsia="zh-CN" w:bidi="ar-SA"/>
    </w:rPr>
  </w:style>
  <w:style w:type="character" w:styleId="980" w:customStyle="1">
    <w:name w:val="font41"/>
    <w:link w:val="699"/>
    <w:uiPriority w:val="0"/>
    <w:qFormat/>
    <w:rPr>
      <w:rFonts w:ascii="Symbol" w:hAnsi="Symbol" w:cs="Symbol"/>
      <w:color w:val="000000"/>
      <w:sz w:val="20"/>
      <w:szCs w:val="20"/>
      <w:u w:val="none"/>
    </w:rPr>
  </w:style>
  <w:style w:type="character" w:styleId="981" w:customStyle="1">
    <w:name w:val="正文首行缩进 2 字符"/>
    <w:link w:val="982"/>
    <w:uiPriority w:val="99"/>
    <w:qFormat/>
    <w:rPr>
      <w:sz w:val="21"/>
      <w:szCs w:val="24"/>
    </w:rPr>
  </w:style>
  <w:style w:type="paragraph" w:styleId="982" w:customStyle="1">
    <w:name w:val="_Style 63"/>
    <w:basedOn w:val="752"/>
    <w:next w:val="699"/>
    <w:link w:val="981"/>
    <w:uiPriority w:val="99"/>
    <w:unhideWhenUsed/>
    <w:qFormat/>
    <w:pPr>
      <w:ind w:firstLine="420"/>
    </w:pPr>
    <w:rPr>
      <w:rFonts w:ascii="Times New Roman" w:hAnsi="Times New Roman"/>
    </w:rPr>
  </w:style>
  <w:style w:type="character" w:styleId="983" w:customStyle="1">
    <w:name w:val="标题 1 Char"/>
    <w:link w:val="699"/>
    <w:uiPriority w:val="9"/>
    <w:qFormat/>
    <w:rPr>
      <w:b/>
      <w:bCs/>
      <w:sz w:val="44"/>
      <w:szCs w:val="44"/>
    </w:rPr>
  </w:style>
  <w:style w:type="character" w:styleId="984" w:customStyle="1">
    <w:name w:val="批注文字 Char"/>
    <w:link w:val="699"/>
    <w:uiPriority w:val="0"/>
    <w:qFormat/>
    <w:rPr>
      <w:rFonts w:ascii="Times New Roman" w:hAnsi="Times New Roman"/>
      <w:sz w:val="21"/>
    </w:rPr>
  </w:style>
  <w:style w:type="character" w:styleId="985" w:customStyle="1">
    <w:name w:val="文档结构图 Char"/>
    <w:link w:val="699"/>
    <w:uiPriority w:val="99"/>
    <w:semiHidden/>
    <w:qFormat/>
    <w:rPr>
      <w:rFonts w:ascii="宋体"/>
      <w:sz w:val="18"/>
      <w:szCs w:val="18"/>
    </w:rPr>
  </w:style>
  <w:style w:type="character" w:styleId="986" w:customStyle="1">
    <w:name w:val="纯文本 Char"/>
    <w:link w:val="699"/>
    <w:uiPriority w:val="0"/>
    <w:qFormat/>
    <w:rPr>
      <w:rFonts w:ascii="宋体" w:hAnsi="Courier New" w:eastAsia="宋体" w:cs="Courier New"/>
      <w:szCs w:val="21"/>
    </w:rPr>
  </w:style>
  <w:style w:type="character" w:styleId="987" w:customStyle="1">
    <w:name w:val="纯文本 Char1"/>
    <w:link w:val="699"/>
    <w:uiPriority w:val="0"/>
    <w:qFormat/>
    <w:rPr>
      <w:rFonts w:ascii="宋体" w:hAnsi="Courier New" w:eastAsia="宋体" w:cs="Times New Roman"/>
      <w:szCs w:val="20"/>
    </w:rPr>
  </w:style>
  <w:style w:type="character" w:styleId="988" w:customStyle="1">
    <w:name w:val="正文文本首行缩进 字符"/>
    <w:link w:val="699"/>
    <w:uiPriority w:val="0"/>
    <w:qFormat/>
  </w:style>
  <w:style w:type="character" w:styleId="989" w:customStyle="1">
    <w:name w:val="页眉 Char"/>
    <w:link w:val="699"/>
    <w:uiPriority w:val="0"/>
    <w:qFormat/>
    <w:rPr>
      <w:sz w:val="18"/>
      <w:szCs w:val="18"/>
    </w:rPr>
  </w:style>
  <w:style w:type="character" w:styleId="990" w:customStyle="1">
    <w:name w:val="日期 Char"/>
    <w:link w:val="699"/>
    <w:uiPriority w:val="99"/>
    <w:semiHidden/>
    <w:qFormat/>
  </w:style>
  <w:style w:type="character" w:styleId="991" w:customStyle="1">
    <w:name w:val="批注框文本 Char"/>
    <w:link w:val="699"/>
    <w:uiPriority w:val="0"/>
    <w:qFormat/>
    <w:rPr>
      <w:sz w:val="18"/>
      <w:szCs w:val="18"/>
    </w:rPr>
  </w:style>
  <w:style w:type="character" w:styleId="992" w:customStyle="1">
    <w:name w:val="apple-converted-space"/>
    <w:link w:val="699"/>
    <w:uiPriority w:val="0"/>
    <w:qFormat/>
  </w:style>
  <w:style w:type="character" w:styleId="993" w:customStyle="1">
    <w:name w:val="批注主题 Char"/>
    <w:link w:val="699"/>
    <w:uiPriority w:val="0"/>
    <w:qFormat/>
    <w:rPr>
      <w:rFonts w:ascii="Times New Roman" w:hAnsi="Times New Roman"/>
      <w:b/>
      <w:bCs/>
      <w:sz w:val="21"/>
    </w:rPr>
  </w:style>
  <w:style w:type="character" w:styleId="994" w:customStyle="1">
    <w:name w:val="标题 4 Char"/>
    <w:link w:val="699"/>
    <w:uiPriority w:val="9"/>
    <w:semiHidden/>
    <w:qFormat/>
    <w:rPr>
      <w:rFonts w:ascii="Cambria" w:hAnsi="Cambria" w:eastAsia="宋体" w:cs="Times New Roman"/>
      <w:b/>
      <w:bCs/>
      <w:sz w:val="28"/>
      <w:szCs w:val="28"/>
    </w:rPr>
  </w:style>
  <w:style w:type="paragraph" w:styleId="995" w:customStyle="1">
    <w:name w:val="索引 41"/>
    <w:basedOn w:val="699"/>
    <w:next w:val="699"/>
    <w:uiPriority w:val="99"/>
    <w:unhideWhenUsed/>
    <w:qFormat/>
    <w:pPr>
      <w:ind w:left="600"/>
    </w:pPr>
    <w:rPr>
      <w:rFonts w:ascii="Calibri" w:hAnsi="Calibri"/>
      <w:szCs w:val="22"/>
    </w:rPr>
  </w:style>
  <w:style w:type="paragraph" w:styleId="996" w:customStyle="1">
    <w:name w:val="索引 11"/>
    <w:basedOn w:val="699"/>
    <w:next w:val="699"/>
    <w:uiPriority w:val="0"/>
    <w:qFormat/>
    <w:pPr>
      <w:jc w:val="center"/>
      <w:tabs>
        <w:tab w:val="left" w:pos="560" w:leader="none"/>
      </w:tabs>
    </w:pPr>
    <w:rPr>
      <w:rFonts w:ascii="宋体" w:hAnsi="宋体"/>
    </w:rPr>
  </w:style>
  <w:style w:type="paragraph" w:styleId="997" w:customStyle="1">
    <w:name w:val="脚注文本11"/>
    <w:basedOn w:val="699"/>
    <w:next w:val="998"/>
    <w:uiPriority w:val="0"/>
    <w:qFormat/>
    <w:pPr>
      <w:jc w:val="left"/>
    </w:pPr>
    <w:rPr>
      <w:rFonts w:ascii="宋体" w:eastAsia="Times New Roman"/>
      <w:sz w:val="18"/>
      <w:szCs w:val="18"/>
    </w:rPr>
  </w:style>
  <w:style w:type="paragraph" w:styleId="998" w:customStyle="1">
    <w:name w:val="索引 511"/>
    <w:basedOn w:val="699"/>
    <w:next w:val="699"/>
    <w:uiPriority w:val="0"/>
    <w:qFormat/>
    <w:pPr>
      <w:ind w:left="798"/>
      <w:jc w:val="left"/>
    </w:pPr>
    <w:rPr>
      <w:rFonts w:ascii="Calibri" w:hAnsi="Calibri"/>
    </w:rPr>
  </w:style>
  <w:style w:type="paragraph" w:styleId="999" w:customStyle="1">
    <w:name w:val="索引标题1"/>
    <w:basedOn w:val="699"/>
    <w:next w:val="996"/>
    <w:uiPriority w:val="0"/>
    <w:qFormat/>
    <w:pPr>
      <w:tabs>
        <w:tab w:val="left" w:pos="560" w:leader="none"/>
      </w:tabs>
    </w:pPr>
    <w:rPr>
      <w:rFonts w:ascii="Arial" w:hAnsi="Arial" w:cs="Arial"/>
      <w:b/>
      <w:bCs/>
    </w:rPr>
  </w:style>
  <w:style w:type="paragraph" w:styleId="1000" w:customStyle="1">
    <w:name w:val="普通(网站)1"/>
    <w:basedOn w:val="699"/>
    <w:uiPriority w:val="99"/>
    <w:qFormat/>
    <w:pPr>
      <w:jc w:val="left"/>
      <w:spacing w:before="100" w:beforeAutospacing="1" w:after="100" w:afterAutospacing="1"/>
      <w:widowControl/>
    </w:pPr>
    <w:rPr>
      <w:rFonts w:ascii="宋体" w:hAnsi="宋体" w:cs="宋体"/>
      <w:sz w:val="24"/>
    </w:rPr>
  </w:style>
  <w:style w:type="paragraph" w:styleId="1001" w:customStyle="1">
    <w:name w:val="标题1"/>
    <w:basedOn w:val="699"/>
    <w:next w:val="699"/>
    <w:uiPriority w:val="10"/>
    <w:qFormat/>
    <w:pPr>
      <w:contextualSpacing/>
      <w:spacing w:before="300" w:after="200"/>
    </w:pPr>
    <w:rPr>
      <w:sz w:val="48"/>
      <w:szCs w:val="48"/>
    </w:rPr>
  </w:style>
  <w:style w:type="paragraph" w:styleId="1002" w:customStyle="1">
    <w:name w:val="_Style 15"/>
    <w:basedOn w:val="699"/>
    <w:next w:val="1003"/>
    <w:uiPriority w:val="34"/>
    <w:qFormat/>
    <w:pPr>
      <w:ind w:firstLine="420"/>
    </w:pPr>
    <w:rPr>
      <w:rFonts w:ascii="Calibri" w:hAnsi="Calibri"/>
      <w:szCs w:val="22"/>
    </w:rPr>
  </w:style>
  <w:style w:type="paragraph" w:styleId="1003" w:customStyle="1">
    <w:name w:val="列表段落"/>
    <w:basedOn w:val="699"/>
    <w:uiPriority w:val="99"/>
    <w:qFormat/>
    <w:pPr>
      <w:ind w:firstLine="420"/>
    </w:pPr>
  </w:style>
  <w:style w:type="paragraph" w:styleId="1004" w:customStyle="1">
    <w:name w:val="179"/>
    <w:basedOn w:val="699"/>
    <w:uiPriority w:val="0"/>
    <w:qFormat/>
    <w:pPr>
      <w:ind w:firstLine="420"/>
      <w:jc w:val="left"/>
      <w:widowControl/>
    </w:pPr>
    <w:rPr>
      <w:rFonts w:ascii="宋体" w:hAnsi="宋体"/>
      <w:sz w:val="24"/>
    </w:rPr>
  </w:style>
  <w:style w:type="paragraph" w:styleId="1005" w:customStyle="1">
    <w:name w:val="UserStyle_1"/>
    <w:basedOn w:val="699"/>
    <w:uiPriority w:val="0"/>
    <w:qFormat/>
    <w:pPr>
      <w:ind w:left="-6" w:hanging="99"/>
      <w:jc w:val="left"/>
    </w:pPr>
    <w:rPr>
      <w:rFonts w:ascii="宋体"/>
      <w:b/>
    </w:rPr>
  </w:style>
  <w:style w:type="paragraph" w:styleId="1006" w:customStyle="1">
    <w:name w:val="_Style 101"/>
    <w:basedOn w:val="699"/>
    <w:next w:val="699"/>
    <w:uiPriority w:val="39"/>
    <w:unhideWhenUsed/>
    <w:qFormat/>
    <w:pPr>
      <w:ind w:left="420"/>
    </w:pPr>
    <w:rPr>
      <w:rFonts w:ascii="Calibri" w:hAnsi="Calibri"/>
      <w:szCs w:val="22"/>
    </w:rPr>
  </w:style>
  <w:style w:type="paragraph" w:styleId="1007" w:customStyle="1">
    <w:name w:val="Heading21"/>
    <w:basedOn w:val="699"/>
    <w:next w:val="699"/>
    <w:uiPriority w:val="0"/>
    <w:qFormat/>
    <w:pPr>
      <w:jc w:val="left"/>
      <w:keepLines/>
      <w:keepNext/>
      <w:spacing w:before="260" w:after="260" w:line="416" w:lineRule="auto"/>
    </w:pPr>
    <w:rPr>
      <w:rFonts w:ascii="Calibri Light" w:hAnsi="Calibri Light"/>
      <w:b/>
      <w:bCs/>
      <w:sz w:val="24"/>
      <w:szCs w:val="32"/>
    </w:rPr>
  </w:style>
  <w:style w:type="paragraph" w:styleId="1008" w:customStyle="1">
    <w:name w:val="样式"/>
    <w:uiPriority w:val="0"/>
    <w:qFormat/>
    <w:pPr>
      <w:widowControl w:val="off"/>
    </w:pPr>
    <w:rPr>
      <w:rFonts w:hint="default" w:ascii="宋体" w:hAnsi="宋体" w:eastAsia="宋体" w:cs="宋体"/>
      <w:sz w:val="24"/>
      <w:szCs w:val="24"/>
      <w:lang w:val="en-US" w:eastAsia="zh-CN" w:bidi="ar-SA"/>
    </w:rPr>
  </w:style>
  <w:style w:type="paragraph" w:styleId="1009" w:customStyle="1">
    <w:name w:val="投标文件正文"/>
    <w:basedOn w:val="699"/>
    <w:uiPriority w:val="0"/>
    <w:qFormat/>
    <w:pPr>
      <w:ind w:firstLine="200"/>
      <w:spacing w:before="40" w:after="40" w:line="400" w:lineRule="exact"/>
    </w:pPr>
    <w:rPr>
      <w:sz w:val="24"/>
    </w:rPr>
  </w:style>
  <w:style w:type="paragraph" w:styleId="1010" w:customStyle="1">
    <w:name w:val="TOC 标题"/>
    <w:basedOn w:val="925"/>
    <w:next w:val="699"/>
    <w:uiPriority w:val="39"/>
    <w:qFormat/>
    <w:pPr>
      <w:jc w:val="left"/>
      <w:spacing w:before="480" w:line="276" w:lineRule="auto"/>
      <w:widowControl/>
      <w:outlineLvl w:val="9"/>
    </w:pPr>
    <w:rPr>
      <w:rFonts w:ascii="Cambria" w:hAnsi="Cambria" w:eastAsia="宋体"/>
      <w:color w:val="365f91"/>
      <w:sz w:val="28"/>
      <w:szCs w:val="28"/>
    </w:rPr>
  </w:style>
  <w:style w:type="paragraph" w:styleId="1011" w:customStyle="1">
    <w:name w:val="NormalIndent1"/>
    <w:basedOn w:val="699"/>
    <w:uiPriority w:val="0"/>
    <w:qFormat/>
    <w:pPr>
      <w:ind w:firstLine="420"/>
    </w:pPr>
    <w:rPr>
      <w:szCs w:val="20"/>
    </w:rPr>
  </w:style>
  <w:style w:type="paragraph" w:styleId="1012" w:customStyle="1">
    <w:name w:val="标题 11"/>
    <w:basedOn w:val="747"/>
    <w:next w:val="747"/>
    <w:uiPriority w:val="0"/>
    <w:qFormat/>
    <w:pPr>
      <w:jc w:val="center"/>
      <w:keepLines/>
      <w:keepNext/>
      <w:spacing w:line="578" w:lineRule="auto"/>
      <w:outlineLvl w:val="0"/>
    </w:pPr>
    <w:rPr>
      <w:rFonts w:eastAsia="新宋体"/>
      <w:b/>
      <w:bCs/>
      <w:sz w:val="30"/>
      <w:szCs w:val="44"/>
    </w:rPr>
  </w:style>
  <w:style w:type="paragraph" w:styleId="1013" w:customStyle="1">
    <w:name w:val="首行缩进"/>
    <w:basedOn w:val="699"/>
    <w:uiPriority w:val="0"/>
    <w:qFormat/>
    <w:pPr>
      <w:ind w:firstLine="480"/>
    </w:pPr>
    <w:rPr>
      <w:szCs w:val="20"/>
      <w:lang w:val="zh-CN"/>
    </w:rPr>
  </w:style>
  <w:style w:type="paragraph" w:styleId="1014" w:customStyle="1">
    <w:name w:val="Other|1"/>
    <w:basedOn w:val="699"/>
    <w:uiPriority w:val="0"/>
    <w:qFormat/>
    <w:pPr>
      <w:ind w:firstLine="400"/>
      <w:spacing w:line="418" w:lineRule="auto"/>
    </w:pPr>
    <w:rPr>
      <w:rFonts w:ascii="宋体" w:hAnsi="宋体" w:cs="宋体"/>
      <w:sz w:val="30"/>
      <w:szCs w:val="30"/>
      <w:lang w:val="zh-TW" w:eastAsia="zh-TW" w:bidi="zh-TW"/>
    </w:rPr>
  </w:style>
  <w:style w:type="paragraph" w:styleId="1015" w:customStyle="1">
    <w:name w:val="BodyTextIndent1"/>
    <w:basedOn w:val="699"/>
    <w:uiPriority w:val="0"/>
    <w:qFormat/>
    <w:pPr>
      <w:ind w:left="420"/>
      <w:spacing w:after="120"/>
    </w:pPr>
    <w:rPr>
      <w:sz w:val="28"/>
      <w:szCs w:val="20"/>
    </w:rPr>
  </w:style>
  <w:style w:type="paragraph" w:styleId="101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7" w:customStyle="1">
    <w:name w:val="p0"/>
    <w:basedOn w:val="747"/>
    <w:uiPriority w:val="0"/>
    <w:qFormat/>
    <w:pPr>
      <w:widowControl/>
    </w:pPr>
    <w:rPr>
      <w:szCs w:val="21"/>
    </w:rPr>
  </w:style>
  <w:style w:type="paragraph" w:styleId="101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9" w:customStyle="1">
    <w:name w:val="one-p"/>
    <w:basedOn w:val="699"/>
    <w:uiPriority w:val="0"/>
    <w:qFormat/>
    <w:pPr>
      <w:jc w:val="left"/>
      <w:spacing w:before="100" w:beforeAutospacing="1" w:after="100" w:afterAutospacing="1"/>
      <w:widowControl/>
    </w:pPr>
    <w:rPr>
      <w:rFonts w:ascii="宋体" w:hAnsi="宋体" w:cs="宋体"/>
      <w:sz w:val="24"/>
    </w:rPr>
  </w:style>
  <w:style w:type="paragraph" w:styleId="1020" w:customStyle="1">
    <w:name w:val="列出段落1"/>
    <w:basedOn w:val="699"/>
    <w:uiPriority w:val="0"/>
    <w:qFormat/>
    <w:pPr>
      <w:ind w:firstLine="420"/>
    </w:pPr>
    <w:rPr>
      <w:rFonts w:ascii="Calibri" w:hAnsi="Calibri"/>
    </w:rPr>
  </w:style>
  <w:style w:type="table" w:styleId="1021" w:customStyle="1">
    <w:name w:val="网格型11"/>
    <w:basedOn w:val="931"/>
    <w:uiPriority w:val="99"/>
    <w:qFormat/>
    <w:pPr>
      <w:jc w:val="both"/>
      <w:widowControl w:val="off"/>
    </w:pPr>
    <w:tblPr/>
  </w:style>
  <w:style w:type="table" w:styleId="1022" w:customStyle="1">
    <w:name w:val="网格型1"/>
    <w:basedOn w:val="931"/>
    <w:uiPriority w:val="59"/>
    <w:qFormat/>
    <w:pPr>
      <w:jc w:val="both"/>
      <w:widowControl w:val="off"/>
    </w:pPr>
    <w:tblPr/>
  </w:style>
  <w:style w:type="table" w:styleId="1023" w:customStyle="1">
    <w:name w:val="Table Normal"/>
    <w:uiPriority w:val="2"/>
    <w:semiHidden/>
    <w:unhideWhenUsed/>
    <w:qFormat/>
    <w:tblPr>
      <w:tblCellMar>
        <w:left w:w="0" w:type="dxa"/>
        <w:top w:w="0" w:type="dxa"/>
        <w:right w:w="0" w:type="dxa"/>
        <w:bottom w:w="0" w:type="dxa"/>
      </w:tblCellMar>
    </w:tblPr>
  </w:style>
  <w:style w:type="paragraph" w:styleId="1024" w:customStyle="1">
    <w:name w:val="Table Paragraph"/>
    <w:basedOn w:val="699"/>
    <w:uiPriority w:val="1"/>
    <w:qFormat/>
    <w:pPr>
      <w:ind w:left="108"/>
    </w:pPr>
  </w:style>
  <w:style w:type="paragraph" w:styleId="1025" w:customStyle="1">
    <w:name w:val="纯文本2"/>
    <w:basedOn w:val="699"/>
    <w:uiPriority w:val="0"/>
    <w:qFormat/>
    <w:rPr>
      <w:rFonts w:ascii="宋体" w:hAnsi="Courier New"/>
    </w:rPr>
  </w:style>
  <w:style w:type="paragraph" w:styleId="1026" w:customStyle="1">
    <w:name w:val="qowt-stl-正文"/>
    <w:basedOn w:val="699"/>
    <w:uiPriority w:val="0"/>
    <w:qFormat/>
    <w:pPr>
      <w:spacing w:before="100" w:beforeAutospacing="1" w:after="100" w:afterAutospacing="1"/>
    </w:pPr>
    <w:rPr>
      <w:rFonts w:ascii="宋体" w:hAnsi="宋体" w:cs="宋体"/>
      <w:sz w:val="24"/>
    </w:rPr>
  </w:style>
  <w:style w:type="character" w:styleId="1027" w:customStyle="1">
    <w:name w:val="qowt-font2"/>
    <w:uiPriority w:val="0"/>
    <w:qFormat/>
  </w:style>
  <w:style w:type="table" w:styleId="1028" w:customStyle="1">
    <w:name w:val="网格型111"/>
    <w:uiPriority w:val="0"/>
    <w:qFormat/>
    <w:rPr>
      <w:lang w:val="en-US" w:eastAsia="zh-CN" w:bidi="ar-SA"/>
    </w:rPr>
    <w:tblPr/>
  </w:style>
  <w:style w:type="paragraph" w:styleId="1029"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缩进）"/>
    <w:basedOn w:val="699"/>
    <w:uiPriority w:val="0"/>
    <w:qFormat/>
    <w:rPr>
      <w:rFonts w:hint="eastAsia" w:ascii="宋体"/>
      <w:szCs w:val="21"/>
    </w:rPr>
  </w:style>
  <w:style w:type="paragraph" w:styleId="1032" w:customStyle="1">
    <w:name w:val="正文 New"/>
    <w:uiPriority w:val="0"/>
    <w:qFormat/>
    <w:pPr>
      <w:jc w:val="both"/>
      <w:widowControl w:val="off"/>
    </w:pPr>
    <w:rPr>
      <w:rFonts w:hint="default" w:ascii="Georgia" w:hAnsi="Georgia" w:eastAsia="等线" w:cs="Georgia"/>
      <w:sz w:val="21"/>
      <w:lang w:val="en-US" w:eastAsia="zh-CN" w:bidi="ar-SA"/>
    </w:rPr>
  </w:style>
  <w:style w:type="paragraph" w:styleId="1033" w:customStyle="1">
    <w:name w:val="纯文本11"/>
    <w:basedOn w:val="699"/>
    <w:uiPriority w:val="0"/>
    <w:qFormat/>
    <w:rPr>
      <w:rFonts w:ascii="宋体" w:hAnsi="Courier New"/>
      <w:szCs w:val="21"/>
    </w:rPr>
  </w:style>
  <w:style w:type="character" w:styleId="1034" w:customStyle="1">
    <w:name w:val="wyg1"/>
    <w:uiPriority w:val="99"/>
    <w:qFormat/>
    <w:rPr>
      <w:color w:val="000000"/>
      <w:sz w:val="20"/>
      <w:u w:val="none"/>
    </w:rPr>
  </w:style>
  <w:style w:type="character" w:styleId="1035" w:customStyle="1">
    <w:name w:val="font21"/>
    <w:basedOn w:val="709"/>
    <w:uiPriority w:val="0"/>
    <w:qFormat/>
    <w:rPr>
      <w:rFonts w:hint="eastAsia" w:ascii="宋体" w:hAnsi="宋体" w:eastAsia="宋体" w:cs="宋体"/>
      <w:color w:val="000000"/>
      <w:sz w:val="22"/>
      <w:szCs w:val="22"/>
      <w:u w:val="none"/>
    </w:rPr>
  </w:style>
  <w:style w:type="paragraph" w:styleId="1036" w:customStyle="1">
    <w:name w:val="页眉11"/>
    <w:basedOn w:val="699"/>
    <w:uiPriority w:val="0"/>
    <w:qFormat/>
    <w:pPr>
      <w:jc w:val="center"/>
      <w:tabs>
        <w:tab w:val="center" w:pos="4153" w:leader="none"/>
        <w:tab w:val="right" w:pos="8306" w:leader="none"/>
      </w:tabs>
      <w:pBdr>
        <w:bottom w:val="single" w:color="000000" w:sz="6" w:space="1"/>
      </w:pBdr>
    </w:pPr>
    <w:rPr>
      <w:sz w:val="18"/>
      <w:szCs w:val="18"/>
    </w:rPr>
  </w:style>
  <w:style w:type="paragraph" w:styleId="1037" w:customStyle="1">
    <w:name w:val="页脚11"/>
    <w:basedOn w:val="699"/>
    <w:uiPriority w:val="0"/>
    <w:qFormat/>
    <w:pPr>
      <w:jc w:val="left"/>
      <w:tabs>
        <w:tab w:val="center" w:pos="4153" w:leader="none"/>
        <w:tab w:val="right" w:pos="8306" w:leader="none"/>
      </w:tabs>
    </w:pPr>
    <w:rPr>
      <w:sz w:val="18"/>
      <w:szCs w:val="18"/>
    </w:rPr>
  </w:style>
  <w:style w:type="paragraph" w:styleId="1038" w:customStyle="1">
    <w:name w:val="BodyText1I"/>
    <w:basedOn w:val="1039"/>
    <w:next w:val="748"/>
    <w:uiPriority w:val="0"/>
    <w:qFormat/>
    <w:pPr>
      <w:ind w:firstLine="420"/>
    </w:pPr>
  </w:style>
  <w:style w:type="paragraph" w:styleId="1039" w:customStyle="1">
    <w:name w:val="BodyText"/>
    <w:basedOn w:val="748"/>
    <w:next w:val="748"/>
    <w:uiPriority w:val="0"/>
    <w:qFormat/>
    <w:pPr>
      <w:spacing w:after="120"/>
    </w:pPr>
  </w:style>
  <w:style w:type="paragraph" w:styleId="1040" w:customStyle="1">
    <w:name w:val="目录 112"/>
    <w:basedOn w:val="699"/>
    <w:next w:val="699"/>
    <w:uiPriority w:val="39"/>
    <w:unhideWhenUsed/>
    <w:qFormat/>
    <w:pPr>
      <w:spacing w:after="57"/>
    </w:pPr>
  </w:style>
  <w:style w:type="paragraph" w:styleId="1041" w:customStyle="1">
    <w:name w:val="普通(网站)11"/>
    <w:basedOn w:val="699"/>
    <w:uiPriority w:val="0"/>
    <w:qFormat/>
    <w:pPr>
      <w:jc w:val="left"/>
      <w:spacing w:beforeAutospacing="1" w:afterAutospacing="1"/>
    </w:pPr>
    <w:rPr>
      <w:sz w:val="24"/>
    </w:rPr>
  </w:style>
  <w:style w:type="paragraph" w:styleId="1042" w:customStyle="1">
    <w:name w:val="文本块12"/>
    <w:basedOn w:val="699"/>
    <w:uiPriority w:val="0"/>
    <w:qFormat/>
    <w:pPr>
      <w:ind w:left="567" w:right="454" w:firstLine="498"/>
    </w:pPr>
    <w:rPr>
      <w:rFonts w:ascii="仿宋_GB2312" w:eastAsia="仿宋_GB2312"/>
      <w:sz w:val="30"/>
    </w:rPr>
  </w:style>
  <w:style w:type="table" w:styleId="1043" w:customStyle="1">
    <w:name w:val="网格型12"/>
    <w:uiPriority w:val="59"/>
    <w:qFormat/>
    <w:tbl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吕碧</cp:lastModifiedBy>
  <cp:revision>4</cp:revision>
  <dcterms:created xsi:type="dcterms:W3CDTF">2021-12-14T11:51:00Z</dcterms:created>
  <dcterms:modified xsi:type="dcterms:W3CDTF">2026-08-10T08:51:02Z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EAE92F888BA64B69BFA24CA8A36AFE96_13</vt:lpwstr>
  </property>
  <property fmtid="{D5CDD505-2E9C-101B-9397-08002B2CF9AE}" pid="4" name="KSOTemplateDocerSaveRecord">
    <vt:lpwstr>eyJoZGlkIjoiNWYzMzQwNTY4ZDc1OWYxYTFiMzg4MzRhNWY0ZWUyN2YiLCJ1c2VySWQiOiIzMTYyODU4NjQifQ==</vt:lpwstr>
  </property>
</Properties>
</file>