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D6D715">
      <w:pPr>
        <w:widowControl/>
        <w:spacing w:line="520" w:lineRule="atLeast"/>
        <w:ind w:left="-199" w:firstLine="199"/>
        <w:jc w:val="left"/>
        <w:rPr>
          <w:rFonts w:hint="eastAsia" w:ascii="宋体" w:hAnsi="宋体" w:cs="宋体"/>
          <w:color w:val="000000" w:themeColor="text1"/>
          <w:szCs w:val="21"/>
          <w:highlight w:val="none"/>
          <w14:textFill>
            <w14:solidFill>
              <w14:schemeClr w14:val="tx1"/>
            </w14:solidFill>
          </w14:textFill>
        </w:rPr>
      </w:pPr>
    </w:p>
    <w:p w14:paraId="75BEB892">
      <w:pPr>
        <w:widowControl/>
        <w:spacing w:line="520" w:lineRule="atLeast"/>
        <w:jc w:val="left"/>
        <w:rPr>
          <w:rFonts w:hint="eastAsia" w:ascii="宋体" w:hAnsi="宋体" w:cs="宋体"/>
          <w:color w:val="000000" w:themeColor="text1"/>
          <w:szCs w:val="21"/>
          <w:highlight w:val="none"/>
          <w14:textFill>
            <w14:solidFill>
              <w14:schemeClr w14:val="tx1"/>
            </w14:solidFill>
          </w14:textFill>
        </w:rPr>
      </w:pPr>
    </w:p>
    <w:p w14:paraId="74B13F1C">
      <w:pPr>
        <w:widowControl/>
        <w:spacing w:line="520" w:lineRule="atLeast"/>
        <w:jc w:val="left"/>
        <w:rPr>
          <w:rFonts w:hint="eastAsia" w:ascii="宋体" w:hAnsi="宋体" w:cs="宋体"/>
          <w:color w:val="000000" w:themeColor="text1"/>
          <w:szCs w:val="21"/>
          <w:highlight w:val="none"/>
          <w14:textFill>
            <w14:solidFill>
              <w14:schemeClr w14:val="tx1"/>
            </w14:solidFill>
          </w14:textFill>
        </w:rPr>
      </w:pPr>
    </w:p>
    <w:p w14:paraId="4F324941">
      <w:pPr>
        <w:tabs>
          <w:tab w:val="left" w:pos="168"/>
          <w:tab w:val="center" w:pos="4422"/>
        </w:tabs>
        <w:spacing w:before="100" w:after="100" w:line="360" w:lineRule="auto"/>
        <w:ind w:left="-420" w:right="-1039"/>
        <w:jc w:val="center"/>
        <w:rPr>
          <w:rFonts w:hint="eastAsia" w:ascii="宋体" w:hAnsi="宋体" w:cs="宋体"/>
          <w:b/>
          <w:color w:val="000000" w:themeColor="text1"/>
          <w:sz w:val="56"/>
          <w:szCs w:val="56"/>
          <w:highlight w:val="none"/>
          <w14:textFill>
            <w14:solidFill>
              <w14:schemeClr w14:val="tx1"/>
            </w14:solidFill>
          </w14:textFill>
        </w:rPr>
      </w:pPr>
      <w:r>
        <w:rPr>
          <w:rFonts w:hint="eastAsia" w:ascii="宋体" w:hAnsi="宋体" w:cs="宋体"/>
          <w:b/>
          <w:color w:val="000000" w:themeColor="text1"/>
          <w:sz w:val="56"/>
          <w:szCs w:val="56"/>
          <w:highlight w:val="none"/>
          <w14:textFill>
            <w14:solidFill>
              <w14:schemeClr w14:val="tx1"/>
            </w14:solidFill>
          </w14:textFill>
        </w:rPr>
        <w:t>南京鼓楼医院</w:t>
      </w:r>
    </w:p>
    <w:p w14:paraId="3FCEE7A7">
      <w:pPr>
        <w:tabs>
          <w:tab w:val="left" w:pos="168"/>
          <w:tab w:val="center" w:pos="4422"/>
        </w:tabs>
        <w:spacing w:before="100" w:after="100" w:line="360" w:lineRule="auto"/>
        <w:ind w:left="-420" w:right="-1039"/>
        <w:jc w:val="center"/>
        <w:rPr>
          <w:rFonts w:hint="eastAsia" w:ascii="宋体" w:hAnsi="宋体" w:cs="宋体"/>
          <w:b/>
          <w:color w:val="000000" w:themeColor="text1"/>
          <w:sz w:val="56"/>
          <w:szCs w:val="56"/>
          <w:highlight w:val="none"/>
          <w14:textFill>
            <w14:solidFill>
              <w14:schemeClr w14:val="tx1"/>
            </w14:solidFill>
          </w14:textFill>
        </w:rPr>
      </w:pPr>
      <w:r>
        <w:rPr>
          <w:rFonts w:hint="eastAsia" w:ascii="宋体" w:hAnsi="宋体" w:cs="宋体"/>
          <w:b/>
          <w:color w:val="000000" w:themeColor="text1"/>
          <w:sz w:val="56"/>
          <w:szCs w:val="56"/>
          <w:highlight w:val="none"/>
          <w14:textFill>
            <w14:solidFill>
              <w14:schemeClr w14:val="tx1"/>
            </w14:solidFill>
          </w14:textFill>
        </w:rPr>
        <w:t>3D外视镜系统采购项目</w:t>
      </w:r>
    </w:p>
    <w:p w14:paraId="78F704B8">
      <w:pPr>
        <w:pStyle w:val="22"/>
        <w:ind w:firstLine="1493"/>
        <w:rPr>
          <w:rFonts w:hint="eastAsia" w:hAnsi="宋体" w:cs="宋体"/>
          <w:b/>
          <w:color w:val="000000" w:themeColor="text1"/>
          <w:sz w:val="84"/>
          <w:szCs w:val="84"/>
          <w:highlight w:val="none"/>
          <w14:textFill>
            <w14:solidFill>
              <w14:schemeClr w14:val="tx1"/>
            </w14:solidFill>
          </w14:textFill>
        </w:rPr>
      </w:pPr>
    </w:p>
    <w:p w14:paraId="05E2DBE0">
      <w:pPr>
        <w:pStyle w:val="22"/>
        <w:ind w:firstLine="1493"/>
        <w:jc w:val="center"/>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招 标 文 件</w:t>
      </w:r>
    </w:p>
    <w:p w14:paraId="07DCA53A">
      <w:pPr>
        <w:spacing w:line="440" w:lineRule="exact"/>
        <w:ind w:firstLine="1706"/>
        <w:jc w:val="center"/>
        <w:rPr>
          <w:rFonts w:hint="eastAsia" w:ascii="宋体" w:hAnsi="宋体" w:cs="宋体"/>
          <w:b/>
          <w:color w:val="000000" w:themeColor="text1"/>
          <w:sz w:val="96"/>
          <w:highlight w:val="none"/>
          <w14:textFill>
            <w14:solidFill>
              <w14:schemeClr w14:val="tx1"/>
            </w14:solidFill>
          </w14:textFill>
        </w:rPr>
      </w:pPr>
    </w:p>
    <w:p w14:paraId="58075706">
      <w:pPr>
        <w:spacing w:line="360" w:lineRule="auto"/>
        <w:ind w:right="640" w:firstLine="569"/>
        <w:jc w:val="center"/>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项目编号：</w:t>
      </w:r>
      <w:r>
        <w:rPr>
          <w:rFonts w:hint="eastAsia" w:ascii="宋体" w:hAnsi="宋体" w:cs="宋体"/>
          <w:b/>
          <w:color w:val="000000" w:themeColor="text1"/>
          <w:sz w:val="32"/>
          <w:szCs w:val="32"/>
          <w:highlight w:val="none"/>
          <w:lang w:eastAsia="zh-CN"/>
          <w14:textFill>
            <w14:solidFill>
              <w14:schemeClr w14:val="tx1"/>
            </w14:solidFill>
          </w14:textFill>
        </w:rPr>
        <w:t>JSZC-320100-JITC-G2026-0298</w:t>
      </w:r>
    </w:p>
    <w:p w14:paraId="0D68AF7D">
      <w:pPr>
        <w:spacing w:line="360" w:lineRule="auto"/>
        <w:ind w:right="640" w:firstLine="566"/>
        <w:rPr>
          <w:rFonts w:hint="eastAsia" w:ascii="宋体" w:hAnsi="宋体" w:cs="宋体"/>
          <w:color w:val="000000" w:themeColor="text1"/>
          <w:sz w:val="32"/>
          <w:highlight w:val="none"/>
          <w14:textFill>
            <w14:solidFill>
              <w14:schemeClr w14:val="tx1"/>
            </w14:solidFill>
          </w14:textFill>
        </w:rPr>
      </w:pPr>
    </w:p>
    <w:p w14:paraId="77DF5E3F">
      <w:pPr>
        <w:spacing w:line="360" w:lineRule="auto"/>
        <w:ind w:right="640" w:firstLine="566"/>
        <w:rPr>
          <w:rFonts w:hint="eastAsia" w:ascii="宋体" w:hAnsi="宋体" w:cs="宋体"/>
          <w:color w:val="000000" w:themeColor="text1"/>
          <w:sz w:val="32"/>
          <w:highlight w:val="none"/>
          <w14:textFill>
            <w14:solidFill>
              <w14:schemeClr w14:val="tx1"/>
            </w14:solidFill>
          </w14:textFill>
        </w:rPr>
      </w:pPr>
    </w:p>
    <w:p w14:paraId="0761D45B">
      <w:pPr>
        <w:spacing w:line="360" w:lineRule="auto"/>
        <w:ind w:right="640" w:firstLine="566"/>
        <w:rPr>
          <w:rFonts w:hint="eastAsia" w:ascii="宋体" w:hAnsi="宋体" w:cs="宋体"/>
          <w:color w:val="000000" w:themeColor="text1"/>
          <w:sz w:val="32"/>
          <w:highlight w:val="none"/>
          <w14:textFill>
            <w14:solidFill>
              <w14:schemeClr w14:val="tx1"/>
            </w14:solidFill>
          </w14:textFill>
        </w:rPr>
      </w:pPr>
    </w:p>
    <w:p w14:paraId="59D45D86">
      <w:pPr>
        <w:spacing w:line="360" w:lineRule="auto"/>
        <w:ind w:right="640" w:firstLine="566"/>
        <w:rPr>
          <w:rFonts w:hint="eastAsia" w:ascii="宋体" w:hAnsi="宋体" w:cs="宋体"/>
          <w:color w:val="000000" w:themeColor="text1"/>
          <w:sz w:val="32"/>
          <w:highlight w:val="none"/>
          <w14:textFill>
            <w14:solidFill>
              <w14:schemeClr w14:val="tx1"/>
            </w14:solidFill>
          </w14:textFill>
        </w:rPr>
      </w:pPr>
    </w:p>
    <w:p w14:paraId="47EE28B9">
      <w:pPr>
        <w:tabs>
          <w:tab w:val="left" w:pos="360"/>
        </w:tabs>
        <w:spacing w:line="360" w:lineRule="auto"/>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采购人：南京鼓楼医院</w:t>
      </w:r>
    </w:p>
    <w:p w14:paraId="40360DD4">
      <w:pPr>
        <w:tabs>
          <w:tab w:val="left" w:pos="360"/>
        </w:tabs>
        <w:spacing w:line="360" w:lineRule="auto"/>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采购代理机构：江苏省招标中心有限公司</w:t>
      </w:r>
    </w:p>
    <w:p w14:paraId="5C236A46">
      <w:pPr>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二〇二六年八月</w:t>
      </w:r>
    </w:p>
    <w:p w14:paraId="4AAB01FF">
      <w:pPr>
        <w:spacing w:line="500" w:lineRule="exact"/>
        <w:ind w:firstLine="569"/>
        <w:rPr>
          <w:rFonts w:hint="eastAsia" w:ascii="宋体" w:hAnsi="宋体" w:cs="宋体"/>
          <w:b/>
          <w:color w:val="000000" w:themeColor="text1"/>
          <w:sz w:val="32"/>
          <w:szCs w:val="32"/>
          <w:highlight w:val="none"/>
          <w14:textFill>
            <w14:solidFill>
              <w14:schemeClr w14:val="tx1"/>
            </w14:solidFill>
          </w14:textFill>
        </w:rPr>
        <w:sectPr>
          <w:headerReference r:id="rId3" w:type="default"/>
          <w:footerReference r:id="rId4" w:type="default"/>
          <w:pgSz w:w="11906" w:h="16838"/>
          <w:pgMar w:top="1474" w:right="1935" w:bottom="1474" w:left="1351" w:header="737" w:footer="992" w:gutter="0"/>
          <w:cols w:space="720" w:num="1"/>
          <w:docGrid w:linePitch="360" w:charSpace="0"/>
        </w:sectPr>
      </w:pPr>
      <w:bookmarkStart w:id="0" w:name="_Toc80264696"/>
      <w:bookmarkStart w:id="1" w:name="_Toc531620161"/>
    </w:p>
    <w:p w14:paraId="11746EBA">
      <w:pPr>
        <w:spacing w:line="360" w:lineRule="auto"/>
        <w:ind w:firstLine="569"/>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目   录</w:t>
      </w:r>
    </w:p>
    <w:p w14:paraId="3B0339FA">
      <w:pPr>
        <w:pStyle w:val="235"/>
        <w:tabs>
          <w:tab w:val="right" w:leader="dot" w:pos="8834"/>
        </w:tabs>
        <w:spacing w:line="360" w:lineRule="auto"/>
        <w:ind w:firstLine="426"/>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p>
    <w:p w14:paraId="67FA15FB">
      <w:pPr>
        <w:pStyle w:val="235"/>
        <w:tabs>
          <w:tab w:val="left" w:pos="780"/>
          <w:tab w:val="right" w:leader="dot" w:pos="8834"/>
        </w:tabs>
        <w:spacing w:line="360" w:lineRule="auto"/>
        <w:rPr>
          <w:rFonts w:hint="eastAsia" w:ascii="宋体" w:hAnsi="宋体" w:eastAsia="宋体" w:cs="宋体"/>
          <w:b/>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"_Toc107246211" \o "#_Toc107246211" </w:instrText>
      </w:r>
      <w:r>
        <w:rPr>
          <w:highlight w:val="none"/>
        </w:rPr>
        <w:fldChar w:fldCharType="separate"/>
      </w:r>
      <w:r>
        <w:rPr>
          <w:rStyle w:val="50"/>
          <w:rFonts w:hint="eastAsia" w:ascii="宋体" w:hAnsi="宋体" w:eastAsia="宋体" w:cs="宋体"/>
          <w:b/>
          <w:color w:val="000000" w:themeColor="text1"/>
          <w:highlight w:val="none"/>
          <w14:textFill>
            <w14:solidFill>
              <w14:schemeClr w14:val="tx1"/>
            </w14:solidFill>
          </w14:textFill>
        </w:rPr>
        <w:t>第一章</w:t>
      </w:r>
      <w:r>
        <w:rPr>
          <w:rFonts w:hint="eastAsia" w:ascii="宋体" w:hAnsi="宋体" w:eastAsia="宋体" w:cs="宋体"/>
          <w:b/>
          <w:color w:val="000000" w:themeColor="text1"/>
          <w:highlight w:val="none"/>
          <w14:textFill>
            <w14:solidFill>
              <w14:schemeClr w14:val="tx1"/>
            </w14:solidFill>
          </w14:textFill>
        </w:rPr>
        <w:tab/>
      </w:r>
      <w:r>
        <w:rPr>
          <w:rStyle w:val="50"/>
          <w:rFonts w:hint="eastAsia" w:ascii="宋体" w:hAnsi="宋体" w:eastAsia="宋体" w:cs="宋体"/>
          <w:b/>
          <w:color w:val="000000" w:themeColor="text1"/>
          <w:highlight w:val="none"/>
          <w14:textFill>
            <w14:solidFill>
              <w14:schemeClr w14:val="tx1"/>
            </w14:solidFill>
          </w14:textFill>
        </w:rPr>
        <w:t>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p>
    <w:p w14:paraId="2A477987">
      <w:pPr>
        <w:pStyle w:val="235"/>
        <w:tabs>
          <w:tab w:val="left" w:pos="780"/>
          <w:tab w:val="right" w:leader="dot" w:pos="8834"/>
        </w:tabs>
        <w:spacing w:line="360" w:lineRule="auto"/>
        <w:rPr>
          <w:rFonts w:hint="eastAsia" w:ascii="宋体" w:hAnsi="宋体" w:eastAsia="宋体" w:cs="宋体"/>
          <w:b/>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"_Toc107246212" \o "#_Toc107246212" </w:instrText>
      </w:r>
      <w:r>
        <w:rPr>
          <w:highlight w:val="none"/>
        </w:rPr>
        <w:fldChar w:fldCharType="separate"/>
      </w:r>
      <w:r>
        <w:rPr>
          <w:rStyle w:val="50"/>
          <w:rFonts w:hint="eastAsia" w:ascii="宋体" w:hAnsi="宋体" w:eastAsia="宋体" w:cs="宋体"/>
          <w:b/>
          <w:color w:val="000000" w:themeColor="text1"/>
          <w:highlight w:val="none"/>
          <w14:textFill>
            <w14:solidFill>
              <w14:schemeClr w14:val="tx1"/>
            </w14:solidFill>
          </w14:textFill>
        </w:rPr>
        <w:t>第二章</w:t>
      </w:r>
      <w:r>
        <w:rPr>
          <w:rFonts w:hint="eastAsia" w:ascii="宋体" w:hAnsi="宋体" w:eastAsia="宋体" w:cs="宋体"/>
          <w:b/>
          <w:color w:val="000000" w:themeColor="text1"/>
          <w:highlight w:val="none"/>
          <w14:textFill>
            <w14:solidFill>
              <w14:schemeClr w14:val="tx1"/>
            </w14:solidFill>
          </w14:textFill>
        </w:rPr>
        <w:tab/>
      </w:r>
      <w:r>
        <w:rPr>
          <w:rStyle w:val="50"/>
          <w:rFonts w:hint="eastAsia" w:ascii="宋体" w:hAnsi="宋体" w:eastAsia="宋体" w:cs="宋体"/>
          <w:b/>
          <w:color w:val="000000" w:themeColor="text1"/>
          <w:highlight w:val="none"/>
          <w14:textFill>
            <w14:solidFill>
              <w14:schemeClr w14:val="tx1"/>
            </w14:solidFill>
          </w14:textFill>
        </w:rPr>
        <w:t>投标人须知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p>
    <w:p w14:paraId="3C79DA94">
      <w:pPr>
        <w:pStyle w:val="235"/>
        <w:tabs>
          <w:tab w:val="right" w:leader="dot" w:pos="8834"/>
        </w:tabs>
        <w:spacing w:line="360" w:lineRule="auto"/>
        <w:rPr>
          <w:rFonts w:hint="eastAsia" w:ascii="宋体" w:hAnsi="宋体" w:eastAsia="宋体" w:cs="宋体"/>
          <w:b/>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"_Toc107246270" \o "#_Toc107246270" </w:instrText>
      </w:r>
      <w:r>
        <w:rPr>
          <w:highlight w:val="none"/>
        </w:rPr>
        <w:fldChar w:fldCharType="separate"/>
      </w:r>
      <w:r>
        <w:rPr>
          <w:rStyle w:val="50"/>
          <w:rFonts w:hint="eastAsia" w:ascii="宋体" w:hAnsi="宋体" w:eastAsia="宋体" w:cs="宋体"/>
          <w:b/>
          <w:color w:val="000000" w:themeColor="text1"/>
          <w:highlight w:val="none"/>
          <w14:textFill>
            <w14:solidFill>
              <w14:schemeClr w14:val="tx1"/>
            </w14:solidFill>
          </w14:textFill>
        </w:rPr>
        <w:t>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29</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p>
    <w:p w14:paraId="29CA789F">
      <w:pPr>
        <w:pStyle w:val="235"/>
        <w:tabs>
          <w:tab w:val="right" w:leader="dot" w:pos="8834"/>
        </w:tabs>
        <w:spacing w:line="360" w:lineRule="auto"/>
        <w:rPr>
          <w:rFonts w:hint="eastAsia" w:ascii="宋体" w:hAnsi="宋体" w:eastAsia="宋体" w:cs="宋体"/>
          <w:b/>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"_Toc107246271" \o "#_Toc107246271" </w:instrText>
      </w:r>
      <w:r>
        <w:rPr>
          <w:highlight w:val="none"/>
        </w:rPr>
        <w:fldChar w:fldCharType="separate"/>
      </w:r>
      <w:r>
        <w:rPr>
          <w:rStyle w:val="50"/>
          <w:rFonts w:hint="eastAsia" w:ascii="宋体" w:hAnsi="宋体" w:eastAsia="宋体" w:cs="宋体"/>
          <w:b/>
          <w:color w:val="000000" w:themeColor="text1"/>
          <w:highlight w:val="none"/>
          <w14:textFill>
            <w14:solidFill>
              <w14:schemeClr w14:val="tx1"/>
            </w14:solidFill>
          </w14:textFill>
        </w:rPr>
        <w:t>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38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p>
    <w:p w14:paraId="14FFB4B1">
      <w:pPr>
        <w:pStyle w:val="235"/>
        <w:tabs>
          <w:tab w:val="right" w:leader="dot" w:pos="8834"/>
        </w:tabs>
        <w:spacing w:line="360" w:lineRule="auto"/>
        <w:rPr>
          <w:rFonts w:hint="eastAsia" w:ascii="宋体" w:hAnsi="宋体" w:eastAsia="宋体" w:cs="宋体"/>
          <w:b/>
          <w:color w:val="000000" w:themeColor="text1"/>
          <w:highlight w:val="none"/>
          <w14:textFill>
            <w14:solidFill>
              <w14:schemeClr w14:val="tx1"/>
            </w14:solidFill>
          </w14:textFill>
        </w:rPr>
      </w:pPr>
      <w:r>
        <w:rPr>
          <w:highlight w:val="none"/>
        </w:rPr>
        <w:fldChar w:fldCharType="begin"/>
      </w:r>
      <w:r>
        <w:rPr>
          <w:highlight w:val="none"/>
        </w:rPr>
        <w:instrText xml:space="preserve"> HYPERLINK \l "_Toc107246272" \o "#_Toc107246272" </w:instrText>
      </w:r>
      <w:r>
        <w:rPr>
          <w:highlight w:val="none"/>
        </w:rPr>
        <w:fldChar w:fldCharType="separate"/>
      </w:r>
      <w:r>
        <w:rPr>
          <w:rStyle w:val="50"/>
          <w:rFonts w:hint="eastAsia" w:ascii="宋体" w:hAnsi="宋体" w:eastAsia="宋体" w:cs="宋体"/>
          <w:b/>
          <w:color w:val="000000" w:themeColor="text1"/>
          <w:highlight w:val="none"/>
          <w14:textFill>
            <w14:solidFill>
              <w14:schemeClr w14:val="tx1"/>
            </w14:solidFill>
          </w14:textFill>
        </w:rPr>
        <w:t>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t>4</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t>0</w:t>
      </w:r>
    </w:p>
    <w:p w14:paraId="7D6D0493">
      <w:pPr>
        <w:pStyle w:val="235"/>
        <w:tabs>
          <w:tab w:val="right" w:leader="dot" w:pos="8834"/>
        </w:tabs>
        <w:spacing w:line="360" w:lineRule="auto"/>
        <w:rPr>
          <w:rFonts w:hint="eastAsia" w:ascii="宋体" w:hAnsi="宋体" w:eastAsia="宋体" w:cs="宋体"/>
          <w:b/>
          <w:color w:val="000000" w:themeColor="text1"/>
          <w:sz w:val="21"/>
          <w:szCs w:val="22"/>
          <w:highlight w:val="none"/>
          <w14:textFill>
            <w14:solidFill>
              <w14:schemeClr w14:val="tx1"/>
            </w14:solidFill>
          </w14:textFill>
        </w:rPr>
      </w:pPr>
      <w:r>
        <w:rPr>
          <w:highlight w:val="none"/>
        </w:rPr>
        <w:fldChar w:fldCharType="begin"/>
      </w:r>
      <w:r>
        <w:rPr>
          <w:highlight w:val="none"/>
        </w:rPr>
        <w:instrText xml:space="preserve"> HYPERLINK \l "_Toc107246273" \o "#_Toc107246273" </w:instrText>
      </w:r>
      <w:r>
        <w:rPr>
          <w:highlight w:val="none"/>
        </w:rPr>
        <w:fldChar w:fldCharType="separate"/>
      </w:r>
      <w:r>
        <w:rPr>
          <w:rStyle w:val="50"/>
          <w:rFonts w:hint="eastAsia" w:ascii="宋体" w:hAnsi="宋体" w:eastAsia="宋体" w:cs="宋体"/>
          <w:b/>
          <w:color w:val="000000" w:themeColor="text1"/>
          <w:highlight w:val="none"/>
          <w14:textFill>
            <w14:solidFill>
              <w14:schemeClr w14:val="tx1"/>
            </w14:solidFill>
          </w14:textFill>
        </w:rPr>
        <w:t>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45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bookmarkEnd w:id="0"/>
      <w:bookmarkEnd w:id="1"/>
    </w:p>
    <w:p w14:paraId="2289FB02">
      <w:pPr>
        <w:pStyle w:val="40"/>
        <w:ind w:firstLine="3213"/>
        <w:jc w:val="both"/>
        <w:rPr>
          <w:rFonts w:hint="eastAsia" w:ascii="宋体" w:hAnsi="宋体" w:cs="宋体"/>
          <w:color w:val="000000" w:themeColor="text1"/>
          <w:highlight w:val="none"/>
          <w14:textFill>
            <w14:solidFill>
              <w14:schemeClr w14:val="tx1"/>
            </w14:solidFill>
          </w14:textFill>
        </w:rPr>
        <w:sectPr>
          <w:footerReference r:id="rId5" w:type="default"/>
          <w:pgSz w:w="11906" w:h="16838"/>
          <w:pgMar w:top="1474" w:right="1531" w:bottom="1474" w:left="1531" w:header="737" w:footer="992" w:gutter="0"/>
          <w:cols w:space="720" w:num="1"/>
          <w:docGrid w:linePitch="360" w:charSpace="0"/>
        </w:sectPr>
      </w:pPr>
      <w:bookmarkStart w:id="2" w:name="_Toc107246211"/>
      <w:bookmarkStart w:id="3" w:name="_Toc80264697"/>
      <w:bookmarkStart w:id="4" w:name="_Toc80792688"/>
      <w:bookmarkStart w:id="5" w:name="_Toc71561877"/>
      <w:bookmarkStart w:id="6" w:name="_Toc80264704"/>
    </w:p>
    <w:p w14:paraId="31A5479E">
      <w:pPr>
        <w:pStyle w:val="40"/>
        <w:ind w:firstLine="3213"/>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第一章 招标公告</w:t>
      </w:r>
      <w:bookmarkEnd w:id="2"/>
    </w:p>
    <w:p w14:paraId="5AD3BA9F">
      <w:pPr>
        <w:pBdr>
          <w:top w:val="single" w:color="auto" w:sz="4" w:space="1"/>
          <w:left w:val="single" w:color="auto" w:sz="4" w:space="4"/>
          <w:bottom w:val="single" w:color="auto" w:sz="4" w:space="1"/>
          <w:right w:val="single" w:color="auto" w:sz="4" w:space="4"/>
        </w:pBd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项目概况</w:t>
      </w:r>
    </w:p>
    <w:p w14:paraId="08CB3E56">
      <w:pPr>
        <w:pBdr>
          <w:top w:val="single" w:color="auto" w:sz="4" w:space="1"/>
          <w:left w:val="single" w:color="auto" w:sz="4" w:space="4"/>
          <w:bottom w:val="single" w:color="auto" w:sz="4" w:space="1"/>
          <w:right w:val="single" w:color="auto" w:sz="4" w:space="4"/>
        </w:pBd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南京鼓楼医院3D外视镜系统采购项目</w:t>
      </w:r>
      <w:r>
        <w:rPr>
          <w:rFonts w:hint="eastAsia" w:ascii="宋体" w:hAnsi="宋体" w:cs="宋体"/>
          <w:bCs/>
          <w:color w:val="000000" w:themeColor="text1"/>
          <w:szCs w:val="21"/>
          <w:highlight w:val="none"/>
          <w14:textFill>
            <w14:solidFill>
              <w14:schemeClr w14:val="tx1"/>
            </w14:solidFill>
          </w14:textFill>
        </w:rPr>
        <w:t>的潜在投标人应在规定时间内通过</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江苏政府采购网</w:t>
      </w:r>
      <w:r>
        <w:rPr>
          <w:rFonts w:hint="eastAsia" w:ascii="宋体" w:hAnsi="宋体" w:cs="宋体"/>
          <w:bCs/>
          <w:color w:val="000000" w:themeColor="text1"/>
          <w:szCs w:val="21"/>
          <w:highlight w:val="none"/>
          <w14:textFill>
            <w14:solidFill>
              <w14:schemeClr w14:val="tx1"/>
            </w14:solidFill>
          </w14:textFill>
        </w:rPr>
        <w:t>获取招标文件，并于</w:t>
      </w:r>
      <w:r>
        <w:rPr>
          <w:rFonts w:hint="eastAsia" w:ascii="宋体" w:hAnsi="宋体" w:cs="宋体"/>
          <w:bCs/>
          <w:color w:val="000000" w:themeColor="text1"/>
          <w:szCs w:val="21"/>
          <w:highlight w:val="none"/>
          <w:u w:val="single"/>
          <w14:textFill>
            <w14:solidFill>
              <w14:schemeClr w14:val="tx1"/>
            </w14:solidFill>
          </w14:textFill>
        </w:rPr>
        <w:t>2026年</w:t>
      </w:r>
      <w:r>
        <w:rPr>
          <w:rFonts w:hint="eastAsia" w:ascii="宋体" w:hAnsi="宋体" w:cs="宋体"/>
          <w:bCs/>
          <w:color w:val="000000" w:themeColor="text1"/>
          <w:szCs w:val="21"/>
          <w:highlight w:val="none"/>
          <w:u w:val="single"/>
          <w:lang w:val="en-US" w:eastAsia="zh-CN"/>
          <w14:textFill>
            <w14:solidFill>
              <w14:schemeClr w14:val="tx1"/>
            </w14:solidFill>
          </w14:textFill>
        </w:rPr>
        <w:t>9</w:t>
      </w:r>
      <w:r>
        <w:rPr>
          <w:rFonts w:hint="eastAsia" w:ascii="宋体" w:hAnsi="宋体" w:cs="宋体"/>
          <w:bCs/>
          <w:color w:val="000000" w:themeColor="text1"/>
          <w:szCs w:val="21"/>
          <w:highlight w:val="none"/>
          <w:u w:val="single"/>
          <w14:textFill>
            <w14:solidFill>
              <w14:schemeClr w14:val="tx1"/>
            </w14:solidFill>
          </w14:textFill>
        </w:rPr>
        <w:t>月</w:t>
      </w:r>
      <w:r>
        <w:rPr>
          <w:rFonts w:hint="eastAsia" w:ascii="宋体" w:hAnsi="宋体" w:cs="宋体"/>
          <w:bCs/>
          <w:color w:val="000000" w:themeColor="text1"/>
          <w:szCs w:val="21"/>
          <w:highlight w:val="none"/>
          <w:u w:val="single"/>
          <w:lang w:val="en-US" w:eastAsia="zh-CN"/>
          <w14:textFill>
            <w14:solidFill>
              <w14:schemeClr w14:val="tx1"/>
            </w14:solidFill>
          </w14:textFill>
        </w:rPr>
        <w:t>17</w:t>
      </w:r>
      <w:r>
        <w:rPr>
          <w:rFonts w:hint="eastAsia" w:ascii="宋体" w:hAnsi="宋体" w:cs="宋体"/>
          <w:bCs/>
          <w:color w:val="000000" w:themeColor="text1"/>
          <w:szCs w:val="21"/>
          <w:highlight w:val="none"/>
          <w:u w:val="single"/>
          <w14:textFill>
            <w14:solidFill>
              <w14:schemeClr w14:val="tx1"/>
            </w14:solidFill>
          </w14:textFill>
        </w:rPr>
        <w:t>日14:30（北京时间</w:t>
      </w:r>
      <w:r>
        <w:rPr>
          <w:rFonts w:hint="eastAsia" w:ascii="宋体" w:hAnsi="宋体" w:cs="宋体"/>
          <w:bCs/>
          <w:color w:val="000000" w:themeColor="text1"/>
          <w:szCs w:val="21"/>
          <w:highlight w:val="none"/>
          <w14:textFill>
            <w14:solidFill>
              <w14:schemeClr w14:val="tx1"/>
            </w14:solidFill>
          </w14:textFill>
        </w:rPr>
        <w:t>）前递交投标文件。</w:t>
      </w:r>
    </w:p>
    <w:p w14:paraId="788DE1EC">
      <w:pPr>
        <w:spacing w:line="360" w:lineRule="auto"/>
        <w:ind w:firstLine="373"/>
        <w:rPr>
          <w:rFonts w:hint="eastAsia" w:ascii="宋体" w:hAnsi="宋体" w:cs="宋体"/>
          <w:b/>
          <w:bCs/>
          <w:color w:val="000000" w:themeColor="text1"/>
          <w:szCs w:val="44"/>
          <w:highlight w:val="none"/>
          <w14:textFill>
            <w14:solidFill>
              <w14:schemeClr w14:val="tx1"/>
            </w14:solidFill>
          </w14:textFill>
        </w:rPr>
      </w:pPr>
      <w:bookmarkStart w:id="7" w:name="_Toc96347851"/>
      <w:bookmarkStart w:id="8" w:name="_Toc93909065"/>
      <w:r>
        <w:rPr>
          <w:rFonts w:hint="eastAsia" w:ascii="宋体" w:hAnsi="宋体" w:cs="宋体"/>
          <w:b/>
          <w:bCs/>
          <w:color w:val="000000" w:themeColor="text1"/>
          <w:szCs w:val="44"/>
          <w:highlight w:val="none"/>
          <w14:textFill>
            <w14:solidFill>
              <w14:schemeClr w14:val="tx1"/>
            </w14:solidFill>
          </w14:textFill>
        </w:rPr>
        <w:t>一、项目</w:t>
      </w:r>
      <w:bookmarkEnd w:id="3"/>
      <w:r>
        <w:rPr>
          <w:rFonts w:hint="eastAsia" w:ascii="宋体" w:hAnsi="宋体" w:cs="宋体"/>
          <w:b/>
          <w:bCs/>
          <w:color w:val="000000" w:themeColor="text1"/>
          <w:szCs w:val="44"/>
          <w:highlight w:val="none"/>
          <w14:textFill>
            <w14:solidFill>
              <w14:schemeClr w14:val="tx1"/>
            </w14:solidFill>
          </w14:textFill>
        </w:rPr>
        <w:t>基本情况</w:t>
      </w:r>
      <w:bookmarkEnd w:id="4"/>
      <w:bookmarkEnd w:id="7"/>
      <w:bookmarkEnd w:id="8"/>
    </w:p>
    <w:p w14:paraId="28BC086C">
      <w:pPr>
        <w:spacing w:line="360" w:lineRule="auto"/>
        <w:ind w:firstLine="420"/>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1.1项目编号：</w:t>
      </w:r>
      <w:r>
        <w:rPr>
          <w:rFonts w:hint="eastAsia" w:ascii="宋体" w:hAnsi="宋体" w:cs="宋体"/>
          <w:bCs/>
          <w:color w:val="000000" w:themeColor="text1"/>
          <w:szCs w:val="21"/>
          <w:highlight w:val="none"/>
          <w:lang w:eastAsia="zh-CN"/>
          <w14:textFill>
            <w14:solidFill>
              <w14:schemeClr w14:val="tx1"/>
            </w14:solidFill>
          </w14:textFill>
        </w:rPr>
        <w:t>JSZC-320100-JITC-G2026-0298</w:t>
      </w:r>
    </w:p>
    <w:p w14:paraId="754F517E">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1.2项目名称：南京鼓楼医院3D外视镜系统采购项目</w:t>
      </w:r>
    </w:p>
    <w:p w14:paraId="2E07CE91">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1.3预算金额：本项目预算210万元。</w:t>
      </w:r>
    </w:p>
    <w:p w14:paraId="2D31CE3C">
      <w:pPr>
        <w:spacing w:line="360" w:lineRule="auto"/>
        <w:ind w:firstLine="422"/>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★1.4最高限价：本项目投标总价不得高于人民币210万元；报价超出限价金额的，将作无效标处理。</w:t>
      </w:r>
    </w:p>
    <w:p w14:paraId="10CD4A3B">
      <w:pPr>
        <w:spacing w:line="360" w:lineRule="auto"/>
        <w:ind w:firstLine="420"/>
        <w:rPr>
          <w:rFonts w:hint="eastAsia" w:ascii="宋体" w:hAnsi="宋体" w:cs="宋体"/>
          <w:bCs/>
          <w:color w:val="000000" w:themeColor="text1"/>
          <w:szCs w:val="21"/>
          <w:highlight w:val="none"/>
          <w14:textFill>
            <w14:solidFill>
              <w14:schemeClr w14:val="tx1"/>
            </w14:solidFill>
          </w14:textFill>
        </w:rPr>
      </w:pPr>
      <w:bookmarkStart w:id="9" w:name="_Toc80264698"/>
      <w:bookmarkStart w:id="10" w:name="_Toc80792689"/>
      <w:bookmarkStart w:id="11" w:name="_Toc93909066"/>
      <w:bookmarkStart w:id="12" w:name="_Toc96347852"/>
      <w:r>
        <w:rPr>
          <w:rFonts w:hint="eastAsia" w:ascii="宋体" w:hAnsi="宋体" w:cs="宋体"/>
          <w:bCs/>
          <w:color w:val="000000" w:themeColor="text1"/>
          <w:szCs w:val="21"/>
          <w:highlight w:val="none"/>
          <w14:textFill>
            <w14:solidFill>
              <w14:schemeClr w14:val="tx1"/>
            </w14:solidFill>
          </w14:textFill>
        </w:rPr>
        <w:t>1.5采购需求：采购1套3D外视镜系统，具体要求详见招标文件第四章《采购需求》。</w:t>
      </w:r>
    </w:p>
    <w:p w14:paraId="72948A36">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1.6标段划分：本项目共划分1个标段。</w:t>
      </w:r>
    </w:p>
    <w:p w14:paraId="7CCC0EDF">
      <w:pPr>
        <w:spacing w:line="353" w:lineRule="auto"/>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★1.7交货时间：接到医用物资保障处通知之日起30个日历日内。</w:t>
      </w:r>
    </w:p>
    <w:p w14:paraId="7A7D7F33">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1.8本项目是否接受联合体投标：不接受</w:t>
      </w:r>
    </w:p>
    <w:p w14:paraId="259AD585">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1.9本项目是否接受进口产品：接受</w:t>
      </w:r>
    </w:p>
    <w:p w14:paraId="5992208B">
      <w:pPr>
        <w:spacing w:line="360" w:lineRule="auto"/>
        <w:ind w:firstLine="373"/>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二、</w:t>
      </w:r>
      <w:bookmarkEnd w:id="9"/>
      <w:r>
        <w:rPr>
          <w:rFonts w:hint="eastAsia" w:ascii="宋体" w:hAnsi="宋体" w:cs="宋体"/>
          <w:b/>
          <w:bCs/>
          <w:color w:val="000000" w:themeColor="text1"/>
          <w:szCs w:val="44"/>
          <w:highlight w:val="none"/>
          <w14:textFill>
            <w14:solidFill>
              <w14:schemeClr w14:val="tx1"/>
            </w14:solidFill>
          </w14:textFill>
        </w:rPr>
        <w:t>申请人的资格要求</w:t>
      </w:r>
      <w:bookmarkEnd w:id="10"/>
      <w:bookmarkEnd w:id="11"/>
      <w:r>
        <w:rPr>
          <w:rFonts w:hint="eastAsia" w:ascii="宋体" w:hAnsi="宋体" w:cs="宋体"/>
          <w:b/>
          <w:bCs/>
          <w:color w:val="000000" w:themeColor="text1"/>
          <w:szCs w:val="44"/>
          <w:highlight w:val="none"/>
          <w14:textFill>
            <w14:solidFill>
              <w14:schemeClr w14:val="tx1"/>
            </w14:solidFill>
          </w14:textFill>
        </w:rPr>
        <w:t>：</w:t>
      </w:r>
      <w:bookmarkEnd w:id="12"/>
    </w:p>
    <w:p w14:paraId="182FA88D">
      <w:pPr>
        <w:spacing w:line="360" w:lineRule="auto"/>
        <w:ind w:firstLine="420"/>
        <w:rPr>
          <w:rFonts w:hint="eastAsia" w:ascii="宋体" w:hAnsi="宋体" w:cs="宋体"/>
          <w:bCs/>
          <w:color w:val="000000" w:themeColor="text1"/>
          <w:szCs w:val="21"/>
          <w:highlight w:val="none"/>
          <w14:textFill>
            <w14:solidFill>
              <w14:schemeClr w14:val="tx1"/>
            </w14:solidFill>
          </w14:textFill>
        </w:rPr>
      </w:pPr>
      <w:bookmarkStart w:id="13" w:name="_Toc80792690"/>
      <w:bookmarkStart w:id="14" w:name="_Toc93909067"/>
      <w:bookmarkStart w:id="15" w:name="_Toc80264699"/>
      <w:bookmarkStart w:id="16" w:name="_Toc96347853"/>
      <w:r>
        <w:rPr>
          <w:rFonts w:hint="eastAsia" w:ascii="宋体" w:hAnsi="宋体" w:cs="宋体"/>
          <w:bCs/>
          <w:color w:val="000000" w:themeColor="text1"/>
          <w:szCs w:val="21"/>
          <w:highlight w:val="none"/>
          <w14:textFill>
            <w14:solidFill>
              <w14:schemeClr w14:val="tx1"/>
            </w14:solidFill>
          </w14:textFill>
        </w:rPr>
        <w:t>2.1满足《中华人民共和国政府采购法》第二十二条规定：</w:t>
      </w:r>
    </w:p>
    <w:p w14:paraId="64012DA9">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2.1.1具有独立承担民事责任的能力，投标人提供在有效经营期内的营业执照、法人授权书（法人直接参与投标的可不提供）、法人身份证复印件、投标人代表身份证复印件；</w:t>
      </w:r>
    </w:p>
    <w:p w14:paraId="35A621E7">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2.1.2具有良好的商业信誉和健全的财务会计制度，提供上年度财务报表复印件（即2025年度财务报表，如为新成立的公司，应提供公司成立之后的财务报表）或投标截止时间前3个月内，由其基本开户银行出具的资信证明；</w:t>
      </w:r>
    </w:p>
    <w:p w14:paraId="7D29F4B5">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2.1.3具有履行合同所必需的设备和专业技术能力，投标人提供具备履行合同所必需的设备和专业技术能力的书面声明（由供应商根据项目需求提供材料）；</w:t>
      </w:r>
    </w:p>
    <w:p w14:paraId="6F2C0099">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2.1.4有依法缴纳税收和社会保障资金的良好记录，投标人提供递交投标文件截止时间前六个月内至少一个月依法缴纳税收及缴纳社会保障资金的证明材料。投标人依法享受缓缴、免缴的，提供证明材料；</w:t>
      </w:r>
    </w:p>
    <w:p w14:paraId="52915E7A">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2.1.5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p>
    <w:p w14:paraId="198892EE">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2.1.6</w:t>
      </w:r>
      <w:bookmarkStart w:id="17" w:name="OLE_LINK11"/>
      <w:r>
        <w:rPr>
          <w:rFonts w:hint="eastAsia" w:ascii="宋体" w:hAnsi="宋体" w:cs="宋体"/>
          <w:bCs/>
          <w:color w:val="000000" w:themeColor="text1"/>
          <w:szCs w:val="21"/>
          <w:highlight w:val="none"/>
          <w14:textFill>
            <w14:solidFill>
              <w14:schemeClr w14:val="tx1"/>
            </w14:solidFill>
          </w14:textFill>
        </w:rPr>
        <w:t>法律、行政法规规定的其他条件。</w:t>
      </w:r>
      <w:bookmarkEnd w:id="17"/>
    </w:p>
    <w:p w14:paraId="4F7FE0E1">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说明：</w:t>
      </w:r>
      <w:bookmarkStart w:id="18" w:name="_Toc35393635"/>
    </w:p>
    <w:p w14:paraId="2941B041">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w:t>
      </w:r>
      <w:bookmarkEnd w:id="18"/>
      <w:r>
        <w:rPr>
          <w:rFonts w:hint="eastAsia" w:ascii="宋体" w:hAnsi="宋体" w:cs="宋体"/>
          <w:bCs/>
          <w:color w:val="000000" w:themeColor="text1"/>
          <w:szCs w:val="21"/>
          <w:highlight w:val="none"/>
          <w14:textFill>
            <w14:solidFill>
              <w14:schemeClr w14:val="tx1"/>
            </w14:solidFill>
          </w14:textFill>
        </w:rPr>
        <w:t>根据《关于在政府采购活动中推行信用承诺制的通知》（宁财购通〔2021〕5 号）的规定，适用信用承诺的供应商，对于2.1.2至2.1.6款证明材料可使用《南京市政府采购供应商信用记录表暨信用承诺书》替代。（格式详见 第六章、投标文件格式 （7-2）南京市政府采购供应商信用记录表暨信用承诺书）供应商在成交后，应按采购文件要求，将上述由信用承诺书替代的证明材料提交采购人或采购代理机构核验。经核验无误后，由采购人或采购代理机构发出成交通知书。</w:t>
      </w:r>
    </w:p>
    <w:p w14:paraId="1531FE96">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lang w:val="en-US" w:eastAsia="zh-CN"/>
          <w14:textFill>
            <w14:solidFill>
              <w14:schemeClr w14:val="tx1"/>
            </w14:solidFill>
          </w14:textFill>
        </w:rPr>
        <w:t>注：该信用承诺书出具时间须为本采购文件发布之日起至开标时间前，超出该时间范围出具的承诺书无效。</w:t>
      </w:r>
    </w:p>
    <w:p w14:paraId="6BB68B9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2、其中不适用信用承诺的情形：</w:t>
      </w:r>
    </w:p>
    <w:p w14:paraId="4B0C8F8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1）供应商被列入严重失信主体名单；</w:t>
      </w:r>
    </w:p>
    <w:p w14:paraId="33A5AE8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2）被相关监督部门作出行政处罚且尚处在处罚有效期内；</w:t>
      </w:r>
    </w:p>
    <w:p w14:paraId="7116E448">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3）其他法律、行政法规规定的不适用信用承诺的情形。</w:t>
      </w:r>
    </w:p>
    <w:p w14:paraId="464E13D4">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2.2落实政府采购政策需满足的资格要求：</w:t>
      </w:r>
    </w:p>
    <w:p w14:paraId="7023840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2.2.1中小企业政策：■本项目不专门面向中小企业预留采购份额</w:t>
      </w:r>
    </w:p>
    <w:p w14:paraId="5D649529">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2.2.2其它落实政府采购政策的资格要求（如有）：无。</w:t>
      </w:r>
    </w:p>
    <w:p w14:paraId="30CFF662">
      <w:pPr>
        <w:spacing w:line="360" w:lineRule="auto"/>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2.3本项目的特定资格要求：</w:t>
      </w:r>
    </w:p>
    <w:p w14:paraId="56C56B9A">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2.3.1供应商存在下列情形的不得参加本次招标活动：</w:t>
      </w:r>
    </w:p>
    <w:p w14:paraId="08FE21EB">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2.3.1.1单位负责人为同一人或者存在直接控股、管理关系的不同供应商，不得参加同一合同项下的政府采购活动；</w:t>
      </w:r>
    </w:p>
    <w:p w14:paraId="45036EF8">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2.3.1.2除单一来源项目外，凡为采购项目提供整体设计、规范编制或者项目管理、监理、检测等服务的供应商不得再参加本项目的采购活动。</w:t>
      </w:r>
    </w:p>
    <w:p w14:paraId="076A7EAB">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2.3.2通过“信用中国”网站（http://www.creditchina.gov.cn）、中国政府采购网（www.ccgp.gov.cn）查询供应商在响应截止时间前的信用记录，通过以上查询渠道，供应商被列入失信被执行人、重大税收违法失信主体名单、政府采购严重违法失信行为记录。</w:t>
      </w:r>
    </w:p>
    <w:p w14:paraId="078432CA">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2.3.3其他资格要求：</w:t>
      </w:r>
    </w:p>
    <w:p w14:paraId="2709D064">
      <w:pPr>
        <w:spacing w:line="360" w:lineRule="auto"/>
        <w:ind w:firstLine="420"/>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若投标货物中依法属于医疗器械管理的须提供</w:t>
      </w:r>
      <w:r>
        <w:rPr>
          <w:rFonts w:hint="eastAsia" w:ascii="宋体" w:hAnsi="宋体" w:cs="宋体"/>
          <w:bCs/>
          <w:color w:val="000000" w:themeColor="text1"/>
          <w:szCs w:val="21"/>
          <w:highlight w:val="none"/>
          <w:lang w:val="en-US" w:eastAsia="zh-CN"/>
          <w14:textFill>
            <w14:solidFill>
              <w14:schemeClr w14:val="tx1"/>
            </w14:solidFill>
          </w14:textFill>
        </w:rPr>
        <w:t>如下材料：</w:t>
      </w:r>
    </w:p>
    <w:p w14:paraId="42AFA213">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1）根据国家相关规定提供投标产品有效的医疗器械产品注册证或产品备案凭证复印件；</w:t>
      </w:r>
    </w:p>
    <w:p w14:paraId="4FD0DE6B">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2）若投标供应商为代理商，应根据国家相关规定提供范围涵盖投标产品的医疗器械经营许可证或医疗器械经营备案凭证复印件；</w:t>
      </w:r>
    </w:p>
    <w:p w14:paraId="5C3128D3">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3）若投标供应商为生产商，应根据国家相关规定提供范围涵盖投标产品的医疗器械生产许可证或生产备案凭证复印件；</w:t>
      </w:r>
    </w:p>
    <w:p w14:paraId="1599E267">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2.3.4本项目接受进口产品投标。</w:t>
      </w:r>
    </w:p>
    <w:p w14:paraId="48C853AA">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2.3.4.1如果投标产品为进口产品，且投标人为代理商的，需提供如下授权文件之一：</w:t>
      </w:r>
    </w:p>
    <w:p w14:paraId="597BBFC2">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1）制造商出具的授权书复印件并加盖公章，格式自拟。</w:t>
      </w:r>
    </w:p>
    <w:p w14:paraId="767828DC">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2）制造商的国内控股子公司或代理人出具的授权书复印件并加盖公章，格式自拟。</w:t>
      </w:r>
    </w:p>
    <w:p w14:paraId="58EEF2FE">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3）制造商对授权的区域代理商出具的授权书复印件及该区域代理商给投标人出具的授权书复印件。</w:t>
      </w:r>
    </w:p>
    <w:p w14:paraId="55EB11F0">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4）投标人取得的产品代理证书复印件。</w:t>
      </w:r>
    </w:p>
    <w:p w14:paraId="7DED7A2D">
      <w:pPr>
        <w:spacing w:line="360" w:lineRule="auto"/>
        <w:ind w:firstLine="373"/>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三、获取招标文件</w:t>
      </w:r>
      <w:bookmarkEnd w:id="13"/>
      <w:bookmarkEnd w:id="14"/>
      <w:bookmarkEnd w:id="15"/>
      <w:bookmarkEnd w:id="16"/>
    </w:p>
    <w:p w14:paraId="1B03C83F">
      <w:pPr>
        <w:spacing w:after="40" w:line="360" w:lineRule="auto"/>
        <w:ind w:firstLine="525"/>
        <w:rPr>
          <w:rFonts w:ascii="Microsoft New Tai Lue" w:hAnsi="Microsoft New Tai Lue" w:cs="Microsoft New Tai Lue"/>
          <w:bCs/>
          <w:color w:val="000000" w:themeColor="text1"/>
          <w:szCs w:val="21"/>
          <w:highlight w:val="none"/>
          <w14:textFill>
            <w14:solidFill>
              <w14:schemeClr w14:val="tx1"/>
            </w14:solidFill>
          </w14:textFill>
        </w:rPr>
      </w:pPr>
      <w:bookmarkStart w:id="19" w:name="_Toc80264700"/>
      <w:r>
        <w:rPr>
          <w:rFonts w:hint="eastAsia" w:ascii="Microsoft New Tai Lue" w:hAnsi="Microsoft New Tai Lue" w:cs="Microsoft New Tai Lue"/>
          <w:bCs/>
          <w:color w:val="000000" w:themeColor="text1"/>
          <w:szCs w:val="21"/>
          <w:highlight w:val="none"/>
          <w14:textFill>
            <w14:solidFill>
              <w14:schemeClr w14:val="tx1"/>
            </w14:solidFill>
          </w14:textFill>
        </w:rPr>
        <w:t>时间：自本公告发布之日起5个工作日</w:t>
      </w:r>
    </w:p>
    <w:p w14:paraId="6044DD8B">
      <w:pPr>
        <w:spacing w:after="40" w:line="360" w:lineRule="auto"/>
        <w:ind w:firstLine="525"/>
        <w:rPr>
          <w:rFonts w:ascii="Microsoft New Tai Lue" w:hAnsi="Microsoft New Tai Lue" w:cs="Microsoft New Tai Lue"/>
          <w:bCs/>
          <w:color w:val="000000" w:themeColor="text1"/>
          <w:szCs w:val="21"/>
          <w:highlight w:val="none"/>
          <w14:textFill>
            <w14:solidFill>
              <w14:schemeClr w14:val="tx1"/>
            </w14:solidFill>
          </w14:textFill>
        </w:rPr>
      </w:pPr>
      <w:bookmarkStart w:id="20" w:name="_Toc80792691"/>
      <w:bookmarkStart w:id="21" w:name="_Toc93909068"/>
      <w:bookmarkStart w:id="22" w:name="_Toc96347854"/>
      <w:r>
        <w:rPr>
          <w:rFonts w:hint="eastAsia" w:ascii="Microsoft New Tai Lue" w:hAnsi="Microsoft New Tai Lue" w:cs="Microsoft New Tai Lue"/>
          <w:bCs/>
          <w:color w:val="000000" w:themeColor="text1"/>
          <w:szCs w:val="21"/>
          <w:highlight w:val="none"/>
          <w14:textFill>
            <w14:solidFill>
              <w14:schemeClr w14:val="tx1"/>
            </w14:solidFill>
          </w14:textFill>
        </w:rPr>
        <w:t>获取地点：江苏政府采购网。</w:t>
      </w:r>
    </w:p>
    <w:p w14:paraId="3BD4544C">
      <w:pPr>
        <w:spacing w:after="40" w:line="360" w:lineRule="auto"/>
        <w:ind w:firstLine="525"/>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获取方式：网上下载</w:t>
      </w:r>
    </w:p>
    <w:p w14:paraId="644FA04C">
      <w:pPr>
        <w:spacing w:after="40" w:line="360" w:lineRule="auto"/>
        <w:ind w:firstLine="525"/>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售价：0元。</w:t>
      </w:r>
    </w:p>
    <w:p w14:paraId="347DD663">
      <w:pPr>
        <w:spacing w:line="360" w:lineRule="auto"/>
        <w:ind w:firstLine="373"/>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四、</w:t>
      </w:r>
      <w:bookmarkEnd w:id="19"/>
      <w:bookmarkEnd w:id="20"/>
      <w:r>
        <w:rPr>
          <w:rFonts w:hint="eastAsia" w:ascii="宋体" w:hAnsi="宋体" w:cs="宋体"/>
          <w:b/>
          <w:bCs/>
          <w:color w:val="000000" w:themeColor="text1"/>
          <w:szCs w:val="44"/>
          <w:highlight w:val="none"/>
          <w14:textFill>
            <w14:solidFill>
              <w14:schemeClr w14:val="tx1"/>
            </w14:solidFill>
          </w14:textFill>
        </w:rPr>
        <w:t>递交投标文件截止时间、开标时间和地点</w:t>
      </w:r>
      <w:bookmarkEnd w:id="21"/>
      <w:bookmarkEnd w:id="22"/>
    </w:p>
    <w:p w14:paraId="7E1AECA6">
      <w:pPr>
        <w:spacing w:after="40" w:line="360" w:lineRule="auto"/>
        <w:ind w:firstLine="525"/>
        <w:rPr>
          <w:rFonts w:ascii="Microsoft New Tai Lue" w:hAnsi="Microsoft New Tai Lue" w:cs="Microsoft New Tai Lue"/>
          <w:bCs/>
          <w:color w:val="000000" w:themeColor="text1"/>
          <w:szCs w:val="21"/>
          <w:highlight w:val="none"/>
          <w14:textFill>
            <w14:solidFill>
              <w14:schemeClr w14:val="tx1"/>
            </w14:solidFill>
          </w14:textFill>
        </w:rPr>
      </w:pPr>
      <w:bookmarkStart w:id="23" w:name="_Toc80792693"/>
      <w:bookmarkStart w:id="24" w:name="_Toc96347855"/>
      <w:bookmarkStart w:id="25" w:name="_Toc93909069"/>
      <w:r>
        <w:rPr>
          <w:rFonts w:hint="eastAsia" w:ascii="Microsoft New Tai Lue" w:hAnsi="Microsoft New Tai Lue" w:cs="Microsoft New Tai Lue"/>
          <w:bCs/>
          <w:color w:val="000000" w:themeColor="text1"/>
          <w:szCs w:val="21"/>
          <w:highlight w:val="none"/>
          <w14:textFill>
            <w14:solidFill>
              <w14:schemeClr w14:val="tx1"/>
            </w14:solidFill>
          </w14:textFill>
        </w:rPr>
        <w:t>提交投标文件截止时间、开标时间：2026年</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9</w:t>
      </w:r>
      <w:r>
        <w:rPr>
          <w:rFonts w:hint="eastAsia" w:ascii="Microsoft New Tai Lue" w:hAnsi="Microsoft New Tai Lue" w:cs="Microsoft New Tai Lue"/>
          <w:bCs/>
          <w:color w:val="000000" w:themeColor="text1"/>
          <w:szCs w:val="21"/>
          <w:highlight w:val="none"/>
          <w14:textFill>
            <w14:solidFill>
              <w14:schemeClr w14:val="tx1"/>
            </w14:solidFill>
          </w14:textFill>
        </w:rPr>
        <w:t>月</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17</w:t>
      </w:r>
      <w:bookmarkStart w:id="354" w:name="_GoBack"/>
      <w:bookmarkEnd w:id="354"/>
      <w:r>
        <w:rPr>
          <w:rFonts w:hint="eastAsia" w:ascii="Microsoft New Tai Lue" w:hAnsi="Microsoft New Tai Lue" w:cs="Microsoft New Tai Lue"/>
          <w:bCs/>
          <w:color w:val="000000" w:themeColor="text1"/>
          <w:szCs w:val="21"/>
          <w:highlight w:val="none"/>
          <w14:textFill>
            <w14:solidFill>
              <w14:schemeClr w14:val="tx1"/>
            </w14:solidFill>
          </w14:textFill>
        </w:rPr>
        <w:t>日14:30（北京时间）</w:t>
      </w:r>
    </w:p>
    <w:p w14:paraId="4A425201">
      <w:pPr>
        <w:spacing w:after="40" w:line="360" w:lineRule="auto"/>
        <w:ind w:firstLine="525"/>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提交投标文件地点：江苏省政府采购管理交易系统（苏采云）（以下简称“苏采云”）（网址：http://jszfcg.jsczt.cn/）</w:t>
      </w:r>
    </w:p>
    <w:p w14:paraId="66A6645E">
      <w:pPr>
        <w:spacing w:after="40" w:line="360" w:lineRule="auto"/>
        <w:ind w:firstLine="525"/>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开标地点：</w:t>
      </w:r>
      <w:sdt>
        <w:sdtPr>
          <w:rPr>
            <w:rFonts w:hint="eastAsia" w:ascii="Microsoft New Tai Lue" w:hAnsi="Microsoft New Tai Lue" w:cs="Microsoft New Tai Lue"/>
            <w:bCs/>
            <w:color w:val="000000" w:themeColor="text1"/>
            <w:szCs w:val="21"/>
            <w:highlight w:val="none"/>
            <w14:textFill>
              <w14:solidFill>
                <w14:schemeClr w14:val="tx1"/>
              </w14:solidFill>
            </w14:textFill>
          </w:rPr>
          <w:id w:val="934481194"/>
          <w:placeholder>
            <w:docPart w:val="{a4acc093-f395-42b1-a03b-53ee95feafc7}"/>
          </w:placeholder>
        </w:sdtPr>
        <w:sdtEndPr>
          <w:rPr>
            <w:rFonts w:hint="eastAsia" w:ascii="Microsoft New Tai Lue" w:hAnsi="Microsoft New Tai Lue" w:cs="Microsoft New Tai Lue"/>
            <w:bCs/>
            <w:color w:val="000000" w:themeColor="text1"/>
            <w:szCs w:val="21"/>
            <w:highlight w:val="none"/>
            <w14:textFill>
              <w14:solidFill>
                <w14:schemeClr w14:val="tx1"/>
              </w14:solidFill>
            </w14:textFill>
          </w:rPr>
        </w:sdtEndPr>
        <w:sdtContent>
          <w:r>
            <w:rPr>
              <w:rFonts w:hint="eastAsia" w:ascii="Microsoft New Tai Lue" w:hAnsi="Microsoft New Tai Lue" w:cs="Microsoft New Tai Lue"/>
              <w:bCs/>
              <w:color w:val="000000" w:themeColor="text1"/>
              <w:szCs w:val="21"/>
              <w:highlight w:val="none"/>
              <w14:textFill>
                <w14:solidFill>
                  <w14:schemeClr w14:val="tx1"/>
                </w14:solidFill>
              </w14:textFill>
            </w:rPr>
            <w:t>“苏采云”网上开标大厅</w:t>
          </w:r>
        </w:sdtContent>
      </w:sdt>
    </w:p>
    <w:p w14:paraId="2DF6A67A">
      <w:pPr>
        <w:spacing w:line="360" w:lineRule="auto"/>
        <w:ind w:firstLine="373"/>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五、</w:t>
      </w:r>
      <w:bookmarkEnd w:id="23"/>
      <w:r>
        <w:rPr>
          <w:rFonts w:hint="eastAsia" w:ascii="宋体" w:hAnsi="宋体" w:cs="宋体"/>
          <w:b/>
          <w:bCs/>
          <w:color w:val="000000" w:themeColor="text1"/>
          <w:szCs w:val="44"/>
          <w:highlight w:val="none"/>
          <w14:textFill>
            <w14:solidFill>
              <w14:schemeClr w14:val="tx1"/>
            </w14:solidFill>
          </w14:textFill>
        </w:rPr>
        <w:t>公告期</w:t>
      </w:r>
      <w:bookmarkEnd w:id="24"/>
      <w:bookmarkEnd w:id="25"/>
      <w:r>
        <w:rPr>
          <w:rFonts w:hint="eastAsia" w:ascii="宋体" w:hAnsi="宋体" w:cs="宋体"/>
          <w:b/>
          <w:bCs/>
          <w:color w:val="000000" w:themeColor="text1"/>
          <w:szCs w:val="44"/>
          <w:highlight w:val="none"/>
          <w14:textFill>
            <w14:solidFill>
              <w14:schemeClr w14:val="tx1"/>
            </w14:solidFill>
          </w14:textFill>
        </w:rPr>
        <w:t>限</w:t>
      </w:r>
    </w:p>
    <w:p w14:paraId="3C7D2FF3">
      <w:pPr>
        <w:spacing w:line="360" w:lineRule="auto"/>
        <w:ind w:firstLine="525"/>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自本公告发布之日起5个工作日。</w:t>
      </w:r>
    </w:p>
    <w:p w14:paraId="5C538C82">
      <w:pPr>
        <w:spacing w:line="360" w:lineRule="auto"/>
        <w:ind w:firstLine="373"/>
        <w:rPr>
          <w:rFonts w:hint="eastAsia" w:ascii="宋体" w:hAnsi="宋体" w:cs="宋体"/>
          <w:b/>
          <w:bCs/>
          <w:color w:val="000000" w:themeColor="text1"/>
          <w:szCs w:val="44"/>
          <w:highlight w:val="none"/>
          <w14:textFill>
            <w14:solidFill>
              <w14:schemeClr w14:val="tx1"/>
            </w14:solidFill>
          </w14:textFill>
        </w:rPr>
      </w:pPr>
      <w:bookmarkStart w:id="26" w:name="_Toc96347856"/>
      <w:bookmarkStart w:id="27" w:name="_Toc93909070"/>
      <w:r>
        <w:rPr>
          <w:rFonts w:hint="eastAsia" w:ascii="宋体" w:hAnsi="宋体" w:cs="宋体"/>
          <w:b/>
          <w:bCs/>
          <w:color w:val="000000" w:themeColor="text1"/>
          <w:szCs w:val="44"/>
          <w:highlight w:val="none"/>
          <w14:textFill>
            <w14:solidFill>
              <w14:schemeClr w14:val="tx1"/>
            </w14:solidFill>
          </w14:textFill>
        </w:rPr>
        <w:t>六、其他补充事宜</w:t>
      </w:r>
      <w:bookmarkEnd w:id="26"/>
      <w:bookmarkEnd w:id="27"/>
    </w:p>
    <w:p w14:paraId="335ABBE9">
      <w:pPr>
        <w:spacing w:line="360" w:lineRule="auto"/>
        <w:ind w:firstLine="420"/>
        <w:rPr>
          <w:rFonts w:hint="eastAsia" w:ascii="宋体" w:hAnsi="宋体" w:cs="宋体"/>
          <w:bCs/>
          <w:color w:val="000000" w:themeColor="text1"/>
          <w:szCs w:val="21"/>
          <w:highlight w:val="none"/>
          <w14:textFill>
            <w14:solidFill>
              <w14:schemeClr w14:val="tx1"/>
            </w14:solidFill>
          </w14:textFill>
        </w:rPr>
      </w:pPr>
      <w:bookmarkStart w:id="28" w:name="_Toc80792694"/>
      <w:bookmarkStart w:id="29" w:name="_Toc80264702"/>
      <w:bookmarkStart w:id="30" w:name="_Toc96347857"/>
      <w:bookmarkStart w:id="31" w:name="_Toc93909071"/>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bCs/>
          <w:color w:val="000000" w:themeColor="text1"/>
          <w:szCs w:val="21"/>
          <w:highlight w:val="none"/>
          <w14:textFill>
            <w14:solidFill>
              <w14:schemeClr w14:val="tx1"/>
            </w14:solidFill>
          </w14:textFill>
        </w:rPr>
        <w:t>政府采购支持政策:</w:t>
      </w:r>
    </w:p>
    <w:p w14:paraId="32A8FEC5">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（一）《政府采购促进中小企业发展管理办法》</w:t>
      </w:r>
    </w:p>
    <w:p w14:paraId="2C136E26">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（二）《关于政府采购支持监狱企业发展有关问题的通知》</w:t>
      </w:r>
    </w:p>
    <w:p w14:paraId="2466BFCD">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（三）《关于促进残疾人就业政府采购政策的通知》</w:t>
      </w:r>
    </w:p>
    <w:p w14:paraId="6402CF00">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（四）《关于调整优化节能产品、环境标志产品政府采购执行机制的通知》</w:t>
      </w:r>
    </w:p>
    <w:p w14:paraId="145F20C5">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（五）《关于做好政府采购支持企业发展有关事项的通知》</w:t>
      </w:r>
    </w:p>
    <w:p w14:paraId="42A31D58">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（六）《国务院办公厅关于在政府采购中实施本国产品标准及相关政策的通知》、关于贯彻落实《国务院办公厅关于在政府采购中实施本国产品标准及相关政策的通知》的意见</w:t>
      </w:r>
    </w:p>
    <w:p w14:paraId="4AD9C0C1">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2、供应商诚信档案管理</w:t>
      </w:r>
    </w:p>
    <w:p w14:paraId="382F07BE">
      <w:pPr>
        <w:spacing w:line="360" w:lineRule="auto"/>
        <w:ind w:firstLine="420"/>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根据《关于在政府采购活动中推行信用承诺制的通知》（宁财购通〔2021〕5 号）的规定，适用信用承诺的供应商，对于2.1.2至2.1.6款证明材料可使用《南京市政府采购供应商信用记录表暨信用承诺书》替代</w:t>
      </w:r>
      <w:r>
        <w:rPr>
          <w:rFonts w:hint="eastAsia" w:ascii="Times New Roman" w:hAnsi="Times New Roman" w:cs="Times New Roman"/>
          <w:bCs/>
          <w:color w:val="000000" w:themeColor="text1"/>
          <w:szCs w:val="21"/>
          <w:highlight w:val="none"/>
          <w:lang w:eastAsia="zh-CN"/>
          <w14:textFill>
            <w14:solidFill>
              <w14:schemeClr w14:val="tx1"/>
            </w14:solidFill>
          </w14:textFill>
        </w:rPr>
        <w:t>（</w:t>
      </w:r>
      <w:r>
        <w:rPr>
          <w:rFonts w:hint="eastAsia" w:ascii="Times New Roman" w:hAnsi="Times New Roman" w:cs="Times New Roman"/>
          <w:bCs/>
          <w:color w:val="000000" w:themeColor="text1"/>
          <w:szCs w:val="21"/>
          <w:highlight w:val="none"/>
          <w:lang w:val="en-US" w:eastAsia="zh-CN"/>
          <w14:textFill>
            <w14:solidFill>
              <w14:schemeClr w14:val="tx1"/>
            </w14:solidFill>
          </w14:textFill>
        </w:rPr>
        <w:t>格式详见 第六章、投标文件格式 （7-2）南京市政府采购供应商信用记录表暨信用承诺书</w:t>
      </w:r>
      <w:r>
        <w:rPr>
          <w:rFonts w:hint="eastAsia" w:ascii="Times New Roman" w:hAnsi="Times New Roman" w:cs="Times New Roman"/>
          <w:bCs/>
          <w:color w:val="000000" w:themeColor="text1"/>
          <w:szCs w:val="21"/>
          <w:highlight w:val="none"/>
          <w:lang w:eastAsia="zh-CN"/>
          <w14:textFill>
            <w14:solidFill>
              <w14:schemeClr w14:val="tx1"/>
            </w14:solidFill>
          </w14:textFill>
        </w:rPr>
        <w:t>）</w:t>
      </w:r>
      <w:r>
        <w:rPr>
          <w:rFonts w:hint="eastAsia" w:cs="Times New Roman"/>
          <w:bCs/>
          <w:color w:val="000000" w:themeColor="text1"/>
          <w:szCs w:val="21"/>
          <w:highlight w:val="none"/>
          <w:lang w:eastAsia="zh-CN"/>
          <w14:textFill>
            <w14:solidFill>
              <w14:schemeClr w14:val="tx1"/>
            </w14:solidFill>
          </w14:textFill>
        </w:rPr>
        <w:t>，</w:t>
      </w:r>
      <w:r>
        <w:rPr>
          <w:rFonts w:hint="eastAsia" w:cs="Times New Roman"/>
          <w:b/>
          <w:bCs w:val="0"/>
          <w:color w:val="000000" w:themeColor="text1"/>
          <w:szCs w:val="21"/>
          <w:highlight w:val="none"/>
          <w:lang w:eastAsia="zh-CN"/>
          <w14:textFill>
            <w14:solidFill>
              <w14:schemeClr w14:val="tx1"/>
            </w14:solidFill>
          </w14:textFill>
        </w:rPr>
        <w:t>该信用承诺书出具时间须为本采购文件发布之日起至开标时间前，超出该时间范围出具的承诺书无效。</w:t>
      </w:r>
    </w:p>
    <w:p w14:paraId="159E4EA1">
      <w:pPr>
        <w:numPr>
          <w:ilvl w:val="0"/>
          <w:numId w:val="0"/>
        </w:numPr>
        <w:spacing w:line="360" w:lineRule="auto"/>
        <w:ind w:firstLine="420" w:firstLineChars="0"/>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3、</w:t>
      </w:r>
      <w:r>
        <w:rPr>
          <w:rFonts w:hint="eastAsia" w:ascii="宋体" w:hAnsi="宋体" w:cs="宋体"/>
          <w:bCs/>
          <w:color w:val="000000" w:themeColor="text1"/>
          <w:szCs w:val="21"/>
          <w:highlight w:val="none"/>
          <w14:textFill>
            <w14:solidFill>
              <w14:schemeClr w14:val="tx1"/>
            </w14:solidFill>
          </w14:textFill>
        </w:rPr>
        <w:t>在政府采购资格审查环节，供应商只需提供书面《南京市政府采购供应商信用记录表暨信用承诺书》，即可替代以下证明材料：</w:t>
      </w:r>
    </w:p>
    <w:p w14:paraId="60652D0C">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（1）符合国家相关规定的财务状况报告；</w:t>
      </w:r>
    </w:p>
    <w:p w14:paraId="0C64C1CA">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（2）依法缴纳税收的证明材料；</w:t>
      </w:r>
    </w:p>
    <w:p w14:paraId="7A4735B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（3）依法缴纳社会保障资金的证明材料；</w:t>
      </w:r>
    </w:p>
    <w:p w14:paraId="4325B7E8">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（4）具备履行政府采购合同所必需的设备和专业技术能力的证明材料；</w:t>
      </w:r>
    </w:p>
    <w:p w14:paraId="343D2E13">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（5）参加政府采购活动前三年内在经营活动中没有重大违法记录的证明材料；</w:t>
      </w:r>
    </w:p>
    <w:p w14:paraId="114A91D1">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（6）未被列入失信被执行人、重大税收违法失信主体、政府采购严重违法失信行为记录名单的证明材料。</w:t>
      </w:r>
    </w:p>
    <w:p w14:paraId="497B90AB">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供应商在中标成交后，应按采购文件要求，将上述由信用承诺书替代的证明材料提交采购人或采购代理机构核验。经核验无误后，由采购人或采购代理机构发出中标通知书。</w:t>
      </w:r>
    </w:p>
    <w:p w14:paraId="1D2F2E5A">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供应商涉及以下情形的，不适用信用承诺：</w:t>
      </w:r>
    </w:p>
    <w:p w14:paraId="63331507">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（1）供应商被列入严重失信主体名单；</w:t>
      </w:r>
    </w:p>
    <w:p w14:paraId="6EAFE711">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（2）被相关监管部门作出行政处罚且尚在处罚有效期内；</w:t>
      </w:r>
    </w:p>
    <w:p w14:paraId="721F673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（3）其他法律、行政法规规定的不适用信用承诺的情形。</w:t>
      </w:r>
    </w:p>
    <w:p w14:paraId="5B1C9905">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供应商对信用承诺内容的真实性、合法性、有效性负责。如作出虚假信用承诺，视同为“提供虚假材料谋取中标”的违法行为。</w:t>
      </w:r>
    </w:p>
    <w:p w14:paraId="7D14F8F4">
      <w:pPr>
        <w:spacing w:line="360" w:lineRule="auto"/>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4、潜在供应商访问政府采购管理交易系统（苏采云）的网络地址和方法：</w:t>
      </w:r>
    </w:p>
    <w:p w14:paraId="43B2F243">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569F4D87">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（2）“CA数字证书”的获取：供应商需办理CA锁，“苏采云”系统目前仅支持“苏采云”系统下的政务CA，省内各地区办理的“苏采云”系统下的政务CA全省通用。</w:t>
      </w:r>
    </w:p>
    <w:p w14:paraId="192880A2">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（3）“CA数字证书”的办理材料以及供应商操作手册详见：http://jsxcmm.com/help/gys.html。</w:t>
      </w:r>
    </w:p>
    <w:p w14:paraId="4C457C60">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（4）潜在供应商访问“苏采云”系统的网络地址和方法：“苏采云”系统的网址：http://jszfcg.jsczt.cn/jszc/login。</w:t>
      </w:r>
    </w:p>
    <w:p w14:paraId="6CC606E0">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（5）采购文件（后缀名为“.kedt”）、供应商操作手册及政府采购客户端工具也可通过“苏采云”系统--已报名项目--报名详情页面内相应链接进行下载。</w:t>
      </w:r>
    </w:p>
    <w:p w14:paraId="3ED4E781">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（6）招标代理机构（采购代理机构）将数据电文形式的采购文件加载至“苏采云”系统，供潜在供应商下载或者查阅。</w:t>
      </w:r>
    </w:p>
    <w:p w14:paraId="4ED6500E">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（7）苏采云系统使用谷歌浏览器参与不见面开标。</w:t>
      </w:r>
    </w:p>
    <w:p w14:paraId="1F1F5B75">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（8）“苏采云”南京地区客服热线025-83633744、025-83633743。</w:t>
      </w:r>
    </w:p>
    <w:p w14:paraId="7B096C23">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p>
    <w:p w14:paraId="3364801D">
      <w:pPr>
        <w:spacing w:line="360" w:lineRule="auto"/>
        <w:ind w:firstLine="373"/>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七、</w:t>
      </w:r>
      <w:bookmarkEnd w:id="28"/>
      <w:bookmarkEnd w:id="29"/>
      <w:r>
        <w:rPr>
          <w:rFonts w:hint="eastAsia" w:ascii="宋体" w:hAnsi="宋体" w:cs="宋体"/>
          <w:b/>
          <w:bCs/>
          <w:color w:val="000000" w:themeColor="text1"/>
          <w:szCs w:val="44"/>
          <w:highlight w:val="none"/>
          <w14:textFill>
            <w14:solidFill>
              <w14:schemeClr w14:val="tx1"/>
            </w14:solidFill>
          </w14:textFill>
        </w:rPr>
        <w:t>对本次招标提出询问，请按以下方式联系。</w:t>
      </w:r>
      <w:bookmarkEnd w:id="30"/>
      <w:bookmarkEnd w:id="31"/>
    </w:p>
    <w:p w14:paraId="151E0848">
      <w:pPr>
        <w:spacing w:line="360" w:lineRule="auto"/>
        <w:ind w:firstLine="525"/>
        <w:rPr>
          <w:rFonts w:hint="eastAsia" w:ascii="宋体" w:hAnsi="宋体" w:cs="宋体"/>
          <w:color w:val="000000" w:themeColor="text1"/>
          <w:szCs w:val="21"/>
          <w:highlight w:val="none"/>
          <w14:textFill>
            <w14:solidFill>
              <w14:schemeClr w14:val="tx1"/>
            </w14:solidFill>
          </w14:textFill>
        </w:rPr>
      </w:pPr>
      <w:bookmarkStart w:id="32" w:name="_Toc28359085"/>
      <w:r>
        <w:rPr>
          <w:rFonts w:hint="eastAsia" w:ascii="宋体" w:hAnsi="宋体" w:cs="宋体"/>
          <w:color w:val="000000" w:themeColor="text1"/>
          <w:szCs w:val="21"/>
          <w:highlight w:val="none"/>
          <w14:textFill>
            <w14:solidFill>
              <w14:schemeClr w14:val="tx1"/>
            </w14:solidFill>
          </w14:textFill>
        </w:rPr>
        <w:t>1．采购人信息</w:t>
      </w:r>
    </w:p>
    <w:p w14:paraId="634A2E50">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名 称：南京鼓楼医院</w:t>
      </w:r>
    </w:p>
    <w:p w14:paraId="46A894E2">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址：南京市中山路321号</w:t>
      </w:r>
    </w:p>
    <w:p w14:paraId="78B2678A">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联系人：徐老师</w:t>
      </w:r>
    </w:p>
    <w:p w14:paraId="62319435">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联系方式：</w:t>
      </w:r>
      <w:r>
        <w:rPr>
          <w:color w:val="000000" w:themeColor="text1"/>
          <w:highlight w:val="none"/>
          <w14:textFill>
            <w14:solidFill>
              <w14:schemeClr w14:val="tx1"/>
            </w14:solidFill>
          </w14:textFill>
        </w:rPr>
        <w:t>025-83106666</w:t>
      </w:r>
      <w:r>
        <w:rPr>
          <w:rFonts w:hint="eastAsia"/>
          <w:color w:val="000000" w:themeColor="text1"/>
          <w:highlight w:val="none"/>
          <w14:textFill>
            <w14:solidFill>
              <w14:schemeClr w14:val="tx1"/>
            </w14:solidFill>
          </w14:textFill>
        </w:rPr>
        <w:t>转70091</w:t>
      </w:r>
    </w:p>
    <w:p w14:paraId="2749DD65">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2．采购代理机构信息</w:t>
      </w:r>
    </w:p>
    <w:p w14:paraId="70C7FD9C">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名 称：江苏省招标中心有限公司</w:t>
      </w:r>
    </w:p>
    <w:p w14:paraId="0B9DCE18">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址：南京市雨花台区宁双路19号C栋3楼305室</w:t>
      </w:r>
    </w:p>
    <w:p w14:paraId="1A979132">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联系人：马翊然、呼禹、宗超</w:t>
      </w:r>
    </w:p>
    <w:p w14:paraId="3EEE4607">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联系方式：19720255784、18761879918</w:t>
      </w:r>
    </w:p>
    <w:p w14:paraId="7028EAA8">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3．项目联系方式</w:t>
      </w:r>
    </w:p>
    <w:p w14:paraId="32982730">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项目联系人：马翊然、呼禹</w:t>
      </w:r>
    </w:p>
    <w:p w14:paraId="13F5B07A">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话：19720255784、18761879918</w:t>
      </w:r>
    </w:p>
    <w:p w14:paraId="3C1EC425">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End w:id="5"/>
      <w:bookmarkEnd w:id="32"/>
    </w:p>
    <w:p w14:paraId="6E06D111">
      <w:pPr>
        <w:pStyle w:val="17"/>
        <w:rPr>
          <w:color w:val="000000" w:themeColor="text1"/>
          <w:highlight w:val="none"/>
          <w14:textFill>
            <w14:solidFill>
              <w14:schemeClr w14:val="tx1"/>
            </w14:solidFill>
          </w14:textFill>
        </w:rPr>
      </w:pPr>
    </w:p>
    <w:p w14:paraId="064C5E01">
      <w:pPr>
        <w:pStyle w:val="40"/>
        <w:rPr>
          <w:rFonts w:hint="eastAsia" w:ascii="宋体" w:hAnsi="宋体" w:cs="宋体"/>
          <w:color w:val="000000" w:themeColor="text1"/>
          <w:highlight w:val="none"/>
          <w14:textFill>
            <w14:solidFill>
              <w14:schemeClr w14:val="tx1"/>
            </w14:solidFill>
          </w14:textFill>
        </w:rPr>
      </w:pPr>
      <w:bookmarkStart w:id="33" w:name="_Toc107246212"/>
      <w:r>
        <w:rPr>
          <w:rFonts w:hint="eastAsia" w:ascii="宋体" w:hAnsi="宋体" w:cs="宋体"/>
          <w:color w:val="000000" w:themeColor="text1"/>
          <w:highlight w:val="none"/>
          <w14:textFill>
            <w14:solidFill>
              <w14:schemeClr w14:val="tx1"/>
            </w14:solidFill>
          </w14:textFill>
        </w:rPr>
        <w:t>第二章  投标人须知</w:t>
      </w:r>
      <w:bookmarkEnd w:id="6"/>
      <w:bookmarkEnd w:id="33"/>
    </w:p>
    <w:p w14:paraId="00F32A27">
      <w:pPr>
        <w:ind w:firstLine="569"/>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投标人须知前附表</w:t>
      </w:r>
    </w:p>
    <w:p w14:paraId="34BD8969">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本表是对《投标人须知》正文的具体补充和修改，如有矛盾，以本《前附表》为准。</w:t>
      </w:r>
    </w:p>
    <w:p w14:paraId="565D66AD">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标记“</w:t>
      </w: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”的选项意为适用于本项目，标记“□”的选项意为不适用于本项目。</w:t>
      </w:r>
    </w:p>
    <w:tbl>
      <w:tblPr>
        <w:tblStyle w:val="43"/>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50"/>
        <w:gridCol w:w="2835"/>
        <w:gridCol w:w="4982"/>
      </w:tblGrid>
      <w:tr w14:paraId="2A4C2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6F668376">
            <w:pPr>
              <w:pStyle w:val="257"/>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序号</w:t>
            </w:r>
          </w:p>
        </w:tc>
        <w:tc>
          <w:tcPr>
            <w:tcW w:w="850" w:type="dxa"/>
            <w:vAlign w:val="center"/>
          </w:tcPr>
          <w:p w14:paraId="680B621F">
            <w:pPr>
              <w:pStyle w:val="257"/>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条款号</w:t>
            </w:r>
          </w:p>
        </w:tc>
        <w:tc>
          <w:tcPr>
            <w:tcW w:w="2835" w:type="dxa"/>
            <w:vAlign w:val="center"/>
          </w:tcPr>
          <w:p w14:paraId="5C719D3C">
            <w:pPr>
              <w:pStyle w:val="257"/>
              <w:spacing w:line="360" w:lineRule="auto"/>
              <w:ind w:firstLine="373"/>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条款名称</w:t>
            </w:r>
          </w:p>
        </w:tc>
        <w:tc>
          <w:tcPr>
            <w:tcW w:w="4982" w:type="dxa"/>
            <w:vAlign w:val="center"/>
          </w:tcPr>
          <w:p w14:paraId="44799984">
            <w:pPr>
              <w:pStyle w:val="257"/>
              <w:spacing w:line="360" w:lineRule="auto"/>
              <w:ind w:firstLine="373"/>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编列内容规定</w:t>
            </w:r>
          </w:p>
        </w:tc>
      </w:tr>
      <w:tr w14:paraId="330FA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2E63B5D7">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w:t>
            </w:r>
          </w:p>
        </w:tc>
        <w:tc>
          <w:tcPr>
            <w:tcW w:w="850" w:type="dxa"/>
            <w:vAlign w:val="center"/>
          </w:tcPr>
          <w:p w14:paraId="0514732E">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2.1</w:t>
            </w:r>
          </w:p>
        </w:tc>
        <w:tc>
          <w:tcPr>
            <w:tcW w:w="2835" w:type="dxa"/>
            <w:vAlign w:val="center"/>
          </w:tcPr>
          <w:p w14:paraId="2870FE90">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采购人</w:t>
            </w:r>
          </w:p>
        </w:tc>
        <w:tc>
          <w:tcPr>
            <w:tcW w:w="4982" w:type="dxa"/>
            <w:vAlign w:val="center"/>
          </w:tcPr>
          <w:p w14:paraId="20A623D7">
            <w:pPr>
              <w:pStyle w:val="254"/>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名  称：南京鼓楼医院</w:t>
            </w:r>
          </w:p>
          <w:p w14:paraId="3E46B065">
            <w:pPr>
              <w:pStyle w:val="254"/>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地  址：南京市中山路321号</w:t>
            </w:r>
          </w:p>
          <w:p w14:paraId="290EB82C">
            <w:pPr>
              <w:pStyle w:val="254"/>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联系人：徐老师</w:t>
            </w:r>
          </w:p>
          <w:p w14:paraId="41DD31FE">
            <w:pPr>
              <w:pStyle w:val="254"/>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电  话：</w:t>
            </w:r>
            <w:r>
              <w:rPr>
                <w:color w:val="000000" w:themeColor="text1"/>
                <w:highlight w:val="none"/>
                <w14:textFill>
                  <w14:solidFill>
                    <w14:schemeClr w14:val="tx1"/>
                  </w14:solidFill>
                </w14:textFill>
              </w:rPr>
              <w:t>025-83106666</w:t>
            </w:r>
            <w:r>
              <w:rPr>
                <w:rFonts w:hint="eastAsia"/>
                <w:color w:val="000000" w:themeColor="text1"/>
                <w:highlight w:val="none"/>
                <w14:textFill>
                  <w14:solidFill>
                    <w14:schemeClr w14:val="tx1"/>
                  </w14:solidFill>
                </w14:textFill>
              </w:rPr>
              <w:t>转</w:t>
            </w:r>
            <w:r>
              <w:rPr>
                <w:rFonts w:hint="eastAsia"/>
                <w:color w:val="000000" w:themeColor="text1"/>
                <w:highlight w:val="none"/>
                <w:lang w:val="en-US"/>
                <w14:textFill>
                  <w14:solidFill>
                    <w14:schemeClr w14:val="tx1"/>
                  </w14:solidFill>
                </w14:textFill>
              </w:rPr>
              <w:t>70091</w:t>
            </w:r>
          </w:p>
        </w:tc>
      </w:tr>
      <w:tr w14:paraId="33D1A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533DF4CC">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w:t>
            </w:r>
          </w:p>
        </w:tc>
        <w:tc>
          <w:tcPr>
            <w:tcW w:w="850" w:type="dxa"/>
            <w:vAlign w:val="center"/>
          </w:tcPr>
          <w:p w14:paraId="503CCBE2">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2.2</w:t>
            </w:r>
          </w:p>
        </w:tc>
        <w:tc>
          <w:tcPr>
            <w:tcW w:w="2835" w:type="dxa"/>
            <w:vAlign w:val="center"/>
          </w:tcPr>
          <w:p w14:paraId="4B8D41D2">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采购代理机构</w:t>
            </w:r>
          </w:p>
        </w:tc>
        <w:tc>
          <w:tcPr>
            <w:tcW w:w="4982" w:type="dxa"/>
            <w:vAlign w:val="center"/>
          </w:tcPr>
          <w:p w14:paraId="1E594ED4">
            <w:pPr>
              <w:pStyle w:val="254"/>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名 称 ：江苏省招标中心有限公司</w:t>
            </w:r>
          </w:p>
          <w:p w14:paraId="3D315D18">
            <w:pPr>
              <w:pStyle w:val="254"/>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地 址 ：南京市雨花台区宁双路19号C栋3楼305室</w:t>
            </w:r>
          </w:p>
          <w:p w14:paraId="09B52D30">
            <w:pPr>
              <w:pStyle w:val="254"/>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联系人：马翊然、呼禹、宗超</w:t>
            </w:r>
          </w:p>
          <w:p w14:paraId="6BE4DB2E">
            <w:pPr>
              <w:pStyle w:val="254"/>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电  话：19720255784、18761879918</w:t>
            </w:r>
          </w:p>
        </w:tc>
      </w:tr>
      <w:tr w14:paraId="61F8F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5" w:type="dxa"/>
            <w:vAlign w:val="center"/>
          </w:tcPr>
          <w:p w14:paraId="0CCE824A">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w:t>
            </w:r>
          </w:p>
        </w:tc>
        <w:tc>
          <w:tcPr>
            <w:tcW w:w="850" w:type="dxa"/>
            <w:vAlign w:val="center"/>
          </w:tcPr>
          <w:p w14:paraId="6EB38B7C">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4</w:t>
            </w:r>
          </w:p>
        </w:tc>
        <w:tc>
          <w:tcPr>
            <w:tcW w:w="2835" w:type="dxa"/>
            <w:vAlign w:val="center"/>
          </w:tcPr>
          <w:p w14:paraId="69822656">
            <w:pPr>
              <w:pStyle w:val="257"/>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本项目执行的政府采购政策</w:t>
            </w:r>
          </w:p>
        </w:tc>
        <w:tc>
          <w:tcPr>
            <w:tcW w:w="4982" w:type="dxa"/>
            <w:vAlign w:val="center"/>
          </w:tcPr>
          <w:p w14:paraId="056BBFC5">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详见</w:t>
            </w:r>
            <w:r>
              <w:rPr>
                <w:rFonts w:hint="eastAsia" w:ascii="宋体" w:hAnsi="宋体" w:cs="宋体"/>
                <w:color w:val="000000" w:themeColor="text1"/>
                <w:szCs w:val="21"/>
                <w:highlight w:val="none"/>
                <w14:textFill>
                  <w14:solidFill>
                    <w14:schemeClr w14:val="tx1"/>
                  </w14:solidFill>
                </w14:textFill>
              </w:rPr>
              <w:t>招标文件第一章《招标公告》</w:t>
            </w:r>
          </w:p>
        </w:tc>
      </w:tr>
      <w:tr w14:paraId="5A8D6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5" w:type="dxa"/>
            <w:vAlign w:val="center"/>
          </w:tcPr>
          <w:p w14:paraId="01F15BA9">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4</w:t>
            </w:r>
          </w:p>
        </w:tc>
        <w:tc>
          <w:tcPr>
            <w:tcW w:w="850" w:type="dxa"/>
            <w:vAlign w:val="center"/>
          </w:tcPr>
          <w:p w14:paraId="6559D311">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8.1</w:t>
            </w:r>
          </w:p>
        </w:tc>
        <w:tc>
          <w:tcPr>
            <w:tcW w:w="2835" w:type="dxa"/>
            <w:vAlign w:val="center"/>
          </w:tcPr>
          <w:p w14:paraId="57951557">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现场考察</w:t>
            </w:r>
          </w:p>
        </w:tc>
        <w:tc>
          <w:tcPr>
            <w:tcW w:w="4982" w:type="dxa"/>
            <w:vAlign w:val="center"/>
          </w:tcPr>
          <w:p w14:paraId="1EC6070D">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■不组织</w:t>
            </w:r>
          </w:p>
        </w:tc>
      </w:tr>
      <w:tr w14:paraId="21D06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5" w:type="dxa"/>
            <w:vAlign w:val="center"/>
          </w:tcPr>
          <w:p w14:paraId="1B1F746F">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5</w:t>
            </w:r>
          </w:p>
        </w:tc>
        <w:tc>
          <w:tcPr>
            <w:tcW w:w="850" w:type="dxa"/>
            <w:vAlign w:val="center"/>
          </w:tcPr>
          <w:p w14:paraId="0095C2B0">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9.1</w:t>
            </w:r>
          </w:p>
        </w:tc>
        <w:tc>
          <w:tcPr>
            <w:tcW w:w="2835" w:type="dxa"/>
            <w:vAlign w:val="center"/>
          </w:tcPr>
          <w:p w14:paraId="21519B5B">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开标前答疑会</w:t>
            </w:r>
          </w:p>
        </w:tc>
        <w:tc>
          <w:tcPr>
            <w:tcW w:w="4982" w:type="dxa"/>
            <w:vAlign w:val="center"/>
          </w:tcPr>
          <w:p w14:paraId="3DFAB0C1">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■不召开</w:t>
            </w:r>
          </w:p>
        </w:tc>
      </w:tr>
      <w:tr w14:paraId="1568A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5" w:type="dxa"/>
            <w:vAlign w:val="center"/>
          </w:tcPr>
          <w:p w14:paraId="1ACCEFC8">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6</w:t>
            </w:r>
          </w:p>
        </w:tc>
        <w:tc>
          <w:tcPr>
            <w:tcW w:w="850" w:type="dxa"/>
            <w:vAlign w:val="center"/>
          </w:tcPr>
          <w:p w14:paraId="294D49DA">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10.1</w:t>
            </w:r>
          </w:p>
        </w:tc>
        <w:tc>
          <w:tcPr>
            <w:tcW w:w="2835" w:type="dxa"/>
            <w:vAlign w:val="center"/>
          </w:tcPr>
          <w:p w14:paraId="752EE912">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联合体投标</w:t>
            </w:r>
          </w:p>
        </w:tc>
        <w:tc>
          <w:tcPr>
            <w:tcW w:w="4982" w:type="dxa"/>
            <w:vAlign w:val="center"/>
          </w:tcPr>
          <w:p w14:paraId="61062C39">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■不接受</w:t>
            </w:r>
          </w:p>
        </w:tc>
      </w:tr>
      <w:tr w14:paraId="6A91E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675" w:type="dxa"/>
            <w:vAlign w:val="center"/>
          </w:tcPr>
          <w:p w14:paraId="787C16DE">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7</w:t>
            </w:r>
          </w:p>
        </w:tc>
        <w:tc>
          <w:tcPr>
            <w:tcW w:w="850" w:type="dxa"/>
            <w:vAlign w:val="center"/>
          </w:tcPr>
          <w:p w14:paraId="3F1B5F77">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11.1</w:t>
            </w:r>
          </w:p>
        </w:tc>
        <w:tc>
          <w:tcPr>
            <w:tcW w:w="2835" w:type="dxa"/>
            <w:vAlign w:val="center"/>
          </w:tcPr>
          <w:p w14:paraId="5D36C959">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分包</w:t>
            </w:r>
          </w:p>
        </w:tc>
        <w:tc>
          <w:tcPr>
            <w:tcW w:w="4982" w:type="dxa"/>
            <w:vAlign w:val="center"/>
          </w:tcPr>
          <w:p w14:paraId="4F85E71B">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本项目的非主体、非关键性工作是否允许分包：</w:t>
            </w:r>
          </w:p>
          <w:p w14:paraId="130979F8">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■不允许</w:t>
            </w:r>
          </w:p>
        </w:tc>
      </w:tr>
      <w:tr w14:paraId="206EA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75" w:type="dxa"/>
            <w:vAlign w:val="center"/>
          </w:tcPr>
          <w:p w14:paraId="3CEEE83B">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8</w:t>
            </w:r>
          </w:p>
        </w:tc>
        <w:tc>
          <w:tcPr>
            <w:tcW w:w="850" w:type="dxa"/>
            <w:vAlign w:val="center"/>
          </w:tcPr>
          <w:p w14:paraId="7EB40ADA">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12.1</w:t>
            </w:r>
          </w:p>
        </w:tc>
        <w:tc>
          <w:tcPr>
            <w:tcW w:w="2835" w:type="dxa"/>
            <w:vAlign w:val="center"/>
          </w:tcPr>
          <w:p w14:paraId="65CF18C4">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样品</w:t>
            </w:r>
          </w:p>
        </w:tc>
        <w:tc>
          <w:tcPr>
            <w:tcW w:w="4982" w:type="dxa"/>
            <w:vAlign w:val="center"/>
          </w:tcPr>
          <w:p w14:paraId="0306F8A5">
            <w:pPr>
              <w:pStyle w:val="17"/>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投标样品递交：■不需要。</w:t>
            </w:r>
          </w:p>
        </w:tc>
      </w:tr>
      <w:tr w14:paraId="1DAC1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675" w:type="dxa"/>
            <w:vAlign w:val="center"/>
          </w:tcPr>
          <w:p w14:paraId="7D1F1FAE">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9</w:t>
            </w:r>
          </w:p>
        </w:tc>
        <w:tc>
          <w:tcPr>
            <w:tcW w:w="850" w:type="dxa"/>
            <w:vAlign w:val="center"/>
          </w:tcPr>
          <w:p w14:paraId="1DC1D914">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13.1</w:t>
            </w:r>
          </w:p>
        </w:tc>
        <w:tc>
          <w:tcPr>
            <w:tcW w:w="2835" w:type="dxa"/>
            <w:vAlign w:val="center"/>
          </w:tcPr>
          <w:p w14:paraId="381207B9">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采购进口产品</w:t>
            </w:r>
          </w:p>
        </w:tc>
        <w:tc>
          <w:tcPr>
            <w:tcW w:w="4982" w:type="dxa"/>
            <w:vAlign w:val="center"/>
          </w:tcPr>
          <w:p w14:paraId="605D856A">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详见招标文件第一章《招标公告》</w:t>
            </w:r>
          </w:p>
        </w:tc>
      </w:tr>
      <w:tr w14:paraId="3E75C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0D00FB24">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10</w:t>
            </w:r>
          </w:p>
        </w:tc>
        <w:tc>
          <w:tcPr>
            <w:tcW w:w="850" w:type="dxa"/>
            <w:vAlign w:val="center"/>
          </w:tcPr>
          <w:p w14:paraId="6A743954">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14.1</w:t>
            </w:r>
          </w:p>
        </w:tc>
        <w:tc>
          <w:tcPr>
            <w:tcW w:w="2835" w:type="dxa"/>
            <w:vAlign w:val="center"/>
          </w:tcPr>
          <w:p w14:paraId="147634EF">
            <w:pPr>
              <w:pStyle w:val="257"/>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采购预算</w:t>
            </w:r>
          </w:p>
        </w:tc>
        <w:tc>
          <w:tcPr>
            <w:tcW w:w="4982" w:type="dxa"/>
            <w:vAlign w:val="center"/>
          </w:tcPr>
          <w:p w14:paraId="4D42BE31">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详见</w:t>
            </w:r>
            <w:r>
              <w:rPr>
                <w:rFonts w:hint="eastAsia" w:ascii="宋体" w:hAnsi="宋体" w:cs="宋体"/>
                <w:color w:val="000000" w:themeColor="text1"/>
                <w:szCs w:val="21"/>
                <w:highlight w:val="none"/>
                <w14:textFill>
                  <w14:solidFill>
                    <w14:schemeClr w14:val="tx1"/>
                  </w14:solidFill>
                </w14:textFill>
              </w:rPr>
              <w:t>招标文件第一章《招标公告》</w:t>
            </w:r>
          </w:p>
        </w:tc>
      </w:tr>
      <w:tr w14:paraId="17831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675" w:type="dxa"/>
            <w:vAlign w:val="center"/>
          </w:tcPr>
          <w:p w14:paraId="7BF095DA">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11</w:t>
            </w:r>
          </w:p>
        </w:tc>
        <w:tc>
          <w:tcPr>
            <w:tcW w:w="850" w:type="dxa"/>
            <w:vAlign w:val="center"/>
          </w:tcPr>
          <w:p w14:paraId="796A1490">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14.2</w:t>
            </w:r>
          </w:p>
        </w:tc>
        <w:tc>
          <w:tcPr>
            <w:tcW w:w="2835" w:type="dxa"/>
            <w:vAlign w:val="center"/>
          </w:tcPr>
          <w:p w14:paraId="31417835">
            <w:pPr>
              <w:pStyle w:val="257"/>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本项目设定的最高限价</w:t>
            </w:r>
          </w:p>
        </w:tc>
        <w:tc>
          <w:tcPr>
            <w:tcW w:w="4982" w:type="dxa"/>
            <w:vAlign w:val="center"/>
          </w:tcPr>
          <w:p w14:paraId="2C9B75FD">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详见</w:t>
            </w:r>
            <w:r>
              <w:rPr>
                <w:rFonts w:hint="eastAsia" w:ascii="宋体" w:hAnsi="宋体" w:cs="宋体"/>
                <w:color w:val="000000" w:themeColor="text1"/>
                <w:szCs w:val="21"/>
                <w:highlight w:val="none"/>
                <w14:textFill>
                  <w14:solidFill>
                    <w14:schemeClr w14:val="tx1"/>
                  </w14:solidFill>
                </w14:textFill>
              </w:rPr>
              <w:t>招标文件第一章《招标公告》</w:t>
            </w:r>
          </w:p>
        </w:tc>
      </w:tr>
      <w:tr w14:paraId="268CA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4B6E1616">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12</w:t>
            </w:r>
          </w:p>
        </w:tc>
        <w:tc>
          <w:tcPr>
            <w:tcW w:w="850" w:type="dxa"/>
            <w:vAlign w:val="center"/>
          </w:tcPr>
          <w:p w14:paraId="28F3A5CC">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15.1</w:t>
            </w:r>
          </w:p>
        </w:tc>
        <w:tc>
          <w:tcPr>
            <w:tcW w:w="2835" w:type="dxa"/>
            <w:vAlign w:val="center"/>
          </w:tcPr>
          <w:p w14:paraId="15E0D06F">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供应商资格条件</w:t>
            </w:r>
          </w:p>
        </w:tc>
        <w:tc>
          <w:tcPr>
            <w:tcW w:w="4982" w:type="dxa"/>
            <w:vAlign w:val="center"/>
          </w:tcPr>
          <w:p w14:paraId="1AD2C206">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详见招标文件第一章《招标公告》</w:t>
            </w:r>
          </w:p>
        </w:tc>
      </w:tr>
      <w:tr w14:paraId="5B7C1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59C0AC1B">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13</w:t>
            </w:r>
          </w:p>
        </w:tc>
        <w:tc>
          <w:tcPr>
            <w:tcW w:w="850" w:type="dxa"/>
            <w:vAlign w:val="center"/>
          </w:tcPr>
          <w:p w14:paraId="1A086956">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20.5</w:t>
            </w:r>
          </w:p>
        </w:tc>
        <w:tc>
          <w:tcPr>
            <w:tcW w:w="2835" w:type="dxa"/>
            <w:vAlign w:val="center"/>
          </w:tcPr>
          <w:p w14:paraId="725A6875">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投标报价</w:t>
            </w:r>
          </w:p>
        </w:tc>
        <w:tc>
          <w:tcPr>
            <w:tcW w:w="4982" w:type="dxa"/>
            <w:vAlign w:val="center"/>
          </w:tcPr>
          <w:p w14:paraId="05FBA81A">
            <w:pPr>
              <w:pStyle w:val="268"/>
              <w:spacing w:line="360" w:lineRule="auto"/>
              <w:ind w:firstLine="0"/>
              <w:contextualSpacing/>
              <w:jc w:val="left"/>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投标报价的其他要求：要求报价含招标代理服务费和项目到场安装的全部费用，含相关税费，运输费，保险费，安装费及相关服务费等一切可能发生的费用。</w:t>
            </w:r>
          </w:p>
        </w:tc>
      </w:tr>
      <w:tr w14:paraId="7F4AE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7D2A7476">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14</w:t>
            </w:r>
          </w:p>
        </w:tc>
        <w:tc>
          <w:tcPr>
            <w:tcW w:w="850" w:type="dxa"/>
            <w:vAlign w:val="center"/>
          </w:tcPr>
          <w:p w14:paraId="20A0FE68">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21.1</w:t>
            </w:r>
          </w:p>
        </w:tc>
        <w:tc>
          <w:tcPr>
            <w:tcW w:w="2835" w:type="dxa"/>
            <w:vAlign w:val="center"/>
          </w:tcPr>
          <w:p w14:paraId="528FE952">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投标有效期</w:t>
            </w:r>
          </w:p>
        </w:tc>
        <w:tc>
          <w:tcPr>
            <w:tcW w:w="4982" w:type="dxa"/>
            <w:vAlign w:val="center"/>
          </w:tcPr>
          <w:p w14:paraId="59686423">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自提交投标文件的截止之日起算90日历天</w:t>
            </w:r>
          </w:p>
        </w:tc>
      </w:tr>
      <w:tr w14:paraId="68E0C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675" w:type="dxa"/>
            <w:vAlign w:val="center"/>
          </w:tcPr>
          <w:p w14:paraId="59627156">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15</w:t>
            </w:r>
          </w:p>
        </w:tc>
        <w:tc>
          <w:tcPr>
            <w:tcW w:w="850" w:type="dxa"/>
            <w:vAlign w:val="center"/>
          </w:tcPr>
          <w:p w14:paraId="5B4A43C7">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22.1</w:t>
            </w:r>
          </w:p>
        </w:tc>
        <w:tc>
          <w:tcPr>
            <w:tcW w:w="2835" w:type="dxa"/>
            <w:vAlign w:val="center"/>
          </w:tcPr>
          <w:p w14:paraId="20B1C9DF">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投标保证金</w:t>
            </w:r>
          </w:p>
        </w:tc>
        <w:tc>
          <w:tcPr>
            <w:tcW w:w="4982" w:type="dxa"/>
            <w:vAlign w:val="center"/>
          </w:tcPr>
          <w:p w14:paraId="71027D84">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■不需要</w:t>
            </w:r>
          </w:p>
        </w:tc>
      </w:tr>
      <w:tr w14:paraId="3F4BF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77BC54FD">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16</w:t>
            </w:r>
          </w:p>
        </w:tc>
        <w:tc>
          <w:tcPr>
            <w:tcW w:w="850" w:type="dxa"/>
            <w:vAlign w:val="center"/>
          </w:tcPr>
          <w:p w14:paraId="7F61D451">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23.1</w:t>
            </w:r>
          </w:p>
        </w:tc>
        <w:tc>
          <w:tcPr>
            <w:tcW w:w="2835" w:type="dxa"/>
            <w:vAlign w:val="center"/>
          </w:tcPr>
          <w:p w14:paraId="63FA363C">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投标文件份数</w:t>
            </w:r>
          </w:p>
        </w:tc>
        <w:tc>
          <w:tcPr>
            <w:tcW w:w="4982" w:type="dxa"/>
            <w:vAlign w:val="center"/>
          </w:tcPr>
          <w:p w14:paraId="78EFEA12">
            <w:pPr>
              <w:pStyle w:val="257"/>
              <w:spacing w:line="360" w:lineRule="auto"/>
              <w:rPr>
                <w:rFonts w:hint="eastAsia" w:hAnsi="宋体" w:cs="宋体"/>
                <w:b/>
                <w:bCs/>
                <w:color w:val="000000" w:themeColor="text1"/>
                <w:sz w:val="2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w:t>
            </w:r>
            <w:r>
              <w:rPr>
                <w:rFonts w:hint="eastAsia" w:hAnsi="宋体" w:cs="宋体"/>
                <w:bCs/>
                <w:color w:val="000000" w:themeColor="text1"/>
                <w:sz w:val="21"/>
                <w:highlight w:val="none"/>
                <w14:textFill>
                  <w14:solidFill>
                    <w14:schemeClr w14:val="tx1"/>
                  </w14:solidFill>
                </w14:textFill>
              </w:rPr>
              <w:t>不适用</w:t>
            </w:r>
          </w:p>
        </w:tc>
      </w:tr>
      <w:tr w14:paraId="7C8D9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2" w:hRule="atLeast"/>
          <w:jc w:val="center"/>
        </w:trPr>
        <w:tc>
          <w:tcPr>
            <w:tcW w:w="675" w:type="dxa"/>
            <w:vAlign w:val="center"/>
          </w:tcPr>
          <w:p w14:paraId="2F5105BF">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17</w:t>
            </w:r>
          </w:p>
        </w:tc>
        <w:tc>
          <w:tcPr>
            <w:tcW w:w="850" w:type="dxa"/>
            <w:vAlign w:val="center"/>
          </w:tcPr>
          <w:p w14:paraId="165B7F88">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24.1</w:t>
            </w:r>
          </w:p>
        </w:tc>
        <w:tc>
          <w:tcPr>
            <w:tcW w:w="2835" w:type="dxa"/>
            <w:vAlign w:val="center"/>
          </w:tcPr>
          <w:p w14:paraId="3614EDD1">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投标文件的递交</w:t>
            </w:r>
          </w:p>
        </w:tc>
        <w:tc>
          <w:tcPr>
            <w:tcW w:w="4982" w:type="dxa"/>
            <w:vAlign w:val="center"/>
          </w:tcPr>
          <w:p w14:paraId="0F7EA7F7">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投标人应当按照《操作手册》规定，在招标公告规定的投标截止时间前制作并上传电子投标文件。招标代理机构拒绝接收提交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投标文件截止时间后上传的任何电子投标文件。</w:t>
            </w:r>
          </w:p>
        </w:tc>
      </w:tr>
      <w:tr w14:paraId="220B4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7D5EB297">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18</w:t>
            </w:r>
          </w:p>
        </w:tc>
        <w:tc>
          <w:tcPr>
            <w:tcW w:w="850" w:type="dxa"/>
            <w:vAlign w:val="center"/>
          </w:tcPr>
          <w:p w14:paraId="73C2B146">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25.1</w:t>
            </w:r>
          </w:p>
        </w:tc>
        <w:tc>
          <w:tcPr>
            <w:tcW w:w="2835" w:type="dxa"/>
            <w:vAlign w:val="center"/>
          </w:tcPr>
          <w:p w14:paraId="1F7F87E8">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提交投标文件的截止时间、地点</w:t>
            </w:r>
          </w:p>
        </w:tc>
        <w:tc>
          <w:tcPr>
            <w:tcW w:w="4982" w:type="dxa"/>
            <w:vAlign w:val="center"/>
          </w:tcPr>
          <w:p w14:paraId="5DBF29A9">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详见招标文件第一章《招标公告》</w:t>
            </w:r>
          </w:p>
        </w:tc>
      </w:tr>
      <w:tr w14:paraId="6A154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191F0DB7">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19</w:t>
            </w:r>
          </w:p>
        </w:tc>
        <w:tc>
          <w:tcPr>
            <w:tcW w:w="850" w:type="dxa"/>
            <w:vAlign w:val="center"/>
          </w:tcPr>
          <w:p w14:paraId="5B80254C">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28.1</w:t>
            </w:r>
          </w:p>
        </w:tc>
        <w:tc>
          <w:tcPr>
            <w:tcW w:w="2835" w:type="dxa"/>
            <w:vAlign w:val="center"/>
          </w:tcPr>
          <w:p w14:paraId="720240E7">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开标时间、地点</w:t>
            </w:r>
          </w:p>
        </w:tc>
        <w:tc>
          <w:tcPr>
            <w:tcW w:w="4982" w:type="dxa"/>
            <w:vAlign w:val="center"/>
          </w:tcPr>
          <w:p w14:paraId="4C78928D">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详见招标文件第一章《招标公告》</w:t>
            </w:r>
          </w:p>
        </w:tc>
      </w:tr>
      <w:tr w14:paraId="0A99E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1CA56590">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20</w:t>
            </w:r>
          </w:p>
        </w:tc>
        <w:tc>
          <w:tcPr>
            <w:tcW w:w="850" w:type="dxa"/>
            <w:vAlign w:val="center"/>
          </w:tcPr>
          <w:p w14:paraId="4747F2B3">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29.2.1</w:t>
            </w:r>
          </w:p>
        </w:tc>
        <w:tc>
          <w:tcPr>
            <w:tcW w:w="2835" w:type="dxa"/>
            <w:vAlign w:val="center"/>
          </w:tcPr>
          <w:p w14:paraId="1DAA6329">
            <w:pPr>
              <w:pStyle w:val="257"/>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信用查询</w:t>
            </w:r>
          </w:p>
        </w:tc>
        <w:tc>
          <w:tcPr>
            <w:tcW w:w="4982" w:type="dxa"/>
            <w:vAlign w:val="center"/>
          </w:tcPr>
          <w:p w14:paraId="75055054">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p>
        </w:tc>
      </w:tr>
      <w:tr w14:paraId="563B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2BF3727B">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21</w:t>
            </w:r>
          </w:p>
        </w:tc>
        <w:tc>
          <w:tcPr>
            <w:tcW w:w="850" w:type="dxa"/>
            <w:vAlign w:val="center"/>
          </w:tcPr>
          <w:p w14:paraId="7C57E5D6">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30.1.1</w:t>
            </w:r>
          </w:p>
        </w:tc>
        <w:tc>
          <w:tcPr>
            <w:tcW w:w="2835" w:type="dxa"/>
            <w:vAlign w:val="center"/>
          </w:tcPr>
          <w:p w14:paraId="0695557C">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评标委员会</w:t>
            </w:r>
          </w:p>
        </w:tc>
        <w:tc>
          <w:tcPr>
            <w:tcW w:w="4982" w:type="dxa"/>
            <w:vAlign w:val="center"/>
          </w:tcPr>
          <w:p w14:paraId="5F08671B">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5人及以上单数。</w:t>
            </w:r>
          </w:p>
        </w:tc>
      </w:tr>
      <w:tr w14:paraId="3FCC0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380A4427">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22</w:t>
            </w:r>
          </w:p>
        </w:tc>
        <w:tc>
          <w:tcPr>
            <w:tcW w:w="850" w:type="dxa"/>
            <w:vAlign w:val="center"/>
          </w:tcPr>
          <w:p w14:paraId="7E5B26F8">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30.5.3</w:t>
            </w:r>
          </w:p>
        </w:tc>
        <w:tc>
          <w:tcPr>
            <w:tcW w:w="2835" w:type="dxa"/>
            <w:vAlign w:val="center"/>
          </w:tcPr>
          <w:p w14:paraId="3EFDA480">
            <w:pPr>
              <w:pStyle w:val="257"/>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核心产品</w:t>
            </w:r>
            <w:r>
              <w:rPr>
                <w:rFonts w:hint="eastAsia" w:hAnsi="宋体" w:cs="宋体"/>
                <w:color w:val="000000" w:themeColor="text1"/>
                <w:sz w:val="21"/>
                <w:highlight w:val="none"/>
                <w14:textFill>
                  <w14:solidFill>
                    <w14:schemeClr w14:val="tx1"/>
                  </w14:solidFill>
                </w14:textFill>
              </w:rPr>
              <w:tab/>
            </w:r>
          </w:p>
        </w:tc>
        <w:tc>
          <w:tcPr>
            <w:tcW w:w="4982" w:type="dxa"/>
            <w:vAlign w:val="center"/>
          </w:tcPr>
          <w:p w14:paraId="468161ED">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■货物类，本项目为单一产品采购。</w:t>
            </w:r>
          </w:p>
        </w:tc>
      </w:tr>
      <w:tr w14:paraId="7FB2E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675" w:type="dxa"/>
            <w:vAlign w:val="center"/>
          </w:tcPr>
          <w:p w14:paraId="57CA9F18">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23</w:t>
            </w:r>
          </w:p>
        </w:tc>
        <w:tc>
          <w:tcPr>
            <w:tcW w:w="850" w:type="dxa"/>
            <w:vAlign w:val="center"/>
          </w:tcPr>
          <w:p w14:paraId="07563256">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31.3</w:t>
            </w:r>
          </w:p>
        </w:tc>
        <w:tc>
          <w:tcPr>
            <w:tcW w:w="2835" w:type="dxa"/>
            <w:vAlign w:val="center"/>
          </w:tcPr>
          <w:p w14:paraId="38810B15">
            <w:pPr>
              <w:pStyle w:val="257"/>
              <w:jc w:val="left"/>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确定中标单位</w:t>
            </w:r>
          </w:p>
        </w:tc>
        <w:tc>
          <w:tcPr>
            <w:tcW w:w="4982" w:type="dxa"/>
            <w:vAlign w:val="center"/>
          </w:tcPr>
          <w:p w14:paraId="3E82BFB1">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1.评委会根据本采购文件规定评分办法与评分标准综合打分，并按综合得分由高到低顺序向项目采购人推荐3名中标候选人。</w:t>
            </w:r>
          </w:p>
          <w:p w14:paraId="305883F0">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tc>
      </w:tr>
      <w:tr w14:paraId="46C24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74215B08">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24</w:t>
            </w:r>
          </w:p>
        </w:tc>
        <w:tc>
          <w:tcPr>
            <w:tcW w:w="850" w:type="dxa"/>
            <w:vAlign w:val="center"/>
          </w:tcPr>
          <w:p w14:paraId="52DA269E">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31.4</w:t>
            </w:r>
          </w:p>
        </w:tc>
        <w:tc>
          <w:tcPr>
            <w:tcW w:w="2835" w:type="dxa"/>
            <w:vAlign w:val="center"/>
          </w:tcPr>
          <w:p w14:paraId="5C5CEACE">
            <w:pPr>
              <w:pStyle w:val="257"/>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公告媒体</w:t>
            </w:r>
          </w:p>
        </w:tc>
        <w:tc>
          <w:tcPr>
            <w:tcW w:w="4982" w:type="dxa"/>
            <w:vAlign w:val="center"/>
          </w:tcPr>
          <w:p w14:paraId="04F392C4">
            <w:pPr>
              <w:pStyle w:val="257"/>
              <w:spacing w:line="360" w:lineRule="auto"/>
              <w:jc w:val="left"/>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《江苏政府采购网》（http://www.ccgp-jiangsu.gov.cn/）</w:t>
            </w:r>
          </w:p>
        </w:tc>
      </w:tr>
      <w:tr w14:paraId="7EC7B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158F0DBE">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25</w:t>
            </w:r>
          </w:p>
        </w:tc>
        <w:tc>
          <w:tcPr>
            <w:tcW w:w="850" w:type="dxa"/>
            <w:vAlign w:val="center"/>
          </w:tcPr>
          <w:p w14:paraId="3F0B5C03">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35.1</w:t>
            </w:r>
          </w:p>
        </w:tc>
        <w:tc>
          <w:tcPr>
            <w:tcW w:w="2835" w:type="dxa"/>
            <w:vAlign w:val="center"/>
          </w:tcPr>
          <w:p w14:paraId="186AF07D">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履约保证金</w:t>
            </w:r>
          </w:p>
        </w:tc>
        <w:tc>
          <w:tcPr>
            <w:tcW w:w="4982" w:type="dxa"/>
            <w:vAlign w:val="center"/>
          </w:tcPr>
          <w:p w14:paraId="28D70A42">
            <w:pPr>
              <w:pStyle w:val="257"/>
              <w:spacing w:line="360" w:lineRule="auto"/>
              <w:rPr>
                <w:rFonts w:hint="eastAsia" w:hAnsi="宋体" w:eastAsia="宋体" w:cs="宋体"/>
                <w:bCs/>
                <w:color w:val="000000" w:themeColor="text1"/>
                <w:sz w:val="21"/>
                <w:highlight w:val="none"/>
                <w:lang w:val="en-US" w:eastAsia="zh-CN"/>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w:t>
            </w:r>
            <w:r>
              <w:rPr>
                <w:rFonts w:hint="eastAsia" w:hAnsi="宋体" w:cs="宋体"/>
                <w:bCs/>
                <w:color w:val="000000" w:themeColor="text1"/>
                <w:sz w:val="21"/>
                <w:highlight w:val="none"/>
                <w:lang w:val="en-US" w:eastAsia="zh-CN"/>
                <w14:textFill>
                  <w14:solidFill>
                    <w14:schemeClr w14:val="tx1"/>
                  </w14:solidFill>
                </w14:textFill>
              </w:rPr>
              <w:t>收取</w:t>
            </w:r>
          </w:p>
          <w:p w14:paraId="0989F4A1">
            <w:pPr>
              <w:pStyle w:val="257"/>
              <w:spacing w:line="360" w:lineRule="auto"/>
              <w:rPr>
                <w:rStyle w:val="51"/>
                <w:rFonts w:hint="eastAsia" w:hAnsi="宋体" w:eastAsia="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sz w:val="21"/>
                <w:highlight w:val="none"/>
                <w:lang w:eastAsia="zh-CN"/>
                <w14:textFill>
                  <w14:solidFill>
                    <w14:schemeClr w14:val="tx1"/>
                  </w14:solidFill>
                </w14:textFill>
              </w:rPr>
              <w:t>（</w:t>
            </w:r>
            <w:r>
              <w:rPr>
                <w:rFonts w:hint="eastAsia" w:hAnsi="宋体" w:cs="宋体"/>
                <w:bCs/>
                <w:color w:val="000000" w:themeColor="text1"/>
                <w:sz w:val="21"/>
                <w:highlight w:val="none"/>
                <w:lang w:val="en-US" w:eastAsia="zh-CN"/>
                <w14:textFill>
                  <w14:solidFill>
                    <w14:schemeClr w14:val="tx1"/>
                  </w14:solidFill>
                </w14:textFill>
              </w:rPr>
              <w:t>1</w:t>
            </w:r>
            <w:r>
              <w:rPr>
                <w:rFonts w:hint="eastAsia" w:hAnsi="宋体" w:cs="宋体"/>
                <w:bCs/>
                <w:color w:val="000000" w:themeColor="text1"/>
                <w:sz w:val="21"/>
                <w:highlight w:val="none"/>
                <w:lang w:eastAsia="zh-CN"/>
                <w14:textFill>
                  <w14:solidFill>
                    <w14:schemeClr w14:val="tx1"/>
                  </w14:solidFill>
                </w14:textFill>
              </w:rPr>
              <w:t>）</w:t>
            </w:r>
            <w:r>
              <w:rPr>
                <w:rFonts w:hint="eastAsia" w:hAnsi="宋体" w:cs="宋体"/>
                <w:bCs/>
                <w:color w:val="000000" w:themeColor="text1"/>
                <w:sz w:val="21"/>
                <w:highlight w:val="none"/>
                <w14:textFill>
                  <w14:solidFill>
                    <w14:schemeClr w14:val="tx1"/>
                  </w14:solidFill>
                </w14:textFill>
              </w:rPr>
              <w:t>供应商向采购人财务处缴纳合同总额的10%作为合同履约保证金</w:t>
            </w:r>
            <w:r>
              <w:rPr>
                <w:rStyle w:val="51"/>
                <w:rFonts w:hint="eastAsia" w:hAnsi="宋体" w:cs="宋体"/>
                <w:bCs/>
                <w:color w:val="000000" w:themeColor="text1"/>
                <w:highlight w:val="none"/>
                <w:lang w:eastAsia="zh-CN"/>
                <w14:textFill>
                  <w14:solidFill>
                    <w14:schemeClr w14:val="tx1"/>
                  </w14:solidFill>
                </w14:textFill>
              </w:rPr>
              <w:t>。</w:t>
            </w:r>
          </w:p>
          <w:p w14:paraId="196F76AC">
            <w:pPr>
              <w:pStyle w:val="257"/>
              <w:spacing w:line="360" w:lineRule="auto"/>
              <w:rPr>
                <w:rStyle w:val="51"/>
                <w:rFonts w:hint="eastAsia" w:hAnsi="宋体" w:cs="宋体"/>
                <w:bCs/>
                <w:color w:val="000000" w:themeColor="text1"/>
                <w:highlight w:val="none"/>
                <w:lang w:val="en-US" w:eastAsia="zh-CN"/>
                <w14:textFill>
                  <w14:solidFill>
                    <w14:schemeClr w14:val="tx1"/>
                  </w14:solidFill>
                </w14:textFill>
              </w:rPr>
            </w:pPr>
            <w:r>
              <w:rPr>
                <w:rStyle w:val="51"/>
                <w:rFonts w:hint="eastAsia" w:hAnsi="宋体" w:cs="宋体"/>
                <w:bCs/>
                <w:color w:val="000000" w:themeColor="text1"/>
                <w:highlight w:val="none"/>
                <w:lang w:val="en-US" w:eastAsia="zh-CN"/>
                <w14:textFill>
                  <w14:solidFill>
                    <w14:schemeClr w14:val="tx1"/>
                  </w14:solidFill>
                </w14:textFill>
              </w:rPr>
              <w:t>（2）如果供应商未能履行合同规定的任何义务，采购人有权从履约保证金中取得补偿，履约保证金不足的，供应商需补足。</w:t>
            </w:r>
          </w:p>
          <w:p w14:paraId="11B46281">
            <w:pPr>
              <w:pStyle w:val="257"/>
              <w:spacing w:line="360" w:lineRule="auto"/>
              <w:rPr>
                <w:rFonts w:hint="eastAsia" w:hAnsi="宋体" w:cs="宋体"/>
                <w:bCs/>
                <w:color w:val="000000" w:themeColor="text1"/>
                <w:sz w:val="21"/>
                <w:highlight w:val="none"/>
                <w14:textFill>
                  <w14:solidFill>
                    <w14:schemeClr w14:val="tx1"/>
                  </w14:solidFill>
                </w14:textFill>
              </w:rPr>
            </w:pPr>
            <w:r>
              <w:rPr>
                <w:rStyle w:val="51"/>
                <w:rFonts w:hint="eastAsia" w:hAnsi="宋体" w:cs="宋体"/>
                <w:bCs/>
                <w:color w:val="000000" w:themeColor="text1"/>
                <w:highlight w:val="none"/>
                <w:lang w:val="en-US" w:eastAsia="zh-CN"/>
                <w14:textFill>
                  <w14:solidFill>
                    <w14:schemeClr w14:val="tx1"/>
                  </w14:solidFill>
                </w14:textFill>
              </w:rPr>
              <w:t>（3）验收合格设备正常使用一年后采购人无息退还供应商履约保证金。</w:t>
            </w:r>
          </w:p>
        </w:tc>
      </w:tr>
      <w:tr w14:paraId="2B2B6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15DFD4EE">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26</w:t>
            </w:r>
          </w:p>
        </w:tc>
        <w:tc>
          <w:tcPr>
            <w:tcW w:w="850" w:type="dxa"/>
            <w:vAlign w:val="center"/>
          </w:tcPr>
          <w:p w14:paraId="3BCAD43F">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36.1</w:t>
            </w:r>
          </w:p>
        </w:tc>
        <w:tc>
          <w:tcPr>
            <w:tcW w:w="2835" w:type="dxa"/>
            <w:vAlign w:val="center"/>
          </w:tcPr>
          <w:p w14:paraId="26D8D93B">
            <w:pPr>
              <w:spacing w:line="276" w:lineRule="auto"/>
              <w:ind w:left="-533" w:firstLine="533"/>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供应商对采购文件的</w:t>
            </w:r>
            <w:r>
              <w:rPr>
                <w:rFonts w:hint="eastAsia" w:hAnsi="宋体" w:cs="宋体"/>
                <w:color w:val="000000" w:themeColor="text1"/>
                <w:highlight w:val="none"/>
                <w14:textFill>
                  <w14:solidFill>
                    <w14:schemeClr w14:val="tx1"/>
                  </w14:solidFill>
                </w14:textFill>
              </w:rPr>
              <w:t>询问</w:t>
            </w:r>
          </w:p>
        </w:tc>
        <w:tc>
          <w:tcPr>
            <w:tcW w:w="4982" w:type="dxa"/>
            <w:vAlign w:val="center"/>
          </w:tcPr>
          <w:p w14:paraId="35763AA3">
            <w:pPr>
              <w:pStyle w:val="22"/>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时间：</w:t>
            </w:r>
            <w:r>
              <w:rPr>
                <w:rFonts w:hint="eastAsia" w:hAnsi="宋体" w:cs="宋体"/>
                <w:color w:val="000000" w:themeColor="text1"/>
                <w:highlight w:val="none"/>
                <w14:textFill>
                  <w14:solidFill>
                    <w14:schemeClr w14:val="tx1"/>
                  </w14:solidFill>
                </w14:textFill>
              </w:rPr>
              <w:t>递交投标文件截止时间前15日。</w:t>
            </w:r>
          </w:p>
          <w:p w14:paraId="669E54FD">
            <w:pPr>
              <w:pStyle w:val="22"/>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形式：以书面形式（盖章扫描件及WPS兼容格式文件发至</w:t>
            </w:r>
            <w:r>
              <w:rPr>
                <w:rFonts w:hint="eastAsia" w:hAnsi="宋体" w:cs="宋体"/>
                <w:bCs/>
                <w:color w:val="000000" w:themeColor="text1"/>
                <w:highlight w:val="none"/>
                <w:u w:val="single"/>
                <w14:textFill>
                  <w14:solidFill>
                    <w14:schemeClr w14:val="tx1"/>
                  </w14:solidFill>
                </w14:textFill>
              </w:rPr>
              <w:t>huy@jstcc.cn</w:t>
            </w:r>
            <w:r>
              <w:rPr>
                <w:rFonts w:hint="eastAsia" w:hAnsi="宋体" w:cs="宋体"/>
                <w:bCs/>
                <w:color w:val="000000" w:themeColor="text1"/>
                <w:highlight w:val="none"/>
                <w14:textFill>
                  <w14:solidFill>
                    <w14:schemeClr w14:val="tx1"/>
                  </w14:solidFill>
                </w14:textFill>
              </w:rPr>
              <w:t>邮箱）通知采购代理机构。</w:t>
            </w:r>
          </w:p>
        </w:tc>
      </w:tr>
      <w:tr w14:paraId="1CDC7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5" w:type="dxa"/>
            <w:vAlign w:val="center"/>
          </w:tcPr>
          <w:p w14:paraId="3134353A">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27</w:t>
            </w:r>
          </w:p>
        </w:tc>
        <w:tc>
          <w:tcPr>
            <w:tcW w:w="850" w:type="dxa"/>
            <w:vAlign w:val="center"/>
          </w:tcPr>
          <w:p w14:paraId="2243DBC1">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37.1</w:t>
            </w:r>
          </w:p>
        </w:tc>
        <w:tc>
          <w:tcPr>
            <w:tcW w:w="2835" w:type="dxa"/>
            <w:vAlign w:val="center"/>
          </w:tcPr>
          <w:p w14:paraId="27F09C0C">
            <w:pPr>
              <w:spacing w:line="276" w:lineRule="auto"/>
              <w:ind w:left="-533" w:firstLine="533"/>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供应商对采购文件提出的</w:t>
            </w:r>
          </w:p>
          <w:p w14:paraId="6CD80CED">
            <w:pPr>
              <w:spacing w:line="276" w:lineRule="auto"/>
              <w:ind w:left="-533" w:firstLine="533"/>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质疑</w:t>
            </w:r>
          </w:p>
        </w:tc>
        <w:tc>
          <w:tcPr>
            <w:tcW w:w="4982" w:type="dxa"/>
            <w:vAlign w:val="center"/>
          </w:tcPr>
          <w:p w14:paraId="5E52F148">
            <w:pPr>
              <w:pStyle w:val="22"/>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形式：以书面形式通知采购代理机构。如采用邮件形式（盖章扫描件及WPS兼容格式文件发至huy@jstcc.cn邮箱）通知，采购代理机构将以邮件形式进行答复。</w:t>
            </w:r>
          </w:p>
        </w:tc>
      </w:tr>
      <w:tr w14:paraId="000BC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jc w:val="center"/>
        </w:trPr>
        <w:tc>
          <w:tcPr>
            <w:tcW w:w="675" w:type="dxa"/>
            <w:vAlign w:val="center"/>
          </w:tcPr>
          <w:p w14:paraId="7F2C0502">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28</w:t>
            </w:r>
          </w:p>
        </w:tc>
        <w:tc>
          <w:tcPr>
            <w:tcW w:w="850" w:type="dxa"/>
            <w:vAlign w:val="center"/>
          </w:tcPr>
          <w:p w14:paraId="3C1446CE">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38.1</w:t>
            </w:r>
          </w:p>
        </w:tc>
        <w:tc>
          <w:tcPr>
            <w:tcW w:w="2835" w:type="dxa"/>
            <w:vAlign w:val="center"/>
          </w:tcPr>
          <w:p w14:paraId="6E5347EA">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招标代理服务费</w:t>
            </w:r>
          </w:p>
        </w:tc>
        <w:tc>
          <w:tcPr>
            <w:tcW w:w="4982" w:type="dxa"/>
            <w:vAlign w:val="center"/>
          </w:tcPr>
          <w:p w14:paraId="6819783B">
            <w:pPr>
              <w:spacing w:line="360" w:lineRule="auto"/>
              <w:jc w:val="left"/>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中标人在领取中标通知书前应向采购代理机构缴纳采购代理服务费。本项目按项目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p>
          <w:p w14:paraId="149B2EC9">
            <w:pPr>
              <w:spacing w:line="360" w:lineRule="auto"/>
              <w:jc w:val="left"/>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1.支付主体和报价要求:本项目采购代理服务费由成交供应商支付，供应商在报价时应将代理服务费全额包含在投标总价中，采购人不再另行支付。</w:t>
            </w:r>
          </w:p>
          <w:p w14:paraId="7C28E7E3">
            <w:pPr>
              <w:spacing w:line="360" w:lineRule="auto"/>
              <w:jc w:val="left"/>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2.为优化采购资金使用效率，依据《政府采购代理机构管理暂行办法》(财库(2018)2号)第十五条规定，本项目代理服务费由成交供应商支付。</w:t>
            </w:r>
          </w:p>
          <w:p w14:paraId="73C83BFB">
            <w:pPr>
              <w:spacing w:line="360" w:lineRule="auto"/>
              <w:jc w:val="left"/>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3.收取标准及方式:成交供应商在领取成交通知书前按下表中货物类型标准的40%一次性足额向采购代理机构缴纳采购代理服务费用。</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80"/>
              <w:gridCol w:w="992"/>
              <w:gridCol w:w="992"/>
              <w:gridCol w:w="992"/>
            </w:tblGrid>
            <w:tr w14:paraId="68A9E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7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25C03FA0">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中标金额（万元）</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6497622">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货物招标</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43135BF">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服务招标</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4A9A55F">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工程招标</w:t>
                  </w:r>
                </w:p>
              </w:tc>
            </w:tr>
            <w:tr w14:paraId="542C9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7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2022A21">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100以下</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D5FC3BF">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1.5%</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8F76543">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1.5%</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C72C4E7">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1.0%</w:t>
                  </w:r>
                </w:p>
              </w:tc>
            </w:tr>
            <w:tr w14:paraId="3D6E1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7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AF08E73">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100-500</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6AAF601">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1.1%</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CD4100D">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0.8%</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5EEABE4">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0.7%</w:t>
                  </w:r>
                </w:p>
              </w:tc>
            </w:tr>
            <w:tr w14:paraId="3366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7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C838CBE">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500-1000</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33BF209">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0.8%</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39CD6BF">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0.45%</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4D2F11D">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0.55%</w:t>
                  </w:r>
                </w:p>
              </w:tc>
            </w:tr>
            <w:tr w14:paraId="6FF9A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7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52496D2">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1000-5000</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43817D8">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0.5%</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6FCC00E">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0.25%</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68E1EAA">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0.35%</w:t>
                  </w:r>
                </w:p>
              </w:tc>
            </w:tr>
            <w:tr w14:paraId="50C08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7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D16B995">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5000-10000</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FB82DE4">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0.25%</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8BFB9A9">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0.1%</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DD18DE4">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0.2%</w:t>
                  </w:r>
                </w:p>
              </w:tc>
            </w:tr>
            <w:tr w14:paraId="5C61E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7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29F112C4">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10000-100000</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BBFF2FE">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0.05%</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ADD3FCA">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0.05%</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F758DD7">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0.05%</w:t>
                  </w:r>
                </w:p>
              </w:tc>
            </w:tr>
            <w:tr w14:paraId="56165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7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5F6030E">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1000000以上</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2B188C3">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0.01%</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47DA898">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0.01%</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9BA69DB">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0.01%</w:t>
                  </w:r>
                </w:p>
              </w:tc>
            </w:tr>
            <w:tr w14:paraId="7C325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757" w:type="dxa"/>
                  <w:gridSpan w:val="4"/>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80079BD">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说明：招标代理服务收费按差额定律累进法计算。</w:t>
                  </w:r>
                </w:p>
              </w:tc>
            </w:tr>
          </w:tbl>
          <w:p w14:paraId="7BA89261">
            <w:pPr>
              <w:spacing w:line="360" w:lineRule="auto"/>
              <w:jc w:val="left"/>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4.确定标准的依据:《政府采购代理机构管理暂行办法》(财库(2018)2号)、《江苏省政府采购代理服务收费指导意见》(苏政采协[2024]20号)、《关于进一步规范政府采购活动相关费用管理的通知》（苏财规〔2026〕1号）、本项目委托代理协议。</w:t>
            </w:r>
          </w:p>
          <w:p w14:paraId="252911B7">
            <w:pPr>
              <w:spacing w:line="360" w:lineRule="auto"/>
              <w:jc w:val="left"/>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5.代理服务费汇入账户：</w:t>
            </w:r>
          </w:p>
          <w:p w14:paraId="23C561CC">
            <w:pPr>
              <w:spacing w:line="360" w:lineRule="auto"/>
              <w:jc w:val="left"/>
              <w:rPr>
                <w:rFonts w:hint="eastAsia" w:hAnsi="宋体" w:cs="宋体"/>
                <w:bCs/>
                <w:color w:val="000000" w:themeColor="text1"/>
                <w:highlight w:val="none"/>
                <w14:textFill>
                  <w14:solidFill>
                    <w14:schemeClr w14:val="tx1"/>
                  </w14:solidFill>
                </w14:textFill>
              </w:rPr>
            </w:pPr>
            <w:r>
              <w:rPr>
                <w:rFonts w:hAnsi="宋体" w:cs="宋体"/>
                <w:bCs/>
                <w:color w:val="000000" w:themeColor="text1"/>
                <w:highlight w:val="none"/>
                <w14:textFill>
                  <w14:solidFill>
                    <w14:schemeClr w14:val="tx1"/>
                  </w14:solidFill>
                </w14:textFill>
              </w:rPr>
              <w:t>收款人：江苏省招标中心有限公司</w:t>
            </w:r>
          </w:p>
          <w:p w14:paraId="1DA2C0D1">
            <w:pPr>
              <w:spacing w:line="360" w:lineRule="auto"/>
              <w:jc w:val="left"/>
              <w:rPr>
                <w:rFonts w:hint="eastAsia" w:hAnsi="宋体" w:cs="宋体"/>
                <w:bCs/>
                <w:color w:val="000000" w:themeColor="text1"/>
                <w:highlight w:val="none"/>
                <w14:textFill>
                  <w14:solidFill>
                    <w14:schemeClr w14:val="tx1"/>
                  </w14:solidFill>
                </w14:textFill>
              </w:rPr>
            </w:pPr>
            <w:r>
              <w:rPr>
                <w:rFonts w:hAnsi="宋体" w:cs="宋体"/>
                <w:bCs/>
                <w:color w:val="000000" w:themeColor="text1"/>
                <w:highlight w:val="none"/>
                <w14:textFill>
                  <w14:solidFill>
                    <w14:schemeClr w14:val="tx1"/>
                  </w14:solidFill>
                </w14:textFill>
              </w:rPr>
              <w:t>人民币帐号为：7321810182600023404</w:t>
            </w:r>
          </w:p>
          <w:p w14:paraId="7FEC4D96">
            <w:pPr>
              <w:pStyle w:val="22"/>
              <w:spacing w:line="360" w:lineRule="auto"/>
              <w:rPr>
                <w:rFonts w:hint="eastAsia" w:hAnsi="宋体" w:cs="宋体"/>
                <w:bCs/>
                <w:color w:val="000000" w:themeColor="text1"/>
                <w:highlight w:val="none"/>
                <w14:textFill>
                  <w14:solidFill>
                    <w14:schemeClr w14:val="tx1"/>
                  </w14:solidFill>
                </w14:textFill>
              </w:rPr>
            </w:pPr>
            <w:r>
              <w:rPr>
                <w:rFonts w:ascii="Times New Roman" w:hAnsi="宋体" w:cs="宋体"/>
                <w:bCs/>
                <w:color w:val="000000" w:themeColor="text1"/>
                <w:highlight w:val="none"/>
                <w14:textFill>
                  <w14:solidFill>
                    <w14:schemeClr w14:val="tx1"/>
                  </w14:solidFill>
                </w14:textFill>
              </w:rPr>
              <w:t>开户银行：中信银行南京江苏路支行</w:t>
            </w:r>
          </w:p>
        </w:tc>
      </w:tr>
      <w:tr w14:paraId="49518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75" w:type="dxa"/>
            <w:vMerge w:val="restart"/>
            <w:vAlign w:val="center"/>
          </w:tcPr>
          <w:p w14:paraId="4038767C">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29</w:t>
            </w:r>
          </w:p>
        </w:tc>
        <w:tc>
          <w:tcPr>
            <w:tcW w:w="850" w:type="dxa"/>
            <w:vMerge w:val="restart"/>
            <w:vAlign w:val="center"/>
          </w:tcPr>
          <w:p w14:paraId="66D978A0">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39.1</w:t>
            </w:r>
          </w:p>
        </w:tc>
        <w:tc>
          <w:tcPr>
            <w:tcW w:w="2835" w:type="dxa"/>
            <w:vMerge w:val="restart"/>
            <w:vAlign w:val="center"/>
          </w:tcPr>
          <w:p w14:paraId="0EEE9BA7">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其他规定</w:t>
            </w:r>
          </w:p>
        </w:tc>
        <w:tc>
          <w:tcPr>
            <w:tcW w:w="4982" w:type="dxa"/>
            <w:vAlign w:val="center"/>
          </w:tcPr>
          <w:p w14:paraId="7D416DB7">
            <w:pPr>
              <w:pStyle w:val="22"/>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采购项目类型：货物</w:t>
            </w:r>
          </w:p>
        </w:tc>
      </w:tr>
      <w:tr w14:paraId="49278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675" w:type="dxa"/>
            <w:vMerge w:val="continue"/>
            <w:vAlign w:val="center"/>
          </w:tcPr>
          <w:p w14:paraId="1DD3B365">
            <w:pPr>
              <w:pStyle w:val="257"/>
              <w:ind w:firstLine="372"/>
              <w:jc w:val="center"/>
              <w:rPr>
                <w:rFonts w:hint="eastAsia" w:hAnsi="宋体" w:cs="宋体"/>
                <w:color w:val="000000" w:themeColor="text1"/>
                <w:sz w:val="21"/>
                <w:highlight w:val="none"/>
                <w14:textFill>
                  <w14:solidFill>
                    <w14:schemeClr w14:val="tx1"/>
                  </w14:solidFill>
                </w14:textFill>
              </w:rPr>
            </w:pPr>
          </w:p>
        </w:tc>
        <w:tc>
          <w:tcPr>
            <w:tcW w:w="850" w:type="dxa"/>
            <w:vMerge w:val="continue"/>
            <w:vAlign w:val="center"/>
          </w:tcPr>
          <w:p w14:paraId="27720E2F">
            <w:pPr>
              <w:pStyle w:val="257"/>
              <w:ind w:firstLine="372"/>
              <w:jc w:val="center"/>
              <w:rPr>
                <w:rFonts w:hint="eastAsia" w:hAnsi="宋体" w:cs="宋体"/>
                <w:color w:val="000000" w:themeColor="text1"/>
                <w:sz w:val="21"/>
                <w:highlight w:val="none"/>
                <w14:textFill>
                  <w14:solidFill>
                    <w14:schemeClr w14:val="tx1"/>
                  </w14:solidFill>
                </w14:textFill>
              </w:rPr>
            </w:pPr>
          </w:p>
        </w:tc>
        <w:tc>
          <w:tcPr>
            <w:tcW w:w="2835" w:type="dxa"/>
            <w:vMerge w:val="continue"/>
            <w:vAlign w:val="center"/>
          </w:tcPr>
          <w:p w14:paraId="7BE51AB1">
            <w:pPr>
              <w:pStyle w:val="257"/>
              <w:spacing w:line="360" w:lineRule="auto"/>
              <w:ind w:firstLine="372"/>
              <w:jc w:val="left"/>
              <w:rPr>
                <w:rFonts w:hint="eastAsia" w:hAnsi="宋体" w:cs="宋体"/>
                <w:color w:val="000000" w:themeColor="text1"/>
                <w:sz w:val="21"/>
                <w:highlight w:val="none"/>
                <w14:textFill>
                  <w14:solidFill>
                    <w14:schemeClr w14:val="tx1"/>
                  </w14:solidFill>
                </w14:textFill>
              </w:rPr>
            </w:pPr>
          </w:p>
        </w:tc>
        <w:tc>
          <w:tcPr>
            <w:tcW w:w="4982" w:type="dxa"/>
            <w:vAlign w:val="center"/>
          </w:tcPr>
          <w:p w14:paraId="074CEECC">
            <w:pPr>
              <w:pStyle w:val="22"/>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标的对应的中小企业划分标准所属行业：工业</w:t>
            </w:r>
          </w:p>
        </w:tc>
      </w:tr>
      <w:tr w14:paraId="023F2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Merge w:val="continue"/>
            <w:vAlign w:val="center"/>
          </w:tcPr>
          <w:p w14:paraId="672AF741">
            <w:pPr>
              <w:pStyle w:val="257"/>
              <w:ind w:firstLine="372"/>
              <w:jc w:val="center"/>
              <w:rPr>
                <w:rFonts w:hint="eastAsia" w:hAnsi="宋体" w:cs="宋体"/>
                <w:color w:val="000000" w:themeColor="text1"/>
                <w:sz w:val="21"/>
                <w:highlight w:val="none"/>
                <w14:textFill>
                  <w14:solidFill>
                    <w14:schemeClr w14:val="tx1"/>
                  </w14:solidFill>
                </w14:textFill>
              </w:rPr>
            </w:pPr>
          </w:p>
        </w:tc>
        <w:tc>
          <w:tcPr>
            <w:tcW w:w="850" w:type="dxa"/>
            <w:vMerge w:val="continue"/>
            <w:vAlign w:val="center"/>
          </w:tcPr>
          <w:p w14:paraId="023FF237">
            <w:pPr>
              <w:pStyle w:val="257"/>
              <w:ind w:firstLine="372"/>
              <w:jc w:val="center"/>
              <w:rPr>
                <w:rFonts w:hint="eastAsia" w:hAnsi="宋体" w:cs="宋体"/>
                <w:color w:val="000000" w:themeColor="text1"/>
                <w:sz w:val="21"/>
                <w:highlight w:val="none"/>
                <w14:textFill>
                  <w14:solidFill>
                    <w14:schemeClr w14:val="tx1"/>
                  </w14:solidFill>
                </w14:textFill>
              </w:rPr>
            </w:pPr>
          </w:p>
        </w:tc>
        <w:tc>
          <w:tcPr>
            <w:tcW w:w="2835" w:type="dxa"/>
            <w:vMerge w:val="continue"/>
            <w:vAlign w:val="center"/>
          </w:tcPr>
          <w:p w14:paraId="2F52D25D">
            <w:pPr>
              <w:pStyle w:val="257"/>
              <w:spacing w:line="360" w:lineRule="auto"/>
              <w:ind w:firstLine="372"/>
              <w:jc w:val="left"/>
              <w:rPr>
                <w:rFonts w:hint="eastAsia" w:hAnsi="宋体" w:cs="宋体"/>
                <w:color w:val="000000" w:themeColor="text1"/>
                <w:sz w:val="21"/>
                <w:highlight w:val="none"/>
                <w14:textFill>
                  <w14:solidFill>
                    <w14:schemeClr w14:val="tx1"/>
                  </w14:solidFill>
                </w14:textFill>
              </w:rPr>
            </w:pPr>
          </w:p>
        </w:tc>
        <w:tc>
          <w:tcPr>
            <w:tcW w:w="4982" w:type="dxa"/>
            <w:vAlign w:val="center"/>
          </w:tcPr>
          <w:p w14:paraId="0C79948B">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其他规定：</w:t>
            </w:r>
            <w:r>
              <w:rPr>
                <w:rFonts w:hint="eastAsia" w:hAnsi="宋体" w:cs="宋体"/>
                <w:color w:val="000000" w:themeColor="text1"/>
                <w:sz w:val="21"/>
                <w:highlight w:val="none"/>
                <w14:textFill>
                  <w14:solidFill>
                    <w14:schemeClr w14:val="tx1"/>
                  </w14:solidFill>
                </w14:textFill>
              </w:rPr>
              <w:t>依据《政府采购促进中小企业发展管理办法》规定享受扶持政策获得政府采购合同的，小微企业不得将合同分包给大中型企业，中型企业不得将合同分包给大型企业。</w:t>
            </w:r>
          </w:p>
        </w:tc>
      </w:tr>
      <w:tr w14:paraId="06ADA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Merge w:val="continue"/>
            <w:vAlign w:val="center"/>
          </w:tcPr>
          <w:p w14:paraId="2D06CB3B">
            <w:pPr>
              <w:pStyle w:val="257"/>
              <w:ind w:firstLine="372"/>
              <w:jc w:val="center"/>
              <w:rPr>
                <w:rFonts w:hint="eastAsia" w:hAnsi="宋体" w:cs="宋体"/>
                <w:color w:val="000000" w:themeColor="text1"/>
                <w:sz w:val="21"/>
                <w:highlight w:val="none"/>
                <w14:textFill>
                  <w14:solidFill>
                    <w14:schemeClr w14:val="tx1"/>
                  </w14:solidFill>
                </w14:textFill>
              </w:rPr>
            </w:pPr>
          </w:p>
        </w:tc>
        <w:tc>
          <w:tcPr>
            <w:tcW w:w="850" w:type="dxa"/>
            <w:vMerge w:val="continue"/>
            <w:vAlign w:val="center"/>
          </w:tcPr>
          <w:p w14:paraId="02407E47">
            <w:pPr>
              <w:pStyle w:val="257"/>
              <w:ind w:firstLine="372"/>
              <w:jc w:val="center"/>
              <w:rPr>
                <w:rFonts w:hint="eastAsia" w:hAnsi="宋体" w:cs="宋体"/>
                <w:color w:val="000000" w:themeColor="text1"/>
                <w:sz w:val="21"/>
                <w:highlight w:val="none"/>
                <w14:textFill>
                  <w14:solidFill>
                    <w14:schemeClr w14:val="tx1"/>
                  </w14:solidFill>
                </w14:textFill>
              </w:rPr>
            </w:pPr>
          </w:p>
        </w:tc>
        <w:tc>
          <w:tcPr>
            <w:tcW w:w="2835" w:type="dxa"/>
            <w:vMerge w:val="continue"/>
            <w:vAlign w:val="center"/>
          </w:tcPr>
          <w:p w14:paraId="5C23258E">
            <w:pPr>
              <w:pStyle w:val="257"/>
              <w:spacing w:line="360" w:lineRule="auto"/>
              <w:ind w:firstLine="372"/>
              <w:jc w:val="left"/>
              <w:rPr>
                <w:rFonts w:hint="eastAsia" w:hAnsi="宋体" w:cs="宋体"/>
                <w:color w:val="000000" w:themeColor="text1"/>
                <w:sz w:val="21"/>
                <w:highlight w:val="none"/>
                <w14:textFill>
                  <w14:solidFill>
                    <w14:schemeClr w14:val="tx1"/>
                  </w14:solidFill>
                </w14:textFill>
              </w:rPr>
            </w:pPr>
          </w:p>
        </w:tc>
        <w:tc>
          <w:tcPr>
            <w:tcW w:w="4982" w:type="dxa"/>
            <w:vAlign w:val="center"/>
          </w:tcPr>
          <w:p w14:paraId="58C20E8A">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信用承诺相关规定</w:t>
            </w:r>
          </w:p>
          <w:p w14:paraId="43EB172C">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（1）</w:t>
            </w:r>
            <w:bookmarkStart w:id="34" w:name="_Hlk156831468"/>
            <w:r>
              <w:rPr>
                <w:rFonts w:hint="eastAsia" w:hAnsi="宋体" w:cs="宋体"/>
                <w:bCs/>
                <w:color w:val="000000" w:themeColor="text1"/>
                <w:sz w:val="21"/>
                <w:highlight w:val="none"/>
                <w14:textFill>
                  <w14:solidFill>
                    <w14:schemeClr w14:val="tx1"/>
                  </w14:solidFill>
                </w14:textFill>
              </w:rPr>
              <w:t>根据《关于在政府采购活动中推行信用承诺制的通知》（宁财购通〔2021〕5 号）的规定</w:t>
            </w:r>
            <w:bookmarkEnd w:id="34"/>
            <w:r>
              <w:rPr>
                <w:rFonts w:hint="eastAsia" w:hAnsi="宋体" w:cs="宋体"/>
                <w:bCs/>
                <w:color w:val="000000" w:themeColor="text1"/>
                <w:sz w:val="21"/>
                <w:highlight w:val="none"/>
                <w14:textFill>
                  <w14:solidFill>
                    <w14:schemeClr w14:val="tx1"/>
                  </w14:solidFill>
                </w14:textFill>
              </w:rPr>
              <w:t>，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p>
          <w:p w14:paraId="655B1BC4">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p>
          <w:p w14:paraId="5841B4E8">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（3）供应商涉及以下情形的，不适用信用承诺，仍须提供上述证明材料：</w:t>
            </w:r>
          </w:p>
          <w:p w14:paraId="6128B5EC">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①供应商被列入严重失信主体名单； </w:t>
            </w:r>
          </w:p>
          <w:p w14:paraId="2AA603DD">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②被相关监管部门作出行政处罚且尚在处罚有效期内；</w:t>
            </w:r>
          </w:p>
          <w:p w14:paraId="6ECA1AC3">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③其他法律、行政法规规定的不适用信用承诺的情形。</w:t>
            </w:r>
          </w:p>
          <w:p w14:paraId="290366ED">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（4）供应商对信用承诺内容的真实性、合法性、有效性负责。如作出虚假信用承诺，视同为“提供虚假材料谋取中标、成交”的违法行为。</w:t>
            </w:r>
          </w:p>
        </w:tc>
      </w:tr>
      <w:tr w14:paraId="6F2BC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Merge w:val="continue"/>
            <w:vAlign w:val="center"/>
          </w:tcPr>
          <w:p w14:paraId="5567E4E3">
            <w:pPr>
              <w:pStyle w:val="257"/>
              <w:ind w:firstLine="372"/>
              <w:jc w:val="center"/>
              <w:rPr>
                <w:rFonts w:hint="eastAsia" w:hAnsi="宋体" w:cs="宋体"/>
                <w:color w:val="000000" w:themeColor="text1"/>
                <w:sz w:val="21"/>
                <w:highlight w:val="none"/>
                <w14:textFill>
                  <w14:solidFill>
                    <w14:schemeClr w14:val="tx1"/>
                  </w14:solidFill>
                </w14:textFill>
              </w:rPr>
            </w:pPr>
          </w:p>
        </w:tc>
        <w:tc>
          <w:tcPr>
            <w:tcW w:w="850" w:type="dxa"/>
            <w:vMerge w:val="continue"/>
            <w:vAlign w:val="center"/>
          </w:tcPr>
          <w:p w14:paraId="356BB434">
            <w:pPr>
              <w:pStyle w:val="257"/>
              <w:ind w:firstLine="372"/>
              <w:jc w:val="center"/>
              <w:rPr>
                <w:rFonts w:hint="eastAsia" w:hAnsi="宋体" w:cs="宋体"/>
                <w:color w:val="000000" w:themeColor="text1"/>
                <w:sz w:val="21"/>
                <w:highlight w:val="none"/>
                <w14:textFill>
                  <w14:solidFill>
                    <w14:schemeClr w14:val="tx1"/>
                  </w14:solidFill>
                </w14:textFill>
              </w:rPr>
            </w:pPr>
          </w:p>
        </w:tc>
        <w:tc>
          <w:tcPr>
            <w:tcW w:w="2835" w:type="dxa"/>
            <w:vMerge w:val="continue"/>
            <w:vAlign w:val="center"/>
          </w:tcPr>
          <w:p w14:paraId="43ADE814">
            <w:pPr>
              <w:pStyle w:val="257"/>
              <w:spacing w:line="360" w:lineRule="auto"/>
              <w:ind w:firstLine="372"/>
              <w:jc w:val="left"/>
              <w:rPr>
                <w:rFonts w:hint="eastAsia" w:hAnsi="宋体" w:cs="宋体"/>
                <w:color w:val="000000" w:themeColor="text1"/>
                <w:sz w:val="21"/>
                <w:highlight w:val="none"/>
                <w14:textFill>
                  <w14:solidFill>
                    <w14:schemeClr w14:val="tx1"/>
                  </w14:solidFill>
                </w14:textFill>
              </w:rPr>
            </w:pPr>
          </w:p>
        </w:tc>
        <w:tc>
          <w:tcPr>
            <w:tcW w:w="4982" w:type="dxa"/>
            <w:vAlign w:val="center"/>
          </w:tcPr>
          <w:p w14:paraId="7CD20576">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对本国产品的支持政策：</w:t>
            </w:r>
          </w:p>
          <w:p w14:paraId="0A88926C">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1.政府采购活动中既有本国产品又有非本国产品参与竞争的，依法对本国产品给予价格评审优惠，对本国产品的报价给予20%的价格扣除，用扣除后的价格参与评审。</w:t>
            </w:r>
          </w:p>
          <w:p w14:paraId="2552A840">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B2EE065">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5582703">
            <w:pPr>
              <w:pStyle w:val="257"/>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注：</w:t>
            </w:r>
          </w:p>
          <w:p w14:paraId="4E43DB94">
            <w:pPr>
              <w:pStyle w:val="257"/>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5E0FF8E">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p>
        </w:tc>
      </w:tr>
      <w:tr w14:paraId="2DD2B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Merge w:val="continue"/>
            <w:vAlign w:val="center"/>
          </w:tcPr>
          <w:p w14:paraId="1F250985">
            <w:pPr>
              <w:pStyle w:val="257"/>
              <w:ind w:firstLine="372"/>
              <w:jc w:val="center"/>
              <w:rPr>
                <w:rFonts w:hint="eastAsia" w:hAnsi="宋体" w:cs="宋体"/>
                <w:color w:val="000000" w:themeColor="text1"/>
                <w:sz w:val="21"/>
                <w:highlight w:val="none"/>
                <w14:textFill>
                  <w14:solidFill>
                    <w14:schemeClr w14:val="tx1"/>
                  </w14:solidFill>
                </w14:textFill>
              </w:rPr>
            </w:pPr>
          </w:p>
        </w:tc>
        <w:tc>
          <w:tcPr>
            <w:tcW w:w="850" w:type="dxa"/>
            <w:vMerge w:val="continue"/>
            <w:vAlign w:val="center"/>
          </w:tcPr>
          <w:p w14:paraId="015D4305">
            <w:pPr>
              <w:pStyle w:val="257"/>
              <w:ind w:firstLine="372"/>
              <w:jc w:val="center"/>
              <w:rPr>
                <w:rFonts w:hint="eastAsia" w:hAnsi="宋体" w:cs="宋体"/>
                <w:color w:val="000000" w:themeColor="text1"/>
                <w:sz w:val="21"/>
                <w:highlight w:val="none"/>
                <w14:textFill>
                  <w14:solidFill>
                    <w14:schemeClr w14:val="tx1"/>
                  </w14:solidFill>
                </w14:textFill>
              </w:rPr>
            </w:pPr>
          </w:p>
        </w:tc>
        <w:tc>
          <w:tcPr>
            <w:tcW w:w="2835" w:type="dxa"/>
            <w:vMerge w:val="continue"/>
            <w:vAlign w:val="center"/>
          </w:tcPr>
          <w:p w14:paraId="07B97EC2">
            <w:pPr>
              <w:pStyle w:val="257"/>
              <w:spacing w:line="360" w:lineRule="auto"/>
              <w:ind w:firstLine="372"/>
              <w:jc w:val="left"/>
              <w:rPr>
                <w:rFonts w:hint="eastAsia" w:hAnsi="宋体" w:cs="宋体"/>
                <w:color w:val="000000" w:themeColor="text1"/>
                <w:sz w:val="21"/>
                <w:highlight w:val="none"/>
                <w14:textFill>
                  <w14:solidFill>
                    <w14:schemeClr w14:val="tx1"/>
                  </w14:solidFill>
                </w14:textFill>
              </w:rPr>
            </w:pPr>
          </w:p>
        </w:tc>
        <w:tc>
          <w:tcPr>
            <w:tcW w:w="4982" w:type="dxa"/>
            <w:vAlign w:val="center"/>
          </w:tcPr>
          <w:p w14:paraId="27E9F1B3">
            <w:pPr>
              <w:pStyle w:val="22"/>
              <w:spacing w:line="360" w:lineRule="auto"/>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异常低价审查：</w:t>
            </w:r>
          </w:p>
          <w:p w14:paraId="12AB1690">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（一）政府采购评审中出现下列情形之一的，评审委员会应当启动异常低价投标（响应）审查程序：</w:t>
            </w:r>
          </w:p>
          <w:p w14:paraId="1B395A9A">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42F1E117">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41B26EBC">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3.投标（响应）报价低于采购项目最高限价45%的，即投标（响应）报价&lt;采购项目最高限价×45%；</w:t>
            </w:r>
          </w:p>
          <w:p w14:paraId="62A15A63">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4.评审委员会基于专业判断，认为供应商报价过低，有可能影响产品质量或者不能诚信履约的其他情形。</w:t>
            </w:r>
          </w:p>
          <w:p w14:paraId="68F2E81A">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66E0B72">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D3AFE56">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C25F3C1">
            <w:pPr>
              <w:pStyle w:val="257"/>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tc>
      </w:tr>
    </w:tbl>
    <w:p w14:paraId="4ED60790">
      <w:pPr>
        <w:ind w:firstLine="372"/>
        <w:rPr>
          <w:rFonts w:hint="eastAsia" w:ascii="宋体" w:hAnsi="宋体" w:cs="宋体"/>
          <w:color w:val="000000" w:themeColor="text1"/>
          <w:highlight w:val="none"/>
          <w14:textFill>
            <w14:solidFill>
              <w14:schemeClr w14:val="tx1"/>
            </w14:solidFill>
          </w14:textFill>
        </w:rPr>
      </w:pPr>
    </w:p>
    <w:p w14:paraId="6678B66B">
      <w:pPr>
        <w:pStyle w:val="22"/>
        <w:spacing w:line="360" w:lineRule="auto"/>
        <w:ind w:firstLine="1633"/>
        <w:rPr>
          <w:rFonts w:hint="eastAsia" w:hAnsi="宋体" w:cs="宋体"/>
          <w:b/>
          <w:bCs/>
          <w:color w:val="000000" w:themeColor="text1"/>
          <w:spacing w:val="100"/>
          <w:sz w:val="72"/>
          <w:highlight w:val="none"/>
          <w14:textFill>
            <w14:solidFill>
              <w14:schemeClr w14:val="tx1"/>
            </w14:solidFill>
          </w14:textFill>
        </w:rPr>
        <w:sectPr>
          <w:footerReference r:id="rId6" w:type="default"/>
          <w:pgSz w:w="11906" w:h="16838"/>
          <w:pgMar w:top="1474" w:right="1531" w:bottom="1474" w:left="1531" w:header="737" w:footer="992" w:gutter="0"/>
          <w:pgNumType w:start="1"/>
          <w:cols w:space="720" w:num="1"/>
          <w:docGrid w:linePitch="360" w:charSpace="0"/>
        </w:sectPr>
      </w:pPr>
    </w:p>
    <w:p w14:paraId="5E35D4E5">
      <w:pPr>
        <w:pStyle w:val="40"/>
        <w:ind w:firstLine="569"/>
        <w:rPr>
          <w:rFonts w:hint="eastAsia" w:ascii="宋体" w:hAnsi="宋体" w:cs="宋体"/>
          <w:color w:val="000000" w:themeColor="text1"/>
          <w:highlight w:val="none"/>
          <w14:textFill>
            <w14:solidFill>
              <w14:schemeClr w14:val="tx1"/>
            </w14:solidFill>
          </w14:textFill>
        </w:rPr>
      </w:pPr>
      <w:bookmarkStart w:id="35" w:name="_Toc104560837"/>
      <w:bookmarkStart w:id="36" w:name="_Toc103848526"/>
      <w:bookmarkStart w:id="37" w:name="_Toc100905199"/>
      <w:bookmarkStart w:id="38" w:name="_Toc107246213"/>
      <w:r>
        <w:rPr>
          <w:rFonts w:hint="eastAsia" w:ascii="宋体" w:hAnsi="宋体" w:cs="宋体"/>
          <w:color w:val="000000" w:themeColor="text1"/>
          <w:highlight w:val="none"/>
          <w14:textFill>
            <w14:solidFill>
              <w14:schemeClr w14:val="tx1"/>
            </w14:solidFill>
          </w14:textFill>
        </w:rPr>
        <w:t>投标人须知</w:t>
      </w:r>
      <w:bookmarkEnd w:id="35"/>
      <w:bookmarkEnd w:id="36"/>
      <w:bookmarkEnd w:id="37"/>
      <w:bookmarkEnd w:id="38"/>
    </w:p>
    <w:p w14:paraId="27D30689">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39" w:name="_Toc80264706"/>
      <w:bookmarkStart w:id="40" w:name="_Toc107246214"/>
      <w:r>
        <w:rPr>
          <w:rFonts w:hint="eastAsia" w:ascii="宋体" w:hAnsi="宋体" w:cs="宋体"/>
          <w:color w:val="000000" w:themeColor="text1"/>
          <w:highlight w:val="none"/>
          <w14:textFill>
            <w14:solidFill>
              <w14:schemeClr w14:val="tx1"/>
            </w14:solidFill>
          </w14:textFill>
        </w:rPr>
        <w:t>一．</w:t>
      </w:r>
      <w:bookmarkEnd w:id="39"/>
      <w:r>
        <w:rPr>
          <w:rFonts w:hint="eastAsia" w:ascii="宋体" w:hAnsi="宋体" w:cs="宋体"/>
          <w:color w:val="000000" w:themeColor="text1"/>
          <w:highlight w:val="none"/>
          <w14:textFill>
            <w14:solidFill>
              <w14:schemeClr w14:val="tx1"/>
            </w14:solidFill>
          </w14:textFill>
        </w:rPr>
        <w:t>总则</w:t>
      </w:r>
      <w:bookmarkEnd w:id="40"/>
    </w:p>
    <w:p w14:paraId="41561219">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41" w:name="_Toc107246215"/>
      <w:bookmarkStart w:id="42" w:name="_Toc100905201"/>
      <w:bookmarkStart w:id="43" w:name="_Toc104560839"/>
      <w:bookmarkStart w:id="44" w:name="_Toc103848528"/>
      <w:bookmarkStart w:id="45" w:name="_Toc96347862"/>
      <w:r>
        <w:rPr>
          <w:rFonts w:hint="eastAsia" w:ascii="宋体" w:hAnsi="宋体" w:cs="宋体"/>
          <w:color w:val="000000" w:themeColor="text1"/>
          <w:highlight w:val="none"/>
          <w14:textFill>
            <w14:solidFill>
              <w14:schemeClr w14:val="tx1"/>
            </w14:solidFill>
          </w14:textFill>
        </w:rPr>
        <w:t>1.采购方式</w:t>
      </w:r>
      <w:bookmarkEnd w:id="41"/>
      <w:bookmarkEnd w:id="42"/>
      <w:bookmarkEnd w:id="43"/>
      <w:bookmarkEnd w:id="44"/>
      <w:bookmarkEnd w:id="45"/>
    </w:p>
    <w:p w14:paraId="6F913B78">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1.1本次招标采取公开招标方式，本招标文件仅适用于招标公告中所述项目。</w:t>
      </w:r>
    </w:p>
    <w:p w14:paraId="2DB6BDC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46" w:name="_Toc100905202"/>
      <w:bookmarkStart w:id="47" w:name="_Toc107246216"/>
      <w:bookmarkStart w:id="48" w:name="_Toc103848529"/>
      <w:bookmarkStart w:id="49" w:name="_Toc104560840"/>
      <w:bookmarkStart w:id="50" w:name="_Toc96347863"/>
      <w:r>
        <w:rPr>
          <w:rFonts w:hint="eastAsia" w:ascii="宋体" w:hAnsi="宋体" w:cs="宋体"/>
          <w:color w:val="000000" w:themeColor="text1"/>
          <w:highlight w:val="none"/>
          <w14:textFill>
            <w14:solidFill>
              <w14:schemeClr w14:val="tx1"/>
            </w14:solidFill>
          </w14:textFill>
        </w:rPr>
        <w:t>2.定义</w:t>
      </w:r>
      <w:bookmarkEnd w:id="46"/>
      <w:bookmarkEnd w:id="47"/>
      <w:bookmarkEnd w:id="48"/>
      <w:bookmarkEnd w:id="49"/>
      <w:bookmarkEnd w:id="50"/>
    </w:p>
    <w:p w14:paraId="6DF5952B">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w:t>
      </w:r>
    </w:p>
    <w:p w14:paraId="21FDA9C9">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采购代理机构</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532ADC48">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2.3“采购方”是指采购人和</w:t>
      </w:r>
      <w:r>
        <w:rPr>
          <w:rFonts w:hint="eastAsia" w:ascii="宋体" w:hAnsi="宋体" w:cs="宋体"/>
          <w:color w:val="000000" w:themeColor="text1"/>
          <w:szCs w:val="21"/>
          <w:highlight w:val="none"/>
          <w14:textFill>
            <w14:solidFill>
              <w14:schemeClr w14:val="tx1"/>
            </w14:solidFill>
          </w14:textFill>
        </w:rPr>
        <w:t>采购代理机构的合称。</w:t>
      </w:r>
    </w:p>
    <w:p w14:paraId="32416CB4">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2.4</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是指向采购人提供货物、工程或者服务的法人、其他组织或者自然人。</w:t>
      </w:r>
    </w:p>
    <w:p w14:paraId="5A8EDEB3">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2.5</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中标供应商</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是指在投标过程中获得采购项目合同签订资格的供应商。中标供应商是由专家经过评审后推荐并经采购人确认的。本招标文件中中标供应商也称中标人。</w:t>
      </w:r>
    </w:p>
    <w:p w14:paraId="3DE6A42E">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2.6</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评标委员会</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是依据政府采购相关法律法规规定组建，依法履行评审采购活动职责的评审成员。</w:t>
      </w:r>
    </w:p>
    <w:p w14:paraId="30195C43">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2.7</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货物</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是指各种形态和种类的物品，包括原材料、燃料、设备、产品等。</w:t>
      </w:r>
    </w:p>
    <w:p w14:paraId="5611F46D">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2.8</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工程</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是指建设工程，包括建筑物和构筑物的新建、改建、扩建、装修、拆除、修缮等。</w:t>
      </w:r>
    </w:p>
    <w:p w14:paraId="542554FF">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2.9</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服务</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是指除货物和工程以外的其他政府采购对象。</w:t>
      </w:r>
    </w:p>
    <w:p w14:paraId="27CB559F">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2.10</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节能产品</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或者</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环保产品</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是指国务院有关部门发布的最新一期《节能产品政府采购品目清单》或者《环境标志产品政府采购品目清单》内的产品。</w:t>
      </w:r>
    </w:p>
    <w:p w14:paraId="541D8622">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2.11</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进口产品</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是指通过中国海关报关验放进入中国境内且产自关境外的产品。</w:t>
      </w:r>
    </w:p>
    <w:p w14:paraId="583C062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51" w:name="_Toc104560841"/>
      <w:bookmarkStart w:id="52" w:name="_Toc96347864"/>
      <w:bookmarkStart w:id="53" w:name="_Toc103848530"/>
      <w:bookmarkStart w:id="54" w:name="_Toc107246217"/>
      <w:bookmarkStart w:id="55" w:name="_Toc100905203"/>
      <w:r>
        <w:rPr>
          <w:rFonts w:hint="eastAsia" w:ascii="宋体" w:hAnsi="宋体" w:cs="宋体"/>
          <w:color w:val="000000" w:themeColor="text1"/>
          <w:highlight w:val="none"/>
          <w14:textFill>
            <w14:solidFill>
              <w14:schemeClr w14:val="tx1"/>
            </w14:solidFill>
          </w14:textFill>
        </w:rPr>
        <w:t>3.适用法律</w:t>
      </w:r>
      <w:bookmarkEnd w:id="51"/>
      <w:bookmarkEnd w:id="52"/>
      <w:bookmarkEnd w:id="53"/>
      <w:bookmarkEnd w:id="54"/>
      <w:bookmarkEnd w:id="55"/>
    </w:p>
    <w:p w14:paraId="3C18B40B">
      <w:pPr>
        <w:spacing w:line="360" w:lineRule="auto"/>
        <w:ind w:firstLine="420"/>
        <w:rPr>
          <w:rFonts w:hint="eastAsia" w:ascii="宋体" w:hAnsi="宋体" w:cs="宋体"/>
          <w:color w:val="000000" w:themeColor="text1"/>
          <w:szCs w:val="21"/>
          <w:highlight w:val="none"/>
          <w14:textFill>
            <w14:solidFill>
              <w14:schemeClr w14:val="tx1"/>
            </w14:solidFill>
          </w14:textFill>
        </w:rPr>
      </w:pPr>
      <w:bookmarkStart w:id="56" w:name="_Toc100905204"/>
      <w:r>
        <w:rPr>
          <w:rFonts w:hint="eastAsia" w:ascii="宋体" w:hAnsi="宋体" w:cs="宋体"/>
          <w:color w:val="000000" w:themeColor="text1"/>
          <w:szCs w:val="21"/>
          <w:highlight w:val="none"/>
          <w14:textFill>
            <w14:solidFill>
              <w14:schemeClr w14:val="tx1"/>
            </w14:solidFill>
          </w14:textFill>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30B6FB3B">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57" w:name="_Toc103848531"/>
      <w:bookmarkStart w:id="58" w:name="_Toc104560842"/>
      <w:bookmarkStart w:id="59" w:name="_Toc107246218"/>
      <w:r>
        <w:rPr>
          <w:rFonts w:hint="eastAsia" w:ascii="宋体" w:hAnsi="宋体" w:cs="宋体"/>
          <w:color w:val="000000" w:themeColor="text1"/>
          <w:highlight w:val="none"/>
          <w14:textFill>
            <w14:solidFill>
              <w14:schemeClr w14:val="tx1"/>
            </w14:solidFill>
          </w14:textFill>
        </w:rPr>
        <w:t>4.</w:t>
      </w:r>
      <w:bookmarkEnd w:id="57"/>
      <w:r>
        <w:rPr>
          <w:rFonts w:hint="eastAsia" w:ascii="宋体" w:hAnsi="宋体" w:cs="宋体"/>
          <w:color w:val="000000" w:themeColor="text1"/>
          <w:highlight w:val="none"/>
          <w14:textFill>
            <w14:solidFill>
              <w14:schemeClr w14:val="tx1"/>
            </w14:solidFill>
          </w14:textFill>
        </w:rPr>
        <w:t>政府采购政策（包括但不限于下列具体政策要求）</w:t>
      </w:r>
      <w:bookmarkEnd w:id="58"/>
      <w:bookmarkEnd w:id="59"/>
    </w:p>
    <w:p w14:paraId="41AD8A91">
      <w:pPr>
        <w:spacing w:line="360" w:lineRule="auto"/>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4.1中小企业、监狱企业及残疾人福利性单位</w:t>
      </w:r>
    </w:p>
    <w:p w14:paraId="48C6FB57">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4.1.1中小企业定义：</w:t>
      </w:r>
    </w:p>
    <w:p w14:paraId="353AE68A">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2B0BBE5">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4.1.1.2供应商提供的货物、工程或者服务符合下列情形的，享受中小企业扶持政策：</w:t>
      </w:r>
    </w:p>
    <w:p w14:paraId="3D3F21D1">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（1）在货物采购项目中，货物由中小企业制造，即货物由中小企业生产且使用该中小企业商号或者注册商标；</w:t>
      </w:r>
    </w:p>
    <w:p w14:paraId="7AC81EBE">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（2）在工程采购项目中，工程由中小企业承建，即工程施工单位为中小企业；</w:t>
      </w:r>
    </w:p>
    <w:p w14:paraId="33AE76D1">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03AE4813">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4.1.1.3在货物采购项目中，供应商提供的货物既有中小企业制造货物，也有大型企业制造货物的，不享受中小企业扶持政策。</w:t>
      </w:r>
    </w:p>
    <w:p w14:paraId="3EDB2243">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4.1.1.4以联合体形式参加政府采购活动，联合体各方均为中小企业的，联合体视同中小企业。其中，联合体各方均为小微企业的，联合体视同小微企业。</w:t>
      </w:r>
    </w:p>
    <w:p w14:paraId="077330F2">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8E62844">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4.1.3残疾人福利单位定义：享受政府采购支持政策的残疾人福利性单位应当同时满足以下条件：</w:t>
      </w:r>
    </w:p>
    <w:p w14:paraId="701728CD">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（1）安置的残疾人占本单位在职职工人数的比例不低于25%（含25%），并且安置的残疾人人数不少于10 人（含10 人）；</w:t>
      </w:r>
    </w:p>
    <w:p w14:paraId="43929FC7">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（2）依法与安置的每位残疾人签订了一年以上（含一年）的劳动合同或服务协议；</w:t>
      </w:r>
    </w:p>
    <w:p w14:paraId="128C3EB8">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（3）为安置的每位残疾人按月足额缴纳了基本养老保险、基本医疗保险、失业保险、工伤保险和生育保险等社会保险费；</w:t>
      </w:r>
    </w:p>
    <w:p w14:paraId="4033F52D">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（4）通过银行等金融机构向安置的每位残疾人，按月支付了不低于单位所在区县适用的经省级人民政府批准的月最低工资标准的工资；</w:t>
      </w:r>
    </w:p>
    <w:p w14:paraId="4E25681B">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（5）提供本单位制造的货物、承担的工程或者服务（以下简称产品），或者提供其他残疾人福利性单位制造的货物（不包括使用非残疾人福利性单位注册商标的货物）；</w:t>
      </w:r>
    </w:p>
    <w:p w14:paraId="4CC5884F">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2F8D043">
      <w:pPr>
        <w:spacing w:line="360" w:lineRule="auto"/>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4.1.4小微企业价格评审优惠的政策调整：见第五章《评标方法与评标标准》（如涉及）。</w:t>
      </w:r>
    </w:p>
    <w:p w14:paraId="785CAA89">
      <w:pPr>
        <w:spacing w:line="360" w:lineRule="auto"/>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4.2政府采购节能产品、环境标志产品</w:t>
      </w:r>
    </w:p>
    <w:p w14:paraId="67A4D103">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B54CE0F">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5541D02">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4.2.3如本项目采购产品属于实施政府强制采购品目清单范围的节能产品，则投标人所报产品必须获得国家确定的认证机构出具的、处于有效期之内的节能产品认证证书，否则投标无效；</w:t>
      </w:r>
    </w:p>
    <w:p w14:paraId="18318D49">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4.2.4非政府强制采购的节能产品或环境标志产品，依据品目清单和认证证书实施政府优先采购。优先采购的具体规定见第五章《评标方法与评标标准》（如涉及）。</w:t>
      </w:r>
    </w:p>
    <w:p w14:paraId="4A29E25B">
      <w:pPr>
        <w:spacing w:line="360" w:lineRule="auto"/>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4.3信息安全产品</w:t>
      </w:r>
    </w:p>
    <w:p w14:paraId="561107B7">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4.3.1依据《关于信息安全产品实施政府采购的通知》（财库〔2010〕48 号），所投产品属于《关于调整信息安全产品强制性认证实施要求的公告》（2009 年第33 号）范围的，应采用经国家认证的信息安全产品，否则投标无效。</w:t>
      </w:r>
    </w:p>
    <w:p w14:paraId="12CDD412">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4.4未按要求提供相关材料的，不享受相关政策。</w:t>
      </w:r>
      <w:bookmarkEnd w:id="56"/>
    </w:p>
    <w:p w14:paraId="30CD8BF2">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60" w:name="_Toc104560843"/>
      <w:bookmarkStart w:id="61" w:name="_Toc103848532"/>
      <w:bookmarkStart w:id="62" w:name="_Toc96347865"/>
      <w:bookmarkStart w:id="63" w:name="_Toc107246219"/>
      <w:bookmarkStart w:id="64" w:name="_Toc100905205"/>
      <w:r>
        <w:rPr>
          <w:rFonts w:hint="eastAsia" w:ascii="宋体" w:hAnsi="宋体" w:cs="宋体"/>
          <w:color w:val="000000" w:themeColor="text1"/>
          <w:highlight w:val="none"/>
          <w14:textFill>
            <w14:solidFill>
              <w14:schemeClr w14:val="tx1"/>
            </w14:solidFill>
          </w14:textFill>
        </w:rPr>
        <w:t>5.相关费用</w:t>
      </w:r>
      <w:bookmarkEnd w:id="60"/>
      <w:bookmarkEnd w:id="61"/>
      <w:bookmarkEnd w:id="62"/>
      <w:bookmarkEnd w:id="63"/>
      <w:bookmarkEnd w:id="64"/>
    </w:p>
    <w:p w14:paraId="13B3B8D7">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5.1</w:t>
      </w:r>
      <w:bookmarkStart w:id="65" w:name="_Toc80264707"/>
      <w:r>
        <w:rPr>
          <w:rFonts w:hint="eastAsia" w:ascii="宋体" w:hAnsi="宋体" w:cs="宋体"/>
          <w:color w:val="000000" w:themeColor="text1"/>
          <w:szCs w:val="21"/>
          <w:highlight w:val="none"/>
          <w14:textFill>
            <w14:solidFill>
              <w14:schemeClr w14:val="tx1"/>
            </w14:solidFill>
          </w14:textFill>
        </w:rPr>
        <w:t>参加投标活动的投标人应自行承担所有与参加投标有关的费用，无论投标过程中的做法和结果如何，采购人在任何情况下均无义务和责任承担这些费用。</w:t>
      </w:r>
    </w:p>
    <w:p w14:paraId="320897D5">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66" w:name="_Toc107246220"/>
      <w:bookmarkStart w:id="67" w:name="_Toc103848533"/>
      <w:bookmarkStart w:id="68" w:name="_Toc96347866"/>
      <w:bookmarkStart w:id="69" w:name="_Toc104560844"/>
      <w:bookmarkStart w:id="70" w:name="_Toc100905206"/>
      <w:r>
        <w:rPr>
          <w:rFonts w:hint="eastAsia" w:ascii="宋体" w:hAnsi="宋体" w:cs="宋体"/>
          <w:color w:val="000000" w:themeColor="text1"/>
          <w:highlight w:val="none"/>
          <w14:textFill>
            <w14:solidFill>
              <w14:schemeClr w14:val="tx1"/>
            </w14:solidFill>
          </w14:textFill>
        </w:rPr>
        <w:t>6.保密</w:t>
      </w:r>
      <w:bookmarkEnd w:id="66"/>
      <w:bookmarkEnd w:id="67"/>
      <w:bookmarkEnd w:id="68"/>
      <w:bookmarkEnd w:id="69"/>
      <w:bookmarkEnd w:id="70"/>
    </w:p>
    <w:p w14:paraId="121BDDDF">
      <w:pPr>
        <w:spacing w:line="360" w:lineRule="auto"/>
        <w:ind w:firstLine="420"/>
        <w:rPr>
          <w:rFonts w:hint="eastAsia" w:ascii="宋体" w:hAnsi="宋体" w:cs="宋体"/>
          <w:color w:val="000000" w:themeColor="text1"/>
          <w:szCs w:val="21"/>
          <w:highlight w:val="none"/>
          <w14:textFill>
            <w14:solidFill>
              <w14:schemeClr w14:val="tx1"/>
            </w14:solidFill>
          </w14:textFill>
        </w:rPr>
      </w:pPr>
      <w:bookmarkStart w:id="71" w:name="_Toc100905207"/>
      <w:bookmarkStart w:id="72" w:name="_Toc96347867"/>
      <w:r>
        <w:rPr>
          <w:rFonts w:hint="eastAsia" w:ascii="宋体" w:hAnsi="宋体" w:cs="宋体"/>
          <w:color w:val="000000" w:themeColor="text1"/>
          <w:szCs w:val="21"/>
          <w:highlight w:val="none"/>
          <w14:textFill>
            <w14:solidFill>
              <w14:schemeClr w14:val="tx1"/>
            </w14:solidFill>
          </w14:textFill>
        </w:rPr>
        <w:t>6.1本招标文件所包含的信息属于保密信息，无采购人书面许可，任何单位或个人都无权披露、复制、使用、转让或者允许他人使用。获取招标文件的供应商被视为无条件对本招标文件的内容负有保密义务。</w:t>
      </w:r>
    </w:p>
    <w:p w14:paraId="6EA8E522">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73" w:name="_Toc103848534"/>
      <w:bookmarkStart w:id="74" w:name="_Toc107246221"/>
      <w:bookmarkStart w:id="75" w:name="_Toc104560845"/>
      <w:r>
        <w:rPr>
          <w:rFonts w:hint="eastAsia" w:ascii="宋体" w:hAnsi="宋体" w:cs="宋体"/>
          <w:color w:val="000000" w:themeColor="text1"/>
          <w:highlight w:val="none"/>
          <w14:textFill>
            <w14:solidFill>
              <w14:schemeClr w14:val="tx1"/>
            </w14:solidFill>
          </w14:textFill>
        </w:rPr>
        <w:t>7.语言文字、计量单位</w:t>
      </w:r>
      <w:bookmarkEnd w:id="71"/>
      <w:bookmarkEnd w:id="72"/>
      <w:bookmarkEnd w:id="73"/>
      <w:bookmarkEnd w:id="74"/>
      <w:bookmarkEnd w:id="75"/>
    </w:p>
    <w:p w14:paraId="458CC61A">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7.1所有文件使用的语言文字为中文。专用术语使用外文的，应附有中文注释。</w:t>
      </w:r>
    </w:p>
    <w:p w14:paraId="1E13FD89">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7.2所有文件中的计量单位，除招标文件有特殊要求外，应采用国家法定计量单位。</w:t>
      </w:r>
    </w:p>
    <w:p w14:paraId="5EBCA758">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76" w:name="_Toc96347868"/>
      <w:bookmarkStart w:id="77" w:name="_Toc104560846"/>
      <w:bookmarkStart w:id="78" w:name="_Toc103848535"/>
      <w:bookmarkStart w:id="79" w:name="_Toc107246222"/>
      <w:bookmarkStart w:id="80" w:name="_Toc100905208"/>
      <w:r>
        <w:rPr>
          <w:rFonts w:hint="eastAsia" w:ascii="宋体" w:hAnsi="宋体" w:cs="宋体"/>
          <w:color w:val="000000" w:themeColor="text1"/>
          <w:highlight w:val="none"/>
          <w14:textFill>
            <w14:solidFill>
              <w14:schemeClr w14:val="tx1"/>
            </w14:solidFill>
          </w14:textFill>
        </w:rPr>
        <w:t>8.现场考察</w:t>
      </w:r>
      <w:bookmarkEnd w:id="76"/>
      <w:bookmarkEnd w:id="77"/>
      <w:bookmarkEnd w:id="78"/>
      <w:bookmarkEnd w:id="79"/>
      <w:bookmarkEnd w:id="80"/>
    </w:p>
    <w:p w14:paraId="22D906F8">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8.1</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规定现场考察的，供应商须按照</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规定的时间、地点参加踏勘，以获得有关编制投标文件和签署合同所涉及现场的资料。供应商承担现场考察所发生的自身费用、责任和风险。</w:t>
      </w:r>
    </w:p>
    <w:p w14:paraId="54F29F9C">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8.2供应商不按照</w:t>
      </w:r>
      <w:r>
        <w:rPr>
          <w:rFonts w:hint="eastAsia" w:ascii="宋体" w:hAnsi="宋体" w:cs="宋体"/>
          <w:bCs/>
          <w:color w:val="000000" w:themeColor="text1"/>
          <w:szCs w:val="21"/>
          <w:highlight w:val="none"/>
          <w14:textFill>
            <w14:solidFill>
              <w14:schemeClr w14:val="tx1"/>
            </w14:solidFill>
          </w14:textFill>
        </w:rPr>
        <w:t>本须知的规定</w:t>
      </w:r>
      <w:r>
        <w:rPr>
          <w:rFonts w:hint="eastAsia" w:ascii="宋体" w:hAnsi="宋体" w:cs="宋体"/>
          <w:color w:val="000000" w:themeColor="text1"/>
          <w:szCs w:val="21"/>
          <w:highlight w:val="none"/>
          <w14:textFill>
            <w14:solidFill>
              <w14:schemeClr w14:val="tx1"/>
            </w14:solidFill>
          </w14:textFill>
        </w:rPr>
        <w:t>参加项目现场考察的，视同放弃现场考察，采购方将不再另行组织现场考察。以此为由，影响后期投标文件相关的投标、签约、履约条件的，是供应商自身的风险，采购方对此不承担责任。</w:t>
      </w:r>
    </w:p>
    <w:p w14:paraId="7232BD21">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8.3除非有特殊要求，招标文件不提供项目所在地的自然环境、气候条件、公用设施等情况，供应商被视为熟悉上述与履行合同有关的一切情况。</w:t>
      </w:r>
    </w:p>
    <w:p w14:paraId="733263DC">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81" w:name="_Toc102117275"/>
      <w:bookmarkStart w:id="82" w:name="_Toc107246223"/>
      <w:r>
        <w:rPr>
          <w:rFonts w:hint="eastAsia" w:ascii="宋体" w:hAnsi="宋体" w:cs="宋体"/>
          <w:color w:val="000000" w:themeColor="text1"/>
          <w:highlight w:val="none"/>
          <w14:textFill>
            <w14:solidFill>
              <w14:schemeClr w14:val="tx1"/>
            </w14:solidFill>
          </w14:textFill>
        </w:rPr>
        <w:t>9.开标前答疑会</w:t>
      </w:r>
      <w:bookmarkEnd w:id="81"/>
      <w:bookmarkEnd w:id="82"/>
    </w:p>
    <w:p w14:paraId="12592C8E">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9.1</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规定召开开标前答疑会的，采购方按</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规定的时间和地点召开开标前答疑会，澄清供应商提出的询问。</w:t>
      </w:r>
    </w:p>
    <w:p w14:paraId="67EA78F8">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9.2供应商应按</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规定的时间和形式将提出的询问送达采购方，以便采购方在会议期间澄清，逾期的询问将不被接受。</w:t>
      </w:r>
    </w:p>
    <w:p w14:paraId="56946E8E">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83" w:name="_Toc100905210"/>
      <w:bookmarkStart w:id="84" w:name="_Toc107246224"/>
      <w:bookmarkStart w:id="85" w:name="_Toc104560847"/>
      <w:bookmarkStart w:id="86" w:name="_Toc103848536"/>
      <w:bookmarkStart w:id="87" w:name="_Toc96347869"/>
      <w:r>
        <w:rPr>
          <w:rFonts w:hint="eastAsia" w:ascii="宋体" w:hAnsi="宋体" w:cs="宋体"/>
          <w:color w:val="000000" w:themeColor="text1"/>
          <w:szCs w:val="21"/>
          <w:highlight w:val="none"/>
          <w14:textFill>
            <w14:solidFill>
              <w14:schemeClr w14:val="tx1"/>
            </w14:solidFill>
          </w14:textFill>
        </w:rPr>
        <w:t>10.联合体投标</w:t>
      </w:r>
      <w:bookmarkEnd w:id="83"/>
      <w:bookmarkEnd w:id="84"/>
      <w:bookmarkEnd w:id="85"/>
      <w:bookmarkEnd w:id="86"/>
    </w:p>
    <w:p w14:paraId="64B6EF4B">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10.1本项目是否接受联合体形式参与详见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4B356B93">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10.2供应商为联合体形式的，应遵守以下规定：</w:t>
      </w:r>
    </w:p>
    <w:p w14:paraId="08CBA39C">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（1）联合体各方必须签订联合体协议书，明确联合体牵头人和各方权利、义务及分工、合同工作量比例；</w:t>
      </w:r>
    </w:p>
    <w:p w14:paraId="6882EC35">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（2）联合体各方均应当符合《政府采购法》第二十二条第一款规定的条件；</w:t>
      </w:r>
    </w:p>
    <w:p w14:paraId="216F4AB6">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（3）除另有规定外，联合体各方中至少有一方应当符合采购人规定的特定资格条件；</w:t>
      </w:r>
    </w:p>
    <w:p w14:paraId="4923A165">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（4）联合体中有同类资质的供应商按照联合体分工承担相同工作的，应当按照资质等级较低的供应商确定资质等级；</w:t>
      </w:r>
    </w:p>
    <w:p w14:paraId="7D057CC3">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（5）以联合体形式参加政府采购活动的，联合体各方不得再单独参加或者与其他供应商另外组成联合体参加同一合同项下的政府采购活动。</w:t>
      </w:r>
    </w:p>
    <w:p w14:paraId="2B55FD74">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88" w:name="_Toc100905213"/>
      <w:bookmarkStart w:id="89" w:name="_Toc107246225"/>
      <w:bookmarkStart w:id="90" w:name="_Toc103848537"/>
      <w:bookmarkStart w:id="91" w:name="_Toc104560848"/>
      <w:bookmarkStart w:id="92" w:name="_Toc100905211"/>
      <w:r>
        <w:rPr>
          <w:rFonts w:hint="eastAsia" w:ascii="宋体" w:hAnsi="宋体" w:cs="宋体"/>
          <w:color w:val="000000" w:themeColor="text1"/>
          <w:highlight w:val="none"/>
          <w14:textFill>
            <w14:solidFill>
              <w14:schemeClr w14:val="tx1"/>
            </w14:solidFill>
          </w14:textFill>
        </w:rPr>
        <w:t>11.分包</w:t>
      </w:r>
      <w:bookmarkEnd w:id="88"/>
      <w:bookmarkEnd w:id="89"/>
      <w:bookmarkEnd w:id="90"/>
      <w:bookmarkEnd w:id="91"/>
    </w:p>
    <w:p w14:paraId="24C9E260">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3A31F391">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11.2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4022FDE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93" w:name="_Toc104560849"/>
      <w:bookmarkStart w:id="94" w:name="_Toc107246226"/>
      <w:r>
        <w:rPr>
          <w:rFonts w:hint="eastAsia" w:ascii="宋体" w:hAnsi="宋体" w:cs="宋体"/>
          <w:color w:val="000000" w:themeColor="text1"/>
          <w:highlight w:val="none"/>
          <w14:textFill>
            <w14:solidFill>
              <w14:schemeClr w14:val="tx1"/>
            </w14:solidFill>
          </w14:textFill>
        </w:rPr>
        <w:t>12.样品</w:t>
      </w:r>
      <w:bookmarkEnd w:id="93"/>
      <w:bookmarkEnd w:id="94"/>
    </w:p>
    <w:p w14:paraId="306837C9">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34E9617C">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12.2样品的评审方法以及评审标准等内容见第五章《评标方法与评标标准》。</w:t>
      </w:r>
      <w:bookmarkEnd w:id="87"/>
      <w:bookmarkEnd w:id="92"/>
    </w:p>
    <w:p w14:paraId="0E2472CC">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95" w:name="_Toc107246227"/>
      <w:bookmarkStart w:id="96" w:name="_Toc103848538"/>
      <w:bookmarkStart w:id="97" w:name="_Toc100905214"/>
      <w:bookmarkStart w:id="98" w:name="_Toc104560850"/>
      <w:r>
        <w:rPr>
          <w:rFonts w:hint="eastAsia" w:ascii="宋体" w:hAnsi="宋体" w:cs="宋体"/>
          <w:color w:val="000000" w:themeColor="text1"/>
          <w:highlight w:val="none"/>
          <w14:textFill>
            <w14:solidFill>
              <w14:schemeClr w14:val="tx1"/>
            </w14:solidFill>
          </w14:textFill>
        </w:rPr>
        <w:t>13.采购进口产品</w:t>
      </w:r>
      <w:bookmarkEnd w:id="95"/>
      <w:bookmarkEnd w:id="96"/>
      <w:bookmarkEnd w:id="97"/>
      <w:bookmarkEnd w:id="98"/>
    </w:p>
    <w:p w14:paraId="7C1A5079">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13.1本项目是否采购进口产品及相关要求见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4A249F5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99" w:name="_Toc107246228"/>
      <w:bookmarkStart w:id="100" w:name="_Toc104560851"/>
      <w:r>
        <w:rPr>
          <w:rFonts w:hint="eastAsia" w:ascii="宋体" w:hAnsi="宋体" w:cs="宋体"/>
          <w:color w:val="000000" w:themeColor="text1"/>
          <w:highlight w:val="none"/>
          <w14:textFill>
            <w14:solidFill>
              <w14:schemeClr w14:val="tx1"/>
            </w14:solidFill>
          </w14:textFill>
        </w:rPr>
        <w:t>14.采购项目预算及最高限价</w:t>
      </w:r>
      <w:bookmarkEnd w:id="99"/>
      <w:bookmarkEnd w:id="100"/>
    </w:p>
    <w:p w14:paraId="4330E4A7">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14.1本项目采购资金已列入政府采购预算，预算金额见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2FF9A2AA">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14.2本项目最高限价要求见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15C2F9A7">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01" w:name="_Toc107246229"/>
      <w:bookmarkStart w:id="102" w:name="_Toc104560852"/>
      <w:r>
        <w:rPr>
          <w:rFonts w:hint="eastAsia" w:ascii="宋体" w:hAnsi="宋体" w:cs="宋体"/>
          <w:color w:val="000000" w:themeColor="text1"/>
          <w:highlight w:val="none"/>
          <w14:textFill>
            <w14:solidFill>
              <w14:schemeClr w14:val="tx1"/>
            </w14:solidFill>
          </w14:textFill>
        </w:rPr>
        <w:t>15.</w:t>
      </w:r>
      <w:r>
        <w:rPr>
          <w:rFonts w:hint="eastAsia" w:ascii="宋体" w:hAnsi="宋体" w:cs="宋体"/>
          <w:bCs w:val="0"/>
          <w:color w:val="000000" w:themeColor="text1"/>
          <w:szCs w:val="21"/>
          <w:highlight w:val="none"/>
          <w14:textFill>
            <w14:solidFill>
              <w14:schemeClr w14:val="tx1"/>
            </w14:solidFill>
          </w14:textFill>
        </w:rPr>
        <w:t xml:space="preserve"> 供应商</w:t>
      </w:r>
      <w:r>
        <w:rPr>
          <w:rFonts w:hint="eastAsia" w:ascii="宋体" w:hAnsi="宋体" w:cs="宋体"/>
          <w:color w:val="000000" w:themeColor="text1"/>
          <w:highlight w:val="none"/>
          <w14:textFill>
            <w14:solidFill>
              <w14:schemeClr w14:val="tx1"/>
            </w14:solidFill>
          </w14:textFill>
        </w:rPr>
        <w:t>资格条件</w:t>
      </w:r>
      <w:bookmarkEnd w:id="101"/>
      <w:bookmarkEnd w:id="102"/>
    </w:p>
    <w:p w14:paraId="07B5A68C">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15.1</w:t>
      </w:r>
      <w:r>
        <w:rPr>
          <w:rFonts w:hint="eastAsia" w:ascii="宋体" w:hAnsi="宋体" w:cs="宋体"/>
          <w:bCs/>
          <w:color w:val="000000" w:themeColor="text1"/>
          <w:szCs w:val="21"/>
          <w:highlight w:val="none"/>
          <w14:textFill>
            <w14:solidFill>
              <w14:schemeClr w14:val="tx1"/>
            </w14:solidFill>
          </w14:textFill>
        </w:rPr>
        <w:t>供应商</w:t>
      </w:r>
      <w:r>
        <w:rPr>
          <w:rFonts w:hint="eastAsia" w:ascii="宋体" w:hAnsi="宋体" w:cs="宋体"/>
          <w:color w:val="000000" w:themeColor="text1"/>
          <w:szCs w:val="21"/>
          <w:highlight w:val="none"/>
          <w14:textFill>
            <w14:solidFill>
              <w14:schemeClr w14:val="tx1"/>
            </w14:solidFill>
          </w14:textFill>
        </w:rPr>
        <w:t>资格条件见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1E279C0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03" w:name="_Toc107246230"/>
      <w:r>
        <w:rPr>
          <w:rFonts w:hint="eastAsia" w:ascii="宋体" w:hAnsi="宋体" w:cs="宋体"/>
          <w:color w:val="000000" w:themeColor="text1"/>
          <w:highlight w:val="none"/>
          <w14:textFill>
            <w14:solidFill>
              <w14:schemeClr w14:val="tx1"/>
            </w14:solidFill>
          </w14:textFill>
        </w:rPr>
        <w:t>二．招标文件</w:t>
      </w:r>
      <w:bookmarkEnd w:id="65"/>
      <w:bookmarkEnd w:id="103"/>
    </w:p>
    <w:p w14:paraId="2C03C9F7">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04" w:name="_Toc96347871"/>
      <w:bookmarkStart w:id="105" w:name="_Toc104560854"/>
      <w:bookmarkStart w:id="106" w:name="_Toc100905217"/>
      <w:bookmarkStart w:id="107" w:name="_Toc107246231"/>
      <w:bookmarkStart w:id="108" w:name="_Toc103848540"/>
      <w:r>
        <w:rPr>
          <w:rFonts w:hint="eastAsia" w:ascii="宋体" w:hAnsi="宋体" w:cs="宋体"/>
          <w:color w:val="000000" w:themeColor="text1"/>
          <w:highlight w:val="none"/>
          <w14:textFill>
            <w14:solidFill>
              <w14:schemeClr w14:val="tx1"/>
            </w14:solidFill>
          </w14:textFill>
        </w:rPr>
        <w:t>16.招标文件的构成</w:t>
      </w:r>
      <w:bookmarkEnd w:id="104"/>
      <w:bookmarkEnd w:id="105"/>
      <w:bookmarkEnd w:id="106"/>
      <w:bookmarkEnd w:id="107"/>
      <w:bookmarkEnd w:id="108"/>
    </w:p>
    <w:p w14:paraId="53A23628">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16.1招标文件各章节的内容如下：</w:t>
      </w:r>
    </w:p>
    <w:p w14:paraId="426DD8F6">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第一章：招标公告</w:t>
      </w:r>
    </w:p>
    <w:p w14:paraId="5E33385B">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第二章：投标人须知</w:t>
      </w:r>
    </w:p>
    <w:p w14:paraId="6975C7EB">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第三章：政府采购合同条款及格式</w:t>
      </w:r>
    </w:p>
    <w:p w14:paraId="001A3068">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第四章：采购需求</w:t>
      </w:r>
    </w:p>
    <w:p w14:paraId="6EA7C6BD">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第五章：评标方法与评标标准</w:t>
      </w:r>
    </w:p>
    <w:p w14:paraId="37B33BCE">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第六章：</w:t>
      </w:r>
      <w:bookmarkStart w:id="109" w:name="_Toc96347872"/>
      <w:r>
        <w:rPr>
          <w:rFonts w:hint="eastAsia" w:ascii="宋体" w:hAnsi="宋体" w:cs="宋体"/>
          <w:color w:val="000000" w:themeColor="text1"/>
          <w:szCs w:val="21"/>
          <w:highlight w:val="none"/>
          <w14:textFill>
            <w14:solidFill>
              <w14:schemeClr w14:val="tx1"/>
            </w14:solidFill>
          </w14:textFill>
        </w:rPr>
        <w:t>投标文件格式</w:t>
      </w:r>
    </w:p>
    <w:p w14:paraId="6C3A06F9">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对招标文件所作的澄清、修改，构成招标文件的组成部分。</w:t>
      </w:r>
    </w:p>
    <w:p w14:paraId="54E2F677">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如标书制作工具中格式和内容与“南京公共采购信息网</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zh-CN"/>
          <w14:textFill>
            <w14:solidFill>
              <w14:schemeClr w14:val="tx1"/>
            </w14:solidFill>
          </w14:textFill>
        </w:rPr>
        <w:t>江苏政府采购网</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zh-CN"/>
          <w14:textFill>
            <w14:solidFill>
              <w14:schemeClr w14:val="tx1"/>
            </w14:solidFill>
          </w14:textFill>
        </w:rPr>
        <w:t>中国政府采购网”发布的</w:t>
      </w:r>
      <w:r>
        <w:rPr>
          <w:rFonts w:hint="eastAsia" w:ascii="宋体" w:hAnsi="宋体" w:cs="宋体"/>
          <w:color w:val="000000" w:themeColor="text1"/>
          <w:szCs w:val="21"/>
          <w:highlight w:val="none"/>
          <w14:textFill>
            <w14:solidFill>
              <w14:schemeClr w14:val="tx1"/>
            </w14:solidFill>
          </w14:textFill>
        </w:rPr>
        <w:t>招标</w:t>
      </w:r>
      <w:r>
        <w:rPr>
          <w:rFonts w:hint="eastAsia" w:ascii="宋体" w:hAnsi="宋体" w:cs="宋体"/>
          <w:color w:val="000000" w:themeColor="text1"/>
          <w:szCs w:val="21"/>
          <w:highlight w:val="none"/>
          <w:lang w:val="zh-CN"/>
          <w14:textFill>
            <w14:solidFill>
              <w14:schemeClr w14:val="tx1"/>
            </w14:solidFill>
          </w14:textFill>
        </w:rPr>
        <w:t>文件不一致</w:t>
      </w:r>
      <w:r>
        <w:rPr>
          <w:rFonts w:hint="eastAsia" w:ascii="宋体" w:hAnsi="宋体" w:cs="宋体"/>
          <w:color w:val="000000" w:themeColor="text1"/>
          <w:szCs w:val="21"/>
          <w:highlight w:val="none"/>
          <w14:textFill>
            <w14:solidFill>
              <w14:schemeClr w14:val="tx1"/>
            </w14:solidFill>
          </w14:textFill>
        </w:rPr>
        <w:t>的</w:t>
      </w:r>
      <w:r>
        <w:rPr>
          <w:rFonts w:hint="eastAsia" w:ascii="宋体" w:hAnsi="宋体" w:cs="宋体"/>
          <w:color w:val="000000" w:themeColor="text1"/>
          <w:szCs w:val="21"/>
          <w:highlight w:val="none"/>
          <w:lang w:val="zh-CN"/>
          <w14:textFill>
            <w14:solidFill>
              <w14:schemeClr w14:val="tx1"/>
            </w14:solidFill>
          </w14:textFill>
        </w:rPr>
        <w:t>，以</w:t>
      </w:r>
      <w:r>
        <w:rPr>
          <w:rFonts w:hint="eastAsia" w:ascii="宋体" w:hAnsi="宋体" w:cs="宋体"/>
          <w:color w:val="000000" w:themeColor="text1"/>
          <w:szCs w:val="21"/>
          <w:highlight w:val="none"/>
          <w14:textFill>
            <w14:solidFill>
              <w14:schemeClr w14:val="tx1"/>
            </w14:solidFill>
          </w14:textFill>
        </w:rPr>
        <w:t>上述网站</w:t>
      </w:r>
      <w:r>
        <w:rPr>
          <w:rFonts w:hint="eastAsia" w:ascii="宋体" w:hAnsi="宋体" w:cs="宋体"/>
          <w:color w:val="000000" w:themeColor="text1"/>
          <w:szCs w:val="21"/>
          <w:highlight w:val="none"/>
          <w:lang w:val="zh-CN"/>
          <w14:textFill>
            <w14:solidFill>
              <w14:schemeClr w14:val="tx1"/>
            </w14:solidFill>
          </w14:textFill>
        </w:rPr>
        <w:t>发布的</w:t>
      </w:r>
      <w:r>
        <w:rPr>
          <w:rFonts w:hint="eastAsia" w:ascii="宋体" w:hAnsi="宋体" w:cs="宋体"/>
          <w:color w:val="000000" w:themeColor="text1"/>
          <w:szCs w:val="21"/>
          <w:highlight w:val="none"/>
          <w14:textFill>
            <w14:solidFill>
              <w14:schemeClr w14:val="tx1"/>
            </w14:solidFill>
          </w14:textFill>
        </w:rPr>
        <w:t>招标</w:t>
      </w:r>
      <w:r>
        <w:rPr>
          <w:rFonts w:hint="eastAsia" w:ascii="宋体" w:hAnsi="宋体" w:cs="宋体"/>
          <w:color w:val="000000" w:themeColor="text1"/>
          <w:szCs w:val="21"/>
          <w:highlight w:val="none"/>
          <w:lang w:val="zh-CN"/>
          <w14:textFill>
            <w14:solidFill>
              <w14:schemeClr w14:val="tx1"/>
            </w14:solidFill>
          </w14:textFill>
        </w:rPr>
        <w:t>文件为准。</w:t>
      </w:r>
    </w:p>
    <w:p w14:paraId="72F17354">
      <w:pPr>
        <w:spacing w:line="360" w:lineRule="auto"/>
        <w:ind w:firstLine="4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★招标文件中标注</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符号的条款为实质性要求条款（即重要条款）。</w:t>
      </w:r>
    </w:p>
    <w:p w14:paraId="2349D361">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16.2供应商应仔细阅读和检查招标文件的全部内容。如发现招标文件内容不全，应及时向采购方提出，以便补齐。</w:t>
      </w:r>
    </w:p>
    <w:p w14:paraId="7A0CA717">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16.3</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bCs/>
          <w:color w:val="000000" w:themeColor="text1"/>
          <w:szCs w:val="21"/>
          <w:highlight w:val="none"/>
          <w14:textFill>
            <w14:solidFill>
              <w14:schemeClr w14:val="tx1"/>
            </w14:solidFill>
          </w14:textFill>
        </w:rPr>
        <w:t>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bCs/>
          <w:color w:val="000000" w:themeColor="text1"/>
          <w:szCs w:val="21"/>
          <w:highlight w:val="none"/>
          <w14:textFill>
            <w14:solidFill>
              <w14:schemeClr w14:val="tx1"/>
            </w14:solidFill>
          </w14:textFill>
        </w:rPr>
        <w:t>承担。</w:t>
      </w:r>
    </w:p>
    <w:p w14:paraId="44171916">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16.4本项目招标文件如包括多个分包，则除非特别说明，招标文件所列各项要求均为各分包通用要求。</w:t>
      </w:r>
      <w:bookmarkEnd w:id="109"/>
    </w:p>
    <w:p w14:paraId="1C69AB33">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10" w:name="_Toc104560855"/>
      <w:bookmarkStart w:id="111" w:name="_Toc103848541"/>
      <w:bookmarkStart w:id="112" w:name="_Toc100905218"/>
      <w:bookmarkStart w:id="113" w:name="_Toc96347873"/>
      <w:bookmarkStart w:id="114" w:name="_Toc107246232"/>
      <w:r>
        <w:rPr>
          <w:rFonts w:hint="eastAsia" w:ascii="宋体" w:hAnsi="宋体" w:cs="宋体"/>
          <w:color w:val="000000" w:themeColor="text1"/>
          <w:highlight w:val="none"/>
          <w14:textFill>
            <w14:solidFill>
              <w14:schemeClr w14:val="tx1"/>
            </w14:solidFill>
          </w14:textFill>
        </w:rPr>
        <w:t>17.招标文件的澄清或者修改</w:t>
      </w:r>
      <w:bookmarkEnd w:id="110"/>
      <w:bookmarkEnd w:id="111"/>
      <w:bookmarkEnd w:id="112"/>
      <w:bookmarkEnd w:id="113"/>
      <w:bookmarkEnd w:id="114"/>
    </w:p>
    <w:p w14:paraId="0027424B">
      <w:pPr>
        <w:spacing w:line="360" w:lineRule="auto"/>
        <w:ind w:firstLine="420"/>
        <w:rPr>
          <w:rFonts w:hint="eastAsia" w:ascii="宋体" w:hAnsi="宋体" w:cs="宋体"/>
          <w:color w:val="000000" w:themeColor="text1"/>
          <w:szCs w:val="21"/>
          <w:highlight w:val="none"/>
          <w14:textFill>
            <w14:solidFill>
              <w14:schemeClr w14:val="tx1"/>
            </w14:solidFill>
          </w14:textFill>
        </w:rPr>
      </w:pPr>
      <w:bookmarkStart w:id="115" w:name="_Toc100905219"/>
      <w:r>
        <w:rPr>
          <w:rFonts w:hint="eastAsia" w:ascii="宋体" w:hAnsi="宋体" w:cs="宋体"/>
          <w:color w:val="000000" w:themeColor="text1"/>
          <w:szCs w:val="21"/>
          <w:highlight w:val="none"/>
          <w14:textFill>
            <w14:solidFill>
              <w14:schemeClr w14:val="tx1"/>
            </w14:solidFill>
          </w14:textFill>
        </w:rPr>
        <w:t>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p>
    <w:p w14:paraId="77850BD3">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17.2澄清或者修改的内容可能影响投标文件编制的，采购方应当在投标截止时间至少15日前，以书面形式通知所有获取招标文件的潜在供应商；不足15日的，采购方应当顺延提交投标文件的截止时间。</w:t>
      </w:r>
    </w:p>
    <w:p w14:paraId="549ECF57">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17.3投标人应在提交投标文件截止时间前，关注原公告媒体有关本项目的更正公告，根据更正公告内容自行决定是否需要重新制作和提交投标文件，并承担由此产生的相应责任。</w:t>
      </w:r>
      <w:bookmarkEnd w:id="115"/>
    </w:p>
    <w:p w14:paraId="1C26205E">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16" w:name="_Toc107246233"/>
      <w:bookmarkStart w:id="117" w:name="_Toc104560856"/>
      <w:bookmarkStart w:id="118" w:name="_Toc91836558"/>
      <w:bookmarkStart w:id="119" w:name="_Toc80264708"/>
      <w:r>
        <w:rPr>
          <w:rFonts w:hint="eastAsia" w:ascii="宋体" w:hAnsi="宋体" w:cs="宋体"/>
          <w:color w:val="000000" w:themeColor="text1"/>
          <w:highlight w:val="none"/>
          <w14:textFill>
            <w14:solidFill>
              <w14:schemeClr w14:val="tx1"/>
            </w14:solidFill>
          </w14:textFill>
        </w:rPr>
        <w:t>三．投标文件</w:t>
      </w:r>
      <w:bookmarkEnd w:id="116"/>
      <w:bookmarkEnd w:id="117"/>
      <w:bookmarkEnd w:id="118"/>
    </w:p>
    <w:p w14:paraId="1DFF84DA">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20" w:name="_Toc104560857"/>
      <w:bookmarkStart w:id="121" w:name="_Toc107246234"/>
      <w:bookmarkStart w:id="122" w:name="_Toc103848543"/>
      <w:bookmarkStart w:id="123" w:name="_Toc96347875"/>
      <w:bookmarkStart w:id="124" w:name="_Toc100905221"/>
      <w:r>
        <w:rPr>
          <w:rFonts w:hint="eastAsia" w:ascii="宋体" w:hAnsi="宋体" w:cs="宋体"/>
          <w:color w:val="000000" w:themeColor="text1"/>
          <w:highlight w:val="none"/>
          <w14:textFill>
            <w14:solidFill>
              <w14:schemeClr w14:val="tx1"/>
            </w14:solidFill>
          </w14:textFill>
        </w:rPr>
        <w:t>18.投标文件的组成</w:t>
      </w:r>
      <w:bookmarkEnd w:id="120"/>
      <w:bookmarkEnd w:id="121"/>
      <w:bookmarkEnd w:id="122"/>
    </w:p>
    <w:p w14:paraId="6B8C131B">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18.1投标文件由价格及商务部分、技术部分以及其他部分组成，格式见招标文件第六章《投标文件格式》。</w:t>
      </w:r>
    </w:p>
    <w:p w14:paraId="06F7EB57">
      <w:pPr>
        <w:spacing w:line="360" w:lineRule="auto"/>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18.2</w:t>
      </w:r>
      <w:r>
        <w:rPr>
          <w:rFonts w:hint="eastAsia" w:ascii="宋体" w:hAnsi="宋体" w:cs="宋体"/>
          <w:b/>
          <w:color w:val="000000" w:themeColor="text1"/>
          <w:sz w:val="22"/>
          <w:szCs w:val="22"/>
          <w:highlight w:val="none"/>
          <w14:textFill>
            <w14:solidFill>
              <w14:schemeClr w14:val="tx1"/>
            </w14:solidFill>
          </w14:textFill>
        </w:rPr>
        <w:t>投标文件的价格及商务部分，包括但不限于下列文件：</w:t>
      </w:r>
    </w:p>
    <w:p w14:paraId="13F29626">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（1）投标函，格式见附件。</w:t>
      </w:r>
    </w:p>
    <w:p w14:paraId="301673C6">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（2）法定代表人（单位负责人）身份证明，格式见附件。</w:t>
      </w:r>
    </w:p>
    <w:p w14:paraId="03CA18F3">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（3-1）法定代表人（单位负责人）授权委托书（适用于法人/非法人），格式见附件。</w:t>
      </w:r>
    </w:p>
    <w:p w14:paraId="3133B351">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（3-2）授权委托书（适用于自然人），格式见附件。</w:t>
      </w:r>
    </w:p>
    <w:p w14:paraId="59587B73">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（4）开标一览表，格式见附件。</w:t>
      </w:r>
    </w:p>
    <w:p w14:paraId="322C207C">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（5）分项报价表，格式见附件。</w:t>
      </w:r>
    </w:p>
    <w:p w14:paraId="1B21E1EC">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（6）商务条款偏离表，格式见附件。</w:t>
      </w:r>
    </w:p>
    <w:p w14:paraId="70102B88">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（7）投标人具备投标资格的证明文件（</w:t>
      </w:r>
      <w:r>
        <w:rPr>
          <w:rFonts w:hint="eastAsia" w:ascii="宋体" w:hAnsi="宋体" w:cs="宋体"/>
          <w:color w:val="000000" w:themeColor="text1"/>
          <w:highlight w:val="none"/>
          <w14:textFill>
            <w14:solidFill>
              <w14:schemeClr w14:val="tx1"/>
            </w14:solidFill>
          </w14:textFill>
        </w:rPr>
        <w:t>如为南京市政府采购项目，则投标人应按照公告要求提供</w:t>
      </w:r>
      <w:r>
        <w:rPr>
          <w:rFonts w:hint="eastAsia" w:ascii="宋体" w:hAnsi="宋体" w:cs="宋体"/>
          <w:color w:val="000000" w:themeColor="text1"/>
          <w:szCs w:val="21"/>
          <w:highlight w:val="none"/>
          <w14:textFill>
            <w14:solidFill>
              <w14:schemeClr w14:val="tx1"/>
            </w14:solidFill>
          </w14:textFill>
        </w:rPr>
        <w:t>）：</w:t>
      </w:r>
    </w:p>
    <w:p w14:paraId="0695B41C">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（7-1-1）营业执照复印件或自然人的身份证明复印件（或具有同等法律效力的证照），格式见附件。</w:t>
      </w:r>
    </w:p>
    <w:p w14:paraId="2BE0CA51">
      <w:pPr>
        <w:spacing w:line="360" w:lineRule="auto"/>
        <w:ind w:firstLine="52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（a）投标人为企业（包括合伙企业）的，应提供有效的“营业执照”。</w:t>
      </w:r>
    </w:p>
    <w:p w14:paraId="228AC62C">
      <w:pPr>
        <w:spacing w:line="360" w:lineRule="auto"/>
        <w:ind w:firstLine="52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（b）投标人为事业单位的，应提供有效的“事业单位法人证书”。</w:t>
      </w:r>
    </w:p>
    <w:p w14:paraId="2742BCA1">
      <w:pPr>
        <w:spacing w:line="360" w:lineRule="auto"/>
        <w:ind w:firstLine="52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（c）投标人是非企业机构的，应提供有效的“执业许可证”、“登记证书”等证明文件。</w:t>
      </w:r>
    </w:p>
    <w:p w14:paraId="5E6EB0A3">
      <w:pPr>
        <w:spacing w:line="360" w:lineRule="auto"/>
        <w:ind w:firstLine="52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（d）投标人是个体工商户的，应提供有效的“个体工商户营业执照”。</w:t>
      </w:r>
    </w:p>
    <w:p w14:paraId="2D0E9878">
      <w:pPr>
        <w:spacing w:line="360" w:lineRule="auto"/>
        <w:ind w:firstLine="52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（e）投标人是自然人的，应提供有效的自然人身份证明。</w:t>
      </w:r>
    </w:p>
    <w:p w14:paraId="33812035">
      <w:pPr>
        <w:spacing w:line="360" w:lineRule="auto"/>
        <w:ind w:firstLine="52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（f）若本项目允许分支机构参加投标，则分支机构参加投标的，此处可提供该分支机构或其所属法人或其他组织的相应证明文件。</w:t>
      </w:r>
    </w:p>
    <w:p w14:paraId="3C1FB07C">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（7-1-2）工商变更登记文件（如需），如发生了单位名称等变更的，需提供工商变更登记文件，格式见附件。</w:t>
      </w:r>
    </w:p>
    <w:p w14:paraId="404A6063">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（7-2）财务报表，格式见附件。</w:t>
      </w:r>
    </w:p>
    <w:p w14:paraId="7496FC4E">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（7-3）具有履行合同所必需的设备和专业技术能力的相关证明材料或承诺函，格式见附件。</w:t>
      </w:r>
    </w:p>
    <w:p w14:paraId="7667F1EE">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（7-4）依法缴纳税收的相关材料，格式见附件。</w:t>
      </w:r>
    </w:p>
    <w:p w14:paraId="2FA7AC1D">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（7-5）依法缴纳社会保障资金的相关材料，格式见附件。</w:t>
      </w:r>
    </w:p>
    <w:p w14:paraId="6507C092">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（7-6）参加政府采购活动前三年内，在经营活动中没有重大违法记录，格式见附件。</w:t>
      </w:r>
    </w:p>
    <w:p w14:paraId="43E3DA0F">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（7-7）无不良信用记录承诺函（投标人自行查询适用），格式见附件。</w:t>
      </w:r>
    </w:p>
    <w:p w14:paraId="72720631">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（7-8）招标文件要求的其它实质性资格资信证明文件。</w:t>
      </w:r>
    </w:p>
    <w:p w14:paraId="0257F887">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（8）《南京市政府采购供应商信用记录表暨信用承诺书》（如需）</w:t>
      </w:r>
    </w:p>
    <w:p w14:paraId="1D9B7DDB">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（9）投标保证金（如需），格式见附件。</w:t>
      </w:r>
    </w:p>
    <w:p w14:paraId="51646342">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（10）联合体协议书（如需），格式见附件。</w:t>
      </w:r>
    </w:p>
    <w:p w14:paraId="71E1256C">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（11）分包意向协议（如需），格式见附件。</w:t>
      </w:r>
    </w:p>
    <w:p w14:paraId="1968B6EE">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（12）公章授权书（如需），格式见附件。</w:t>
      </w:r>
    </w:p>
    <w:p w14:paraId="158FA228">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（13）投标人参加远程异地开标仪式须知（如需），格式见附件。</w:t>
      </w:r>
    </w:p>
    <w:p w14:paraId="59EDD8F7">
      <w:pPr>
        <w:spacing w:line="360" w:lineRule="auto"/>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18.3</w:t>
      </w:r>
      <w:r>
        <w:rPr>
          <w:rFonts w:hint="eastAsia" w:ascii="宋体" w:hAnsi="宋体" w:cs="宋体"/>
          <w:b/>
          <w:color w:val="000000" w:themeColor="text1"/>
          <w:sz w:val="22"/>
          <w:szCs w:val="22"/>
          <w:highlight w:val="none"/>
          <w:lang w:val="zh-CN"/>
          <w14:textFill>
            <w14:solidFill>
              <w14:schemeClr w14:val="tx1"/>
            </w14:solidFill>
          </w14:textFill>
        </w:rPr>
        <w:t>投标文件的技术部分，包括但不限于下列文件：</w:t>
      </w:r>
    </w:p>
    <w:p w14:paraId="75830282">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（1）技术方案或服务方案。</w:t>
      </w:r>
    </w:p>
    <w:p w14:paraId="76F35C4E">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（2）技术条款偏离表，格式见附件。</w:t>
      </w:r>
    </w:p>
    <w:p w14:paraId="20E8C80F">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（3）投标人售后服务承诺（如需）。</w:t>
      </w:r>
    </w:p>
    <w:p w14:paraId="4C12BD3B">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（4）用于本项目人员简历表（如需）。</w:t>
      </w:r>
    </w:p>
    <w:p w14:paraId="26A5AB46">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（5）投标标的物符合招标文件规定的证明文件（如需）。</w:t>
      </w:r>
    </w:p>
    <w:p w14:paraId="7871EEBB">
      <w:pPr>
        <w:spacing w:line="360" w:lineRule="auto"/>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18.4投标文件的其他部分</w:t>
      </w:r>
    </w:p>
    <w:p w14:paraId="5F70CB0F">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18.4.1投标文件的其他部分由投标人根据编制投标文件需要提供的其他相关文件组成。</w:t>
      </w:r>
    </w:p>
    <w:p w14:paraId="1807621A">
      <w:pPr>
        <w:pStyle w:val="2"/>
        <w:spacing w:line="360" w:lineRule="auto"/>
        <w:ind w:left="0" w:right="210" w:firstLine="373"/>
        <w:rPr>
          <w:rFonts w:hint="eastAsia" w:ascii="宋体" w:hAnsi="宋体" w:cs="宋体"/>
          <w:color w:val="000000" w:themeColor="text1"/>
          <w:szCs w:val="21"/>
          <w:highlight w:val="none"/>
          <w14:textFill>
            <w14:solidFill>
              <w14:schemeClr w14:val="tx1"/>
            </w14:solidFill>
          </w14:textFill>
        </w:rPr>
      </w:pPr>
      <w:bookmarkStart w:id="125" w:name="_Toc104560858"/>
      <w:bookmarkStart w:id="126" w:name="_Toc107246235"/>
      <w:r>
        <w:rPr>
          <w:rFonts w:hint="eastAsia" w:ascii="宋体" w:hAnsi="宋体" w:cs="宋体"/>
          <w:color w:val="000000" w:themeColor="text1"/>
          <w:highlight w:val="none"/>
          <w14:textFill>
            <w14:solidFill>
              <w14:schemeClr w14:val="tx1"/>
            </w14:solidFill>
          </w14:textFill>
        </w:rPr>
        <w:t>19.投标文件编制的原则</w:t>
      </w:r>
      <w:bookmarkEnd w:id="125"/>
      <w:bookmarkEnd w:id="126"/>
    </w:p>
    <w:p w14:paraId="0BA1D809">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19.1</w:t>
      </w:r>
      <w:r>
        <w:rPr>
          <w:rFonts w:hint="eastAsia" w:ascii="宋体" w:hAnsi="宋体" w:cs="宋体"/>
          <w:color w:val="000000" w:themeColor="text1"/>
          <w:szCs w:val="21"/>
          <w:highlight w:val="none"/>
          <w14:textFill>
            <w14:solidFill>
              <w14:schemeClr w14:val="tx1"/>
            </w14:solidFill>
          </w14:textFill>
        </w:rPr>
        <w:t>投标人应在认真阅读招标文件所有内容的基础上，按照招标文件的要求编制完整的投标文件。招标文件中对投标文件格式有要求的，投标人应按格式逐项填写内容。</w:t>
      </w:r>
    </w:p>
    <w:p w14:paraId="71D599DE">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19.2</w:t>
      </w:r>
      <w:r>
        <w:rPr>
          <w:rFonts w:hint="eastAsia" w:ascii="宋体" w:hAnsi="宋体" w:cs="宋体"/>
          <w:color w:val="000000" w:themeColor="text1"/>
          <w:szCs w:val="21"/>
          <w:highlight w:val="none"/>
          <w14:textFill>
            <w14:solidFill>
              <w14:schemeClr w14:val="tx1"/>
            </w14:solidFill>
          </w14:textFill>
        </w:rPr>
        <w:t>投标人必须保证投标文件所提供的全部资料真实可靠。</w:t>
      </w:r>
    </w:p>
    <w:p w14:paraId="6F2A3190">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19.3</w:t>
      </w:r>
      <w:r>
        <w:rPr>
          <w:rFonts w:hint="eastAsia" w:ascii="宋体" w:hAnsi="宋体" w:cs="宋体"/>
          <w:color w:val="000000" w:themeColor="text1"/>
          <w:szCs w:val="21"/>
          <w:highlight w:val="none"/>
          <w14:textFill>
            <w14:solidFill>
              <w14:schemeClr w14:val="tx1"/>
            </w14:solidFill>
          </w14:textFill>
        </w:rPr>
        <w:t>投标文件须对招标文件中的内容做出实质性和完整的响应。</w:t>
      </w:r>
    </w:p>
    <w:p w14:paraId="30464E44">
      <w:pPr>
        <w:pStyle w:val="2"/>
        <w:spacing w:line="360" w:lineRule="auto"/>
        <w:ind w:left="0" w:right="210" w:firstLine="373"/>
        <w:rPr>
          <w:rFonts w:hint="eastAsia" w:ascii="宋体" w:hAnsi="宋体" w:cs="宋体"/>
          <w:color w:val="000000" w:themeColor="text1"/>
          <w:szCs w:val="21"/>
          <w:highlight w:val="none"/>
          <w14:textFill>
            <w14:solidFill>
              <w14:schemeClr w14:val="tx1"/>
            </w14:solidFill>
          </w14:textFill>
        </w:rPr>
      </w:pPr>
      <w:bookmarkStart w:id="127" w:name="_Toc107246236"/>
      <w:r>
        <w:rPr>
          <w:rFonts w:hint="eastAsia" w:ascii="宋体" w:hAnsi="宋体" w:cs="宋体"/>
          <w:color w:val="000000" w:themeColor="text1"/>
          <w:highlight w:val="none"/>
          <w14:textFill>
            <w14:solidFill>
              <w14:schemeClr w14:val="tx1"/>
            </w14:solidFill>
          </w14:textFill>
        </w:rPr>
        <w:t>20.投标报价</w:t>
      </w:r>
      <w:bookmarkEnd w:id="127"/>
    </w:p>
    <w:p w14:paraId="78A235D0">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20.1</w:t>
      </w:r>
      <w:r>
        <w:rPr>
          <w:rFonts w:hint="eastAsia" w:ascii="宋体" w:hAnsi="宋体" w:cs="宋体"/>
          <w:color w:val="000000" w:themeColor="text1"/>
          <w:szCs w:val="21"/>
          <w:highlight w:val="none"/>
          <w14:textFill>
            <w14:solidFill>
              <w14:schemeClr w14:val="tx1"/>
            </w14:solidFill>
          </w14:textFill>
        </w:rPr>
        <w:t>所有投标均以人民币报价，应包括国家规定的增值税税金。</w:t>
      </w:r>
    </w:p>
    <w:p w14:paraId="21CBA6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20.2</w:t>
      </w:r>
      <w:r>
        <w:rPr>
          <w:rFonts w:hint="eastAsia" w:ascii="宋体" w:hAnsi="宋体" w:cs="宋体"/>
          <w:b/>
          <w:color w:val="000000" w:themeColor="text1"/>
          <w:szCs w:val="21"/>
          <w:highlight w:val="none"/>
          <w14:textFill>
            <w14:solidFill>
              <w14:schemeClr w14:val="tx1"/>
            </w14:solidFill>
          </w14:textFill>
        </w:rPr>
        <w:t>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none"/>
          <w14:textFill>
            <w14:solidFill>
              <w14:schemeClr w14:val="tx1"/>
            </w14:solidFill>
          </w14:textFill>
        </w:rPr>
        <w:t>。</w:t>
      </w:r>
    </w:p>
    <w:p w14:paraId="0911E655">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20.3</w:t>
      </w:r>
      <w:r>
        <w:rPr>
          <w:rFonts w:hint="eastAsia" w:ascii="宋体" w:hAnsi="宋体" w:cs="宋体"/>
          <w:color w:val="000000" w:themeColor="text1"/>
          <w:szCs w:val="21"/>
          <w:highlight w:val="none"/>
          <w14:textFill>
            <w14:solidFill>
              <w14:schemeClr w14:val="tx1"/>
            </w14:solidFill>
          </w14:textFill>
        </w:rPr>
        <w:t>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p>
    <w:p w14:paraId="2B45D2AD">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20.4投标人要按开标一览表、分项报价表的内容填写投标报价及其它事项。</w:t>
      </w:r>
      <w:r>
        <w:rPr>
          <w:rFonts w:hint="eastAsia" w:ascii="宋体" w:hAnsi="宋体" w:cs="宋体"/>
          <w:b/>
          <w:color w:val="000000" w:themeColor="text1"/>
          <w:szCs w:val="21"/>
          <w:highlight w:val="none"/>
          <w14:textFill>
            <w14:solidFill>
              <w14:schemeClr w14:val="tx1"/>
            </w14:solidFill>
          </w14:textFill>
        </w:rPr>
        <w:t>★开标一览表须加盖公章或电子公章。</w:t>
      </w:r>
      <w:r>
        <w:rPr>
          <w:rFonts w:hint="eastAsia" w:ascii="宋体" w:hAnsi="宋体" w:cs="宋体"/>
          <w:bCs/>
          <w:color w:val="000000" w:themeColor="text1"/>
          <w:szCs w:val="21"/>
          <w:highlight w:val="none"/>
          <w14:textFill>
            <w14:solidFill>
              <w14:schemeClr w14:val="tx1"/>
            </w14:solidFill>
          </w14:textFill>
        </w:rPr>
        <w:t>分项报价表的总价应和开标一览表的投标总价相一致，包括投标人为完成本项目所发生的一切费用相关的所有税费。如分项报价表的总价和开标一览表的投标总价不一致的，按照本须知规定的内容执行。</w:t>
      </w:r>
    </w:p>
    <w:p w14:paraId="5E76C464">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20.5</w:t>
      </w:r>
      <w:r>
        <w:rPr>
          <w:rFonts w:hint="eastAsia" w:ascii="宋体" w:hAnsi="宋体" w:cs="宋体"/>
          <w:color w:val="000000" w:themeColor="text1"/>
          <w:szCs w:val="21"/>
          <w:highlight w:val="none"/>
          <w14:textFill>
            <w14:solidFill>
              <w14:schemeClr w14:val="tx1"/>
            </w14:solidFill>
          </w14:textFill>
        </w:rPr>
        <w:t>投标报价的其他要求见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bookmarkEnd w:id="123"/>
      <w:bookmarkEnd w:id="124"/>
    </w:p>
    <w:p w14:paraId="71AAAF56">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28" w:name="_Toc104560859"/>
      <w:bookmarkStart w:id="129" w:name="_Toc107246237"/>
      <w:bookmarkStart w:id="130" w:name="_Toc103848545"/>
      <w:bookmarkStart w:id="131" w:name="_Toc100905224"/>
      <w:bookmarkStart w:id="132" w:name="_Toc103848544"/>
      <w:bookmarkStart w:id="133" w:name="_Toc100905223"/>
      <w:bookmarkStart w:id="134" w:name="_Toc96347878"/>
      <w:r>
        <w:rPr>
          <w:rFonts w:hint="eastAsia" w:ascii="宋体" w:hAnsi="宋体" w:cs="宋体"/>
          <w:color w:val="000000" w:themeColor="text1"/>
          <w:highlight w:val="none"/>
          <w14:textFill>
            <w14:solidFill>
              <w14:schemeClr w14:val="tx1"/>
            </w14:solidFill>
          </w14:textFill>
        </w:rPr>
        <w:t>21.投标有效期</w:t>
      </w:r>
      <w:bookmarkEnd w:id="128"/>
      <w:bookmarkEnd w:id="129"/>
      <w:bookmarkEnd w:id="130"/>
      <w:bookmarkEnd w:id="131"/>
    </w:p>
    <w:p w14:paraId="1A83E61E">
      <w:pPr>
        <w:spacing w:line="360" w:lineRule="auto"/>
        <w:ind w:firstLine="42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21.1投标有效期见</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，在此期间投标文件对投标人具有法律约束力，以保证采购人有足够的时间完成评标、定标以及签订合同。投标有效期从</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规定的投标截止之日起计算。</w:t>
      </w: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投标有效期不足的，在评标时将其视为无效投标。</w:t>
      </w:r>
    </w:p>
    <w:p w14:paraId="1DB31BF9">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5EFD065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35" w:name="_Toc104560860"/>
      <w:bookmarkStart w:id="136" w:name="_Toc107246238"/>
      <w:r>
        <w:rPr>
          <w:rFonts w:hint="eastAsia" w:ascii="宋体" w:hAnsi="宋体" w:cs="宋体"/>
          <w:color w:val="000000" w:themeColor="text1"/>
          <w:highlight w:val="none"/>
          <w14:textFill>
            <w14:solidFill>
              <w14:schemeClr w14:val="tx1"/>
            </w14:solidFill>
          </w14:textFill>
        </w:rPr>
        <w:t>22.投标保证金</w:t>
      </w:r>
      <w:bookmarkEnd w:id="132"/>
      <w:bookmarkEnd w:id="133"/>
      <w:bookmarkEnd w:id="134"/>
      <w:bookmarkEnd w:id="135"/>
      <w:bookmarkEnd w:id="136"/>
    </w:p>
    <w:p w14:paraId="762C91AC">
      <w:pPr>
        <w:spacing w:line="360" w:lineRule="auto"/>
        <w:ind w:firstLine="420"/>
        <w:rPr>
          <w:rFonts w:hint="eastAsia" w:ascii="宋体" w:hAnsi="宋体" w:cs="宋体"/>
          <w:bCs/>
          <w:color w:val="000000" w:themeColor="text1"/>
          <w:szCs w:val="21"/>
          <w:highlight w:val="none"/>
          <w14:textFill>
            <w14:solidFill>
              <w14:schemeClr w14:val="tx1"/>
            </w14:solidFill>
          </w14:textFill>
        </w:rPr>
      </w:pPr>
      <w:bookmarkStart w:id="137" w:name="_Toc420487862"/>
      <w:bookmarkStart w:id="138" w:name="_Toc96347879"/>
      <w:bookmarkStart w:id="139" w:name="_Toc420657357"/>
      <w:bookmarkStart w:id="140" w:name="_Toc519241651"/>
      <w:bookmarkStart w:id="141" w:name="_Toc466452044"/>
      <w:bookmarkStart w:id="142" w:name="_Toc68159552"/>
      <w:r>
        <w:rPr>
          <w:rFonts w:hint="eastAsia" w:ascii="宋体" w:hAnsi="宋体" w:cs="宋体"/>
          <w:bCs/>
          <w:color w:val="000000" w:themeColor="text1"/>
          <w:szCs w:val="21"/>
          <w:highlight w:val="none"/>
          <w14:textFill>
            <w14:solidFill>
              <w14:schemeClr w14:val="tx1"/>
            </w14:solidFill>
          </w14:textFill>
        </w:rPr>
        <w:t>22.1本项目是否交纳投标保证金见</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w:t>
      </w:r>
    </w:p>
    <w:p w14:paraId="36160F1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22.2</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规定交纳投标保证金的，投标人应以支票、汇票、本票或金融机构、担保机构出具的保函等非现金形式，在</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规定的投标截止时间前，向采购方提交</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规定的投标保证金(数额采用四舍五入，计算至元)。投标保证金有效期应与</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规定的投标有效期一致。</w:t>
      </w:r>
      <w:r>
        <w:rPr>
          <w:rFonts w:hint="eastAsia" w:ascii="宋体" w:hAnsi="宋体" w:cs="宋体"/>
          <w:b/>
          <w:color w:val="000000" w:themeColor="text1"/>
          <w:szCs w:val="21"/>
          <w:highlight w:val="none"/>
          <w14:textFill>
            <w14:solidFill>
              <w14:schemeClr w14:val="tx1"/>
            </w14:solidFill>
          </w14:textFill>
        </w:rPr>
        <w:t>★投标人未按规定缴纳投标保证金的或</w:t>
      </w:r>
      <w:r>
        <w:rPr>
          <w:rFonts w:hint="eastAsia" w:ascii="宋体" w:hAnsi="宋体" w:cs="宋体"/>
          <w:b/>
          <w:bCs/>
          <w:color w:val="000000" w:themeColor="text1"/>
          <w:szCs w:val="21"/>
          <w:highlight w:val="none"/>
          <w14:textFill>
            <w14:solidFill>
              <w14:schemeClr w14:val="tx1"/>
            </w14:solidFill>
          </w14:textFill>
        </w:rPr>
        <w:t>由于到账时间晚于投标截止时间的，或者票据错误、印鉴不清等原因导致不能到账的，其投标无效。</w:t>
      </w:r>
    </w:p>
    <w:p w14:paraId="0655449C">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22.3联合体投标的，可以由联合体中的一方或者共同提交投标保证金。以一方名义提交投标保证金的，对联合体各方均具有约束力。</w:t>
      </w:r>
    </w:p>
    <w:p w14:paraId="7691C5E8">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22.4未中标的投标人的投标保证金，将在中标通知书发出后5个工作日内退还，但因投标人自身原因导致无法及时退还的除外。</w:t>
      </w:r>
    </w:p>
    <w:p w14:paraId="4273A5BA">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22.5中标的投标人的投标保证金，将在政府采购合同签订后5个工作日内退还中标人。</w:t>
      </w:r>
    </w:p>
    <w:p w14:paraId="1EA6CCC0">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22.6投标人有以下情形之一的，投标保证金可以不予退还（本款仅适用于要求递交投标保证金的项目）：</w:t>
      </w:r>
      <w:bookmarkEnd w:id="137"/>
      <w:bookmarkEnd w:id="138"/>
      <w:bookmarkEnd w:id="139"/>
      <w:bookmarkEnd w:id="140"/>
      <w:bookmarkEnd w:id="141"/>
      <w:bookmarkEnd w:id="142"/>
    </w:p>
    <w:p w14:paraId="58E877F4">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bookmarkStart w:id="143" w:name="_Toc103848546"/>
      <w:bookmarkStart w:id="144" w:name="_Toc96347880"/>
      <w:bookmarkStart w:id="145" w:name="_Toc104560861"/>
      <w:bookmarkStart w:id="146" w:name="_Toc100905225"/>
      <w:r>
        <w:rPr>
          <w:rFonts w:hint="eastAsia" w:ascii="宋体" w:hAnsi="宋体" w:cs="宋体"/>
          <w:color w:val="000000" w:themeColor="text1"/>
          <w:szCs w:val="21"/>
          <w:highlight w:val="none"/>
          <w14:textFill>
            <w14:solidFill>
              <w14:schemeClr w14:val="tx1"/>
            </w14:solidFill>
          </w14:textFill>
        </w:rPr>
        <w:t>（1）投标人在招标文件规定的投标有效期内撤销其投标文件；</w:t>
      </w:r>
    </w:p>
    <w:p w14:paraId="5C8FC9FC">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（2）投标人在投标文件中提供虚假材料的；</w:t>
      </w:r>
    </w:p>
    <w:p w14:paraId="0215A213">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（3）投标人在本次采购活动中存在恶意串通行为的；</w:t>
      </w:r>
    </w:p>
    <w:p w14:paraId="4D7D8B71">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（4）中标人未能按规定交纳采购代理服务费；</w:t>
      </w:r>
    </w:p>
    <w:p w14:paraId="5B930F57">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（5）中标人在收到中标通知书后，无正当理由不与采购人订立合同，在签订合同时向采购人提出附加条件，或者不按照招标文件要求提交履约保证金（如有）；</w:t>
      </w:r>
    </w:p>
    <w:p w14:paraId="3D664F4D">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（6）招标文件规定的其他可以不予退还投标保证金的情形。</w:t>
      </w:r>
    </w:p>
    <w:p w14:paraId="2A12DBBA">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47" w:name="_Toc107246239"/>
      <w:r>
        <w:rPr>
          <w:rFonts w:hint="eastAsia" w:ascii="宋体" w:hAnsi="宋体" w:cs="宋体"/>
          <w:color w:val="000000" w:themeColor="text1"/>
          <w:highlight w:val="none"/>
          <w14:textFill>
            <w14:solidFill>
              <w14:schemeClr w14:val="tx1"/>
            </w14:solidFill>
          </w14:textFill>
        </w:rPr>
        <w:t>23.投标文件的制作和签署</w:t>
      </w:r>
      <w:bookmarkEnd w:id="143"/>
      <w:bookmarkEnd w:id="144"/>
      <w:bookmarkEnd w:id="145"/>
      <w:bookmarkEnd w:id="146"/>
      <w:bookmarkEnd w:id="147"/>
    </w:p>
    <w:p w14:paraId="6AB530EB">
      <w:pPr>
        <w:spacing w:before="156" w:after="40"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bookmarkStart w:id="148" w:name="_Toc107246240"/>
      <w:r>
        <w:rPr>
          <w:rFonts w:ascii="Microsoft New Tai Lue" w:hAnsi="Microsoft New Tai Lue" w:cs="Microsoft New Tai Lue"/>
          <w:bCs/>
          <w:color w:val="000000" w:themeColor="text1"/>
          <w:szCs w:val="21"/>
          <w:highlight w:val="none"/>
          <w14:textFill>
            <w14:solidFill>
              <w14:schemeClr w14:val="tx1"/>
            </w14:solidFill>
          </w14:textFill>
        </w:rPr>
        <w:t>23.1</w:t>
      </w:r>
      <w:r>
        <w:rPr>
          <w:rFonts w:ascii="Arial" w:hAnsi="Arial" w:cs="Arial"/>
          <w:color w:val="000000" w:themeColor="text1"/>
          <w:szCs w:val="21"/>
          <w:highlight w:val="none"/>
          <w14:textFill>
            <w14:solidFill>
              <w14:schemeClr w14:val="tx1"/>
            </w14:solidFill>
          </w14:textFill>
        </w:rPr>
        <w:t>投标人应当按照《操作手册》规定，在招标公告规定的投标截止时间前制作并上传电子投标文件。</w:t>
      </w:r>
      <w:r>
        <w:rPr>
          <w:rFonts w:ascii="Arial" w:hAnsi="Arial" w:cs="Arial"/>
          <w:color w:val="000000" w:themeColor="text1"/>
          <w:szCs w:val="21"/>
          <w:highlight w:val="none"/>
          <w:lang w:val="zh-CN"/>
          <w14:textFill>
            <w14:solidFill>
              <w14:schemeClr w14:val="tx1"/>
            </w14:solidFill>
          </w14:textFill>
        </w:rPr>
        <w:t>招标代理机构拒绝接收提交</w:t>
      </w:r>
      <w:r>
        <w:rPr>
          <w:rFonts w:ascii="Arial" w:hAnsi="Arial" w:cs="Arial"/>
          <w:color w:val="000000" w:themeColor="text1"/>
          <w:szCs w:val="21"/>
          <w:highlight w:val="none"/>
          <w14:textFill>
            <w14:solidFill>
              <w14:schemeClr w14:val="tx1"/>
            </w14:solidFill>
          </w14:textFill>
        </w:rPr>
        <w:t>投标</w:t>
      </w:r>
      <w:r>
        <w:rPr>
          <w:rFonts w:ascii="Arial" w:hAnsi="Arial" w:cs="Arial"/>
          <w:color w:val="000000" w:themeColor="text1"/>
          <w:szCs w:val="21"/>
          <w:highlight w:val="none"/>
          <w:lang w:val="zh-CN"/>
          <w14:textFill>
            <w14:solidFill>
              <w14:schemeClr w14:val="tx1"/>
            </w14:solidFill>
          </w14:textFill>
        </w:rPr>
        <w:t>文件截止时间后上传的任何电子</w:t>
      </w:r>
      <w:r>
        <w:rPr>
          <w:rFonts w:ascii="Arial" w:hAnsi="Arial" w:cs="Arial"/>
          <w:color w:val="000000" w:themeColor="text1"/>
          <w:szCs w:val="21"/>
          <w:highlight w:val="none"/>
          <w14:textFill>
            <w14:solidFill>
              <w14:schemeClr w14:val="tx1"/>
            </w14:solidFill>
          </w14:textFill>
        </w:rPr>
        <w:t>投标</w:t>
      </w:r>
      <w:r>
        <w:rPr>
          <w:rFonts w:ascii="Arial" w:hAnsi="Arial" w:cs="Arial"/>
          <w:color w:val="000000" w:themeColor="text1"/>
          <w:szCs w:val="21"/>
          <w:highlight w:val="none"/>
          <w:lang w:val="zh-CN"/>
          <w14:textFill>
            <w14:solidFill>
              <w14:schemeClr w14:val="tx1"/>
            </w14:solidFill>
          </w14:textFill>
        </w:rPr>
        <w:t>文件。</w:t>
      </w:r>
    </w:p>
    <w:p w14:paraId="4822E1CE">
      <w:pPr>
        <w:spacing w:before="156" w:after="40"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23.2</w:t>
      </w:r>
      <w:r>
        <w:rPr>
          <w:rFonts w:ascii="Segoe UI Symbol" w:hAnsi="Segoe UI Symbol" w:cs="Segoe UI Symbol"/>
          <w:b/>
          <w:color w:val="000000" w:themeColor="text1"/>
          <w:szCs w:val="21"/>
          <w:highlight w:val="none"/>
          <w14:textFill>
            <w14:solidFill>
              <w14:schemeClr w14:val="tx1"/>
            </w14:solidFill>
          </w14:textFill>
        </w:rPr>
        <w:t>★</w:t>
      </w:r>
      <w:r>
        <w:rPr>
          <w:rFonts w:hint="eastAsia" w:ascii="Microsoft New Tai Lue" w:hAnsi="Microsoft New Tai Lue" w:cs="Microsoft New Tai Lue"/>
          <w:b/>
          <w:bCs/>
          <w:color w:val="000000" w:themeColor="text1"/>
          <w:szCs w:val="21"/>
          <w:highlight w:val="none"/>
          <w14:textFill>
            <w14:solidFill>
              <w14:schemeClr w14:val="tx1"/>
            </w14:solidFill>
          </w14:textFill>
        </w:rPr>
        <w:t>投标文件</w:t>
      </w:r>
      <w:r>
        <w:rPr>
          <w:rFonts w:ascii="Microsoft New Tai Lue" w:hAnsi="Microsoft New Tai Lue" w:cs="Microsoft New Tai Lue"/>
          <w:b/>
          <w:bCs/>
          <w:color w:val="000000" w:themeColor="text1"/>
          <w:szCs w:val="21"/>
          <w:highlight w:val="none"/>
          <w14:textFill>
            <w14:solidFill>
              <w14:schemeClr w14:val="tx1"/>
            </w14:solidFill>
          </w14:textFill>
        </w:rPr>
        <w:t>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投标人</w:t>
      </w:r>
      <w:r>
        <w:rPr>
          <w:rFonts w:ascii="Microsoft New Tai Lue" w:hAnsi="Microsoft New Tai Lue" w:cs="Microsoft New Tai Lue"/>
          <w:b/>
          <w:bCs/>
          <w:color w:val="000000" w:themeColor="text1"/>
          <w:szCs w:val="21"/>
          <w:highlight w:val="none"/>
          <w14:textFill>
            <w14:solidFill>
              <w14:schemeClr w14:val="tx1"/>
            </w14:solidFill>
          </w14:textFill>
        </w:rPr>
        <w:t>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（单位</w:t>
      </w:r>
      <w:r>
        <w:rPr>
          <w:rFonts w:ascii="Microsoft New Tai Lue" w:hAnsi="Microsoft New Tai Lue" w:cs="Microsoft New Tai Lue"/>
          <w:b/>
          <w:bCs/>
          <w:color w:val="000000" w:themeColor="text1"/>
          <w:szCs w:val="21"/>
          <w:highlight w:val="none"/>
          <w14:textFill>
            <w14:solidFill>
              <w14:schemeClr w14:val="tx1"/>
            </w14:solidFill>
          </w14:textFill>
        </w:rPr>
        <w:t>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w:t>
      </w:r>
      <w:r>
        <w:rPr>
          <w:rFonts w:ascii="Microsoft New Tai Lue" w:hAnsi="Microsoft New Tai Lue" w:cs="Microsoft New Tai Lue"/>
          <w:b/>
          <w:bCs/>
          <w:color w:val="000000" w:themeColor="text1"/>
          <w:szCs w:val="21"/>
          <w:highlight w:val="none"/>
          <w14:textFill>
            <w14:solidFill>
              <w14:schemeClr w14:val="tx1"/>
            </w14:solidFill>
          </w14:textFill>
        </w:rPr>
        <w:t>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
          <w:bCs/>
          <w:color w:val="000000" w:themeColor="text1"/>
          <w:szCs w:val="21"/>
          <w:highlight w:val="none"/>
          <w14:textFill>
            <w14:solidFill>
              <w14:schemeClr w14:val="tx1"/>
            </w14:solidFill>
          </w14:textFill>
        </w:rPr>
        <w:t>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法定代表人</w:t>
      </w:r>
      <w:r>
        <w:rPr>
          <w:rFonts w:ascii="Microsoft New Tai Lue" w:hAnsi="Microsoft New Tai Lue" w:cs="Microsoft New Tai Lue"/>
          <w:b/>
          <w:bCs/>
          <w:color w:val="000000" w:themeColor="text1"/>
          <w:szCs w:val="21"/>
          <w:highlight w:val="none"/>
          <w14:textFill>
            <w14:solidFill>
              <w14:schemeClr w14:val="tx1"/>
            </w14:solidFill>
          </w14:textFill>
        </w:rPr>
        <w:t>签章并加盖企业公章。）授权其负责本项目投标。</w:t>
      </w:r>
    </w:p>
    <w:p w14:paraId="29456166">
      <w:pPr>
        <w:spacing w:before="156" w:after="40"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23.3投标文件规定盖章的地方，应盖单位公章</w:t>
      </w:r>
      <w:r>
        <w:rPr>
          <w:rFonts w:hint="eastAsia" w:ascii="Microsoft New Tai Lue" w:hAnsi="Microsoft New Tai Lue" w:cs="Microsoft New Tai Lue"/>
          <w:bCs/>
          <w:color w:val="000000" w:themeColor="text1"/>
          <w:szCs w:val="21"/>
          <w:highlight w:val="none"/>
          <w14:textFill>
            <w14:solidFill>
              <w14:schemeClr w14:val="tx1"/>
            </w14:solidFill>
          </w14:textFill>
        </w:rPr>
        <w:t>或电子公章</w:t>
      </w:r>
      <w:r>
        <w:rPr>
          <w:rFonts w:ascii="Microsoft New Tai Lue" w:hAnsi="Microsoft New Tai Lue" w:cs="Microsoft New Tai Lue"/>
          <w:bCs/>
          <w:color w:val="000000" w:themeColor="text1"/>
          <w:szCs w:val="21"/>
          <w:highlight w:val="none"/>
          <w14:textFill>
            <w14:solidFill>
              <w14:schemeClr w14:val="tx1"/>
            </w14:solidFill>
          </w14:textFill>
        </w:rPr>
        <w:t>（文件中的单位盖章、印章、公章等处均仅指与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，如投标人为自然人可不加盖公章，仅由本人签字）。</w:t>
      </w:r>
    </w:p>
    <w:p w14:paraId="691B54D5">
      <w:pPr>
        <w:spacing w:before="156" w:after="40"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w:t>
      </w:r>
      <w:r>
        <w:rPr>
          <w:rFonts w:ascii="Microsoft New Tai Lue" w:hAnsi="Microsoft New Tai Lue" w:cs="Microsoft New Tai Lue"/>
          <w:bCs/>
          <w:color w:val="000000" w:themeColor="text1"/>
          <w:szCs w:val="21"/>
          <w:highlight w:val="none"/>
          <w14:textFill>
            <w14:solidFill>
              <w14:schemeClr w14:val="tx1"/>
            </w14:solidFill>
          </w14:textFill>
        </w:rPr>
        <w:t>3.4</w:t>
      </w: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如投标过程中投标人使用其他形式的印章（</w:t>
      </w:r>
      <w:r>
        <w:rPr>
          <w:rFonts w:hint="eastAsia" w:ascii="Microsoft New Tai Lue" w:hAnsi="Microsoft New Tai Lue" w:cs="Microsoft New Tai Lue"/>
          <w:b/>
          <w:color w:val="000000" w:themeColor="text1"/>
          <w:szCs w:val="21"/>
          <w:highlight w:val="none"/>
          <w14:textFill>
            <w14:solidFill>
              <w14:schemeClr w14:val="tx1"/>
            </w14:solidFill>
          </w14:textFill>
        </w:rPr>
        <w:t>如</w:t>
      </w:r>
      <w:r>
        <w:rPr>
          <w:rFonts w:ascii="Microsoft New Tai Lue" w:hAnsi="Microsoft New Tai Lue" w:cs="Microsoft New Tai Lue"/>
          <w:b/>
          <w:color w:val="000000" w:themeColor="text1"/>
          <w:szCs w:val="21"/>
          <w:highlight w:val="none"/>
          <w14:textFill>
            <w14:solidFill>
              <w14:schemeClr w14:val="tx1"/>
            </w14:solidFill>
          </w14:textFill>
        </w:rPr>
        <w:t>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w:t>
      </w:r>
      <w:r>
        <w:rPr>
          <w:b/>
          <w:color w:val="000000" w:themeColor="text1"/>
          <w:highlight w:val="none"/>
          <w14:textFill>
            <w14:solidFill>
              <w14:schemeClr w14:val="tx1"/>
            </w14:solidFill>
          </w14:textFill>
        </w:rPr>
        <w:t>（</w:t>
      </w:r>
      <w:r>
        <w:rPr>
          <w:rFonts w:hint="eastAsia"/>
          <w:b/>
          <w:color w:val="000000" w:themeColor="text1"/>
          <w:highlight w:val="none"/>
          <w14:textFill>
            <w14:solidFill>
              <w14:schemeClr w14:val="tx1"/>
            </w14:solidFill>
          </w14:textFill>
        </w:rPr>
        <w:t>格式</w:t>
      </w:r>
      <w:r>
        <w:rPr>
          <w:b/>
          <w:color w:val="000000" w:themeColor="text1"/>
          <w:highlight w:val="none"/>
          <w14:textFill>
            <w14:solidFill>
              <w14:schemeClr w14:val="tx1"/>
            </w14:solidFill>
          </w14:textFill>
        </w:rPr>
        <w:t>见</w:t>
      </w:r>
      <w:r>
        <w:rPr>
          <w:rFonts w:hint="eastAsia"/>
          <w:b/>
          <w:color w:val="000000" w:themeColor="text1"/>
          <w:highlight w:val="none"/>
          <w14:textFill>
            <w14:solidFill>
              <w14:schemeClr w14:val="tx1"/>
            </w14:solidFill>
          </w14:textFill>
        </w:rPr>
        <w:t>后</w:t>
      </w:r>
      <w:r>
        <w:rPr>
          <w:b/>
          <w:color w:val="000000" w:themeColor="text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，明确</w:t>
      </w:r>
      <w:r>
        <w:rPr>
          <w:rFonts w:hint="eastAsia" w:ascii="Microsoft New Tai Lue" w:hAnsi="Microsoft New Tai Lue" w:cs="Microsoft New Tai Lue"/>
          <w:b/>
          <w:color w:val="000000" w:themeColor="text1"/>
          <w:szCs w:val="2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我单位</w:t>
      </w:r>
      <w:r>
        <w:rPr>
          <w:rFonts w:ascii="Microsoft New Tai Lue" w:hAnsi="Microsoft New Tai Lue" w:cs="Microsoft New Tai Lue"/>
          <w:b/>
          <w:color w:val="000000" w:themeColor="text1"/>
          <w:szCs w:val="21"/>
          <w:highlight w:val="none"/>
          <w14:textFill>
            <w14:solidFill>
              <w14:schemeClr w14:val="tx1"/>
            </w14:solidFill>
          </w14:textFill>
        </w:rPr>
        <w:t>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w:t>
      </w:r>
      <w:r>
        <w:rPr>
          <w:rFonts w:hint="eastAsia" w:ascii="Microsoft New Tai Lue" w:hAnsi="Microsoft New Tai Lue" w:cs="Microsoft New Tai Lue"/>
          <w:b/>
          <w:color w:val="000000" w:themeColor="text1"/>
          <w:szCs w:val="21"/>
          <w:highlight w:val="none"/>
          <w14:textFill>
            <w14:solidFill>
              <w14:schemeClr w14:val="tx1"/>
            </w14:solidFill>
          </w14:textFill>
        </w:rPr>
        <w:t>“公章授权书”</w:t>
      </w:r>
      <w:r>
        <w:rPr>
          <w:rFonts w:ascii="Microsoft New Tai Lue" w:hAnsi="Microsoft New Tai Lue" w:cs="Microsoft New Tai Lue"/>
          <w:b/>
          <w:color w:val="000000" w:themeColor="text1"/>
          <w:szCs w:val="21"/>
          <w:highlight w:val="none"/>
          <w14:textFill>
            <w14:solidFill>
              <w14:schemeClr w14:val="tx1"/>
            </w14:solidFill>
          </w14:textFill>
        </w:rPr>
        <w:t>须同时加盖投标人公章及</w:t>
      </w:r>
      <w:r>
        <w:rPr>
          <w:rFonts w:hint="eastAsia" w:ascii="Microsoft New Tai Lue" w:hAnsi="Microsoft New Tai Lue" w:cs="Microsoft New Tai Lue"/>
          <w:b/>
          <w:color w:val="000000" w:themeColor="text1"/>
          <w:szCs w:val="21"/>
          <w:highlight w:val="none"/>
          <w14:textFill>
            <w14:solidFill>
              <w14:schemeClr w14:val="tx1"/>
            </w14:solidFill>
          </w14:textFill>
        </w:rPr>
        <w:t>本次投标使用的</w:t>
      </w:r>
      <w:r>
        <w:rPr>
          <w:rFonts w:ascii="Microsoft New Tai Lue" w:hAnsi="Microsoft New Tai Lue" w:cs="Microsoft New Tai Lue"/>
          <w:b/>
          <w:color w:val="000000" w:themeColor="text1"/>
          <w:szCs w:val="21"/>
          <w:highlight w:val="none"/>
          <w14:textFill>
            <w14:solidFill>
              <w14:schemeClr w14:val="tx1"/>
            </w14:solidFill>
          </w14:textFill>
        </w:rPr>
        <w:t>专用章</w:t>
      </w:r>
      <w:r>
        <w:rPr>
          <w:rFonts w:hint="eastAsia" w:ascii="Microsoft New Tai Lue" w:hAnsi="Microsoft New Tai Lue" w:cs="Microsoft New Tai Lue"/>
          <w:b/>
          <w:color w:val="000000" w:themeColor="text1"/>
          <w:szCs w:val="21"/>
          <w:highlight w:val="none"/>
          <w14:textFill>
            <w14:solidFill>
              <w14:schemeClr w14:val="tx1"/>
            </w14:solidFill>
          </w14:textFill>
        </w:rPr>
        <w:t>，否则不予认可</w:t>
      </w:r>
      <w:r>
        <w:rPr>
          <w:rFonts w:ascii="Microsoft New Tai Lue" w:hAnsi="Microsoft New Tai Lue" w:cs="Microsoft New Tai Lue"/>
          <w:b/>
          <w:color w:val="000000" w:themeColor="text1"/>
          <w:szCs w:val="21"/>
          <w:highlight w:val="none"/>
          <w14:textFill>
            <w14:solidFill>
              <w14:schemeClr w14:val="tx1"/>
            </w14:solidFill>
          </w14:textFill>
        </w:rPr>
        <w:t>。</w:t>
      </w:r>
    </w:p>
    <w:p w14:paraId="569F4C50">
      <w:pPr>
        <w:spacing w:before="156" w:after="40" w:line="360" w:lineRule="auto"/>
        <w:ind w:firstLine="420"/>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23.5除</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方有效</w:t>
      </w:r>
      <w:r>
        <w:rPr>
          <w:rFonts w:ascii="Microsoft New Tai Lue" w:hAnsi="Microsoft New Tai Lue" w:cs="Microsoft New Tai Lue"/>
          <w:bCs/>
          <w:color w:val="000000" w:themeColor="text1"/>
          <w:szCs w:val="21"/>
          <w:highlight w:val="none"/>
          <w14:textFill>
            <w14:solidFill>
              <w14:schemeClr w14:val="tx1"/>
            </w14:solidFill>
          </w14:textFill>
        </w:rPr>
        <w:t>。</w:t>
      </w:r>
    </w:p>
    <w:p w14:paraId="3119294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四．投标文件的递交</w:t>
      </w:r>
      <w:bookmarkEnd w:id="148"/>
    </w:p>
    <w:p w14:paraId="1B34BB38">
      <w:pPr>
        <w:pStyle w:val="2"/>
        <w:spacing w:line="360" w:lineRule="auto"/>
        <w:ind w:left="0" w:right="210" w:firstLine="373"/>
        <w:rPr>
          <w:rFonts w:ascii="Microsoft New Tai Lue" w:hAnsi="Microsoft New Tai Lue" w:cs="Microsoft New Tai Lue"/>
          <w:color w:val="000000" w:themeColor="text1"/>
          <w:szCs w:val="21"/>
          <w:highlight w:val="none"/>
          <w14:textFill>
            <w14:solidFill>
              <w14:schemeClr w14:val="tx1"/>
            </w14:solidFill>
          </w14:textFill>
        </w:rPr>
      </w:pPr>
      <w:bookmarkStart w:id="149" w:name="_Toc104560863"/>
      <w:bookmarkStart w:id="150" w:name="_Toc96347881"/>
      <w:bookmarkStart w:id="151" w:name="_Toc100905226"/>
      <w:bookmarkStart w:id="152" w:name="_Toc107246241"/>
      <w:bookmarkStart w:id="153" w:name="_Toc103848548"/>
      <w:r>
        <w:rPr>
          <w:rFonts w:hint="eastAsia" w:ascii="宋体" w:hAnsi="宋体" w:cs="宋体"/>
          <w:color w:val="000000" w:themeColor="text1"/>
          <w:highlight w:val="none"/>
          <w14:textFill>
            <w14:solidFill>
              <w14:schemeClr w14:val="tx1"/>
            </w14:solidFill>
          </w14:textFill>
        </w:rPr>
        <w:t>24.</w:t>
      </w:r>
      <w:bookmarkEnd w:id="149"/>
      <w:bookmarkEnd w:id="150"/>
      <w:bookmarkEnd w:id="151"/>
      <w:bookmarkEnd w:id="152"/>
      <w:bookmarkEnd w:id="153"/>
      <w:r>
        <w:rPr>
          <w:rFonts w:hint="eastAsia" w:ascii="Microsoft New Tai Lue" w:hAnsi="Microsoft New Tai Lue" w:cs="Microsoft New Tai Lue"/>
          <w:bCs w:val="0"/>
          <w:color w:val="000000" w:themeColor="text1"/>
          <w:szCs w:val="21"/>
          <w:highlight w:val="none"/>
          <w14:textFill>
            <w14:solidFill>
              <w14:schemeClr w14:val="tx1"/>
            </w14:solidFill>
          </w14:textFill>
        </w:rPr>
        <w:t>投标文件的递交</w:t>
      </w:r>
      <w:bookmarkStart w:id="154" w:name="_Toc50528805"/>
      <w:bookmarkStart w:id="155" w:name="_Toc11952"/>
      <w:bookmarkStart w:id="156" w:name="_Toc100905227"/>
      <w:bookmarkStart w:id="157" w:name="_Toc38931800"/>
      <w:bookmarkStart w:id="158" w:name="_Toc46219699"/>
      <w:bookmarkStart w:id="159" w:name="_Toc91399404"/>
      <w:bookmarkStart w:id="160" w:name="_Toc38931614"/>
      <w:bookmarkStart w:id="161" w:name="_Toc46960670"/>
      <w:bookmarkStart w:id="162" w:name="_Toc40202948"/>
      <w:bookmarkStart w:id="163" w:name="_Toc469850063"/>
      <w:bookmarkStart w:id="164" w:name="_Toc103848549"/>
      <w:bookmarkStart w:id="165" w:name="_Toc19963"/>
      <w:bookmarkStart w:id="166" w:name="_Toc51928343"/>
      <w:bookmarkStart w:id="167" w:name="_Toc5042"/>
      <w:bookmarkStart w:id="168" w:name="_Toc38933357"/>
      <w:bookmarkStart w:id="169" w:name="_Toc46939510"/>
      <w:bookmarkStart w:id="170" w:name="_Toc89586904"/>
      <w:bookmarkStart w:id="171" w:name="_Toc4536"/>
      <w:bookmarkStart w:id="172" w:name="_Toc96347882"/>
      <w:bookmarkStart w:id="173" w:name="_Toc11464"/>
      <w:bookmarkStart w:id="174" w:name="_Toc97561941"/>
      <w:bookmarkStart w:id="175" w:name="_Toc48151397"/>
    </w:p>
    <w:p w14:paraId="06A58505">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投标人应当按照《操作手册》规定，在招标公告规定的投标截止时间前制作并上传电子投标文件。</w:t>
      </w:r>
      <w:r>
        <w:rPr>
          <w:rFonts w:ascii="Microsoft New Tai Lue" w:hAnsi="Microsoft New Tai Lue" w:cs="Microsoft New Tai Lue"/>
          <w:bCs/>
          <w:color w:val="000000" w:themeColor="text1"/>
          <w:szCs w:val="21"/>
          <w:highlight w:val="none"/>
          <w:lang w:val="zh-CN"/>
          <w14:textFill>
            <w14:solidFill>
              <w14:schemeClr w14:val="tx1"/>
            </w14:solidFill>
          </w14:textFill>
        </w:rPr>
        <w:t>招标代理机构拒绝接收提交</w:t>
      </w:r>
      <w:r>
        <w:rPr>
          <w:rFonts w:ascii="Microsoft New Tai Lue" w:hAnsi="Microsoft New Tai Lue" w:cs="Microsoft New Tai Lue"/>
          <w:bCs/>
          <w:color w:val="000000" w:themeColor="text1"/>
          <w:szCs w:val="21"/>
          <w:highlight w:val="none"/>
          <w14:textFill>
            <w14:solidFill>
              <w14:schemeClr w14:val="tx1"/>
            </w14:solidFill>
          </w14:textFill>
        </w:rPr>
        <w:t>投标</w:t>
      </w:r>
      <w:r>
        <w:rPr>
          <w:rFonts w:ascii="Microsoft New Tai Lue" w:hAnsi="Microsoft New Tai Lue" w:cs="Microsoft New Tai Lue"/>
          <w:bCs/>
          <w:color w:val="000000" w:themeColor="text1"/>
          <w:szCs w:val="21"/>
          <w:highlight w:val="none"/>
          <w:lang w:val="zh-CN"/>
          <w14:textFill>
            <w14:solidFill>
              <w14:schemeClr w14:val="tx1"/>
            </w14:solidFill>
          </w14:textFill>
        </w:rPr>
        <w:t>文件截止时间后上传的任何电子</w:t>
      </w:r>
      <w:r>
        <w:rPr>
          <w:rFonts w:ascii="Microsoft New Tai Lue" w:hAnsi="Microsoft New Tai Lue" w:cs="Microsoft New Tai Lue"/>
          <w:bCs/>
          <w:color w:val="000000" w:themeColor="text1"/>
          <w:szCs w:val="21"/>
          <w:highlight w:val="none"/>
          <w14:textFill>
            <w14:solidFill>
              <w14:schemeClr w14:val="tx1"/>
            </w14:solidFill>
          </w14:textFill>
        </w:rPr>
        <w:t>投标</w:t>
      </w:r>
      <w:r>
        <w:rPr>
          <w:rFonts w:ascii="Microsoft New Tai Lue" w:hAnsi="Microsoft New Tai Lue" w:cs="Microsoft New Tai Lue"/>
          <w:bCs/>
          <w:color w:val="000000" w:themeColor="text1"/>
          <w:szCs w:val="21"/>
          <w:highlight w:val="none"/>
          <w:lang w:val="zh-CN"/>
          <w14:textFill>
            <w14:solidFill>
              <w14:schemeClr w14:val="tx1"/>
            </w14:solidFill>
          </w14:textFill>
        </w:rPr>
        <w:t>文件。</w:t>
      </w:r>
    </w:p>
    <w:p w14:paraId="0F8FB777">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76" w:name="_Toc104560864"/>
      <w:bookmarkStart w:id="177" w:name="_Toc107246242"/>
      <w:r>
        <w:rPr>
          <w:rFonts w:hint="eastAsia" w:ascii="宋体" w:hAnsi="宋体" w:cs="宋体"/>
          <w:color w:val="000000" w:themeColor="text1"/>
          <w:highlight w:val="none"/>
          <w14:textFill>
            <w14:solidFill>
              <w14:schemeClr w14:val="tx1"/>
            </w14:solidFill>
          </w14:textFill>
        </w:rPr>
        <w:t>25.</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Pr>
          <w:rFonts w:hint="eastAsia" w:ascii="宋体" w:hAnsi="宋体" w:cs="宋体"/>
          <w:color w:val="000000" w:themeColor="text1"/>
          <w:highlight w:val="none"/>
          <w14:textFill>
            <w14:solidFill>
              <w14:schemeClr w14:val="tx1"/>
            </w14:solidFill>
          </w14:textFill>
        </w:rPr>
        <w:t>投标文件解密</w:t>
      </w:r>
    </w:p>
    <w:p w14:paraId="398A0EB6">
      <w:pPr>
        <w:spacing w:line="360" w:lineRule="auto"/>
        <w:ind w:firstLine="420"/>
        <w:rPr>
          <w:rFonts w:ascii="Microsoft New Tai Lue" w:hAnsi="Microsoft New Tai Lue" w:cs="Microsoft New Tai Lue"/>
          <w:bCs/>
          <w:color w:val="000000" w:themeColor="text1"/>
          <w:szCs w:val="21"/>
          <w:highlight w:val="none"/>
          <w:lang w:val="zh-CN"/>
          <w14:textFill>
            <w14:solidFill>
              <w14:schemeClr w14:val="tx1"/>
            </w14:solidFill>
          </w14:textFill>
        </w:rPr>
      </w:pPr>
      <w:bookmarkStart w:id="178"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25.1</w:t>
      </w:r>
      <w:r>
        <w:rPr>
          <w:rFonts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lang w:val="zh-CN"/>
          <w14:textFill>
            <w14:solidFill>
              <w14:schemeClr w14:val="tx1"/>
            </w14:solidFill>
          </w14:textFill>
        </w:rPr>
        <w:t>应当按照《操作手册》规定，在“苏采云”系统规定的时间内对</w:t>
      </w:r>
      <w:r>
        <w:rPr>
          <w:rFonts w:ascii="Microsoft New Tai Lue" w:hAnsi="Microsoft New Tai Lue" w:cs="Microsoft New Tai Lue"/>
          <w:bCs/>
          <w:color w:val="000000" w:themeColor="text1"/>
          <w:szCs w:val="21"/>
          <w:highlight w:val="none"/>
          <w14:textFill>
            <w14:solidFill>
              <w14:schemeClr w14:val="tx1"/>
            </w14:solidFill>
          </w14:textFill>
        </w:rPr>
        <w:t>投标</w:t>
      </w:r>
      <w:r>
        <w:rPr>
          <w:rFonts w:ascii="Microsoft New Tai Lue" w:hAnsi="Microsoft New Tai Lue" w:cs="Microsoft New Tai Lue"/>
          <w:bCs/>
          <w:color w:val="000000" w:themeColor="text1"/>
          <w:szCs w:val="21"/>
          <w:highlight w:val="none"/>
          <w:lang w:val="zh-CN"/>
          <w14:textFill>
            <w14:solidFill>
              <w14:schemeClr w14:val="tx1"/>
            </w14:solidFill>
          </w14:textFill>
        </w:rPr>
        <w:t>文件进行解密。</w:t>
      </w:r>
    </w:p>
    <w:p w14:paraId="0A139BE7">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25.2</w:t>
      </w:r>
      <w:r>
        <w:rPr>
          <w:rFonts w:ascii="Microsoft New Tai Lue" w:hAnsi="Microsoft New Tai Lue" w:cs="Microsoft New Tai Lue"/>
          <w:bCs/>
          <w:color w:val="000000" w:themeColor="text1"/>
          <w:szCs w:val="21"/>
          <w:highlight w:val="none"/>
          <w14:textFill>
            <w14:solidFill>
              <w14:schemeClr w14:val="tx1"/>
            </w14:solidFill>
          </w14:textFill>
        </w:rPr>
        <w:t>投标人应充分考虑网络环境、网络带宽等因素可能对投标产生的影响，如因投标人自身原因造成的电子投标文件解密不成功的，做无效投标处理。</w:t>
      </w:r>
    </w:p>
    <w:p w14:paraId="5031CAE5">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79" w:name="_Toc107246243"/>
      <w:bookmarkStart w:id="180" w:name="_Toc104560865"/>
      <w:bookmarkStart w:id="181" w:name="_Toc100905228"/>
      <w:bookmarkStart w:id="182" w:name="_Toc103848550"/>
      <w:r>
        <w:rPr>
          <w:rFonts w:hint="eastAsia" w:ascii="宋体" w:hAnsi="宋体" w:cs="宋体"/>
          <w:color w:val="000000" w:themeColor="text1"/>
          <w:highlight w:val="none"/>
          <w14:textFill>
            <w14:solidFill>
              <w14:schemeClr w14:val="tx1"/>
            </w14:solidFill>
          </w14:textFill>
        </w:rPr>
        <w:t>26.投标文件的修改和撤回</w:t>
      </w:r>
      <w:bookmarkEnd w:id="119"/>
      <w:bookmarkEnd w:id="178"/>
      <w:bookmarkEnd w:id="179"/>
      <w:bookmarkEnd w:id="180"/>
      <w:bookmarkEnd w:id="181"/>
      <w:bookmarkEnd w:id="182"/>
    </w:p>
    <w:p w14:paraId="015ACC68">
      <w:pPr>
        <w:spacing w:before="156" w:after="40" w:line="360" w:lineRule="auto"/>
        <w:ind w:firstLine="420"/>
        <w:rPr>
          <w:rFonts w:ascii="Microsoft New Tai Lue" w:hAnsi="Microsoft New Tai Lue" w:cs="Microsoft New Tai Lue"/>
          <w:bCs/>
          <w:color w:val="000000" w:themeColor="text1"/>
          <w:szCs w:val="21"/>
          <w:highlight w:val="none"/>
          <w:lang w:val="zh-CN"/>
          <w14:textFill>
            <w14:solidFill>
              <w14:schemeClr w14:val="tx1"/>
            </w14:solidFill>
          </w14:textFill>
        </w:rPr>
      </w:pPr>
      <w:bookmarkStart w:id="183" w:name="_Toc80264714"/>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26.1投标人在递交投标文件后，可以修改或撤回其投标文件，但这种修改和撤回，必须在规定的投标截止时间前，以书面形式通知采购方。</w:t>
      </w:r>
    </w:p>
    <w:p w14:paraId="549E22F5">
      <w:pPr>
        <w:spacing w:before="156" w:after="40" w:line="360" w:lineRule="auto"/>
        <w:ind w:firstLine="420"/>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26.2投标人对投标文件的补充、修改的内容应当按照采购文件要求签署、盖章、密封后，作为投标文件的组成部分。</w:t>
      </w:r>
    </w:p>
    <w:p w14:paraId="5F8DF0BD">
      <w:pPr>
        <w:spacing w:before="156" w:after="40" w:line="360" w:lineRule="auto"/>
        <w:ind w:firstLine="420"/>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26.3 在投标截止时间之后，投标人不得对其投标文件作任何修改。</w:t>
      </w:r>
    </w:p>
    <w:p w14:paraId="76D46F78">
      <w:pPr>
        <w:spacing w:before="156" w:after="40" w:line="360" w:lineRule="auto"/>
        <w:ind w:firstLine="420"/>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26.4 在投标截止时间至采购文件中规定的投标有效期满之间的这段时间内，投标人不得撤回其投标。</w:t>
      </w:r>
    </w:p>
    <w:p w14:paraId="1AC21F66">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84" w:name="_Toc103848551"/>
      <w:bookmarkStart w:id="185" w:name="_Toc104560866"/>
      <w:bookmarkStart w:id="186" w:name="_Toc107246244"/>
      <w:r>
        <w:rPr>
          <w:rFonts w:hint="eastAsia" w:ascii="宋体" w:hAnsi="宋体" w:cs="宋体"/>
          <w:color w:val="000000" w:themeColor="text1"/>
          <w:highlight w:val="none"/>
          <w14:textFill>
            <w14:solidFill>
              <w14:schemeClr w14:val="tx1"/>
            </w14:solidFill>
          </w14:textFill>
        </w:rPr>
        <w:t>27.诚实信用</w:t>
      </w:r>
      <w:bookmarkEnd w:id="184"/>
      <w:bookmarkEnd w:id="185"/>
      <w:bookmarkEnd w:id="186"/>
    </w:p>
    <w:p w14:paraId="75D86270">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27.1投标人应当遵循公平竞争的原则，不得恶意串通，不得妨碍其他投标人的竞争行为，不得损害采购人或者其他投标人的合法权益。</w:t>
      </w:r>
    </w:p>
    <w:p w14:paraId="4FF4121E">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27.2在评标过程中发现投标人有上述情形的，评标委员会应当认定其投标无效，并书面报告本级财政部门。</w:t>
      </w:r>
    </w:p>
    <w:p w14:paraId="7FC16C78">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87" w:name="_Toc107246245"/>
      <w:r>
        <w:rPr>
          <w:rFonts w:hint="eastAsia" w:ascii="宋体" w:hAnsi="宋体" w:cs="宋体"/>
          <w:color w:val="000000" w:themeColor="text1"/>
          <w:highlight w:val="none"/>
          <w14:textFill>
            <w14:solidFill>
              <w14:schemeClr w14:val="tx1"/>
            </w14:solidFill>
          </w14:textFill>
        </w:rPr>
        <w:t>五．开标和评标</w:t>
      </w:r>
      <w:bookmarkEnd w:id="187"/>
      <w:bookmarkStart w:id="188" w:name="_Toc96347885"/>
    </w:p>
    <w:p w14:paraId="178E7765">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89" w:name="_Toc103848553"/>
      <w:bookmarkStart w:id="190" w:name="_Toc107246246"/>
      <w:bookmarkStart w:id="191" w:name="_Toc104560868"/>
      <w:bookmarkStart w:id="192" w:name="_Toc100905230"/>
      <w:r>
        <w:rPr>
          <w:rFonts w:hint="eastAsia" w:ascii="宋体" w:hAnsi="宋体" w:cs="宋体"/>
          <w:color w:val="000000" w:themeColor="text1"/>
          <w:highlight w:val="none"/>
          <w14:textFill>
            <w14:solidFill>
              <w14:schemeClr w14:val="tx1"/>
            </w14:solidFill>
          </w14:textFill>
        </w:rPr>
        <w:t>28.开标</w:t>
      </w:r>
      <w:bookmarkEnd w:id="188"/>
      <w:bookmarkEnd w:id="189"/>
      <w:bookmarkEnd w:id="190"/>
      <w:bookmarkEnd w:id="191"/>
      <w:bookmarkEnd w:id="192"/>
    </w:p>
    <w:p w14:paraId="60087E90">
      <w:pPr>
        <w:spacing w:line="360" w:lineRule="auto"/>
        <w:ind w:firstLine="420"/>
        <w:rPr>
          <w:rFonts w:hint="eastAsia" w:ascii="宋体" w:hAnsi="宋体" w:cs="宋体"/>
          <w:bCs/>
          <w:color w:val="000000" w:themeColor="text1"/>
          <w:szCs w:val="21"/>
          <w:highlight w:val="none"/>
          <w14:textFill>
            <w14:solidFill>
              <w14:schemeClr w14:val="tx1"/>
            </w14:solidFill>
          </w14:textFill>
        </w:rPr>
      </w:pPr>
      <w:bookmarkStart w:id="193" w:name="_Toc107246247"/>
      <w:bookmarkStart w:id="194" w:name="_Toc100905231"/>
      <w:r>
        <w:rPr>
          <w:rFonts w:hint="eastAsia" w:ascii="宋体" w:hAnsi="宋体" w:cs="宋体"/>
          <w:bCs/>
          <w:color w:val="000000" w:themeColor="text1"/>
          <w:szCs w:val="21"/>
          <w:highlight w:val="none"/>
          <w14:textFill>
            <w14:solidFill>
              <w14:schemeClr w14:val="tx1"/>
            </w14:solidFill>
          </w14:textFill>
        </w:rPr>
        <w:t>28.1代理机构在招标公告中规定的时间和地点组织公开开标。投标人按照《操作手册》规定参加开标活动，并在“苏采云”系统规定的时间内对投标文件进行解密。“苏采云”系统公布各投标人名称和投标价格。</w:t>
      </w:r>
    </w:p>
    <w:p w14:paraId="1EC3B9FE">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28.2 投标人在开标过程中涉及到的投标文件解密、开标结果确认等工作，应按照《操作手册》规定执行。</w:t>
      </w:r>
    </w:p>
    <w:p w14:paraId="3F297A18">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28.3投标人不足3家的，不得开标。</w:t>
      </w:r>
    </w:p>
    <w:p w14:paraId="7012C78C">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28.4投标人如果对开标过程和开标结果有疑义，应当根据《操作手册》规定提出，“苏采云”系统中《开标记录表》公布后5分钟内未提出的，视同认可开标结果。</w:t>
      </w:r>
    </w:p>
    <w:p w14:paraId="5788D33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28.5公开招标数额标准以上的采购项目，投标截止后投标人不足3家或者通过资格审查或符合性审查的投标人不足3家的，除采购任务取消情形外，按照以下方式处理：</w:t>
      </w:r>
    </w:p>
    <w:p w14:paraId="4796A9DD">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（1）招标文件存在不合理条款或者招标程序不符合规定的，采购人、采购代理机构改正后依法重新招标；</w:t>
      </w:r>
    </w:p>
    <w:p w14:paraId="663CA847">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（2）招标文件没有不合理条款、招标程序符合规定，需要采用其他采购方式采购的，采购人依法报财政部门批准，经批准后，可变更为其他采购方式采购。</w:t>
      </w:r>
    </w:p>
    <w:p w14:paraId="4BA52F6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28.6投标人未参加开标的，视同认可开标结果。</w:t>
      </w:r>
    </w:p>
    <w:p w14:paraId="02452AD2">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29.资格性审查</w:t>
      </w:r>
      <w:bookmarkEnd w:id="193"/>
    </w:p>
    <w:p w14:paraId="4378E536">
      <w:pPr>
        <w:spacing w:line="360" w:lineRule="auto"/>
        <w:ind w:firstLine="420"/>
        <w:rPr>
          <w:rFonts w:hint="eastAsia" w:ascii="宋体" w:hAnsi="宋体" w:cs="宋体"/>
          <w:bCs/>
          <w:color w:val="000000" w:themeColor="text1"/>
          <w:szCs w:val="21"/>
          <w:highlight w:val="none"/>
          <w14:textFill>
            <w14:solidFill>
              <w14:schemeClr w14:val="tx1"/>
            </w14:solidFill>
          </w14:textFill>
        </w:rPr>
      </w:pPr>
      <w:bookmarkStart w:id="195" w:name="_Toc104560869"/>
      <w:bookmarkStart w:id="196" w:name="_Toc103848554"/>
      <w:r>
        <w:rPr>
          <w:rFonts w:hint="eastAsia" w:ascii="宋体" w:hAnsi="宋体" w:cs="宋体"/>
          <w:bCs/>
          <w:color w:val="000000" w:themeColor="text1"/>
          <w:szCs w:val="21"/>
          <w:highlight w:val="none"/>
          <w14:textFill>
            <w14:solidFill>
              <w14:schemeClr w14:val="tx1"/>
            </w14:solidFill>
          </w14:textFill>
        </w:rPr>
        <w:t>29.1投标文件的资格性检查。公开招标采购项目开标结束后，采购人或采购代理机构应依法对投标人的资格进行审查。资格审查合格的投标人不足3家的，不进行评标。</w:t>
      </w:r>
    </w:p>
    <w:p w14:paraId="28AFE886">
      <w:pPr>
        <w:spacing w:line="360" w:lineRule="auto"/>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29.2</w:t>
      </w:r>
      <w:r>
        <w:rPr>
          <w:rFonts w:hint="eastAsia" w:ascii="宋体" w:hAnsi="宋体" w:cs="宋体"/>
          <w:b/>
          <w:color w:val="000000" w:themeColor="text1"/>
          <w:szCs w:val="21"/>
          <w:highlight w:val="none"/>
          <w14:textFill>
            <w14:solidFill>
              <w14:schemeClr w14:val="tx1"/>
            </w14:solidFill>
          </w14:textFill>
        </w:rPr>
        <w:t>投标人不具备招标文件规定的投标人资格条件的</w:t>
      </w:r>
      <w:r>
        <w:rPr>
          <w:rFonts w:hint="eastAsia" w:ascii="宋体" w:hAnsi="宋体" w:cs="宋体"/>
          <w:b/>
          <w:bCs/>
          <w:color w:val="000000" w:themeColor="text1"/>
          <w:szCs w:val="21"/>
          <w:highlight w:val="none"/>
          <w14:textFill>
            <w14:solidFill>
              <w14:schemeClr w14:val="tx1"/>
            </w14:solidFill>
          </w14:textFill>
        </w:rPr>
        <w:t>，应在资格审查时按照无效投标处理。</w:t>
      </w:r>
    </w:p>
    <w:p w14:paraId="121F24F8">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29.3已经进行资格预审的，可以不再对投标人资格进行审查，资格预审合格的投标人在评标阶段资格发生变化的，应当通知采购方。</w:t>
      </w:r>
    </w:p>
    <w:p w14:paraId="40D9C594">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97" w:name="_Toc107246248"/>
      <w:r>
        <w:rPr>
          <w:rFonts w:hint="eastAsia" w:ascii="宋体" w:hAnsi="宋体" w:cs="宋体"/>
          <w:color w:val="000000" w:themeColor="text1"/>
          <w:highlight w:val="none"/>
          <w14:textFill>
            <w14:solidFill>
              <w14:schemeClr w14:val="tx1"/>
            </w14:solidFill>
          </w14:textFill>
        </w:rPr>
        <w:t>30.评标</w:t>
      </w:r>
      <w:bookmarkEnd w:id="195"/>
      <w:bookmarkEnd w:id="196"/>
      <w:bookmarkEnd w:id="197"/>
    </w:p>
    <w:p w14:paraId="3320E0A5">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98" w:name="_Toc103848555"/>
      <w:bookmarkStart w:id="199" w:name="_Toc107246249"/>
      <w:bookmarkStart w:id="200" w:name="_Toc104560870"/>
      <w:r>
        <w:rPr>
          <w:rFonts w:hint="eastAsia" w:ascii="宋体" w:hAnsi="宋体" w:cs="宋体"/>
          <w:color w:val="000000" w:themeColor="text1"/>
          <w:highlight w:val="none"/>
          <w14:textFill>
            <w14:solidFill>
              <w14:schemeClr w14:val="tx1"/>
            </w14:solidFill>
          </w14:textFill>
        </w:rPr>
        <w:t>30.1评标委员会</w:t>
      </w:r>
      <w:bookmarkEnd w:id="198"/>
      <w:bookmarkEnd w:id="199"/>
      <w:bookmarkEnd w:id="200"/>
    </w:p>
    <w:p w14:paraId="24DAB07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30.1.1评标委员会成员组成见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，负责具体评标事务，并独立履行职责。</w:t>
      </w:r>
    </w:p>
    <w:p w14:paraId="1B3C9325">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01" w:name="_Toc104560871"/>
      <w:bookmarkStart w:id="202" w:name="_Toc103848556"/>
      <w:bookmarkStart w:id="203" w:name="_Toc107246250"/>
      <w:r>
        <w:rPr>
          <w:rFonts w:hint="eastAsia" w:ascii="宋体" w:hAnsi="宋体" w:cs="宋体"/>
          <w:color w:val="000000" w:themeColor="text1"/>
          <w:highlight w:val="none"/>
          <w14:textFill>
            <w14:solidFill>
              <w14:schemeClr w14:val="tx1"/>
            </w14:solidFill>
          </w14:textFill>
        </w:rPr>
        <w:t>30.2</w:t>
      </w:r>
      <w:bookmarkEnd w:id="201"/>
      <w:bookmarkEnd w:id="202"/>
      <w:r>
        <w:rPr>
          <w:rFonts w:hint="eastAsia" w:ascii="宋体" w:hAnsi="宋体" w:cs="宋体"/>
          <w:color w:val="000000" w:themeColor="text1"/>
          <w:highlight w:val="none"/>
          <w14:textFill>
            <w14:solidFill>
              <w14:schemeClr w14:val="tx1"/>
            </w14:solidFill>
          </w14:textFill>
        </w:rPr>
        <w:t>符合性审查</w:t>
      </w:r>
      <w:bookmarkEnd w:id="203"/>
    </w:p>
    <w:p w14:paraId="38FDD671">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218CA581">
      <w:pPr>
        <w:spacing w:line="360" w:lineRule="auto"/>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30.2.2如果投标文件没有响应招标文件实质性要求，评标委员会将予以拒绝，投标人不得通过修改或撤销不合要求的偏离或保留而使其投标成为实质性响应的投标。</w:t>
      </w:r>
    </w:p>
    <w:p w14:paraId="22145CEA">
      <w:pPr>
        <w:spacing w:line="360" w:lineRule="auto"/>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30.2.3投标文件有下列情况之一的，在符合性检查时按照无效投标处理：</w:t>
      </w:r>
      <w:bookmarkEnd w:id="194"/>
    </w:p>
    <w:p w14:paraId="7B7985BC">
      <w:pPr>
        <w:spacing w:line="360" w:lineRule="auto"/>
        <w:ind w:firstLine="420"/>
        <w:rPr>
          <w:rFonts w:hint="eastAsia" w:ascii="宋体" w:hAnsi="宋体" w:cs="宋体"/>
          <w:bCs/>
          <w:color w:val="000000" w:themeColor="text1"/>
          <w:szCs w:val="21"/>
          <w:highlight w:val="none"/>
          <w14:textFill>
            <w14:solidFill>
              <w14:schemeClr w14:val="tx1"/>
            </w14:solidFill>
          </w14:textFill>
        </w:rPr>
      </w:pPr>
      <w:bookmarkStart w:id="204" w:name="_Toc107246251"/>
      <w:bookmarkStart w:id="205" w:name="_Toc103848557"/>
      <w:bookmarkStart w:id="206" w:name="_Toc104560872"/>
      <w:r>
        <w:rPr>
          <w:rFonts w:hint="eastAsia" w:ascii="宋体" w:hAnsi="宋体" w:cs="宋体"/>
          <w:bCs/>
          <w:color w:val="000000" w:themeColor="text1"/>
          <w:szCs w:val="21"/>
          <w:highlight w:val="none"/>
          <w14:textFill>
            <w14:solidFill>
              <w14:schemeClr w14:val="tx1"/>
            </w14:solidFill>
          </w14:textFill>
        </w:rPr>
        <w:t>（1）投标人在“苏采云”系统规定的时间内未成功解密电子投标文件的；</w:t>
      </w:r>
    </w:p>
    <w:p w14:paraId="41DC24ED">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（2）投标人未按照招标文件要求上传电子投标文件的；</w:t>
      </w:r>
    </w:p>
    <w:p w14:paraId="560188CD">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（3）同一投标人提交两个（含两个）以上不同的投标报价的；</w:t>
      </w:r>
    </w:p>
    <w:p w14:paraId="67A663FE">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（4）投标文件未按照招标文件要求签署或盖章的；</w:t>
      </w:r>
    </w:p>
    <w:p w14:paraId="3DA725D9">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（5）不具备招标文件中规定的资格要求的；</w:t>
      </w:r>
    </w:p>
    <w:p w14:paraId="7E6A6BB4">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（6）报价超过招标文件中规定的预算金额或者最高限价的；</w:t>
      </w:r>
    </w:p>
    <w:p w14:paraId="39DCB36B">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（7）投标文件含有采购人不能接受的附加条件的；</w:t>
      </w:r>
    </w:p>
    <w:p w14:paraId="6FDFF758">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（8）投标文件内容不全或不符合招标文件中规定的其他实质性要求的；</w:t>
      </w:r>
    </w:p>
    <w:p w14:paraId="112DDB3E">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（9）现行法律、法规、规章和招标文件规定的其他无效情形。</w:t>
      </w:r>
    </w:p>
    <w:p w14:paraId="55C06A8D">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30.3投标文件澄清</w:t>
      </w:r>
      <w:bookmarkEnd w:id="204"/>
      <w:bookmarkEnd w:id="205"/>
      <w:bookmarkEnd w:id="206"/>
    </w:p>
    <w:p w14:paraId="3C46E9F7">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30.3.1对于投标文件中含义不明确、同类问题表述不一致或者有明显文字和计算错误的内容，评标委员会应当以书面形式要求投标人作出必要的澄清、说明或者补正。</w:t>
      </w:r>
    </w:p>
    <w:p w14:paraId="62B4FA74">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30.3.2投标人的澄清、说明或者补正应当采用书面形式，并加盖公章，或者由法定代表人或其授权的代表签字。投标人的澄清、说明或者补正不得超出投标文件的范围或者改变投标文件的实质性内容。</w:t>
      </w:r>
    </w:p>
    <w:p w14:paraId="5EA6C324">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30.3.3评标委员会不接受投标人主动提出的澄清、说明。</w:t>
      </w:r>
    </w:p>
    <w:p w14:paraId="4D9F51FA">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30.3.4有效的书面澄清材料，是投标文件的补充材料，成为投标文件的组成部分。</w:t>
      </w:r>
    </w:p>
    <w:p w14:paraId="2A37EEA7">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07" w:name="_Toc107246252"/>
      <w:r>
        <w:rPr>
          <w:rFonts w:hint="eastAsia" w:ascii="宋体" w:hAnsi="宋体" w:cs="宋体"/>
          <w:color w:val="000000" w:themeColor="text1"/>
          <w:highlight w:val="none"/>
          <w14:textFill>
            <w14:solidFill>
              <w14:schemeClr w14:val="tx1"/>
            </w14:solidFill>
          </w14:textFill>
        </w:rPr>
        <w:t>30.4</w:t>
      </w:r>
      <w:bookmarkEnd w:id="207"/>
      <w:r>
        <w:rPr>
          <w:rFonts w:hint="eastAsia" w:ascii="宋体" w:hAnsi="宋体" w:cs="宋体"/>
          <w:color w:val="000000" w:themeColor="text1"/>
          <w:highlight w:val="none"/>
          <w14:textFill>
            <w14:solidFill>
              <w14:schemeClr w14:val="tx1"/>
            </w14:solidFill>
          </w14:textFill>
        </w:rPr>
        <w:t>报价修正</w:t>
      </w:r>
    </w:p>
    <w:p w14:paraId="6856D7F5">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30.4.1投标文件报价出现前后不一致的，除招标文件另有规定外，按照下列规定修正：</w:t>
      </w:r>
    </w:p>
    <w:p w14:paraId="0730D84C">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（1）投标文件中开标一览表（报价表）内容与投标文件中相应内容不一致的，以开标一览表（报价表）为准；</w:t>
      </w:r>
    </w:p>
    <w:p w14:paraId="48D2243F">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（2）大写金额和小写金额不一致的，以大写金额为准；</w:t>
      </w:r>
    </w:p>
    <w:p w14:paraId="1EEFF64F">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（3）单价金额小数点或者百分比有明显错位的，以开标一览表的总价为准，并修改单价；</w:t>
      </w:r>
    </w:p>
    <w:p w14:paraId="241C3179">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（4）总价金额与按单价汇总金额不一致的，以单价金额计算结果为准。</w:t>
      </w:r>
    </w:p>
    <w:p w14:paraId="0C84F6EE">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同时出现两种以上不一致的，按照前款规定的顺序修正。修正后的报价按照上述规定经投标人确认后产生约束力，投标人不确认的，其投标无效。</w:t>
      </w:r>
    </w:p>
    <w:p w14:paraId="7B798800">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08" w:name="_Toc107246253"/>
      <w:bookmarkStart w:id="209" w:name="_Toc104560873"/>
      <w:bookmarkStart w:id="210" w:name="_Toc103848558"/>
      <w:r>
        <w:rPr>
          <w:rFonts w:hint="eastAsia" w:ascii="宋体" w:hAnsi="宋体" w:cs="宋体"/>
          <w:color w:val="000000" w:themeColor="text1"/>
          <w:highlight w:val="none"/>
          <w14:textFill>
            <w14:solidFill>
              <w14:schemeClr w14:val="tx1"/>
            </w14:solidFill>
          </w14:textFill>
        </w:rPr>
        <w:t>30.5同品牌多家投标人处理原则</w:t>
      </w:r>
      <w:bookmarkEnd w:id="208"/>
      <w:bookmarkEnd w:id="209"/>
      <w:bookmarkEnd w:id="210"/>
    </w:p>
    <w:p w14:paraId="4ECE9210">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66EB703">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FDB6633">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30.5.3非单一产品采购项目，根据采购项目技术构成、产品价格比重等合理确定核心产品，核心产品见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。多家投标人提供的核心产品品牌相同的，按前两款规定处理。</w:t>
      </w:r>
    </w:p>
    <w:p w14:paraId="6553EB06">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11" w:name="_Toc107246254"/>
      <w:bookmarkStart w:id="212" w:name="_Toc104560874"/>
      <w:bookmarkStart w:id="213" w:name="_Toc103848559"/>
      <w:r>
        <w:rPr>
          <w:rFonts w:hint="eastAsia" w:ascii="宋体" w:hAnsi="宋体" w:cs="宋体"/>
          <w:color w:val="000000" w:themeColor="text1"/>
          <w:highlight w:val="none"/>
          <w14:textFill>
            <w14:solidFill>
              <w14:schemeClr w14:val="tx1"/>
            </w14:solidFill>
          </w14:textFill>
        </w:rPr>
        <w:t>30.6比较与评价</w:t>
      </w:r>
      <w:bookmarkEnd w:id="211"/>
      <w:bookmarkEnd w:id="212"/>
      <w:bookmarkEnd w:id="213"/>
    </w:p>
    <w:p w14:paraId="7504C9FE">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30.6.1评标委员会应当按照招标文件中第五章《评标方法和评标标准》，对符合性审查合格的投标文件进行比较与评价。</w:t>
      </w:r>
    </w:p>
    <w:p w14:paraId="7B70BA42">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14" w:name="_Toc107246255"/>
      <w:r>
        <w:rPr>
          <w:rFonts w:hint="eastAsia" w:ascii="宋体" w:hAnsi="宋体" w:cs="宋体"/>
          <w:color w:val="000000" w:themeColor="text1"/>
          <w:highlight w:val="none"/>
          <w14:textFill>
            <w14:solidFill>
              <w14:schemeClr w14:val="tx1"/>
            </w14:solidFill>
          </w14:textFill>
        </w:rPr>
        <w:t>30.7编写评标报告</w:t>
      </w:r>
      <w:bookmarkEnd w:id="214"/>
    </w:p>
    <w:p w14:paraId="150467C1">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30.7.1评标委员会根据全体评标成员签字的原始评标记录和评标结果编写评标报告。</w:t>
      </w:r>
    </w:p>
    <w:p w14:paraId="70BFAA34">
      <w:pPr>
        <w:pStyle w:val="2"/>
        <w:tabs>
          <w:tab w:val="left" w:pos="5882"/>
        </w:tabs>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15" w:name="_Toc107246256"/>
      <w:bookmarkStart w:id="216" w:name="_Toc104560876"/>
      <w:bookmarkStart w:id="217" w:name="_Toc103848561"/>
      <w:r>
        <w:rPr>
          <w:rFonts w:hint="eastAsia" w:ascii="宋体" w:hAnsi="宋体" w:cs="宋体"/>
          <w:color w:val="000000" w:themeColor="text1"/>
          <w:highlight w:val="none"/>
          <w14:textFill>
            <w14:solidFill>
              <w14:schemeClr w14:val="tx1"/>
            </w14:solidFill>
          </w14:textFill>
        </w:rPr>
        <w:t>30.8评标过程的保密</w:t>
      </w:r>
      <w:bookmarkEnd w:id="215"/>
      <w:bookmarkEnd w:id="216"/>
      <w:bookmarkEnd w:id="217"/>
      <w:r>
        <w:rPr>
          <w:rFonts w:hint="eastAsia" w:ascii="宋体" w:hAnsi="宋体" w:cs="宋体"/>
          <w:color w:val="000000" w:themeColor="text1"/>
          <w:highlight w:val="none"/>
          <w14:textFill>
            <w14:solidFill>
              <w14:schemeClr w14:val="tx1"/>
            </w14:solidFill>
          </w14:textFill>
        </w:rPr>
        <w:tab/>
      </w:r>
    </w:p>
    <w:p w14:paraId="188DEEF9">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30.8.1评标委员会成员名单在评标结果公示前应当保密。</w:t>
      </w:r>
    </w:p>
    <w:p w14:paraId="0A9E6EE8">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30.8.2采购方应当采取必要的措施，保证评标在严格保密的情况下进行。</w:t>
      </w:r>
    </w:p>
    <w:p w14:paraId="406B6C18">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30.8.3有关人员对评标情况以及在评标过程中获悉的国家秘密、商业秘密负有保密责任。</w:t>
      </w:r>
    </w:p>
    <w:p w14:paraId="73D20485">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18" w:name="_Toc107246257"/>
      <w:r>
        <w:rPr>
          <w:rFonts w:hint="eastAsia" w:ascii="宋体" w:hAnsi="宋体" w:cs="宋体"/>
          <w:color w:val="000000" w:themeColor="text1"/>
          <w:highlight w:val="none"/>
          <w14:textFill>
            <w14:solidFill>
              <w14:schemeClr w14:val="tx1"/>
            </w14:solidFill>
          </w14:textFill>
        </w:rPr>
        <w:t>六．确定中标</w:t>
      </w:r>
      <w:bookmarkEnd w:id="218"/>
    </w:p>
    <w:p w14:paraId="6DD650B7">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19" w:name="_Toc103848563"/>
      <w:bookmarkStart w:id="220" w:name="_Toc104560878"/>
      <w:bookmarkStart w:id="221" w:name="_Toc107246258"/>
      <w:r>
        <w:rPr>
          <w:rFonts w:hint="eastAsia" w:ascii="宋体" w:hAnsi="宋体" w:cs="宋体"/>
          <w:color w:val="000000" w:themeColor="text1"/>
          <w:highlight w:val="none"/>
          <w14:textFill>
            <w14:solidFill>
              <w14:schemeClr w14:val="tx1"/>
            </w14:solidFill>
          </w14:textFill>
        </w:rPr>
        <w:t>31.确定中标</w:t>
      </w:r>
      <w:bookmarkEnd w:id="219"/>
      <w:bookmarkEnd w:id="220"/>
      <w:r>
        <w:rPr>
          <w:rFonts w:hint="eastAsia" w:ascii="宋体" w:hAnsi="宋体" w:cs="宋体"/>
          <w:color w:val="000000" w:themeColor="text1"/>
          <w:highlight w:val="none"/>
          <w14:textFill>
            <w14:solidFill>
              <w14:schemeClr w14:val="tx1"/>
            </w14:solidFill>
          </w14:textFill>
        </w:rPr>
        <w:t>人</w:t>
      </w:r>
      <w:bookmarkEnd w:id="221"/>
    </w:p>
    <w:p w14:paraId="67B2FABD">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31.1评委会根据本采购文件规定评分办法与评分标准综合打分，并按综合得分由高到低顺序向项目采购人推荐3名中标候选人。</w:t>
      </w:r>
    </w:p>
    <w:p w14:paraId="46FD7B58">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p>
    <w:p w14:paraId="2F70ABD0">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p w14:paraId="05574499">
      <w:pPr>
        <w:spacing w:after="40" w:line="360" w:lineRule="auto"/>
        <w:ind w:firstLine="420"/>
        <w:jc w:val="left"/>
        <w:rPr>
          <w:rFonts w:ascii="Microsoft New Tai Lue" w:hAnsi="Microsoft New Tai Lue" w:cs="Microsoft New Tai Lue"/>
          <w:color w:val="000000" w:themeColor="text1"/>
          <w:szCs w:val="21"/>
          <w:highlight w:val="none"/>
          <w:lang w:val="zh-CN"/>
          <w14:textFill>
            <w14:solidFill>
              <w14:schemeClr w14:val="tx1"/>
            </w14:solidFill>
          </w14:textFill>
        </w:rPr>
      </w:pPr>
      <w:bookmarkStart w:id="222" w:name="_Toc103848564"/>
      <w:bookmarkStart w:id="223" w:name="_Toc107246259"/>
      <w:bookmarkStart w:id="224" w:name="_Toc104560879"/>
      <w:r>
        <w:rPr>
          <w:rFonts w:hint="eastAsia" w:ascii="Microsoft New Tai Lue" w:hAnsi="Microsoft New Tai Lue" w:cs="Microsoft New Tai Lue"/>
          <w:color w:val="000000" w:themeColor="text1"/>
          <w:szCs w:val="21"/>
          <w:highlight w:val="none"/>
          <w14:textFill>
            <w14:solidFill>
              <w14:schemeClr w14:val="tx1"/>
            </w14:solidFill>
          </w14:textFill>
        </w:rPr>
        <w:t>3</w:t>
      </w:r>
      <w:r>
        <w:rPr>
          <w:rFonts w:ascii="Microsoft New Tai Lue" w:hAnsi="Microsoft New Tai Lue" w:cs="Microsoft New Tai Lue"/>
          <w:color w:val="000000" w:themeColor="text1"/>
          <w:szCs w:val="21"/>
          <w:highlight w:val="none"/>
          <w14:textFill>
            <w14:solidFill>
              <w14:schemeClr w14:val="tx1"/>
            </w14:solidFill>
          </w14:textFill>
        </w:rPr>
        <w:t>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人</w:t>
      </w:r>
      <w:r>
        <w:rPr>
          <w:rFonts w:ascii="Microsoft New Tai Lue" w:hAnsi="Microsoft New Tai Lue" w:cs="Microsoft New Tai Lue"/>
          <w:color w:val="000000" w:themeColor="text1"/>
          <w:szCs w:val="21"/>
          <w:highlight w:val="none"/>
          <w14:textFill>
            <w14:solidFill>
              <w14:schemeClr w14:val="tx1"/>
            </w14:solidFill>
          </w14:textFill>
        </w:rPr>
        <w:t>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公告媒体</w:t>
      </w:r>
      <w:r>
        <w:rPr>
          <w:rFonts w:hint="eastAsia" w:ascii="Microsoft New Tai Lue" w:hAnsi="Microsoft New Tai Lue" w:cs="Microsoft New Tai Lue"/>
          <w:color w:val="000000" w:themeColor="text1"/>
          <w:szCs w:val="21"/>
          <w:highlight w:val="none"/>
          <w14:textFill>
            <w14:solidFill>
              <w14:schemeClr w14:val="tx1"/>
            </w14:solidFill>
          </w14:textFill>
        </w:rPr>
        <w:t>见</w:t>
      </w:r>
      <w:r>
        <w:rPr>
          <w:rFonts w:hint="eastAsia" w:ascii="Microsoft New Tai Lue" w:hAnsi="Microsoft New Tai Lue" w:cs="Microsoft New Tai Lue"/>
          <w:b/>
          <w:color w:val="000000" w:themeColor="text1"/>
          <w:szCs w:val="21"/>
          <w:highlight w:val="none"/>
          <w14:textFill>
            <w14:solidFill>
              <w14:schemeClr w14:val="tx1"/>
            </w14:solidFill>
          </w14:textFill>
        </w:rPr>
        <w:t>投标人</w:t>
      </w:r>
      <w:r>
        <w:rPr>
          <w:rFonts w:ascii="Microsoft New Tai Lue" w:hAnsi="Microsoft New Tai Lue" w:cs="Microsoft New Tai Lue"/>
          <w:b/>
          <w:color w:val="000000" w:themeColor="text1"/>
          <w:szCs w:val="21"/>
          <w:highlight w:val="none"/>
          <w14:textFill>
            <w14:solidFill>
              <w14:schemeClr w14:val="tx1"/>
            </w14:solidFill>
          </w14:textFill>
        </w:rPr>
        <w:t>须知</w:t>
      </w:r>
      <w:r>
        <w:rPr>
          <w:rFonts w:hint="eastAsia" w:ascii="Microsoft New Tai Lue" w:hAnsi="Microsoft New Tai Lue" w:cs="Microsoft New Tai Lue"/>
          <w:b/>
          <w:color w:val="000000" w:themeColor="text1"/>
          <w:szCs w:val="21"/>
          <w:highlight w:val="none"/>
          <w14:textFill>
            <w14:solidFill>
              <w14:schemeClr w14:val="tx1"/>
            </w14:solidFill>
          </w14:textFill>
        </w:rPr>
        <w:t>前附表。</w:t>
      </w:r>
      <w:r>
        <w:rPr>
          <w:rFonts w:hint="eastAsia" w:ascii="Microsoft New Tai Lue" w:hAnsi="Microsoft New Tai Lue" w:cs="Microsoft New Tai Lue"/>
          <w:color w:val="000000" w:themeColor="text1"/>
          <w:szCs w:val="21"/>
          <w:highlight w:val="none"/>
          <w14:textFill>
            <w14:solidFill>
              <w14:schemeClr w14:val="tx1"/>
            </w14:solidFill>
          </w14:textFill>
        </w:rPr>
        <w:t>公告的同时向中标人发出中标通知书。</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中标人</w:t>
      </w:r>
      <w:r>
        <w:rPr>
          <w:rFonts w:hint="eastAsia" w:ascii="Microsoft New Tai Lue" w:hAnsi="Microsoft New Tai Lue" w:cs="Microsoft New Tai Lue"/>
          <w:color w:val="000000" w:themeColor="text1"/>
          <w:szCs w:val="21"/>
          <w:highlight w:val="none"/>
          <w14:textFill>
            <w14:solidFill>
              <w14:schemeClr w14:val="tx1"/>
            </w14:solidFill>
          </w14:textFill>
        </w:rPr>
        <w:t>可</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在中标结果公告届满之日起三十日内,登录苏采云系统下载。</w:t>
      </w:r>
    </w:p>
    <w:p w14:paraId="7A328C13">
      <w:pPr>
        <w:spacing w:after="40"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zh-CN"/>
          <w14:textFill>
            <w14:solidFill>
              <w14:schemeClr w14:val="tx1"/>
            </w14:solidFill>
          </w14:textFill>
        </w:rPr>
        <w:t>因系统存储空间有限，中标结果公告届满之日起三十日后，苏采云系统不再保证提供下载《中标通知书》服务，因未及时下载而造成的不利后果由中标人自行承担。</w:t>
      </w:r>
    </w:p>
    <w:p w14:paraId="7CD293B7">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32.中标通知书</w:t>
      </w:r>
      <w:bookmarkEnd w:id="222"/>
      <w:bookmarkEnd w:id="223"/>
      <w:bookmarkEnd w:id="224"/>
    </w:p>
    <w:p w14:paraId="6529FC28">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32.1采购代理机构将在中标公告发布的同时向中标人发出中标通知书。</w:t>
      </w:r>
    </w:p>
    <w:p w14:paraId="0F349B82">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32.2中标通知书将是合同的组成部分。对采购人和中标人均具有法律效力。</w:t>
      </w:r>
    </w:p>
    <w:p w14:paraId="774A4168">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32.3</w:t>
      </w:r>
      <w:bookmarkStart w:id="225" w:name="_Toc103848560"/>
      <w:bookmarkStart w:id="226" w:name="_Toc104560875"/>
      <w:r>
        <w:rPr>
          <w:rFonts w:hint="eastAsia" w:ascii="宋体" w:hAnsi="宋体" w:cs="宋体"/>
          <w:color w:val="000000" w:themeColor="text1"/>
          <w:szCs w:val="21"/>
          <w:highlight w:val="none"/>
          <w14:textFill>
            <w14:solidFill>
              <w14:schemeClr w14:val="tx1"/>
            </w14:solidFill>
          </w14:textFill>
        </w:rPr>
        <w:t>中标通知书发出后，中标人无正当理由不得放弃中标，否则将依法承担法律责任。</w:t>
      </w:r>
    </w:p>
    <w:p w14:paraId="3F8D5B5A">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27" w:name="_Toc107246260"/>
      <w:r>
        <w:rPr>
          <w:rFonts w:hint="eastAsia" w:ascii="宋体" w:hAnsi="宋体" w:cs="宋体"/>
          <w:color w:val="000000" w:themeColor="text1"/>
          <w:highlight w:val="none"/>
          <w14:textFill>
            <w14:solidFill>
              <w14:schemeClr w14:val="tx1"/>
            </w14:solidFill>
          </w14:textFill>
        </w:rPr>
        <w:t>33.废标</w:t>
      </w:r>
      <w:bookmarkEnd w:id="225"/>
      <w:bookmarkEnd w:id="226"/>
      <w:bookmarkEnd w:id="227"/>
    </w:p>
    <w:p w14:paraId="1D26A351">
      <w:pPr>
        <w:spacing w:line="360" w:lineRule="auto"/>
        <w:ind w:firstLine="316"/>
        <w:jc w:val="lef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★33.1出现下列情形之一的，应予废标：</w:t>
      </w:r>
    </w:p>
    <w:p w14:paraId="025CBF12">
      <w:pPr>
        <w:spacing w:line="360" w:lineRule="auto"/>
        <w:ind w:firstLine="315"/>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（1）符合专业条件的投标人或者对招标文件作实质响应的投标人不足三家的；</w:t>
      </w:r>
    </w:p>
    <w:p w14:paraId="3E4BFE3B">
      <w:pPr>
        <w:spacing w:line="360" w:lineRule="auto"/>
        <w:ind w:firstLine="315"/>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（2）出现影响采购公正的违法、违规行为的；</w:t>
      </w:r>
    </w:p>
    <w:p w14:paraId="68273187">
      <w:pPr>
        <w:spacing w:line="360" w:lineRule="auto"/>
        <w:ind w:firstLine="315"/>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（3）投标人的报价均超过了采购预算，采购人不能支付的；</w:t>
      </w:r>
    </w:p>
    <w:p w14:paraId="29D58872">
      <w:pPr>
        <w:spacing w:line="360" w:lineRule="auto"/>
        <w:ind w:firstLine="315"/>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（4）因重大变故，采购任务取消的。</w:t>
      </w:r>
    </w:p>
    <w:p w14:paraId="431FCB87">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33.2废标后，采购人将废标理由通知所有投标人。</w:t>
      </w:r>
    </w:p>
    <w:p w14:paraId="2DE28CA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28" w:name="_Toc104560880"/>
      <w:bookmarkStart w:id="229" w:name="_Toc107246261"/>
      <w:bookmarkStart w:id="230" w:name="_Toc103848565"/>
      <w:bookmarkStart w:id="231" w:name="_Toc16938553"/>
      <w:bookmarkStart w:id="232" w:name="_Toc20823309"/>
      <w:bookmarkStart w:id="233" w:name="_Toc513029237"/>
      <w:r>
        <w:rPr>
          <w:rFonts w:hint="eastAsia" w:ascii="宋体" w:hAnsi="宋体" w:cs="宋体"/>
          <w:color w:val="000000" w:themeColor="text1"/>
          <w:highlight w:val="none"/>
          <w14:textFill>
            <w14:solidFill>
              <w14:schemeClr w14:val="tx1"/>
            </w14:solidFill>
          </w14:textFill>
        </w:rPr>
        <w:t>34.签订合同</w:t>
      </w:r>
      <w:bookmarkEnd w:id="228"/>
      <w:bookmarkEnd w:id="229"/>
      <w:bookmarkEnd w:id="230"/>
    </w:p>
    <w:p w14:paraId="1B120D25">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34.1中标人、采购人应当自中标通知书发出之日起30日内，按照招标文件和中标人投标文件的规定签订书面合同。所签订的合同不得对招标文件确定的事项和中标人投标文件作实质性修改。</w:t>
      </w:r>
    </w:p>
    <w:p w14:paraId="20213A77">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34.2中标人拒绝与采购人签订合同的，采购人可以按照评标报告推荐的中标候选人名单排序，确定下一候选人为中标人，也可以重新开展政府采购活动。</w:t>
      </w:r>
    </w:p>
    <w:p w14:paraId="3D40EE79">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34.3联合体中标的，联合体各方应当共同与采购人签订合同，就中标项目向采购人承担连带责任。</w:t>
      </w:r>
    </w:p>
    <w:p w14:paraId="19E65266">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34.4政府采购合同不能转包。未经采购人同意，中标人也不得采用分包的形式履行合同，否则采购人有权终止合同。转包或分包造成采购人损失的，中标人应承担相应赔偿责任。</w:t>
      </w:r>
    </w:p>
    <w:p w14:paraId="4C65E88F">
      <w:pPr>
        <w:pStyle w:val="2"/>
        <w:spacing w:line="360" w:lineRule="auto"/>
        <w:ind w:left="0" w:right="210" w:firstLine="373"/>
        <w:rPr>
          <w:rFonts w:hint="eastAsia" w:ascii="宋体" w:hAnsi="宋体" w:cs="宋体"/>
          <w:color w:val="000000" w:themeColor="text1"/>
          <w:szCs w:val="21"/>
          <w:highlight w:val="none"/>
          <w14:textFill>
            <w14:solidFill>
              <w14:schemeClr w14:val="tx1"/>
            </w14:solidFill>
          </w14:textFill>
        </w:rPr>
      </w:pPr>
      <w:bookmarkStart w:id="234" w:name="_Toc104560881"/>
      <w:bookmarkStart w:id="235" w:name="_Toc103848567"/>
      <w:bookmarkStart w:id="236" w:name="_Toc107246262"/>
      <w:r>
        <w:rPr>
          <w:rFonts w:hint="eastAsia" w:ascii="宋体" w:hAnsi="宋体" w:cs="宋体"/>
          <w:color w:val="000000" w:themeColor="text1"/>
          <w:szCs w:val="21"/>
          <w:highlight w:val="none"/>
          <w14:textFill>
            <w14:solidFill>
              <w14:schemeClr w14:val="tx1"/>
            </w14:solidFill>
          </w14:textFill>
        </w:rPr>
        <w:t>35.履约保证金</w:t>
      </w:r>
      <w:bookmarkEnd w:id="234"/>
      <w:bookmarkEnd w:id="235"/>
      <w:bookmarkEnd w:id="236"/>
    </w:p>
    <w:p w14:paraId="1D643D5F">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35.1本项目是否缴纳履约保证金见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09E54872">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35.2</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规定交纳履约保证金的，中标人在签订采购合同</w:t>
      </w:r>
      <w:r>
        <w:rPr>
          <w:rFonts w:hint="eastAsia"/>
          <w:highlight w:val="none"/>
        </w:rPr>
        <w:t>后</w:t>
      </w:r>
      <w:r>
        <w:rPr>
          <w:rFonts w:hint="eastAsia" w:ascii="宋体" w:hAnsi="宋体" w:cs="宋体"/>
          <w:color w:val="000000" w:themeColor="text1"/>
          <w:szCs w:val="21"/>
          <w:highlight w:val="none"/>
          <w14:textFill>
            <w14:solidFill>
              <w14:schemeClr w14:val="tx1"/>
            </w14:solidFill>
          </w14:textFill>
        </w:rPr>
        <w:t>，向采购人提交履约保证金。联合体成交的，履约保证金以联合体各方或联合体中牵头人的名义提交。</w:t>
      </w:r>
    </w:p>
    <w:p w14:paraId="41D382DC">
      <w:pPr>
        <w:spacing w:line="360" w:lineRule="auto"/>
        <w:ind w:firstLine="42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35.3中标人没有按照</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的规定提交履约保证金的，视为放弃中标，其投标保证金不予退还。</w:t>
      </w:r>
      <w:bookmarkEnd w:id="231"/>
      <w:bookmarkEnd w:id="232"/>
      <w:bookmarkEnd w:id="233"/>
    </w:p>
    <w:p w14:paraId="60EF6EB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37" w:name="_Toc107246263"/>
      <w:r>
        <w:rPr>
          <w:rFonts w:hint="eastAsia" w:ascii="宋体" w:hAnsi="宋体" w:cs="宋体"/>
          <w:color w:val="000000" w:themeColor="text1"/>
          <w:highlight w:val="none"/>
          <w14:textFill>
            <w14:solidFill>
              <w14:schemeClr w14:val="tx1"/>
            </w14:solidFill>
          </w14:textFill>
        </w:rPr>
        <w:t>七．</w:t>
      </w:r>
      <w:bookmarkStart w:id="238" w:name="_Toc103848569"/>
      <w:r>
        <w:rPr>
          <w:rFonts w:hint="eastAsia" w:ascii="宋体" w:hAnsi="宋体" w:cs="宋体"/>
          <w:color w:val="000000" w:themeColor="text1"/>
          <w:highlight w:val="none"/>
          <w14:textFill>
            <w14:solidFill>
              <w14:schemeClr w14:val="tx1"/>
            </w14:solidFill>
          </w14:textFill>
        </w:rPr>
        <w:t>询问与质疑</w:t>
      </w:r>
      <w:bookmarkEnd w:id="237"/>
      <w:bookmarkEnd w:id="238"/>
    </w:p>
    <w:p w14:paraId="63D8ED69">
      <w:pPr>
        <w:pStyle w:val="2"/>
        <w:spacing w:line="360" w:lineRule="auto"/>
        <w:ind w:left="0" w:right="210" w:firstLine="373"/>
        <w:rPr>
          <w:rFonts w:hint="eastAsia" w:ascii="宋体" w:hAnsi="宋体" w:cs="宋体"/>
          <w:color w:val="000000" w:themeColor="text1"/>
          <w:szCs w:val="21"/>
          <w:highlight w:val="none"/>
          <w14:textFill>
            <w14:solidFill>
              <w14:schemeClr w14:val="tx1"/>
            </w14:solidFill>
          </w14:textFill>
        </w:rPr>
      </w:pPr>
      <w:bookmarkStart w:id="239" w:name="_Toc104560883"/>
      <w:bookmarkStart w:id="240" w:name="_Toc102117305"/>
      <w:bookmarkStart w:id="241" w:name="_Toc107246264"/>
      <w:r>
        <w:rPr>
          <w:rFonts w:hint="eastAsia" w:ascii="宋体" w:hAnsi="宋体" w:cs="宋体"/>
          <w:color w:val="000000" w:themeColor="text1"/>
          <w:szCs w:val="21"/>
          <w:highlight w:val="none"/>
          <w14:textFill>
            <w14:solidFill>
              <w14:schemeClr w14:val="tx1"/>
            </w14:solidFill>
          </w14:textFill>
        </w:rPr>
        <w:t>36.询问</w:t>
      </w:r>
      <w:bookmarkEnd w:id="239"/>
      <w:bookmarkEnd w:id="240"/>
      <w:bookmarkEnd w:id="241"/>
    </w:p>
    <w:p w14:paraId="6890634A">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36.1供应商对政府采购活动事项有疑问的，可依法提出询问，并按</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载明的形式通知采购方。</w:t>
      </w:r>
    </w:p>
    <w:p w14:paraId="1C702986">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36.2采购方对供应商依法提出的询问，在3个工作日内作出答复，但答复的内容不得涉及商业秘密。</w:t>
      </w:r>
    </w:p>
    <w:p w14:paraId="05DB28CC">
      <w:pPr>
        <w:pStyle w:val="2"/>
        <w:spacing w:line="360" w:lineRule="auto"/>
        <w:ind w:left="0" w:right="210" w:firstLine="373"/>
        <w:rPr>
          <w:rFonts w:hint="eastAsia" w:ascii="宋体" w:hAnsi="宋体" w:cs="宋体"/>
          <w:color w:val="000000" w:themeColor="text1"/>
          <w:szCs w:val="21"/>
          <w:highlight w:val="none"/>
          <w14:textFill>
            <w14:solidFill>
              <w14:schemeClr w14:val="tx1"/>
            </w14:solidFill>
          </w14:textFill>
        </w:rPr>
      </w:pPr>
      <w:bookmarkStart w:id="242" w:name="_Toc102117306"/>
      <w:bookmarkStart w:id="243" w:name="_Toc107246265"/>
      <w:bookmarkStart w:id="244" w:name="_Toc104560884"/>
      <w:r>
        <w:rPr>
          <w:rFonts w:hint="eastAsia" w:ascii="宋体" w:hAnsi="宋体" w:cs="宋体"/>
          <w:color w:val="000000" w:themeColor="text1"/>
          <w:szCs w:val="21"/>
          <w:highlight w:val="none"/>
          <w14:textFill>
            <w14:solidFill>
              <w14:schemeClr w14:val="tx1"/>
            </w14:solidFill>
          </w14:textFill>
        </w:rPr>
        <w:t>37.质疑</w:t>
      </w:r>
      <w:bookmarkEnd w:id="242"/>
      <w:bookmarkEnd w:id="243"/>
      <w:bookmarkEnd w:id="244"/>
    </w:p>
    <w:p w14:paraId="6F782870">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的要求向采购代理机构提出质疑。采购代理机构将以书面形式答复质疑供应商，但答复的内容不涉及商业秘密。投标人在法定质疑期内针对同一采购程序环节的质疑必须一次性提出。</w:t>
      </w:r>
    </w:p>
    <w:p w14:paraId="76AC950A">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37.2以联合体形式参加投标的，应当由组成联合体的所有供应商共同提出。</w:t>
      </w:r>
    </w:p>
    <w:p w14:paraId="49626049">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37.3质疑函应使用财政部制定的范本文件。</w:t>
      </w:r>
    </w:p>
    <w:p w14:paraId="4658305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45" w:name="_Toc107246266"/>
      <w:r>
        <w:rPr>
          <w:rFonts w:hint="eastAsia" w:ascii="宋体" w:hAnsi="宋体" w:cs="宋体"/>
          <w:color w:val="000000" w:themeColor="text1"/>
          <w:highlight w:val="none"/>
          <w14:textFill>
            <w14:solidFill>
              <w14:schemeClr w14:val="tx1"/>
            </w14:solidFill>
          </w14:textFill>
        </w:rPr>
        <w:t>八．其他</w:t>
      </w:r>
      <w:bookmarkEnd w:id="245"/>
    </w:p>
    <w:p w14:paraId="5165D44D">
      <w:pPr>
        <w:pStyle w:val="2"/>
        <w:spacing w:line="360" w:lineRule="auto"/>
        <w:ind w:left="0" w:right="210" w:firstLine="373"/>
        <w:rPr>
          <w:rFonts w:hint="eastAsia" w:ascii="宋体" w:hAnsi="宋体" w:cs="宋体"/>
          <w:color w:val="000000" w:themeColor="text1"/>
          <w:szCs w:val="21"/>
          <w:highlight w:val="none"/>
          <w14:textFill>
            <w14:solidFill>
              <w14:schemeClr w14:val="tx1"/>
            </w14:solidFill>
          </w14:textFill>
        </w:rPr>
      </w:pPr>
      <w:bookmarkStart w:id="246" w:name="_Toc104560886"/>
      <w:bookmarkStart w:id="247" w:name="_Toc107246267"/>
      <w:bookmarkStart w:id="248" w:name="_Toc103848572"/>
      <w:r>
        <w:rPr>
          <w:rFonts w:hint="eastAsia" w:ascii="宋体" w:hAnsi="宋体" w:cs="宋体"/>
          <w:color w:val="000000" w:themeColor="text1"/>
          <w:szCs w:val="21"/>
          <w:highlight w:val="none"/>
          <w14:textFill>
            <w14:solidFill>
              <w14:schemeClr w14:val="tx1"/>
            </w14:solidFill>
          </w14:textFill>
        </w:rPr>
        <w:t>38.招标代理服务费</w:t>
      </w:r>
      <w:bookmarkEnd w:id="246"/>
      <w:bookmarkEnd w:id="247"/>
      <w:bookmarkEnd w:id="248"/>
    </w:p>
    <w:p w14:paraId="144AAE73">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38.1中标人是否交纳投招标代理服务费及相关要求见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06AF7880">
      <w:pPr>
        <w:pStyle w:val="2"/>
        <w:spacing w:line="360" w:lineRule="auto"/>
        <w:ind w:left="0" w:right="210" w:firstLine="373"/>
        <w:rPr>
          <w:rFonts w:hint="eastAsia" w:ascii="宋体" w:hAnsi="宋体" w:cs="宋体"/>
          <w:color w:val="000000" w:themeColor="text1"/>
          <w:szCs w:val="21"/>
          <w:highlight w:val="none"/>
          <w14:textFill>
            <w14:solidFill>
              <w14:schemeClr w14:val="tx1"/>
            </w14:solidFill>
          </w14:textFill>
        </w:rPr>
      </w:pPr>
      <w:bookmarkStart w:id="249" w:name="_Toc103848573"/>
      <w:bookmarkStart w:id="250" w:name="_Toc104560887"/>
      <w:bookmarkStart w:id="251" w:name="_Toc107246268"/>
      <w:r>
        <w:rPr>
          <w:rFonts w:hint="eastAsia" w:ascii="宋体" w:hAnsi="宋体" w:cs="宋体"/>
          <w:color w:val="000000" w:themeColor="text1"/>
          <w:szCs w:val="21"/>
          <w:highlight w:val="none"/>
          <w14:textFill>
            <w14:solidFill>
              <w14:schemeClr w14:val="tx1"/>
            </w14:solidFill>
          </w14:textFill>
        </w:rPr>
        <w:t>39.其他规定</w:t>
      </w:r>
      <w:bookmarkEnd w:id="249"/>
      <w:bookmarkEnd w:id="250"/>
      <w:bookmarkEnd w:id="251"/>
    </w:p>
    <w:p w14:paraId="4198C3E4">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39.1投标文件的其他规定见</w:t>
      </w:r>
      <w:r>
        <w:rPr>
          <w:rFonts w:hint="eastAsia" w:ascii="宋体" w:hAnsi="宋体" w:cs="宋体"/>
          <w:b/>
          <w:color w:val="000000" w:themeColor="text1"/>
          <w:szCs w:val="21"/>
          <w:highlight w:val="none"/>
          <w14:textFill>
            <w14:solidFill>
              <w14:schemeClr w14:val="tx1"/>
            </w14:solidFill>
          </w14:textFill>
        </w:rPr>
        <w:t>投标人须知前附</w:t>
      </w:r>
      <w:r>
        <w:rPr>
          <w:rFonts w:hint="eastAsia" w:ascii="宋体" w:hAnsi="宋体" w:cs="宋体"/>
          <w:color w:val="000000" w:themeColor="text1"/>
          <w:szCs w:val="21"/>
          <w:highlight w:val="none"/>
          <w14:textFill>
            <w14:solidFill>
              <w14:schemeClr w14:val="tx1"/>
            </w14:solidFill>
          </w14:textFill>
        </w:rPr>
        <w:t>表。</w:t>
      </w:r>
    </w:p>
    <w:p w14:paraId="70F969E5">
      <w:pPr>
        <w:pStyle w:val="2"/>
        <w:spacing w:line="360" w:lineRule="auto"/>
        <w:ind w:left="0" w:right="210" w:firstLine="373"/>
        <w:rPr>
          <w:rFonts w:hint="eastAsia" w:ascii="宋体" w:hAnsi="宋体" w:cs="宋体"/>
          <w:color w:val="000000" w:themeColor="text1"/>
          <w:szCs w:val="21"/>
          <w:highlight w:val="none"/>
          <w14:textFill>
            <w14:solidFill>
              <w14:schemeClr w14:val="tx1"/>
            </w14:solidFill>
          </w14:textFill>
        </w:rPr>
      </w:pPr>
      <w:bookmarkStart w:id="252" w:name="_Toc107246269"/>
      <w:bookmarkStart w:id="253" w:name="_Toc104560888"/>
      <w:bookmarkStart w:id="254" w:name="_Toc103848574"/>
      <w:r>
        <w:rPr>
          <w:rFonts w:hint="eastAsia" w:ascii="宋体" w:hAnsi="宋体" w:cs="宋体"/>
          <w:color w:val="000000" w:themeColor="text1"/>
          <w:szCs w:val="21"/>
          <w:highlight w:val="none"/>
          <w14:textFill>
            <w14:solidFill>
              <w14:schemeClr w14:val="tx1"/>
            </w14:solidFill>
          </w14:textFill>
        </w:rPr>
        <w:t>40.文件解释权</w:t>
      </w:r>
      <w:bookmarkEnd w:id="252"/>
      <w:bookmarkEnd w:id="253"/>
      <w:bookmarkEnd w:id="254"/>
    </w:p>
    <w:p w14:paraId="29A331CE">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40.1本招标文件的解释权归采购人（或采购代理机构）所有。</w:t>
      </w:r>
      <w:bookmarkEnd w:id="183"/>
    </w:p>
    <w:p w14:paraId="0A73A0DF">
      <w:pPr>
        <w:pStyle w:val="40"/>
        <w:numPr>
          <w:ilvl w:val="0"/>
          <w:numId w:val="1"/>
        </w:numPr>
        <w:ind w:firstLine="567"/>
        <w:rPr>
          <w:rFonts w:hint="eastAsia" w:ascii="宋体" w:hAnsi="宋体" w:cs="宋体"/>
          <w:color w:val="000000" w:themeColor="text1"/>
          <w:highlight w:val="none"/>
          <w14:textFill>
            <w14:solidFill>
              <w14:schemeClr w14:val="tx1"/>
            </w14:solidFill>
          </w14:textFill>
        </w:rPr>
        <w:sectPr>
          <w:footerReference r:id="rId7" w:type="default"/>
          <w:pgSz w:w="11906" w:h="16838"/>
          <w:pgMar w:top="1440" w:right="1698" w:bottom="1440" w:left="1588" w:header="851" w:footer="992" w:gutter="0"/>
          <w:cols w:space="720" w:num="1"/>
          <w:docGrid w:linePitch="360" w:charSpace="0"/>
        </w:sectPr>
      </w:pPr>
      <w:bookmarkStart w:id="255" w:name="_Toc91836563"/>
    </w:p>
    <w:p w14:paraId="01AFCEDA">
      <w:pPr>
        <w:pStyle w:val="40"/>
        <w:numPr>
          <w:ilvl w:val="0"/>
          <w:numId w:val="1"/>
        </w:numPr>
        <w:ind w:firstLine="567"/>
        <w:rPr>
          <w:rFonts w:hint="eastAsia" w:ascii="宋体" w:hAnsi="宋体" w:cs="宋体"/>
          <w:color w:val="000000" w:themeColor="text1"/>
          <w:highlight w:val="none"/>
          <w14:textFill>
            <w14:solidFill>
              <w14:schemeClr w14:val="tx1"/>
            </w14:solidFill>
          </w14:textFill>
        </w:rPr>
      </w:pPr>
      <w:bookmarkStart w:id="256" w:name="_Toc107246270"/>
      <w:r>
        <w:rPr>
          <w:rFonts w:hint="eastAsia" w:ascii="宋体" w:hAnsi="宋体" w:cs="宋体"/>
          <w:color w:val="000000" w:themeColor="text1"/>
          <w:highlight w:val="none"/>
          <w14:textFill>
            <w14:solidFill>
              <w14:schemeClr w14:val="tx1"/>
            </w14:solidFill>
          </w14:textFill>
        </w:rPr>
        <w:t>政府采购合同条款</w:t>
      </w:r>
      <w:bookmarkEnd w:id="255"/>
      <w:r>
        <w:rPr>
          <w:rFonts w:hint="eastAsia" w:ascii="宋体" w:hAnsi="宋体" w:cs="宋体"/>
          <w:color w:val="000000" w:themeColor="text1"/>
          <w:highlight w:val="none"/>
          <w14:textFill>
            <w14:solidFill>
              <w14:schemeClr w14:val="tx1"/>
            </w14:solidFill>
          </w14:textFill>
        </w:rPr>
        <w:t>及格式</w:t>
      </w:r>
      <w:bookmarkEnd w:id="256"/>
    </w:p>
    <w:p w14:paraId="7686BDB1">
      <w:pPr>
        <w:pStyle w:val="17"/>
        <w:spacing w:before="117"/>
        <w:ind w:left="3824"/>
        <w:outlineLvl w:val="0"/>
        <w:rPr>
          <w:color w:val="000000" w:themeColor="text1"/>
          <w:sz w:val="32"/>
          <w:szCs w:val="32"/>
          <w:highlight w:val="none"/>
          <w14:textFill>
            <w14:solidFill>
              <w14:schemeClr w14:val="tx1"/>
            </w14:solidFill>
          </w14:textFill>
        </w:rPr>
      </w:pPr>
      <w:r>
        <w:rPr>
          <w:b/>
          <w:bCs/>
          <w:color w:val="000000" w:themeColor="text1"/>
          <w:spacing w:val="11"/>
          <w:sz w:val="32"/>
          <w:szCs w:val="32"/>
          <w:highlight w:val="none"/>
          <w14:textFill>
            <w14:solidFill>
              <w14:schemeClr w14:val="tx1"/>
            </w14:solidFill>
          </w14:textFill>
        </w:rPr>
        <w:t>设备采购合同</w:t>
      </w:r>
    </w:p>
    <w:p w14:paraId="6C7D79BB">
      <w:pPr>
        <w:pStyle w:val="17"/>
        <w:spacing w:before="61" w:line="276" w:lineRule="auto"/>
        <w:ind w:left="83"/>
        <w:rPr>
          <w:color w:val="000000" w:themeColor="text1"/>
          <w:highlight w:val="none"/>
          <w14:textFill>
            <w14:solidFill>
              <w14:schemeClr w14:val="tx1"/>
            </w14:solidFill>
          </w14:textFill>
        </w:rPr>
      </w:pPr>
      <w:r>
        <w:rPr>
          <w:b/>
          <w:bCs/>
          <w:color w:val="000000" w:themeColor="text1"/>
          <w:spacing w:val="3"/>
          <w:highlight w:val="none"/>
          <w14:textFill>
            <w14:solidFill>
              <w14:schemeClr w14:val="tx1"/>
            </w14:solidFill>
          </w14:textFill>
        </w:rPr>
        <w:t>甲方：南京鼓楼医院</w:t>
      </w:r>
    </w:p>
    <w:p w14:paraId="178CCD00">
      <w:pPr>
        <w:pStyle w:val="17"/>
        <w:spacing w:before="119" w:line="276" w:lineRule="auto"/>
        <w:ind w:left="76"/>
        <w:rPr>
          <w:color w:val="000000" w:themeColor="text1"/>
          <w:highlight w:val="none"/>
          <w14:textFill>
            <w14:solidFill>
              <w14:schemeClr w14:val="tx1"/>
            </w14:solidFill>
          </w14:textFill>
        </w:rPr>
      </w:pPr>
      <w:r>
        <w:rPr>
          <w:b/>
          <w:bCs/>
          <w:color w:val="000000" w:themeColor="text1"/>
          <w:spacing w:val="2"/>
          <w:highlight w:val="none"/>
          <w14:textFill>
            <w14:solidFill>
              <w14:schemeClr w14:val="tx1"/>
            </w14:solidFill>
          </w14:textFill>
        </w:rPr>
        <w:t>乙方：中标供应商</w:t>
      </w:r>
    </w:p>
    <w:p w14:paraId="7E44A112">
      <w:pPr>
        <w:pStyle w:val="17"/>
        <w:spacing w:before="109" w:line="276" w:lineRule="auto"/>
        <w:ind w:left="15" w:right="166" w:firstLine="1"/>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经（招标日期招标代理公司）公开招标（招标编号：项目编号），就乙方销售给甲</w:t>
      </w:r>
      <w:r>
        <w:rPr>
          <w:color w:val="000000" w:themeColor="text1"/>
          <w:highlight w:val="none"/>
          <w14:textFill>
            <w14:solidFill>
              <w14:schemeClr w14:val="tx1"/>
            </w14:solidFill>
          </w14:textFill>
        </w:rPr>
        <w:t>方（使用</w:t>
      </w:r>
      <w:r>
        <w:rPr>
          <w:color w:val="000000" w:themeColor="text1"/>
          <w:spacing w:val="-3"/>
          <w:highlight w:val="none"/>
          <w14:textFill>
            <w14:solidFill>
              <w14:schemeClr w14:val="tx1"/>
            </w14:solidFill>
          </w14:textFill>
        </w:rPr>
        <w:t>科室）设备，特订立本合同。</w:t>
      </w:r>
    </w:p>
    <w:p w14:paraId="689E5DB0">
      <w:pPr>
        <w:pStyle w:val="17"/>
        <w:spacing w:before="110" w:line="276" w:lineRule="auto"/>
        <w:ind w:left="58"/>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一、产品信息：</w:t>
      </w:r>
    </w:p>
    <w:tbl>
      <w:tblPr>
        <w:tblStyle w:val="29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04"/>
        <w:gridCol w:w="842"/>
        <w:gridCol w:w="879"/>
        <w:gridCol w:w="680"/>
        <w:gridCol w:w="575"/>
        <w:gridCol w:w="573"/>
        <w:gridCol w:w="699"/>
        <w:gridCol w:w="932"/>
        <w:gridCol w:w="913"/>
        <w:gridCol w:w="680"/>
        <w:gridCol w:w="573"/>
        <w:gridCol w:w="580"/>
      </w:tblGrid>
      <w:tr w14:paraId="64A26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408" w:type="pct"/>
          </w:tcPr>
          <w:p w14:paraId="500DB296">
            <w:pPr>
              <w:pStyle w:val="297"/>
              <w:spacing w:before="146" w:line="276" w:lineRule="auto"/>
              <w:ind w:left="26"/>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2"/>
                <w:highlight w:val="none"/>
                <w14:textFill>
                  <w14:solidFill>
                    <w14:schemeClr w14:val="tx1"/>
                  </w14:solidFill>
                </w14:textFill>
              </w:rPr>
              <w:t>设备名称</w:t>
            </w:r>
          </w:p>
        </w:tc>
        <w:tc>
          <w:tcPr>
            <w:tcW w:w="488" w:type="pct"/>
          </w:tcPr>
          <w:p w14:paraId="218C283D">
            <w:pPr>
              <w:pStyle w:val="297"/>
              <w:spacing w:before="146" w:line="276" w:lineRule="auto"/>
              <w:ind w:left="292"/>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6"/>
                <w:highlight w:val="none"/>
                <w14:textFill>
                  <w14:solidFill>
                    <w14:schemeClr w14:val="tx1"/>
                  </w14:solidFill>
                </w14:textFill>
              </w:rPr>
              <w:t>品牌</w:t>
            </w:r>
          </w:p>
        </w:tc>
        <w:tc>
          <w:tcPr>
            <w:tcW w:w="509" w:type="pct"/>
          </w:tcPr>
          <w:p w14:paraId="27C7933F">
            <w:pPr>
              <w:pStyle w:val="297"/>
              <w:spacing w:before="155" w:line="276" w:lineRule="auto"/>
              <w:ind w:left="129"/>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2"/>
                <w:highlight w:val="none"/>
                <w14:textFill>
                  <w14:solidFill>
                    <w14:schemeClr w14:val="tx1"/>
                  </w14:solidFill>
                </w14:textFill>
              </w:rPr>
              <w:t>规格型号</w:t>
            </w:r>
          </w:p>
        </w:tc>
        <w:tc>
          <w:tcPr>
            <w:tcW w:w="394" w:type="pct"/>
          </w:tcPr>
          <w:p w14:paraId="5922BFAE">
            <w:pPr>
              <w:pStyle w:val="297"/>
              <w:spacing w:before="159" w:line="276" w:lineRule="auto"/>
              <w:ind w:left="19"/>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2"/>
                <w:highlight w:val="none"/>
                <w14:textFill>
                  <w14:solidFill>
                    <w14:schemeClr w14:val="tx1"/>
                  </w14:solidFill>
                </w14:textFill>
              </w:rPr>
              <w:t>注册证号</w:t>
            </w:r>
          </w:p>
        </w:tc>
        <w:tc>
          <w:tcPr>
            <w:tcW w:w="333" w:type="pct"/>
          </w:tcPr>
          <w:p w14:paraId="6048FDEF">
            <w:pPr>
              <w:pStyle w:val="297"/>
              <w:spacing w:before="156" w:line="276" w:lineRule="auto"/>
              <w:ind w:left="140"/>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2"/>
                <w:highlight w:val="none"/>
                <w14:textFill>
                  <w14:solidFill>
                    <w14:schemeClr w14:val="tx1"/>
                  </w14:solidFill>
                </w14:textFill>
              </w:rPr>
              <w:t>产地</w:t>
            </w:r>
          </w:p>
        </w:tc>
        <w:tc>
          <w:tcPr>
            <w:tcW w:w="332" w:type="pct"/>
          </w:tcPr>
          <w:p w14:paraId="348CEE5A">
            <w:pPr>
              <w:pStyle w:val="297"/>
              <w:spacing w:before="146" w:line="276" w:lineRule="auto"/>
              <w:ind w:left="121"/>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3"/>
                <w:highlight w:val="none"/>
                <w14:textFill>
                  <w14:solidFill>
                    <w14:schemeClr w14:val="tx1"/>
                  </w14:solidFill>
                </w14:textFill>
              </w:rPr>
              <w:t>单位</w:t>
            </w:r>
          </w:p>
        </w:tc>
        <w:tc>
          <w:tcPr>
            <w:tcW w:w="405" w:type="pct"/>
          </w:tcPr>
          <w:p w14:paraId="03E45277">
            <w:pPr>
              <w:pStyle w:val="297"/>
              <w:spacing w:before="146" w:line="276" w:lineRule="auto"/>
              <w:ind w:left="202"/>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3"/>
                <w:highlight w:val="none"/>
                <w14:textFill>
                  <w14:solidFill>
                    <w14:schemeClr w14:val="tx1"/>
                  </w14:solidFill>
                </w14:textFill>
              </w:rPr>
              <w:t>数量</w:t>
            </w:r>
          </w:p>
        </w:tc>
        <w:tc>
          <w:tcPr>
            <w:tcW w:w="540" w:type="pct"/>
          </w:tcPr>
          <w:p w14:paraId="512FB053">
            <w:pPr>
              <w:pStyle w:val="297"/>
              <w:spacing w:before="137" w:line="276" w:lineRule="auto"/>
              <w:ind w:left="163"/>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13"/>
                <w:highlight w:val="none"/>
                <w14:textFill>
                  <w14:solidFill>
                    <w14:schemeClr w14:val="tx1"/>
                  </w14:solidFill>
                </w14:textFill>
              </w:rPr>
              <w:t>单价(元)</w:t>
            </w:r>
          </w:p>
        </w:tc>
        <w:tc>
          <w:tcPr>
            <w:tcW w:w="529" w:type="pct"/>
          </w:tcPr>
          <w:p w14:paraId="4C971A51">
            <w:pPr>
              <w:pStyle w:val="297"/>
              <w:spacing w:before="147" w:line="276" w:lineRule="auto"/>
              <w:ind w:left="144"/>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13"/>
                <w:highlight w:val="none"/>
                <w14:textFill>
                  <w14:solidFill>
                    <w14:schemeClr w14:val="tx1"/>
                  </w14:solidFill>
                </w14:textFill>
              </w:rPr>
              <w:t>合计(元)</w:t>
            </w:r>
          </w:p>
        </w:tc>
        <w:tc>
          <w:tcPr>
            <w:tcW w:w="394" w:type="pct"/>
          </w:tcPr>
          <w:p w14:paraId="4BC7D358">
            <w:pPr>
              <w:pStyle w:val="297"/>
              <w:spacing w:before="157" w:line="276" w:lineRule="auto"/>
              <w:ind w:left="206"/>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3"/>
                <w:highlight w:val="none"/>
                <w14:textFill>
                  <w14:solidFill>
                    <w14:schemeClr w14:val="tx1"/>
                  </w14:solidFill>
                </w14:textFill>
              </w:rPr>
              <w:t>备注</w:t>
            </w:r>
          </w:p>
        </w:tc>
        <w:tc>
          <w:tcPr>
            <w:tcW w:w="332" w:type="pct"/>
          </w:tcPr>
          <w:p w14:paraId="345E284E">
            <w:pPr>
              <w:pStyle w:val="297"/>
              <w:spacing w:before="156" w:line="276" w:lineRule="auto"/>
              <w:ind w:left="56"/>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2"/>
                <w:highlight w:val="none"/>
                <w14:textFill>
                  <w14:solidFill>
                    <w14:schemeClr w14:val="tx1"/>
                  </w14:solidFill>
                </w14:textFill>
              </w:rPr>
              <w:t>预算号</w:t>
            </w:r>
          </w:p>
        </w:tc>
        <w:tc>
          <w:tcPr>
            <w:tcW w:w="336" w:type="pct"/>
          </w:tcPr>
          <w:p w14:paraId="07D6E1F3">
            <w:pPr>
              <w:pStyle w:val="297"/>
              <w:spacing w:before="47" w:line="276" w:lineRule="auto"/>
              <w:ind w:left="147" w:right="46" w:hanging="92"/>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17"/>
                <w:highlight w:val="none"/>
                <w14:textFill>
                  <w14:solidFill>
                    <w14:schemeClr w14:val="tx1"/>
                  </w14:solidFill>
                </w14:textFill>
              </w:rPr>
              <w:t>OA申请</w:t>
            </w:r>
            <w:r>
              <w:rPr>
                <w:rFonts w:ascii="Times New Roman" w:hAnsi="Times New Roman" w:eastAsia="宋体" w:cs="Times New Roman"/>
                <w:color w:val="000000" w:themeColor="text1"/>
                <w:spacing w:val="-3"/>
                <w:highlight w:val="none"/>
                <w14:textFill>
                  <w14:solidFill>
                    <w14:schemeClr w14:val="tx1"/>
                  </w14:solidFill>
                </w14:textFill>
              </w:rPr>
              <w:t>单号</w:t>
            </w:r>
          </w:p>
        </w:tc>
      </w:tr>
      <w:tr w14:paraId="6305B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408" w:type="pct"/>
          </w:tcPr>
          <w:p w14:paraId="7324D324">
            <w:pPr>
              <w:spacing w:line="276" w:lineRule="auto"/>
              <w:rPr>
                <w:color w:val="000000" w:themeColor="text1"/>
                <w:sz w:val="16"/>
                <w:szCs w:val="16"/>
                <w:highlight w:val="none"/>
                <w14:textFill>
                  <w14:solidFill>
                    <w14:schemeClr w14:val="tx1"/>
                  </w14:solidFill>
                </w14:textFill>
              </w:rPr>
            </w:pPr>
          </w:p>
        </w:tc>
        <w:tc>
          <w:tcPr>
            <w:tcW w:w="488" w:type="pct"/>
          </w:tcPr>
          <w:p w14:paraId="7898E9FE">
            <w:pPr>
              <w:spacing w:line="276" w:lineRule="auto"/>
              <w:rPr>
                <w:color w:val="000000" w:themeColor="text1"/>
                <w:sz w:val="16"/>
                <w:szCs w:val="16"/>
                <w:highlight w:val="none"/>
                <w14:textFill>
                  <w14:solidFill>
                    <w14:schemeClr w14:val="tx1"/>
                  </w14:solidFill>
                </w14:textFill>
              </w:rPr>
            </w:pPr>
          </w:p>
        </w:tc>
        <w:tc>
          <w:tcPr>
            <w:tcW w:w="509" w:type="pct"/>
          </w:tcPr>
          <w:p w14:paraId="1676BD45">
            <w:pPr>
              <w:spacing w:line="276" w:lineRule="auto"/>
              <w:rPr>
                <w:color w:val="000000" w:themeColor="text1"/>
                <w:sz w:val="16"/>
                <w:szCs w:val="16"/>
                <w:highlight w:val="none"/>
                <w14:textFill>
                  <w14:solidFill>
                    <w14:schemeClr w14:val="tx1"/>
                  </w14:solidFill>
                </w14:textFill>
              </w:rPr>
            </w:pPr>
          </w:p>
        </w:tc>
        <w:tc>
          <w:tcPr>
            <w:tcW w:w="394" w:type="pct"/>
          </w:tcPr>
          <w:p w14:paraId="389A7BF5">
            <w:pPr>
              <w:spacing w:line="276" w:lineRule="auto"/>
              <w:rPr>
                <w:color w:val="000000" w:themeColor="text1"/>
                <w:sz w:val="16"/>
                <w:szCs w:val="16"/>
                <w:highlight w:val="none"/>
                <w14:textFill>
                  <w14:solidFill>
                    <w14:schemeClr w14:val="tx1"/>
                  </w14:solidFill>
                </w14:textFill>
              </w:rPr>
            </w:pPr>
          </w:p>
        </w:tc>
        <w:tc>
          <w:tcPr>
            <w:tcW w:w="333" w:type="pct"/>
          </w:tcPr>
          <w:p w14:paraId="5408610A">
            <w:pPr>
              <w:spacing w:line="276" w:lineRule="auto"/>
              <w:rPr>
                <w:color w:val="000000" w:themeColor="text1"/>
                <w:sz w:val="16"/>
                <w:szCs w:val="16"/>
                <w:highlight w:val="none"/>
                <w14:textFill>
                  <w14:solidFill>
                    <w14:schemeClr w14:val="tx1"/>
                  </w14:solidFill>
                </w14:textFill>
              </w:rPr>
            </w:pPr>
          </w:p>
        </w:tc>
        <w:tc>
          <w:tcPr>
            <w:tcW w:w="332" w:type="pct"/>
          </w:tcPr>
          <w:p w14:paraId="6D551CAB">
            <w:pPr>
              <w:spacing w:line="276" w:lineRule="auto"/>
              <w:rPr>
                <w:color w:val="000000" w:themeColor="text1"/>
                <w:sz w:val="16"/>
                <w:szCs w:val="16"/>
                <w:highlight w:val="none"/>
                <w14:textFill>
                  <w14:solidFill>
                    <w14:schemeClr w14:val="tx1"/>
                  </w14:solidFill>
                </w14:textFill>
              </w:rPr>
            </w:pPr>
          </w:p>
        </w:tc>
        <w:tc>
          <w:tcPr>
            <w:tcW w:w="405" w:type="pct"/>
          </w:tcPr>
          <w:p w14:paraId="30B40706">
            <w:pPr>
              <w:spacing w:line="276" w:lineRule="auto"/>
              <w:rPr>
                <w:color w:val="000000" w:themeColor="text1"/>
                <w:sz w:val="16"/>
                <w:szCs w:val="16"/>
                <w:highlight w:val="none"/>
                <w14:textFill>
                  <w14:solidFill>
                    <w14:schemeClr w14:val="tx1"/>
                  </w14:solidFill>
                </w14:textFill>
              </w:rPr>
            </w:pPr>
          </w:p>
        </w:tc>
        <w:tc>
          <w:tcPr>
            <w:tcW w:w="540" w:type="pct"/>
          </w:tcPr>
          <w:p w14:paraId="1DE4F341">
            <w:pPr>
              <w:spacing w:line="276" w:lineRule="auto"/>
              <w:rPr>
                <w:color w:val="000000" w:themeColor="text1"/>
                <w:sz w:val="16"/>
                <w:szCs w:val="16"/>
                <w:highlight w:val="none"/>
                <w14:textFill>
                  <w14:solidFill>
                    <w14:schemeClr w14:val="tx1"/>
                  </w14:solidFill>
                </w14:textFill>
              </w:rPr>
            </w:pPr>
          </w:p>
        </w:tc>
        <w:tc>
          <w:tcPr>
            <w:tcW w:w="529" w:type="pct"/>
          </w:tcPr>
          <w:p w14:paraId="60FCC2C8">
            <w:pPr>
              <w:spacing w:line="276" w:lineRule="auto"/>
              <w:rPr>
                <w:color w:val="000000" w:themeColor="text1"/>
                <w:sz w:val="16"/>
                <w:szCs w:val="16"/>
                <w:highlight w:val="none"/>
                <w14:textFill>
                  <w14:solidFill>
                    <w14:schemeClr w14:val="tx1"/>
                  </w14:solidFill>
                </w14:textFill>
              </w:rPr>
            </w:pPr>
          </w:p>
        </w:tc>
        <w:tc>
          <w:tcPr>
            <w:tcW w:w="394" w:type="pct"/>
          </w:tcPr>
          <w:p w14:paraId="0E2A3A25">
            <w:pPr>
              <w:spacing w:line="276" w:lineRule="auto"/>
              <w:rPr>
                <w:color w:val="000000" w:themeColor="text1"/>
                <w:sz w:val="16"/>
                <w:szCs w:val="16"/>
                <w:highlight w:val="none"/>
                <w14:textFill>
                  <w14:solidFill>
                    <w14:schemeClr w14:val="tx1"/>
                  </w14:solidFill>
                </w14:textFill>
              </w:rPr>
            </w:pPr>
          </w:p>
        </w:tc>
        <w:tc>
          <w:tcPr>
            <w:tcW w:w="332" w:type="pct"/>
          </w:tcPr>
          <w:p w14:paraId="2D99E4FC">
            <w:pPr>
              <w:spacing w:line="276" w:lineRule="auto"/>
              <w:rPr>
                <w:color w:val="000000" w:themeColor="text1"/>
                <w:sz w:val="16"/>
                <w:szCs w:val="16"/>
                <w:highlight w:val="none"/>
                <w14:textFill>
                  <w14:solidFill>
                    <w14:schemeClr w14:val="tx1"/>
                  </w14:solidFill>
                </w14:textFill>
              </w:rPr>
            </w:pPr>
          </w:p>
        </w:tc>
        <w:tc>
          <w:tcPr>
            <w:tcW w:w="336" w:type="pct"/>
          </w:tcPr>
          <w:p w14:paraId="557C06BC">
            <w:pPr>
              <w:spacing w:line="276" w:lineRule="auto"/>
              <w:rPr>
                <w:color w:val="000000" w:themeColor="text1"/>
                <w:sz w:val="16"/>
                <w:szCs w:val="16"/>
                <w:highlight w:val="none"/>
                <w14:textFill>
                  <w14:solidFill>
                    <w14:schemeClr w14:val="tx1"/>
                  </w14:solidFill>
                </w14:textFill>
              </w:rPr>
            </w:pPr>
          </w:p>
        </w:tc>
      </w:tr>
      <w:tr w14:paraId="121EF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5000" w:type="pct"/>
            <w:gridSpan w:val="12"/>
          </w:tcPr>
          <w:p w14:paraId="140A6462">
            <w:pPr>
              <w:pStyle w:val="297"/>
              <w:spacing w:before="147" w:line="276" w:lineRule="auto"/>
              <w:ind w:left="48"/>
              <w:jc w:val="left"/>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1"/>
                <w:highlight w:val="none"/>
                <w14:textFill>
                  <w14:solidFill>
                    <w14:schemeClr w14:val="tx1"/>
                  </w14:solidFill>
                </w14:textFill>
              </w:rPr>
              <w:t>总计（大写</w:t>
            </w:r>
            <w:r>
              <w:rPr>
                <w:rFonts w:ascii="Times New Roman" w:hAnsi="Times New Roman" w:eastAsia="宋体" w:cs="Times New Roman"/>
                <w:color w:val="000000" w:themeColor="text1"/>
                <w:spacing w:val="-1"/>
                <w:highlight w:val="none"/>
                <w14:textFill>
                  <w14:solidFill>
                    <w14:schemeClr w14:val="tx1"/>
                  </w14:solidFill>
                </w14:textFill>
              </w:rPr>
              <w:t>）：</w:t>
            </w:r>
            <w:r>
              <w:rPr>
                <w:rFonts w:ascii="Times New Roman" w:hAnsi="Times New Roman" w:eastAsia="宋体" w:cs="Times New Roman"/>
                <w:color w:val="000000" w:themeColor="text1"/>
                <w:spacing w:val="1"/>
                <w:highlight w:val="none"/>
                <w14:textFill>
                  <w14:solidFill>
                    <w14:schemeClr w14:val="tx1"/>
                  </w14:solidFill>
                </w14:textFill>
              </w:rPr>
              <w:t>人民币</w:t>
            </w:r>
            <w:r>
              <w:rPr>
                <w:rFonts w:hint="eastAsia" w:ascii="Times New Roman" w:hAnsi="Times New Roman" w:eastAsia="宋体" w:cs="Times New Roman"/>
                <w:color w:val="000000" w:themeColor="text1"/>
                <w:spacing w:val="1"/>
                <w:highlight w:val="none"/>
                <w14:textFill>
                  <w14:solidFill>
                    <w14:schemeClr w14:val="tx1"/>
                  </w14:solidFill>
                </w14:textFill>
              </w:rPr>
              <w:t xml:space="preserve">             </w:t>
            </w:r>
            <w:r>
              <w:rPr>
                <w:rFonts w:ascii="Times New Roman" w:hAnsi="Times New Roman" w:eastAsia="宋体" w:cs="Times New Roman"/>
                <w:color w:val="000000" w:themeColor="text1"/>
                <w:spacing w:val="1"/>
                <w:highlight w:val="none"/>
                <w14:textFill>
                  <w14:solidFill>
                    <w14:schemeClr w14:val="tx1"/>
                  </w14:solidFill>
                </w14:textFill>
              </w:rPr>
              <w:t xml:space="preserve">元整     </w:t>
            </w:r>
            <w:r>
              <w:rPr>
                <w:rFonts w:ascii="Times New Roman" w:hAnsi="Times New Roman" w:eastAsia="宋体" w:cs="Times New Roman"/>
                <w:color w:val="000000" w:themeColor="text1"/>
                <w:highlight w:val="none"/>
                <w14:textFill>
                  <w14:solidFill>
                    <w14:schemeClr w14:val="tx1"/>
                  </w14:solidFill>
                </w14:textFill>
              </w:rPr>
              <w:t xml:space="preserve">                                                                    小写：</w:t>
            </w:r>
            <w:r>
              <w:rPr>
                <w:rFonts w:hint="eastAsia" w:ascii="Times New Roman" w:hAnsi="Times New Roman" w:eastAsia="宋体" w:cs="Times New Roman"/>
                <w:color w:val="000000" w:themeColor="text1"/>
                <w:highlight w:val="none"/>
                <w14:textFill>
                  <w14:solidFill>
                    <w14:schemeClr w14:val="tx1"/>
                  </w14:solidFill>
                </w14:textFill>
              </w:rPr>
              <w:t xml:space="preserve">                           </w:t>
            </w:r>
            <w:r>
              <w:rPr>
                <w:rFonts w:ascii="Times New Roman" w:hAnsi="Times New Roman" w:eastAsia="宋体" w:cs="Times New Roman"/>
                <w:color w:val="000000" w:themeColor="text1"/>
                <w:highlight w:val="none"/>
                <w14:textFill>
                  <w14:solidFill>
                    <w14:schemeClr w14:val="tx1"/>
                  </w14:solidFill>
                </w14:textFill>
              </w:rPr>
              <w:t>元</w:t>
            </w:r>
          </w:p>
        </w:tc>
      </w:tr>
    </w:tbl>
    <w:p w14:paraId="0071B870">
      <w:pPr>
        <w:pStyle w:val="17"/>
        <w:spacing w:before="19" w:line="276" w:lineRule="auto"/>
        <w:ind w:left="15" w:right="1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注：上述价格含设备制造、包装、仓储、运输、安装及验收合格之前及保修</w:t>
      </w:r>
      <w:r>
        <w:rPr>
          <w:color w:val="000000" w:themeColor="text1"/>
          <w:spacing w:val="-1"/>
          <w:highlight w:val="none"/>
          <w14:textFill>
            <w14:solidFill>
              <w14:schemeClr w14:val="tx1"/>
            </w14:solidFill>
          </w14:textFill>
        </w:rPr>
        <w:t>期内备品、备件发生的</w:t>
      </w:r>
      <w:r>
        <w:rPr>
          <w:color w:val="000000" w:themeColor="text1"/>
          <w:spacing w:val="-2"/>
          <w:highlight w:val="none"/>
          <w14:textFill>
            <w14:solidFill>
              <w14:schemeClr w14:val="tx1"/>
            </w14:solidFill>
          </w14:textFill>
        </w:rPr>
        <w:t>所有含税费用，以及包装拆除物的清理费用。</w:t>
      </w:r>
    </w:p>
    <w:p w14:paraId="57B01644">
      <w:pPr>
        <w:pStyle w:val="17"/>
        <w:spacing w:before="91" w:line="276" w:lineRule="auto"/>
        <w:ind w:left="15"/>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合同为固定单价合同，合同价款不因国家税率变更而更改。</w:t>
      </w:r>
    </w:p>
    <w:p w14:paraId="10189A83">
      <w:pPr>
        <w:pStyle w:val="17"/>
        <w:spacing w:before="167" w:line="276" w:lineRule="auto"/>
        <w:ind w:left="18"/>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二、付款方式：</w:t>
      </w:r>
    </w:p>
    <w:p w14:paraId="349BED20">
      <w:pPr>
        <w:pStyle w:val="17"/>
        <w:spacing w:before="80" w:line="276" w:lineRule="auto"/>
        <w:ind w:left="31"/>
        <w:outlineLvl w:val="1"/>
        <w:rPr>
          <w:color w:val="000000" w:themeColor="text1"/>
          <w:highlight w:val="none"/>
          <w14:textFill>
            <w14:solidFill>
              <w14:schemeClr w14:val="tx1"/>
            </w14:solidFill>
          </w14:textFill>
        </w:rPr>
      </w:pPr>
      <w:r>
        <w:rPr>
          <w:b/>
          <w:bCs/>
          <w:color w:val="000000" w:themeColor="text1"/>
          <w:spacing w:val="7"/>
          <w:highlight w:val="none"/>
          <w14:textFill>
            <w14:solidFill>
              <w14:schemeClr w14:val="tx1"/>
            </w14:solidFill>
          </w14:textFill>
        </w:rPr>
        <w:t>1.响应的付款条件。</w:t>
      </w:r>
    </w:p>
    <w:p w14:paraId="709883A1">
      <w:pPr>
        <w:pStyle w:val="17"/>
        <w:spacing w:before="81" w:line="276" w:lineRule="auto"/>
        <w:ind w:left="17"/>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2.特别提示条款：发票上所列品名与型号必须与合同所列品名与型号完全一致；否则由此引起的一</w:t>
      </w:r>
      <w:r>
        <w:rPr>
          <w:color w:val="000000" w:themeColor="text1"/>
          <w:spacing w:val="-4"/>
          <w:highlight w:val="none"/>
          <w14:textFill>
            <w14:solidFill>
              <w14:schemeClr w14:val="tx1"/>
            </w14:solidFill>
          </w14:textFill>
        </w:rPr>
        <w:t>切责任由乙方负责。</w:t>
      </w:r>
    </w:p>
    <w:p w14:paraId="20017135">
      <w:pPr>
        <w:pStyle w:val="17"/>
        <w:spacing w:before="200" w:line="276" w:lineRule="auto"/>
        <w:ind w:left="55"/>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三、交付方式</w:t>
      </w:r>
    </w:p>
    <w:p w14:paraId="61C2C52B">
      <w:pPr>
        <w:pStyle w:val="17"/>
        <w:spacing w:before="160" w:line="276" w:lineRule="auto"/>
        <w:ind w:left="31"/>
        <w:rPr>
          <w:color w:val="000000" w:themeColor="text1"/>
          <w:highlight w:val="none"/>
          <w14:textFill>
            <w14:solidFill>
              <w14:schemeClr w14:val="tx1"/>
            </w14:solidFill>
          </w14:textFill>
        </w:rPr>
      </w:pPr>
      <w:r>
        <w:rPr>
          <w:b/>
          <w:bCs/>
          <w:color w:val="000000" w:themeColor="text1"/>
          <w:spacing w:val="8"/>
          <w:highlight w:val="none"/>
          <w14:textFill>
            <w14:solidFill>
              <w14:schemeClr w14:val="tx1"/>
            </w14:solidFill>
          </w14:textFill>
        </w:rPr>
        <w:t>1.交货时间：</w:t>
      </w:r>
      <w:r>
        <w:rPr>
          <w:b/>
          <w:bCs/>
          <w:color w:val="000000" w:themeColor="text1"/>
          <w:spacing w:val="8"/>
          <w:highlight w:val="none"/>
          <w:u w:val="single"/>
          <w14:textFill>
            <w14:solidFill>
              <w14:schemeClr w14:val="tx1"/>
            </w14:solidFill>
          </w14:textFill>
        </w:rPr>
        <w:t>响应的到货时间</w:t>
      </w:r>
      <w:r>
        <w:rPr>
          <w:b/>
          <w:bCs/>
          <w:color w:val="000000" w:themeColor="text1"/>
          <w:spacing w:val="8"/>
          <w:highlight w:val="none"/>
          <w14:textFill>
            <w14:solidFill>
              <w14:schemeClr w14:val="tx1"/>
            </w14:solidFill>
          </w14:textFill>
        </w:rPr>
        <w:t>。交货地点：</w:t>
      </w:r>
      <w:r>
        <w:rPr>
          <w:b/>
          <w:bCs/>
          <w:color w:val="000000" w:themeColor="text1"/>
          <w:spacing w:val="8"/>
          <w:highlight w:val="none"/>
          <w:u w:val="single"/>
          <w14:textFill>
            <w14:solidFill>
              <w14:schemeClr w14:val="tx1"/>
            </w14:solidFill>
          </w14:textFill>
        </w:rPr>
        <w:t>响应的交</w:t>
      </w:r>
      <w:r>
        <w:rPr>
          <w:b/>
          <w:bCs/>
          <w:color w:val="000000" w:themeColor="text1"/>
          <w:spacing w:val="7"/>
          <w:highlight w:val="none"/>
          <w:u w:val="single"/>
          <w14:textFill>
            <w14:solidFill>
              <w14:schemeClr w14:val="tx1"/>
            </w14:solidFill>
          </w14:textFill>
        </w:rPr>
        <w:t>货地点</w:t>
      </w:r>
      <w:r>
        <w:rPr>
          <w:b/>
          <w:bCs/>
          <w:color w:val="000000" w:themeColor="text1"/>
          <w:spacing w:val="7"/>
          <w:highlight w:val="none"/>
          <w14:textFill>
            <w14:solidFill>
              <w14:schemeClr w14:val="tx1"/>
            </w14:solidFill>
          </w14:textFill>
        </w:rPr>
        <w:t>。</w:t>
      </w:r>
    </w:p>
    <w:p w14:paraId="249C1E1F">
      <w:pPr>
        <w:pStyle w:val="17"/>
        <w:spacing w:before="135" w:line="276" w:lineRule="auto"/>
        <w:ind w:right="100"/>
        <w:rPr>
          <w:color w:val="000000" w:themeColor="text1"/>
          <w:highlight w:val="none"/>
          <w14:textFill>
            <w14:solidFill>
              <w14:schemeClr w14:val="tx1"/>
            </w14:solidFill>
          </w14:textFill>
        </w:rPr>
      </w:pPr>
      <w:r>
        <w:rPr>
          <w:b/>
          <w:bCs/>
          <w:color w:val="000000" w:themeColor="text1"/>
          <w:spacing w:val="10"/>
          <w:highlight w:val="none"/>
          <w14:textFill>
            <w14:solidFill>
              <w14:schemeClr w14:val="tx1"/>
            </w14:solidFill>
          </w14:textFill>
        </w:rPr>
        <w:t>2.特别提醒条款：设备到货前，乙方至少提前三天通知甲方医用物资保障处库管人员（</w:t>
      </w:r>
      <w:r>
        <w:rPr>
          <w:b/>
          <w:bCs/>
          <w:color w:val="000000" w:themeColor="text1"/>
          <w:spacing w:val="9"/>
          <w:highlight w:val="none"/>
          <w14:textFill>
            <w14:solidFill>
              <w14:schemeClr w14:val="tx1"/>
            </w14:solidFill>
          </w14:textFill>
        </w:rPr>
        <w:t>联系人</w:t>
      </w:r>
      <w:r>
        <w:rPr>
          <w:b/>
          <w:bCs/>
          <w:color w:val="000000" w:themeColor="text1"/>
          <w:spacing w:val="12"/>
          <w:highlight w:val="none"/>
          <w14:textFill>
            <w14:solidFill>
              <w14:schemeClr w14:val="tx1"/>
            </w14:solidFill>
          </w14:textFill>
        </w:rPr>
        <w:t>：，电话：</w:t>
      </w:r>
      <w:r>
        <w:rPr>
          <w:b/>
          <w:bCs/>
          <w:color w:val="000000" w:themeColor="text1"/>
          <w:spacing w:val="16"/>
          <w:highlight w:val="none"/>
          <w14:textFill>
            <w14:solidFill>
              <w14:schemeClr w14:val="tx1"/>
            </w14:solidFill>
          </w14:textFill>
        </w:rPr>
        <w:t>），</w:t>
      </w:r>
      <w:r>
        <w:rPr>
          <w:b/>
          <w:bCs/>
          <w:color w:val="000000" w:themeColor="text1"/>
          <w:spacing w:val="12"/>
          <w:highlight w:val="none"/>
          <w14:textFill>
            <w14:solidFill>
              <w14:schemeClr w14:val="tx1"/>
            </w14:solidFill>
          </w14:textFill>
        </w:rPr>
        <w:t>以便甲方安排好相关收货工作。设备到达甲方医</w:t>
      </w:r>
      <w:r>
        <w:rPr>
          <w:b/>
          <w:bCs/>
          <w:color w:val="000000" w:themeColor="text1"/>
          <w:spacing w:val="9"/>
          <w:highlight w:val="none"/>
          <w14:textFill>
            <w14:solidFill>
              <w14:schemeClr w14:val="tx1"/>
            </w14:solidFill>
          </w14:textFill>
        </w:rPr>
        <w:t>院时，乙方代表必须随机到达，由乙方负责卸货并运至甲方指定的地点，待设备搬运完毕后</w:t>
      </w:r>
      <w:r>
        <w:rPr>
          <w:b/>
          <w:bCs/>
          <w:color w:val="000000" w:themeColor="text1"/>
          <w:spacing w:val="13"/>
          <w:highlight w:val="none"/>
          <w14:textFill>
            <w14:solidFill>
              <w14:schemeClr w14:val="tx1"/>
            </w14:solidFill>
          </w14:textFill>
        </w:rPr>
        <w:t>,甲乙双方办理交接手续。如未按上述规定执行，造成的一切后果全部</w:t>
      </w:r>
      <w:r>
        <w:rPr>
          <w:b/>
          <w:bCs/>
          <w:color w:val="000000" w:themeColor="text1"/>
          <w:spacing w:val="12"/>
          <w:highlight w:val="none"/>
          <w14:textFill>
            <w14:solidFill>
              <w14:schemeClr w14:val="tx1"/>
            </w14:solidFill>
          </w14:textFill>
        </w:rPr>
        <w:t>由乙方承担。</w:t>
      </w:r>
    </w:p>
    <w:p w14:paraId="46267BCF">
      <w:pPr>
        <w:pStyle w:val="17"/>
        <w:spacing w:before="109" w:line="276" w:lineRule="auto"/>
        <w:ind w:left="75"/>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四、保证条款</w:t>
      </w:r>
    </w:p>
    <w:p w14:paraId="658264AD">
      <w:pPr>
        <w:pStyle w:val="17"/>
        <w:spacing w:before="49" w:line="276" w:lineRule="auto"/>
        <w:ind w:left="15" w:right="166" w:firstLine="16"/>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1.乙方保证向甲方提供的设备满足中国国家标准及相关行业标准</w:t>
      </w:r>
      <w:r>
        <w:rPr>
          <w:color w:val="000000" w:themeColor="text1"/>
          <w:spacing w:val="-2"/>
          <w:highlight w:val="none"/>
          <w14:textFill>
            <w14:solidFill>
              <w14:schemeClr w14:val="tx1"/>
            </w14:solidFill>
          </w14:textFill>
        </w:rPr>
        <w:t>。根据国家规定，如需要提供3C认证证书和标记的设备及有关配置，必须提供上述证书和标记。</w:t>
      </w:r>
    </w:p>
    <w:p w14:paraId="418AE952">
      <w:pPr>
        <w:pStyle w:val="17"/>
        <w:spacing w:before="99" w:line="276" w:lineRule="auto"/>
        <w:ind w:left="15" w:right="166" w:firstLine="2"/>
        <w:rPr>
          <w:color w:val="000000" w:themeColor="text1"/>
          <w:spacing w:val="-2"/>
          <w:highlight w:val="none"/>
          <w14:textFill>
            <w14:solidFill>
              <w14:schemeClr w14:val="tx1"/>
            </w14:solidFill>
          </w14:textFill>
        </w:rPr>
      </w:pPr>
      <w:r>
        <w:rPr>
          <w:color w:val="000000" w:themeColor="text1"/>
          <w:highlight w:val="none"/>
          <w14:textFill>
            <w14:solidFill>
              <w14:schemeClr w14:val="tx1"/>
            </w14:solidFill>
          </w14:textFill>
        </w:rPr>
        <w:t>2.乙方保证所提供医疗器械产品注册证真实有效；所提供设备上的中文品名、型号及产品说明书所注适用范围与医疗器械产品注册证所标明的完全一致；医疗设备上的铭牌必</w:t>
      </w:r>
      <w:r>
        <w:rPr>
          <w:color w:val="000000" w:themeColor="text1"/>
          <w:spacing w:val="-1"/>
          <w:highlight w:val="none"/>
          <w14:textFill>
            <w14:solidFill>
              <w14:schemeClr w14:val="tx1"/>
            </w14:solidFill>
          </w14:textFill>
        </w:rPr>
        <w:t>须标注医疗器械注册证</w:t>
      </w:r>
      <w:r>
        <w:rPr>
          <w:color w:val="000000" w:themeColor="text1"/>
          <w:spacing w:val="-2"/>
          <w:highlight w:val="none"/>
          <w14:textFill>
            <w14:solidFill>
              <w14:schemeClr w14:val="tx1"/>
            </w14:solidFill>
          </w14:textFill>
        </w:rPr>
        <w:t>号，否则由此引起的一切责任由乙方负责。</w:t>
      </w:r>
    </w:p>
    <w:p w14:paraId="7DA5E033">
      <w:pPr>
        <w:pStyle w:val="17"/>
        <w:spacing w:before="99" w:line="276" w:lineRule="auto"/>
        <w:ind w:left="15" w:right="166" w:firstLine="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3.乙方保证所供设备是全新、未使用过的原包装产品。乙方承诺其提供的</w:t>
      </w:r>
      <w:r>
        <w:rPr>
          <w:color w:val="000000" w:themeColor="text1"/>
          <w:highlight w:val="none"/>
          <w:u w:val="single"/>
          <w14:textFill>
            <w14:solidFill>
              <w14:schemeClr w14:val="tx1"/>
            </w14:solidFill>
          </w14:textFill>
        </w:rPr>
        <w:t>响应的生产日期</w:t>
      </w:r>
      <w:r>
        <w:rPr>
          <w:color w:val="000000" w:themeColor="text1"/>
          <w:highlight w:val="none"/>
          <w14:textFill>
            <w14:solidFill>
              <w14:schemeClr w14:val="tx1"/>
            </w14:solidFill>
          </w14:textFill>
        </w:rPr>
        <w:t>（对于医疗器械产品，产品的生产日期为产品标签或说明书上标明的生产日期，若在产</w:t>
      </w:r>
      <w:r>
        <w:rPr>
          <w:color w:val="000000" w:themeColor="text1"/>
          <w:spacing w:val="-1"/>
          <w:highlight w:val="none"/>
          <w14:textFill>
            <w14:solidFill>
              <w14:schemeClr w14:val="tx1"/>
            </w14:solidFill>
          </w14:textFill>
        </w:rPr>
        <w:t>品标签或说明书上同</w:t>
      </w:r>
      <w:r>
        <w:rPr>
          <w:color w:val="000000" w:themeColor="text1"/>
          <w:highlight w:val="none"/>
          <w14:textFill>
            <w14:solidFill>
              <w14:schemeClr w14:val="tx1"/>
            </w14:solidFill>
          </w14:textFill>
        </w:rPr>
        <w:t>时标明了生产日期，则其标明的生产日期必须一致；对于非医疗器械产品，乙</w:t>
      </w:r>
      <w:r>
        <w:rPr>
          <w:color w:val="000000" w:themeColor="text1"/>
          <w:spacing w:val="-1"/>
          <w:highlight w:val="none"/>
          <w14:textFill>
            <w14:solidFill>
              <w14:schemeClr w14:val="tx1"/>
            </w14:solidFill>
          </w14:textFill>
        </w:rPr>
        <w:t>方应提供材料证明其生产日期不早于合同约定的日期并经甲方认可）。乙方须保证所供产品质量合格，不得弄虚作假、</w:t>
      </w:r>
      <w:r>
        <w:rPr>
          <w:color w:val="000000" w:themeColor="text1"/>
          <w:highlight w:val="none"/>
          <w14:textFill>
            <w14:solidFill>
              <w14:schemeClr w14:val="tx1"/>
            </w14:solidFill>
          </w14:textFill>
        </w:rPr>
        <w:t>不得提供假冒伪劣产品或任意提供合同外产品，如果设备的质量或</w:t>
      </w:r>
      <w:r>
        <w:rPr>
          <w:color w:val="000000" w:themeColor="text1"/>
          <w:spacing w:val="-1"/>
          <w:highlight w:val="none"/>
          <w14:textFill>
            <w14:solidFill>
              <w14:schemeClr w14:val="tx1"/>
            </w14:solidFill>
          </w14:textFill>
        </w:rPr>
        <w:t>规格或实际生产日期与合同不符</w:t>
      </w:r>
      <w:r>
        <w:rPr>
          <w:color w:val="000000" w:themeColor="text1"/>
          <w:spacing w:val="4"/>
          <w:highlight w:val="none"/>
          <w14:textFill>
            <w14:solidFill>
              <w14:schemeClr w14:val="tx1"/>
            </w14:solidFill>
          </w14:textFill>
        </w:rPr>
        <w:t>,或被证实设备有缺陷（包括潜在的缺陷或使用不符合要求的材料等），</w:t>
      </w:r>
      <w:r>
        <w:rPr>
          <w:color w:val="000000" w:themeColor="text1"/>
          <w:spacing w:val="3"/>
          <w:highlight w:val="none"/>
          <w14:textFill>
            <w14:solidFill>
              <w14:schemeClr w14:val="tx1"/>
            </w14:solidFill>
          </w14:textFill>
        </w:rPr>
        <w:t>乙方应在接到甲方通知后5</w:t>
      </w:r>
      <w:r>
        <w:rPr>
          <w:color w:val="000000" w:themeColor="text1"/>
          <w:highlight w:val="none"/>
          <w14:textFill>
            <w14:solidFill>
              <w14:schemeClr w14:val="tx1"/>
            </w14:solidFill>
          </w14:textFill>
        </w:rPr>
        <w:t>个工作日内更换成达标设备，其费用由乙方负担。同时，甲方有权要求延长</w:t>
      </w:r>
      <w:r>
        <w:rPr>
          <w:color w:val="000000" w:themeColor="text1"/>
          <w:spacing w:val="-1"/>
          <w:highlight w:val="none"/>
          <w14:textFill>
            <w14:solidFill>
              <w14:schemeClr w14:val="tx1"/>
            </w14:solidFill>
          </w14:textFill>
        </w:rPr>
        <w:t>设备的保修期。由于设备质量问题引起的医疗事故和法律纠纷，乙方承担全部的</w:t>
      </w:r>
      <w:r>
        <w:rPr>
          <w:color w:val="000000" w:themeColor="text1"/>
          <w:spacing w:val="-2"/>
          <w:highlight w:val="none"/>
          <w14:textFill>
            <w14:solidFill>
              <w14:schemeClr w14:val="tx1"/>
            </w14:solidFill>
          </w14:textFill>
        </w:rPr>
        <w:t>法律和经济责任。</w:t>
      </w:r>
    </w:p>
    <w:p w14:paraId="07BE46F7">
      <w:pPr>
        <w:pStyle w:val="17"/>
        <w:spacing w:before="3" w:line="276" w:lineRule="auto"/>
        <w:ind w:left="8" w:hanging="8"/>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4.乙方保证本协议下全部事项符合合同签</w:t>
      </w:r>
      <w:r>
        <w:rPr>
          <w:color w:val="000000" w:themeColor="text1"/>
          <w:spacing w:val="1"/>
          <w:highlight w:val="none"/>
          <w14:textFill>
            <w14:solidFill>
              <w14:schemeClr w14:val="tx1"/>
            </w14:solidFill>
          </w14:textFill>
        </w:rPr>
        <w:t>订时国家法律法规及政策性文件（包括但不限于《中华人</w:t>
      </w:r>
      <w:r>
        <w:rPr>
          <w:color w:val="000000" w:themeColor="text1"/>
          <w:highlight w:val="none"/>
          <w14:textFill>
            <w14:solidFill>
              <w14:schemeClr w14:val="tx1"/>
            </w14:solidFill>
          </w14:textFill>
        </w:rPr>
        <w:t>民共和国产品质量法》及国家药品监督管理局的相关规</w:t>
      </w:r>
      <w:r>
        <w:rPr>
          <w:color w:val="000000" w:themeColor="text1"/>
          <w:spacing w:val="-1"/>
          <w:highlight w:val="none"/>
          <w14:textFill>
            <w14:solidFill>
              <w14:schemeClr w14:val="tx1"/>
            </w14:solidFill>
          </w14:textFill>
        </w:rPr>
        <w:t>定等），否则由此引起的一切责任由乙方负</w:t>
      </w:r>
      <w:r>
        <w:rPr>
          <w:color w:val="000000" w:themeColor="text1"/>
          <w:spacing w:val="-13"/>
          <w:highlight w:val="none"/>
          <w14:textFill>
            <w14:solidFill>
              <w14:schemeClr w14:val="tx1"/>
            </w14:solidFill>
          </w14:textFill>
        </w:rPr>
        <w:t>责。</w:t>
      </w:r>
    </w:p>
    <w:p w14:paraId="33730D4A">
      <w:pPr>
        <w:pStyle w:val="17"/>
        <w:spacing w:before="3" w:line="276" w:lineRule="auto"/>
        <w:ind w:right="110" w:firstLine="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5.乙方保证提供的商品或服务在本合同签订之前不存在任何法律纠纷与权利瑕疵，乙方具有对所提供产品及服务的完整的处分权，且甲方在使用该商品或服务以及其中的任何一</w:t>
      </w:r>
      <w:r>
        <w:rPr>
          <w:color w:val="000000" w:themeColor="text1"/>
          <w:spacing w:val="-1"/>
          <w:highlight w:val="none"/>
          <w14:textFill>
            <w14:solidFill>
              <w14:schemeClr w14:val="tx1"/>
            </w14:solidFill>
          </w14:textFill>
        </w:rPr>
        <w:t>部分时，不侵犯任何</w:t>
      </w:r>
      <w:r>
        <w:rPr>
          <w:color w:val="000000" w:themeColor="text1"/>
          <w:highlight w:val="none"/>
          <w14:textFill>
            <w14:solidFill>
              <w14:schemeClr w14:val="tx1"/>
            </w14:solidFill>
          </w14:textFill>
        </w:rPr>
        <w:t>的专利权、商标权、工业设计权或其他知识产权，如收到来自第三方的侵权诉</w:t>
      </w:r>
      <w:r>
        <w:rPr>
          <w:color w:val="000000" w:themeColor="text1"/>
          <w:spacing w:val="-1"/>
          <w:highlight w:val="none"/>
          <w14:textFill>
            <w14:solidFill>
              <w14:schemeClr w14:val="tx1"/>
            </w14:solidFill>
          </w14:textFill>
        </w:rPr>
        <w:t>讼或索赔，所有责任</w:t>
      </w:r>
      <w:r>
        <w:rPr>
          <w:color w:val="000000" w:themeColor="text1"/>
          <w:spacing w:val="-3"/>
          <w:highlight w:val="none"/>
          <w14:textFill>
            <w14:solidFill>
              <w14:schemeClr w14:val="tx1"/>
            </w14:solidFill>
          </w14:textFill>
        </w:rPr>
        <w:t>及由此造成的损失由乙方承担。</w:t>
      </w:r>
    </w:p>
    <w:p w14:paraId="0B483864">
      <w:pPr>
        <w:pStyle w:val="17"/>
        <w:spacing w:before="38" w:line="276" w:lineRule="auto"/>
        <w:ind w:left="19" w:right="110" w:hanging="16"/>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6.本协议的签订或履行不违反以乙方为一方或</w:t>
      </w:r>
      <w:r>
        <w:rPr>
          <w:color w:val="000000" w:themeColor="text1"/>
          <w:highlight w:val="none"/>
          <w14:textFill>
            <w14:solidFill>
              <w14:schemeClr w14:val="tx1"/>
            </w14:solidFill>
          </w14:textFill>
        </w:rPr>
        <w:t>约束乙方自身的任何重大合同或协议，否则由此引起</w:t>
      </w:r>
      <w:r>
        <w:rPr>
          <w:color w:val="000000" w:themeColor="text1"/>
          <w:spacing w:val="-5"/>
          <w:highlight w:val="none"/>
          <w14:textFill>
            <w14:solidFill>
              <w14:schemeClr w14:val="tx1"/>
            </w14:solidFill>
          </w14:textFill>
        </w:rPr>
        <w:t>的一切责任由乙方负责。</w:t>
      </w:r>
    </w:p>
    <w:p w14:paraId="6217A889">
      <w:pPr>
        <w:pStyle w:val="17"/>
        <w:spacing w:before="160" w:line="276" w:lineRule="auto"/>
        <w:ind w:left="5"/>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五、安装调试</w:t>
      </w:r>
    </w:p>
    <w:p w14:paraId="437A1EC3">
      <w:pPr>
        <w:pStyle w:val="17"/>
        <w:spacing w:before="77" w:line="276" w:lineRule="auto"/>
        <w:ind w:left="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1.乙方免费提前为甲方提供设备安装图纸，并充分协助甲方做好机房的准备工作（如必要的话）。</w:t>
      </w:r>
    </w:p>
    <w:p w14:paraId="4C4ED7EC">
      <w:pPr>
        <w:pStyle w:val="17"/>
        <w:spacing w:before="281" w:line="276" w:lineRule="auto"/>
        <w:ind w:left="6" w:right="159" w:hanging="2"/>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2.设备安装时，乙方负责设备的免费安装和调试，但乙方必须事先与甲方的医用物资保障处联系，并与医用物资保障处共同参与，否则引起的一切责任由乙方承担</w:t>
      </w:r>
    </w:p>
    <w:p w14:paraId="0C125EEB">
      <w:pPr>
        <w:pStyle w:val="17"/>
        <w:spacing w:before="110" w:line="276" w:lineRule="auto"/>
        <w:ind w:left="43"/>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六、质量验收</w:t>
      </w:r>
    </w:p>
    <w:p w14:paraId="1ECC3DB6">
      <w:pPr>
        <w:pStyle w:val="17"/>
        <w:spacing w:before="166" w:line="276" w:lineRule="auto"/>
        <w:ind w:left="6" w:right="110" w:firstLine="1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1.设备安装调试后，乙方应配合甲方按厂方技术参数、国家标准等进行质量验收，时间由甲乙双方商定，乙方免费派工程师到达现场协助验收工作。若甲乙双方对</w:t>
      </w:r>
      <w:r>
        <w:rPr>
          <w:color w:val="000000" w:themeColor="text1"/>
          <w:spacing w:val="-1"/>
          <w:highlight w:val="none"/>
          <w14:textFill>
            <w14:solidFill>
              <w14:schemeClr w14:val="tx1"/>
            </w14:solidFill>
          </w14:textFill>
        </w:rPr>
        <w:t>验收结果存在分歧，甲方有权委托</w:t>
      </w:r>
      <w:r>
        <w:rPr>
          <w:color w:val="000000" w:themeColor="text1"/>
          <w:spacing w:val="-2"/>
          <w:highlight w:val="none"/>
          <w14:textFill>
            <w14:solidFill>
              <w14:schemeClr w14:val="tx1"/>
            </w14:solidFill>
          </w14:textFill>
        </w:rPr>
        <w:t>国内具有相关资质的单位对该设备进行质量检测，费用由乙方承担。</w:t>
      </w:r>
    </w:p>
    <w:p w14:paraId="1DAC00F0">
      <w:pPr>
        <w:pStyle w:val="17"/>
        <w:spacing w:before="179" w:line="276" w:lineRule="auto"/>
        <w:ind w:left="6" w:right="110" w:hanging="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2.乙方所供设备如验收不合格，根据甲方的要求，乙方必须无条件换货或退货，由此引起的一切损</w:t>
      </w:r>
      <w:r>
        <w:rPr>
          <w:color w:val="000000" w:themeColor="text1"/>
          <w:spacing w:val="-6"/>
          <w:highlight w:val="none"/>
          <w14:textFill>
            <w14:solidFill>
              <w14:schemeClr w14:val="tx1"/>
            </w14:solidFill>
          </w14:textFill>
        </w:rPr>
        <w:t>失由乙方承担。</w:t>
      </w:r>
    </w:p>
    <w:p w14:paraId="49A795F6">
      <w:pPr>
        <w:pStyle w:val="17"/>
        <w:spacing w:before="139" w:line="276"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七、维保条款</w:t>
      </w:r>
    </w:p>
    <w:p w14:paraId="1CE54318">
      <w:pPr>
        <w:pStyle w:val="17"/>
        <w:spacing w:before="236" w:line="276" w:lineRule="auto"/>
        <w:ind w:left="1" w:right="8" w:firstLine="16"/>
        <w:rPr>
          <w:color w:val="000000" w:themeColor="text1"/>
          <w:highlight w:val="none"/>
          <w14:textFill>
            <w14:solidFill>
              <w14:schemeClr w14:val="tx1"/>
            </w14:solidFill>
          </w14:textFill>
        </w:rPr>
      </w:pPr>
      <w:r>
        <w:rPr>
          <w:b/>
          <w:bCs/>
          <w:color w:val="000000" w:themeColor="text1"/>
          <w:spacing w:val="9"/>
          <w:highlight w:val="none"/>
          <w14:textFill>
            <w14:solidFill>
              <w14:schemeClr w14:val="tx1"/>
            </w14:solidFill>
          </w14:textFill>
        </w:rPr>
        <w:t>1.乙方提供的</w:t>
      </w:r>
      <w:r>
        <w:rPr>
          <w:b/>
          <w:bCs/>
          <w:color w:val="000000" w:themeColor="text1"/>
          <w:spacing w:val="9"/>
          <w:highlight w:val="none"/>
          <w:u w:val="single"/>
          <w14:textFill>
            <w14:solidFill>
              <w14:schemeClr w14:val="tx1"/>
            </w14:solidFill>
          </w14:textFill>
        </w:rPr>
        <w:t>响应的保修期限</w:t>
      </w:r>
      <w:r>
        <w:rPr>
          <w:b/>
          <w:bCs/>
          <w:color w:val="000000" w:themeColor="text1"/>
          <w:spacing w:val="9"/>
          <w:highlight w:val="none"/>
          <w14:textFill>
            <w14:solidFill>
              <w14:schemeClr w14:val="tx1"/>
            </w14:solidFill>
          </w14:textFill>
        </w:rPr>
        <w:t>，保修期自设备验收合格之日起计算，保修范围包括合同中所有</w:t>
      </w:r>
      <w:r>
        <w:rPr>
          <w:b/>
          <w:bCs/>
          <w:color w:val="000000" w:themeColor="text1"/>
          <w:spacing w:val="10"/>
          <w:highlight w:val="none"/>
          <w14:textFill>
            <w14:solidFill>
              <w14:schemeClr w14:val="tx1"/>
            </w14:solidFill>
          </w14:textFill>
        </w:rPr>
        <w:t>配置（单独列明保修期限的配置或附件除外</w:t>
      </w:r>
      <w:r>
        <w:rPr>
          <w:b/>
          <w:bCs/>
          <w:color w:val="000000" w:themeColor="text1"/>
          <w:spacing w:val="9"/>
          <w:highlight w:val="none"/>
          <w14:textFill>
            <w14:solidFill>
              <w14:schemeClr w14:val="tx1"/>
            </w14:solidFill>
          </w14:textFill>
        </w:rPr>
        <w:t>），保修期外故障待修复后只收配件费，免收上门</w:t>
      </w:r>
      <w:r>
        <w:rPr>
          <w:b/>
          <w:bCs/>
          <w:color w:val="000000" w:themeColor="text1"/>
          <w:spacing w:val="7"/>
          <w:highlight w:val="none"/>
          <w14:textFill>
            <w14:solidFill>
              <w14:schemeClr w14:val="tx1"/>
            </w14:solidFill>
          </w14:textFill>
        </w:rPr>
        <w:t>费、人工费。乙方确保设备保修期内开机率≥95%，如设备故障停机率超过5%（一年按365天计</w:t>
      </w:r>
      <w:r>
        <w:rPr>
          <w:b/>
          <w:bCs/>
          <w:color w:val="000000" w:themeColor="text1"/>
          <w:spacing w:val="9"/>
          <w:highlight w:val="none"/>
          <w14:textFill>
            <w14:solidFill>
              <w14:schemeClr w14:val="tx1"/>
            </w14:solidFill>
          </w14:textFill>
        </w:rPr>
        <w:t>算，每年18天），每超过一天，保修期延长两周。保修期外乙方对本设备终身负责维修。</w:t>
      </w:r>
    </w:p>
    <w:p w14:paraId="6CC10F1E">
      <w:pPr>
        <w:pStyle w:val="17"/>
        <w:spacing w:before="219" w:line="276" w:lineRule="auto"/>
        <w:ind w:left="2" w:firstLine="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2．如设备发生故障，乙方在接到甲方报修电话后1小时之内响应，3小时内到达甲方现场（若无维修</w:t>
      </w:r>
      <w:r>
        <w:rPr>
          <w:color w:val="000000" w:themeColor="text1"/>
          <w:spacing w:val="-1"/>
          <w:highlight w:val="none"/>
          <w14:textFill>
            <w14:solidFill>
              <w14:schemeClr w14:val="tx1"/>
            </w14:solidFill>
          </w14:textFill>
        </w:rPr>
        <w:t>站点，24小时内到达现场</w:t>
      </w:r>
      <w:r>
        <w:rPr>
          <w:color w:val="000000" w:themeColor="text1"/>
          <w:spacing w:val="5"/>
          <w:highlight w:val="none"/>
          <w14:textFill>
            <w14:solidFill>
              <w14:schemeClr w14:val="tx1"/>
            </w14:solidFill>
          </w14:textFill>
        </w:rPr>
        <w:t>），</w:t>
      </w:r>
      <w:r>
        <w:rPr>
          <w:color w:val="000000" w:themeColor="text1"/>
          <w:spacing w:val="-1"/>
          <w:highlight w:val="none"/>
          <w14:textFill>
            <w14:solidFill>
              <w14:schemeClr w14:val="tx1"/>
            </w14:solidFill>
          </w14:textFill>
        </w:rPr>
        <w:t>48小时内修复或免费提供备用机，否则甲方可自行采取必要的措施，由此产生的风险和费用由乙方承担。如有特殊情况，乙方应立即电话通知甲方不能响应的原因，在</w:t>
      </w:r>
      <w:r>
        <w:rPr>
          <w:color w:val="000000" w:themeColor="text1"/>
          <w:spacing w:val="-3"/>
          <w:highlight w:val="none"/>
          <w14:textFill>
            <w14:solidFill>
              <w14:schemeClr w14:val="tx1"/>
            </w14:solidFill>
          </w14:textFill>
        </w:rPr>
        <w:t>获得甲方同意后，才可推迟响应时间。</w:t>
      </w:r>
    </w:p>
    <w:p w14:paraId="1C46BCE0">
      <w:pPr>
        <w:pStyle w:val="17"/>
        <w:spacing w:before="139" w:line="276" w:lineRule="auto"/>
        <w:ind w:left="6"/>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3．保修期内每年</w:t>
      </w:r>
      <w:r>
        <w:rPr>
          <w:color w:val="000000" w:themeColor="text1"/>
          <w:spacing w:val="-2"/>
          <w:highlight w:val="none"/>
          <w:u w:val="single"/>
          <w14:textFill>
            <w14:solidFill>
              <w14:schemeClr w14:val="tx1"/>
            </w14:solidFill>
          </w14:textFill>
        </w:rPr>
        <w:t>响应的维护次数</w:t>
      </w:r>
      <w:r>
        <w:rPr>
          <w:color w:val="000000" w:themeColor="text1"/>
          <w:spacing w:val="-2"/>
          <w:highlight w:val="none"/>
          <w14:textFill>
            <w14:solidFill>
              <w14:schemeClr w14:val="tx1"/>
            </w14:solidFill>
          </w14:textFill>
        </w:rPr>
        <w:t>次定期维护，并经甲方工程师签字确认，留档备查。</w:t>
      </w:r>
    </w:p>
    <w:p w14:paraId="25833D47">
      <w:pPr>
        <w:pStyle w:val="17"/>
        <w:spacing w:before="79" w:line="276" w:lineRule="auto"/>
        <w:ind w:left="1" w:right="110" w:hanging="1"/>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4.无论在保修期内还是保修期外，乙方必须上门维</w:t>
      </w:r>
      <w:r>
        <w:rPr>
          <w:color w:val="000000" w:themeColor="text1"/>
          <w:highlight w:val="none"/>
          <w14:textFill>
            <w14:solidFill>
              <w14:schemeClr w14:val="tx1"/>
            </w14:solidFill>
          </w14:textFill>
        </w:rPr>
        <w:t>修，出保后的维修，只收取配件成本费，免收上门费、人工费和其他工时杂费。乙方工程师至甲方维修本设备，必须事先</w:t>
      </w:r>
      <w:r>
        <w:rPr>
          <w:color w:val="000000" w:themeColor="text1"/>
          <w:spacing w:val="-1"/>
          <w:highlight w:val="none"/>
          <w14:textFill>
            <w14:solidFill>
              <w14:schemeClr w14:val="tx1"/>
            </w14:solidFill>
          </w14:textFill>
        </w:rPr>
        <w:t>与甲方医用物资保障处取</w:t>
      </w:r>
      <w:r>
        <w:rPr>
          <w:color w:val="000000" w:themeColor="text1"/>
          <w:highlight w:val="none"/>
          <w14:textFill>
            <w14:solidFill>
              <w14:schemeClr w14:val="tx1"/>
            </w14:solidFill>
          </w14:textFill>
        </w:rPr>
        <w:t>得联系，并做相应登记，在维修过程中与甲方工程师共同完成维修工作，</w:t>
      </w:r>
      <w:r>
        <w:rPr>
          <w:color w:val="000000" w:themeColor="text1"/>
          <w:spacing w:val="-1"/>
          <w:highlight w:val="none"/>
          <w14:textFill>
            <w14:solidFill>
              <w14:schemeClr w14:val="tx1"/>
            </w14:solidFill>
          </w14:textFill>
        </w:rPr>
        <w:t>否则引起的一切责任由乙</w:t>
      </w:r>
      <w:r>
        <w:rPr>
          <w:color w:val="000000" w:themeColor="text1"/>
          <w:spacing w:val="-8"/>
          <w:highlight w:val="none"/>
          <w14:textFill>
            <w14:solidFill>
              <w14:schemeClr w14:val="tx1"/>
            </w14:solidFill>
          </w14:textFill>
        </w:rPr>
        <w:t>方负责。</w:t>
      </w:r>
    </w:p>
    <w:p w14:paraId="7FF28A98">
      <w:pPr>
        <w:pStyle w:val="17"/>
        <w:spacing w:before="99" w:line="276" w:lineRule="auto"/>
        <w:ind w:left="6"/>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5．如设备软件升级，乙方负责免费软件升级，保证软件为最新、最</w:t>
      </w:r>
      <w:r>
        <w:rPr>
          <w:color w:val="000000" w:themeColor="text1"/>
          <w:spacing w:val="-2"/>
          <w:highlight w:val="none"/>
          <w14:textFill>
            <w14:solidFill>
              <w14:schemeClr w14:val="tx1"/>
            </w14:solidFill>
          </w14:textFill>
        </w:rPr>
        <w:t>高版本。</w:t>
      </w:r>
    </w:p>
    <w:p w14:paraId="45C964F5">
      <w:pPr>
        <w:pStyle w:val="17"/>
        <w:spacing w:before="159" w:line="276" w:lineRule="auto"/>
        <w:ind w:left="3"/>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6．如有设备具有远程维修诊断功能，乙方负责免</w:t>
      </w:r>
      <w:r>
        <w:rPr>
          <w:color w:val="000000" w:themeColor="text1"/>
          <w:spacing w:val="-2"/>
          <w:highlight w:val="none"/>
          <w14:textFill>
            <w14:solidFill>
              <w14:schemeClr w14:val="tx1"/>
            </w14:solidFill>
          </w14:textFill>
        </w:rPr>
        <w:t>费为甲方安装。</w:t>
      </w:r>
    </w:p>
    <w:p w14:paraId="1C425646">
      <w:pPr>
        <w:pStyle w:val="17"/>
        <w:spacing w:before="59" w:line="276" w:lineRule="auto"/>
        <w:ind w:right="32" w:firstLine="7"/>
        <w:rPr>
          <w:color w:val="000000" w:themeColor="text1"/>
          <w:spacing w:val="-3"/>
          <w:highlight w:val="none"/>
          <w14:textFill>
            <w14:solidFill>
              <w14:schemeClr w14:val="tx1"/>
            </w14:solidFill>
          </w14:textFill>
        </w:rPr>
      </w:pPr>
      <w:r>
        <w:rPr>
          <w:color w:val="000000" w:themeColor="text1"/>
          <w:spacing w:val="2"/>
          <w:highlight w:val="none"/>
          <w14:textFill>
            <w14:solidFill>
              <w14:schemeClr w14:val="tx1"/>
            </w14:solidFill>
          </w14:textFill>
        </w:rPr>
        <w:t>7．乙方需在交货后五个工作日内免费提供全套资料并加盖公章，含产品合</w:t>
      </w:r>
      <w:r>
        <w:rPr>
          <w:color w:val="000000" w:themeColor="text1"/>
          <w:spacing w:val="1"/>
          <w:highlight w:val="none"/>
          <w14:textFill>
            <w14:solidFill>
              <w14:schemeClr w14:val="tx1"/>
            </w14:solidFill>
          </w14:textFill>
        </w:rPr>
        <w:t>格证、出厂计量合格证(</w:t>
      </w:r>
      <w:r>
        <w:rPr>
          <w:color w:val="000000" w:themeColor="text1"/>
          <w:spacing w:val="3"/>
          <w:highlight w:val="none"/>
          <w14:textFill>
            <w14:solidFill>
              <w14:schemeClr w14:val="tx1"/>
            </w14:solidFill>
          </w14:textFill>
        </w:rPr>
        <w:t>强检设备）、操作手册、维修手册（含详细电路图）、海关报关单（</w:t>
      </w:r>
      <w:r>
        <w:rPr>
          <w:color w:val="000000" w:themeColor="text1"/>
          <w:spacing w:val="2"/>
          <w:highlight w:val="none"/>
          <w14:textFill>
            <w14:solidFill>
              <w14:schemeClr w14:val="tx1"/>
            </w14:solidFill>
          </w14:textFill>
        </w:rPr>
        <w:t>进口设备）、商检合格证明(</w:t>
      </w:r>
      <w:r>
        <w:rPr>
          <w:color w:val="000000" w:themeColor="text1"/>
          <w:highlight w:val="none"/>
          <w14:textFill>
            <w14:solidFill>
              <w14:schemeClr w14:val="tx1"/>
            </w14:solidFill>
          </w14:textFill>
        </w:rPr>
        <w:t>进口设备）、使用许可证明文件（如有），如技术资料不全，甲方有权不支付货</w:t>
      </w:r>
      <w:r>
        <w:rPr>
          <w:color w:val="000000" w:themeColor="text1"/>
          <w:spacing w:val="-1"/>
          <w:highlight w:val="none"/>
          <w14:textFill>
            <w14:solidFill>
              <w14:schemeClr w14:val="tx1"/>
            </w14:solidFill>
          </w14:textFill>
        </w:rPr>
        <w:t>款或退货，因此产</w:t>
      </w:r>
      <w:r>
        <w:rPr>
          <w:color w:val="000000" w:themeColor="text1"/>
          <w:spacing w:val="-3"/>
          <w:highlight w:val="none"/>
          <w14:textFill>
            <w14:solidFill>
              <w14:schemeClr w14:val="tx1"/>
            </w14:solidFill>
          </w14:textFill>
        </w:rPr>
        <w:t>生的损失由乙方自行承担。</w:t>
      </w:r>
    </w:p>
    <w:p w14:paraId="09669A8F">
      <w:pPr>
        <w:pStyle w:val="17"/>
        <w:spacing w:before="59" w:line="276" w:lineRule="auto"/>
        <w:ind w:right="32" w:firstLine="7"/>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8．技术培训：在安装过程中或安装结束后，乙方工程师或有关人员有义务对甲方工程师和操作人员</w:t>
      </w:r>
      <w:r>
        <w:rPr>
          <w:color w:val="000000" w:themeColor="text1"/>
          <w:highlight w:val="none"/>
          <w14:textFill>
            <w14:solidFill>
              <w14:schemeClr w14:val="tx1"/>
            </w14:solidFill>
          </w14:textFill>
        </w:rPr>
        <w:t>进行现场维修、保养、操作培训并提供快捷操作指南（过塑后封好，挂在设</w:t>
      </w:r>
      <w:r>
        <w:rPr>
          <w:color w:val="000000" w:themeColor="text1"/>
          <w:spacing w:val="-1"/>
          <w:highlight w:val="none"/>
          <w14:textFill>
            <w14:solidFill>
              <w14:schemeClr w14:val="tx1"/>
            </w14:solidFill>
          </w14:textFill>
        </w:rPr>
        <w:t>备上</w:t>
      </w:r>
      <w:r>
        <w:rPr>
          <w:color w:val="000000" w:themeColor="text1"/>
          <w:highlight w:val="none"/>
          <w14:textFill>
            <w14:solidFill>
              <w14:schemeClr w14:val="tx1"/>
            </w14:solidFill>
          </w14:textFill>
        </w:rPr>
        <w:t>），</w:t>
      </w:r>
      <w:r>
        <w:rPr>
          <w:color w:val="000000" w:themeColor="text1"/>
          <w:spacing w:val="-1"/>
          <w:highlight w:val="none"/>
          <w14:textFill>
            <w14:solidFill>
              <w14:schemeClr w14:val="tx1"/>
            </w14:solidFill>
          </w14:textFill>
        </w:rPr>
        <w:t>解答甲方人员</w:t>
      </w:r>
      <w:r>
        <w:rPr>
          <w:color w:val="000000" w:themeColor="text1"/>
          <w:highlight w:val="none"/>
          <w14:textFill>
            <w14:solidFill>
              <w14:schemeClr w14:val="tx1"/>
            </w14:solidFill>
          </w14:textFill>
        </w:rPr>
        <w:t>提出的问题。必要时提供正规培训班培训，确保操作人员掌握完成日常工作所需</w:t>
      </w:r>
      <w:r>
        <w:rPr>
          <w:color w:val="000000" w:themeColor="text1"/>
          <w:spacing w:val="-1"/>
          <w:highlight w:val="none"/>
          <w14:textFill>
            <w14:solidFill>
              <w14:schemeClr w14:val="tx1"/>
            </w14:solidFill>
          </w14:textFill>
        </w:rPr>
        <w:t>的基本操作方法为</w:t>
      </w:r>
      <w:r>
        <w:rPr>
          <w:color w:val="000000" w:themeColor="text1"/>
          <w:spacing w:val="4"/>
          <w:highlight w:val="none"/>
          <w14:textFill>
            <w14:solidFill>
              <w14:schemeClr w14:val="tx1"/>
            </w14:solidFill>
          </w14:textFill>
        </w:rPr>
        <w:t>止，工程师掌握基本的维护保养操作技术为止。详见乙方的承诺书。</w:t>
      </w:r>
    </w:p>
    <w:p w14:paraId="2422269F">
      <w:pPr>
        <w:pStyle w:val="17"/>
        <w:spacing w:before="58" w:line="276" w:lineRule="auto"/>
        <w:ind w:firstLine="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9．如乙方提供的设备设有维修软件密码，乙方保证无条件地为甲方永久免费打开，直至最</w:t>
      </w:r>
      <w:r>
        <w:rPr>
          <w:color w:val="000000" w:themeColor="text1"/>
          <w:spacing w:val="-1"/>
          <w:highlight w:val="none"/>
          <w14:textFill>
            <w14:solidFill>
              <w14:schemeClr w14:val="tx1"/>
            </w14:solidFill>
          </w14:textFill>
        </w:rPr>
        <w:t>底层维修</w:t>
      </w:r>
      <w:r>
        <w:rPr>
          <w:color w:val="000000" w:themeColor="text1"/>
          <w:spacing w:val="-9"/>
          <w:highlight w:val="none"/>
          <w14:textFill>
            <w14:solidFill>
              <w14:schemeClr w14:val="tx1"/>
            </w14:solidFill>
          </w14:textFill>
        </w:rPr>
        <w:t>模式。</w:t>
      </w:r>
    </w:p>
    <w:p w14:paraId="0C9D6F12">
      <w:pPr>
        <w:pStyle w:val="17"/>
        <w:spacing w:before="57" w:line="276" w:lineRule="auto"/>
        <w:ind w:left="1" w:right="110" w:firstLine="16"/>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10．若该设备涉及网络问题，甲方只负责提供一个网络接口，设备内部的局域网建设由乙方负责提</w:t>
      </w:r>
      <w:r>
        <w:rPr>
          <w:color w:val="000000" w:themeColor="text1"/>
          <w:spacing w:val="-11"/>
          <w:highlight w:val="none"/>
          <w14:textFill>
            <w14:solidFill>
              <w14:schemeClr w14:val="tx1"/>
            </w14:solidFill>
          </w14:textFill>
        </w:rPr>
        <w:t>供。</w:t>
      </w:r>
    </w:p>
    <w:p w14:paraId="01EA0BB3">
      <w:pPr>
        <w:pStyle w:val="17"/>
        <w:spacing w:before="117" w:line="276" w:lineRule="auto"/>
        <w:ind w:right="110" w:firstLine="17"/>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11．乙方须免费开放所投产品的所有输入输出接口，并能与采购人现有网络及信</w:t>
      </w:r>
      <w:r>
        <w:rPr>
          <w:color w:val="000000" w:themeColor="text1"/>
          <w:spacing w:val="-2"/>
          <w:highlight w:val="none"/>
          <w14:textFill>
            <w14:solidFill>
              <w14:schemeClr w14:val="tx1"/>
            </w14:solidFill>
          </w14:textFill>
        </w:rPr>
        <w:t>息系统对接，如接入第三方系统产生费用，该费用由乙方承担。</w:t>
      </w:r>
    </w:p>
    <w:p w14:paraId="06BDCA42">
      <w:pPr>
        <w:pStyle w:val="17"/>
        <w:spacing w:before="111" w:line="276" w:lineRule="auto"/>
        <w:ind w:left="45"/>
        <w:outlineLvl w:val="2"/>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八、各方的权利与义务</w:t>
      </w:r>
    </w:p>
    <w:p w14:paraId="72BC0542">
      <w:pPr>
        <w:pStyle w:val="17"/>
        <w:spacing w:before="109" w:line="276" w:lineRule="auto"/>
        <w:ind w:left="47"/>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（一）甲方权利义务</w:t>
      </w:r>
    </w:p>
    <w:p w14:paraId="11D967D0">
      <w:pPr>
        <w:pStyle w:val="17"/>
        <w:spacing w:before="85" w:line="276" w:lineRule="auto"/>
        <w:ind w:left="58"/>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1.按合同约定支付货款。</w:t>
      </w:r>
    </w:p>
    <w:p w14:paraId="4DC8054A">
      <w:pPr>
        <w:pStyle w:val="17"/>
        <w:spacing w:before="118" w:line="276" w:lineRule="auto"/>
        <w:ind w:left="47"/>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（二）乙方权利义务</w:t>
      </w:r>
    </w:p>
    <w:p w14:paraId="6DE09EA0">
      <w:pPr>
        <w:pStyle w:val="17"/>
        <w:spacing w:before="59" w:line="276" w:lineRule="auto"/>
        <w:ind w:left="19" w:right="110" w:hanging="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1.负责并自行承担设备（物资）采购过程中的所有报价风险。本合同一经签订，乙方任何原因导致</w:t>
      </w:r>
      <w:r>
        <w:rPr>
          <w:color w:val="000000" w:themeColor="text1"/>
          <w:spacing w:val="-3"/>
          <w:highlight w:val="none"/>
          <w14:textFill>
            <w14:solidFill>
              <w14:schemeClr w14:val="tx1"/>
            </w14:solidFill>
          </w14:textFill>
        </w:rPr>
        <w:t>的报价漏项、缺项等的后果均由乙方自行承担。</w:t>
      </w:r>
    </w:p>
    <w:p w14:paraId="0C18644C">
      <w:pPr>
        <w:pStyle w:val="17"/>
        <w:spacing w:before="26" w:line="276" w:lineRule="auto"/>
        <w:ind w:left="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2.保证所供产品符合合同要求，不得弄虚作假、不得提供假冒伪劣产品</w:t>
      </w:r>
      <w:r>
        <w:rPr>
          <w:color w:val="000000" w:themeColor="text1"/>
          <w:spacing w:val="-1"/>
          <w:highlight w:val="none"/>
          <w14:textFill>
            <w14:solidFill>
              <w14:schemeClr w14:val="tx1"/>
            </w14:solidFill>
          </w14:textFill>
        </w:rPr>
        <w:t>或任意提供合同外产品。</w:t>
      </w:r>
    </w:p>
    <w:p w14:paraId="29EF5560">
      <w:pPr>
        <w:pStyle w:val="17"/>
        <w:spacing w:before="81" w:line="276" w:lineRule="auto"/>
        <w:ind w:left="23" w:right="110" w:hanging="17"/>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3.服从甲方的规章制度和现场管理，并按照</w:t>
      </w:r>
      <w:r>
        <w:rPr>
          <w:color w:val="000000" w:themeColor="text1"/>
          <w:highlight w:val="none"/>
          <w14:textFill>
            <w14:solidFill>
              <w14:schemeClr w14:val="tx1"/>
            </w14:solidFill>
          </w14:textFill>
        </w:rPr>
        <w:t>合同要求办理相关设备（物资）的到货验收手续。本合</w:t>
      </w:r>
      <w:r>
        <w:rPr>
          <w:color w:val="000000" w:themeColor="text1"/>
          <w:spacing w:val="-2"/>
          <w:highlight w:val="none"/>
          <w14:textFill>
            <w14:solidFill>
              <w14:schemeClr w14:val="tx1"/>
            </w14:solidFill>
          </w14:textFill>
        </w:rPr>
        <w:t>同采购设备（物资）未办理验收交接手续前，相关资产的风险由乙方承担。</w:t>
      </w:r>
    </w:p>
    <w:p w14:paraId="244F6F16">
      <w:pPr>
        <w:pStyle w:val="17"/>
        <w:spacing w:before="3" w:line="276" w:lineRule="auto"/>
        <w:ind w:right="110"/>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4.完善安全质量保证措施，乙方自行承担其履行合</w:t>
      </w:r>
      <w:r>
        <w:rPr>
          <w:color w:val="000000" w:themeColor="text1"/>
          <w:highlight w:val="none"/>
          <w14:textFill>
            <w14:solidFill>
              <w14:schemeClr w14:val="tx1"/>
            </w14:solidFill>
          </w14:textFill>
        </w:rPr>
        <w:t>同过程产生的所有费用和造成的任何财产和人身损失。乙方及乙方所有员工必须履行安全责任义务，按规范流程提供商品或</w:t>
      </w:r>
      <w:r>
        <w:rPr>
          <w:color w:val="000000" w:themeColor="text1"/>
          <w:spacing w:val="-1"/>
          <w:highlight w:val="none"/>
          <w14:textFill>
            <w14:solidFill>
              <w14:schemeClr w14:val="tx1"/>
            </w14:solidFill>
          </w14:textFill>
        </w:rPr>
        <w:t>服务。如因乙方及其员</w:t>
      </w:r>
      <w:r>
        <w:rPr>
          <w:color w:val="000000" w:themeColor="text1"/>
          <w:highlight w:val="none"/>
          <w14:textFill>
            <w14:solidFill>
              <w14:schemeClr w14:val="tx1"/>
            </w14:solidFill>
          </w14:textFill>
        </w:rPr>
        <w:t>工安全责任或义务履行不到位，引起甲方或合同外其他方人身伤害、机器损</w:t>
      </w:r>
      <w:r>
        <w:rPr>
          <w:color w:val="000000" w:themeColor="text1"/>
          <w:spacing w:val="-1"/>
          <w:highlight w:val="none"/>
          <w14:textFill>
            <w14:solidFill>
              <w14:schemeClr w14:val="tx1"/>
            </w14:solidFill>
          </w14:textFill>
        </w:rPr>
        <w:t>毁以及财产损失等，由乙方承担一切后果及责任（包括但不限于赔偿责任及由此对甲方、合同外其他方造成的影响等）。</w:t>
      </w:r>
    </w:p>
    <w:p w14:paraId="36387531">
      <w:pPr>
        <w:pStyle w:val="17"/>
        <w:spacing w:before="121" w:line="276" w:lineRule="auto"/>
        <w:ind w:left="7"/>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九、违约责任</w:t>
      </w:r>
    </w:p>
    <w:p w14:paraId="04AA30AA">
      <w:pPr>
        <w:pStyle w:val="17"/>
        <w:spacing w:before="259" w:line="276" w:lineRule="auto"/>
        <w:ind w:right="110" w:firstLine="17"/>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1.自本协议生效之日起，双方应严格依约履行。若任何一方违反本协议规定，应赔偿由此给其他方</w:t>
      </w:r>
      <w:r>
        <w:rPr>
          <w:color w:val="000000" w:themeColor="text1"/>
          <w:spacing w:val="-6"/>
          <w:highlight w:val="none"/>
          <w14:textFill>
            <w14:solidFill>
              <w14:schemeClr w14:val="tx1"/>
            </w14:solidFill>
          </w14:textFill>
        </w:rPr>
        <w:t>造成的损失。</w:t>
      </w:r>
    </w:p>
    <w:p w14:paraId="32AF974F">
      <w:pPr>
        <w:pStyle w:val="17"/>
        <w:spacing w:before="132" w:line="276" w:lineRule="auto"/>
        <w:ind w:left="19" w:right="17" w:hanging="15"/>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2.如果乙方没有按照合同规定时间交货的，每逾期一日，乙</w:t>
      </w:r>
      <w:r>
        <w:rPr>
          <w:color w:val="000000" w:themeColor="text1"/>
          <w:spacing w:val="-2"/>
          <w:highlight w:val="none"/>
          <w14:textFill>
            <w14:solidFill>
              <w14:schemeClr w14:val="tx1"/>
            </w14:solidFill>
          </w14:textFill>
        </w:rPr>
        <w:t>方应按逾期交付货物价款总值的1%计算</w:t>
      </w:r>
      <w:r>
        <w:rPr>
          <w:color w:val="000000" w:themeColor="text1"/>
          <w:spacing w:val="2"/>
          <w:highlight w:val="none"/>
          <w14:textFill>
            <w14:solidFill>
              <w14:schemeClr w14:val="tx1"/>
            </w14:solidFill>
          </w14:textFill>
        </w:rPr>
        <w:t>,向甲方支付逾期交货违约金，但该违约金总额不超过合同总金额的30%。乙方延</w:t>
      </w:r>
      <w:r>
        <w:rPr>
          <w:color w:val="000000" w:themeColor="text1"/>
          <w:spacing w:val="1"/>
          <w:highlight w:val="none"/>
          <w14:textFill>
            <w14:solidFill>
              <w14:schemeClr w14:val="tx1"/>
            </w14:solidFill>
          </w14:textFill>
        </w:rPr>
        <w:t>期交货10日以上的</w:t>
      </w:r>
      <w:r>
        <w:rPr>
          <w:color w:val="000000" w:themeColor="text1"/>
          <w:spacing w:val="5"/>
          <w:highlight w:val="none"/>
          <w14:textFill>
            <w14:solidFill>
              <w14:schemeClr w14:val="tx1"/>
            </w14:solidFill>
          </w14:textFill>
        </w:rPr>
        <w:t>,则视为乙方不能交货，甲方有权因此解除本</w:t>
      </w:r>
      <w:r>
        <w:rPr>
          <w:color w:val="000000" w:themeColor="text1"/>
          <w:spacing w:val="4"/>
          <w:highlight w:val="none"/>
          <w14:textFill>
            <w14:solidFill>
              <w14:schemeClr w14:val="tx1"/>
            </w14:solidFill>
          </w14:textFill>
        </w:rPr>
        <w:t>合同。</w:t>
      </w:r>
    </w:p>
    <w:p w14:paraId="5F52D3E9">
      <w:pPr>
        <w:pStyle w:val="17"/>
        <w:spacing w:before="161" w:line="276" w:lineRule="auto"/>
        <w:ind w:left="6"/>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3.乙方向甲方提供假冒伪劣产品的，乙方按本批次所购产品金额的10倍向甲方支付违约金。</w:t>
      </w:r>
    </w:p>
    <w:p w14:paraId="2E7AD958">
      <w:pPr>
        <w:pStyle w:val="17"/>
        <w:spacing w:before="209" w:line="276" w:lineRule="auto"/>
        <w:ind w:left="1" w:right="110" w:hanging="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4.乙方对本合同所约定的设备价格负责，如果产生与设备价值、成本相关的任何法律纠纷由乙方承</w:t>
      </w:r>
      <w:r>
        <w:rPr>
          <w:color w:val="000000" w:themeColor="text1"/>
          <w:spacing w:val="-3"/>
          <w:highlight w:val="none"/>
          <w14:textFill>
            <w14:solidFill>
              <w14:schemeClr w14:val="tx1"/>
            </w14:solidFill>
          </w14:textFill>
        </w:rPr>
        <w:t>担，甲方不承担任何相关法律责任。</w:t>
      </w:r>
    </w:p>
    <w:p w14:paraId="55321DD8">
      <w:pPr>
        <w:pStyle w:val="17"/>
        <w:spacing w:before="221" w:line="276" w:lineRule="auto"/>
        <w:ind w:left="2" w:right="110" w:firstLine="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5.如乙方的违约行为致使任何第三方（包括但不限于任何人身财产权利）权利被侵害，第三方向甲</w:t>
      </w:r>
      <w:r>
        <w:rPr>
          <w:color w:val="000000" w:themeColor="text1"/>
          <w:spacing w:val="-3"/>
          <w:highlight w:val="none"/>
          <w14:textFill>
            <w14:solidFill>
              <w14:schemeClr w14:val="tx1"/>
            </w14:solidFill>
          </w14:textFill>
        </w:rPr>
        <w:t>方索偿后，甲方有权向乙方追偿，并加收合同总金额的30%的违约金。</w:t>
      </w:r>
    </w:p>
    <w:p w14:paraId="72CFE713">
      <w:pPr>
        <w:pStyle w:val="17"/>
        <w:spacing w:before="221" w:line="276" w:lineRule="auto"/>
        <w:ind w:left="1" w:firstLine="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6.乙方其他违约行为的，乙方按照自本合同生效之日起至违约事项尚未消除期间甲方向乙方购货总</w:t>
      </w:r>
      <w:r>
        <w:rPr>
          <w:color w:val="000000" w:themeColor="text1"/>
          <w:spacing w:val="-1"/>
          <w:highlight w:val="none"/>
          <w14:textFill>
            <w14:solidFill>
              <w14:schemeClr w14:val="tx1"/>
            </w14:solidFill>
          </w14:textFill>
        </w:rPr>
        <w:t>额的30%计算，向甲方支付违约金。如果乙方违约，在收到甲方通知后的10日内没有</w:t>
      </w:r>
      <w:r>
        <w:rPr>
          <w:color w:val="000000" w:themeColor="text1"/>
          <w:spacing w:val="-2"/>
          <w:highlight w:val="none"/>
          <w14:textFill>
            <w14:solidFill>
              <w14:schemeClr w14:val="tx1"/>
            </w14:solidFill>
          </w14:textFill>
        </w:rPr>
        <w:t>或拒不承担违约责任的，则甲方有权从尚未支付乙方的购货价款中扣回违约金。</w:t>
      </w:r>
    </w:p>
    <w:p w14:paraId="0449F212">
      <w:pPr>
        <w:pStyle w:val="17"/>
        <w:spacing w:before="147" w:line="276" w:lineRule="auto"/>
        <w:ind w:left="7" w:right="1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7.因乙方的违约行为给甲方造成损失的（包括所有直接和间接损失），如果违约金不足以补</w:t>
      </w:r>
      <w:r>
        <w:rPr>
          <w:color w:val="000000" w:themeColor="text1"/>
          <w:spacing w:val="-1"/>
          <w:highlight w:val="none"/>
          <w14:textFill>
            <w14:solidFill>
              <w14:schemeClr w14:val="tx1"/>
            </w14:solidFill>
          </w14:textFill>
        </w:rPr>
        <w:t>偿该损失部分的，甲方有权继续要求乙方赔偿甲方所有实际损</w:t>
      </w:r>
      <w:r>
        <w:rPr>
          <w:color w:val="000000" w:themeColor="text1"/>
          <w:spacing w:val="-2"/>
          <w:highlight w:val="none"/>
          <w14:textFill>
            <w14:solidFill>
              <w14:schemeClr w14:val="tx1"/>
            </w14:solidFill>
          </w14:textFill>
        </w:rPr>
        <w:t>失，并保留申诉的权利。</w:t>
      </w:r>
    </w:p>
    <w:p w14:paraId="52805BD2">
      <w:pPr>
        <w:pStyle w:val="17"/>
        <w:spacing w:before="140" w:line="276" w:lineRule="auto"/>
        <w:ind w:left="19" w:right="110" w:hanging="1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8.以上各项违约事项相互独立，各项违约金可叠加给付，支付违约金并不影响乙方继续履行本协议</w:t>
      </w:r>
      <w:r>
        <w:rPr>
          <w:color w:val="000000" w:themeColor="text1"/>
          <w:spacing w:val="-2"/>
          <w:highlight w:val="none"/>
          <w14:textFill>
            <w14:solidFill>
              <w14:schemeClr w14:val="tx1"/>
            </w14:solidFill>
          </w14:textFill>
        </w:rPr>
        <w:t>的其他各项义务（包括但不限于在甲方要求下继续履行本协议、赔偿损失等义务）。</w:t>
      </w:r>
    </w:p>
    <w:p w14:paraId="0DD1F7F2">
      <w:pPr>
        <w:pStyle w:val="17"/>
        <w:spacing w:before="137" w:line="276" w:lineRule="auto"/>
        <w:ind w:left="2" w:right="1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9.乙方若违反本协议第二条第二款、第三条、第四条、第九条第二至五款、第十条、第十三条及第</w:t>
      </w:r>
      <w:r>
        <w:rPr>
          <w:color w:val="000000" w:themeColor="text1"/>
          <w:spacing w:val="-1"/>
          <w:highlight w:val="none"/>
          <w14:textFill>
            <w14:solidFill>
              <w14:schemeClr w14:val="tx1"/>
            </w14:solidFill>
          </w14:textFill>
        </w:rPr>
        <w:t>十四条均视为对本协议的重大违约，甲方随时有权书面通知乙方立即</w:t>
      </w:r>
      <w:r>
        <w:rPr>
          <w:color w:val="000000" w:themeColor="text1"/>
          <w:spacing w:val="-2"/>
          <w:highlight w:val="none"/>
          <w14:textFill>
            <w14:solidFill>
              <w14:schemeClr w14:val="tx1"/>
            </w14:solidFill>
          </w14:textFill>
        </w:rPr>
        <w:t>解除本协议。</w:t>
      </w:r>
    </w:p>
    <w:p w14:paraId="67D246EB">
      <w:pPr>
        <w:pStyle w:val="17"/>
        <w:spacing w:before="179" w:line="276" w:lineRule="auto"/>
        <w:ind w:left="2"/>
        <w:rPr>
          <w:color w:val="000000" w:themeColor="text1"/>
          <w:spacing w:val="-2"/>
          <w:highlight w:val="none"/>
          <w14:textFill>
            <w14:solidFill>
              <w14:schemeClr w14:val="tx1"/>
            </w14:solidFill>
          </w14:textFill>
        </w:rPr>
      </w:pPr>
      <w:r>
        <w:rPr>
          <w:color w:val="000000" w:themeColor="text1"/>
          <w:spacing w:val="-2"/>
          <w:highlight w:val="none"/>
          <w14:textFill>
            <w14:solidFill>
              <w14:schemeClr w14:val="tx1"/>
            </w14:solidFill>
          </w14:textFill>
        </w:rPr>
        <w:t>十、廉洁条款</w:t>
      </w:r>
    </w:p>
    <w:p w14:paraId="716B0707">
      <w:pPr>
        <w:pStyle w:val="17"/>
        <w:spacing w:before="179" w:line="276" w:lineRule="auto"/>
        <w:ind w:left="2"/>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甲乙双方须遵守《南京鼓楼医院物资购销廉洁条例》，条例内容如下：</w:t>
      </w:r>
    </w:p>
    <w:p w14:paraId="0EC30EFE">
      <w:pPr>
        <w:pStyle w:val="17"/>
        <w:spacing w:before="181" w:line="276" w:lineRule="auto"/>
        <w:ind w:left="4" w:right="112" w:hanging="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为进一步加强医疗卫生行风建设，规范医疗卫生机构购销行为，有效</w:t>
      </w:r>
      <w:r>
        <w:rPr>
          <w:color w:val="000000" w:themeColor="text1"/>
          <w:spacing w:val="-1"/>
          <w:highlight w:val="none"/>
          <w14:textFill>
            <w14:solidFill>
              <w14:schemeClr w14:val="tx1"/>
            </w14:solidFill>
          </w14:textFill>
        </w:rPr>
        <w:t>防范商业贿赂行为，营造公平</w:t>
      </w:r>
      <w:r>
        <w:rPr>
          <w:color w:val="000000" w:themeColor="text1"/>
          <w:spacing w:val="-2"/>
          <w:highlight w:val="none"/>
          <w14:textFill>
            <w14:solidFill>
              <w14:schemeClr w14:val="tx1"/>
            </w14:solidFill>
          </w14:textFill>
        </w:rPr>
        <w:t>交易、诚实守信的购销环境，南京鼓楼医院特制定本条例，以资合同各方共同遵守：</w:t>
      </w:r>
    </w:p>
    <w:p w14:paraId="46EE4571">
      <w:pPr>
        <w:pStyle w:val="17"/>
        <w:spacing w:before="99" w:line="276" w:lineRule="auto"/>
        <w:ind w:left="1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1.合同各方按照《民法典》及购销廉洁条例约定购销药品、医用设备、医用耗材及行政办公物资等</w:t>
      </w:r>
      <w:r>
        <w:rPr>
          <w:color w:val="000000" w:themeColor="text1"/>
          <w:position w:val="-1"/>
          <w:highlight w:val="none"/>
          <w14:textFill>
            <w14:solidFill>
              <w14:schemeClr w14:val="tx1"/>
            </w14:solidFill>
          </w14:textFill>
        </w:rPr>
        <w:t>。</w:t>
      </w:r>
    </w:p>
    <w:p w14:paraId="5E7E980B">
      <w:pPr>
        <w:pStyle w:val="17"/>
        <w:spacing w:before="91" w:line="276" w:lineRule="auto"/>
        <w:ind w:left="5" w:right="112" w:hanging="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2.甲方应当严格执行产品购销合同验收、入库制度，对采购产品及发票进行查验，不得违反有关规</w:t>
      </w:r>
      <w:r>
        <w:rPr>
          <w:color w:val="000000" w:themeColor="text1"/>
          <w:spacing w:val="-2"/>
          <w:highlight w:val="none"/>
          <w14:textFill>
            <w14:solidFill>
              <w14:schemeClr w14:val="tx1"/>
            </w14:solidFill>
          </w14:textFill>
        </w:rPr>
        <w:t>定进行合同外采购、违价采购或从非规定渠道采购。</w:t>
      </w:r>
    </w:p>
    <w:p w14:paraId="5B0A1258">
      <w:pPr>
        <w:pStyle w:val="17"/>
        <w:spacing w:before="4" w:line="276" w:lineRule="auto"/>
        <w:ind w:left="1" w:right="112" w:firstLine="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3.甲方严禁接受乙方以任何名义、形式给予的回扣，不得将接受捐赠资助与采购挂钩。甲方工作人员不得参加乙方安排并支付费用的营业性娱乐场所的娱乐活动，不得以任</w:t>
      </w:r>
      <w:r>
        <w:rPr>
          <w:color w:val="000000" w:themeColor="text1"/>
          <w:spacing w:val="-1"/>
          <w:highlight w:val="none"/>
          <w14:textFill>
            <w14:solidFill>
              <w14:schemeClr w14:val="tx1"/>
            </w14:solidFill>
          </w14:textFill>
        </w:rPr>
        <w:t>何形式向乙方索要现金、</w:t>
      </w:r>
      <w:r>
        <w:rPr>
          <w:color w:val="000000" w:themeColor="text1"/>
          <w:highlight w:val="none"/>
          <w14:textFill>
            <w14:solidFill>
              <w14:schemeClr w14:val="tx1"/>
            </w14:solidFill>
          </w14:textFill>
        </w:rPr>
        <w:t>有价证券、支付凭证和贵重礼品等。被迫接受乙方给予的钱物，应予退还</w:t>
      </w:r>
      <w:r>
        <w:rPr>
          <w:color w:val="000000" w:themeColor="text1"/>
          <w:spacing w:val="-1"/>
          <w:highlight w:val="none"/>
          <w14:textFill>
            <w14:solidFill>
              <w14:schemeClr w14:val="tx1"/>
            </w14:solidFill>
          </w14:textFill>
        </w:rPr>
        <w:t>，无法退还的，有责任如</w:t>
      </w:r>
      <w:r>
        <w:rPr>
          <w:color w:val="000000" w:themeColor="text1"/>
          <w:spacing w:val="-3"/>
          <w:highlight w:val="none"/>
          <w14:textFill>
            <w14:solidFill>
              <w14:schemeClr w14:val="tx1"/>
            </w14:solidFill>
          </w14:textFill>
        </w:rPr>
        <w:t>实向纪检监察部门反映情况。</w:t>
      </w:r>
    </w:p>
    <w:p w14:paraId="4D7624B8">
      <w:pPr>
        <w:pStyle w:val="17"/>
        <w:spacing w:before="19" w:line="276" w:lineRule="auto"/>
        <w:ind w:right="1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4.甲方严禁利用任何途径和方式，为乙方统计医师个人及临床科室有关产品用量信息，或为乙方统</w:t>
      </w:r>
      <w:r>
        <w:rPr>
          <w:color w:val="000000" w:themeColor="text1"/>
          <w:spacing w:val="-6"/>
          <w:highlight w:val="none"/>
          <w14:textFill>
            <w14:solidFill>
              <w14:schemeClr w14:val="tx1"/>
            </w14:solidFill>
          </w14:textFill>
        </w:rPr>
        <w:t>计提供便利。</w:t>
      </w:r>
    </w:p>
    <w:p w14:paraId="7636F557">
      <w:pPr>
        <w:pStyle w:val="17"/>
        <w:spacing w:before="58" w:line="276" w:lineRule="auto"/>
        <w:ind w:right="112" w:firstLine="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5.乙方不得以回扣、宴请等方式影响甲方工作人员采购或使用产品的选择权，不得在学术活动中提</w:t>
      </w:r>
      <w:r>
        <w:rPr>
          <w:color w:val="000000" w:themeColor="text1"/>
          <w:spacing w:val="-3"/>
          <w:highlight w:val="none"/>
          <w14:textFill>
            <w14:solidFill>
              <w14:schemeClr w14:val="tx1"/>
            </w14:solidFill>
          </w14:textFill>
        </w:rPr>
        <w:t>供旅游、超标准支付食宿费用。</w:t>
      </w:r>
    </w:p>
    <w:p w14:paraId="76A5DC03">
      <w:pPr>
        <w:pStyle w:val="17"/>
        <w:spacing w:before="59" w:line="276" w:lineRule="auto"/>
        <w:ind w:left="2" w:right="1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6.乙方指定销售代表必须在工作时间到甲方指定地点联系商谈，不得到住院部、门诊部、医技科室等推销产品，不得借故到甲方相关领导、部门负责人及相关工作人员家</w:t>
      </w:r>
      <w:r>
        <w:rPr>
          <w:color w:val="000000" w:themeColor="text1"/>
          <w:spacing w:val="-1"/>
          <w:highlight w:val="none"/>
          <w14:textFill>
            <w14:solidFill>
              <w14:schemeClr w14:val="tx1"/>
            </w14:solidFill>
          </w14:textFill>
        </w:rPr>
        <w:t>中访谈并提供任何好处费等</w:t>
      </w:r>
      <w:r>
        <w:rPr>
          <w:color w:val="000000" w:themeColor="text1"/>
          <w:highlight w:val="none"/>
          <w14:textFill>
            <w14:solidFill>
              <w14:schemeClr w14:val="tx1"/>
            </w14:solidFill>
          </w14:textFill>
        </w:rPr>
        <w:t>。</w:t>
      </w:r>
    </w:p>
    <w:p w14:paraId="444C811E">
      <w:pPr>
        <w:pStyle w:val="17"/>
        <w:spacing w:before="1" w:line="276" w:lineRule="auto"/>
        <w:ind w:left="4" w:right="112" w:firstLine="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7.乙方承诺其公司法定代表人、实际控制人或者股东中无南京鼓楼医院处级以上干部，且无医</w:t>
      </w:r>
      <w:r>
        <w:rPr>
          <w:color w:val="000000" w:themeColor="text1"/>
          <w:spacing w:val="-1"/>
          <w:highlight w:val="none"/>
          <w14:textFill>
            <w14:solidFill>
              <w14:schemeClr w14:val="tx1"/>
            </w14:solidFill>
          </w14:textFill>
        </w:rPr>
        <w:t>院处</w:t>
      </w:r>
      <w:r>
        <w:rPr>
          <w:color w:val="000000" w:themeColor="text1"/>
          <w:highlight w:val="none"/>
          <w14:textFill>
            <w14:solidFill>
              <w14:schemeClr w14:val="tx1"/>
            </w14:solidFill>
          </w14:textFill>
        </w:rPr>
        <w:t>级以上干部配偶、子女、子女配偶、子女配偶的父母，或者与其同</w:t>
      </w:r>
      <w:r>
        <w:rPr>
          <w:color w:val="000000" w:themeColor="text1"/>
          <w:spacing w:val="-1"/>
          <w:highlight w:val="none"/>
          <w14:textFill>
            <w14:solidFill>
              <w14:schemeClr w14:val="tx1"/>
            </w14:solidFill>
          </w14:textFill>
        </w:rPr>
        <w:t>城生活来往密切、有借贷关系或</w:t>
      </w:r>
      <w:r>
        <w:rPr>
          <w:color w:val="000000" w:themeColor="text1"/>
          <w:spacing w:val="-5"/>
          <w:highlight w:val="none"/>
          <w14:textFill>
            <w14:solidFill>
              <w14:schemeClr w14:val="tx1"/>
            </w14:solidFill>
          </w14:textFill>
        </w:rPr>
        <w:t>照护关系的亲属等。</w:t>
      </w:r>
    </w:p>
    <w:p w14:paraId="5237F569">
      <w:pPr>
        <w:pStyle w:val="17"/>
        <w:spacing w:before="8" w:line="276" w:lineRule="auto"/>
        <w:ind w:left="4" w:right="112" w:hanging="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8.乙方如违反本廉洁条例，一经发现，甲方有权</w:t>
      </w:r>
      <w:r>
        <w:rPr>
          <w:color w:val="000000" w:themeColor="text1"/>
          <w:spacing w:val="-1"/>
          <w:highlight w:val="none"/>
          <w14:textFill>
            <w14:solidFill>
              <w14:schemeClr w14:val="tx1"/>
            </w14:solidFill>
          </w14:textFill>
        </w:rPr>
        <w:t>终止购销合同，并向上级主管部门报告。如乙方被</w:t>
      </w:r>
      <w:r>
        <w:rPr>
          <w:color w:val="000000" w:themeColor="text1"/>
          <w:spacing w:val="-2"/>
          <w:highlight w:val="none"/>
          <w14:textFill>
            <w14:solidFill>
              <w14:schemeClr w14:val="tx1"/>
            </w14:solidFill>
          </w14:textFill>
        </w:rPr>
        <w:t>列入商业贿赂不良记录，则严格按照国家相关规定处理。</w:t>
      </w:r>
    </w:p>
    <w:p w14:paraId="7CB3DE33">
      <w:pPr>
        <w:pStyle w:val="17"/>
        <w:spacing w:before="160" w:line="276" w:lineRule="auto"/>
        <w:ind w:left="1"/>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9.本廉洁条例在产品购销过程中，合同各方均需严格遵守。</w:t>
      </w:r>
    </w:p>
    <w:p w14:paraId="085E4777">
      <w:pPr>
        <w:pStyle w:val="17"/>
        <w:spacing w:before="139" w:line="276" w:lineRule="auto"/>
        <w:ind w:left="17"/>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10.本条例由南京鼓楼医院负责解释。</w:t>
      </w:r>
    </w:p>
    <w:p w14:paraId="33D64B7B">
      <w:pPr>
        <w:pStyle w:val="17"/>
        <w:spacing w:before="137" w:line="276" w:lineRule="auto"/>
        <w:ind w:left="17"/>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11.本条例自即日起施行。</w:t>
      </w:r>
    </w:p>
    <w:p w14:paraId="0DDE88EA">
      <w:pPr>
        <w:pStyle w:val="17"/>
        <w:spacing w:before="137" w:line="276" w:lineRule="auto"/>
        <w:ind w:left="1"/>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十一、合同的解除条款</w:t>
      </w:r>
    </w:p>
    <w:p w14:paraId="162CA207">
      <w:pPr>
        <w:pStyle w:val="17"/>
        <w:spacing w:before="96" w:line="276" w:lineRule="auto"/>
        <w:ind w:left="36" w:right="161" w:hanging="35"/>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本合同第九条下解约事由与法定解约事由出现后，解约方有</w:t>
      </w:r>
      <w:r>
        <w:rPr>
          <w:color w:val="000000" w:themeColor="text1"/>
          <w:spacing w:val="-2"/>
          <w:highlight w:val="none"/>
          <w14:textFill>
            <w14:solidFill>
              <w14:schemeClr w14:val="tx1"/>
            </w14:solidFill>
          </w14:textFill>
        </w:rPr>
        <w:t>权提前三个工作日书面通知对方解约，</w:t>
      </w:r>
      <w:r>
        <w:rPr>
          <w:color w:val="000000" w:themeColor="text1"/>
          <w:spacing w:val="-5"/>
          <w:highlight w:val="none"/>
          <w14:textFill>
            <w14:solidFill>
              <w14:schemeClr w14:val="tx1"/>
            </w14:solidFill>
          </w14:textFill>
        </w:rPr>
        <w:t>自通知送达之日起，本合同解除。</w:t>
      </w:r>
    </w:p>
    <w:p w14:paraId="42795EC9">
      <w:pPr>
        <w:pStyle w:val="17"/>
        <w:spacing w:before="179" w:line="276" w:lineRule="auto"/>
        <w:ind w:left="1"/>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十二、争端解决</w:t>
      </w:r>
    </w:p>
    <w:p w14:paraId="60E3C065">
      <w:pPr>
        <w:pStyle w:val="17"/>
        <w:spacing w:before="198" w:line="276" w:lineRule="auto"/>
        <w:ind w:left="1" w:right="112" w:hanging="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双方应本着友好协商的原则，解决与本合同有关的一切争议。如一方不愿协商或协商开始后30日内</w:t>
      </w:r>
      <w:r>
        <w:rPr>
          <w:color w:val="000000" w:themeColor="text1"/>
          <w:spacing w:val="-3"/>
          <w:highlight w:val="none"/>
          <w14:textFill>
            <w14:solidFill>
              <w14:schemeClr w14:val="tx1"/>
            </w14:solidFill>
          </w14:textFill>
        </w:rPr>
        <w:t>无法解决，应提交甲方所在地人民法院裁决。</w:t>
      </w:r>
    </w:p>
    <w:p w14:paraId="031174C7">
      <w:pPr>
        <w:pStyle w:val="17"/>
        <w:spacing w:before="179" w:line="276" w:lineRule="auto"/>
        <w:ind w:left="1"/>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十三、保密条款</w:t>
      </w:r>
    </w:p>
    <w:p w14:paraId="0A29D715">
      <w:pPr>
        <w:pStyle w:val="17"/>
        <w:spacing w:before="99" w:line="276" w:lineRule="auto"/>
        <w:ind w:left="18" w:right="112" w:hanging="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1.双方及其雇员对于本协议的签订、本协议的内容、本协议的履行以及因履行本协议而获知的甲方</w:t>
      </w:r>
      <w:r>
        <w:rPr>
          <w:color w:val="000000" w:themeColor="text1"/>
          <w:spacing w:val="-1"/>
          <w:highlight w:val="none"/>
          <w14:textFill>
            <w14:solidFill>
              <w14:schemeClr w14:val="tx1"/>
            </w14:solidFill>
          </w14:textFill>
        </w:rPr>
        <w:t>的技术、商务、管理（及甲方患者的）等相关信息应承担保密义务。未经甲方书面同意，乙方不得</w:t>
      </w:r>
      <w:r>
        <w:rPr>
          <w:color w:val="000000" w:themeColor="text1"/>
          <w:spacing w:val="-2"/>
          <w:highlight w:val="none"/>
          <w14:textFill>
            <w14:solidFill>
              <w14:schemeClr w14:val="tx1"/>
            </w14:solidFill>
          </w14:textFill>
        </w:rPr>
        <w:t>向任何第三方泄露以上相关信息。法律、行政法规另有规定者除外。</w:t>
      </w:r>
    </w:p>
    <w:p w14:paraId="680E13D5">
      <w:pPr>
        <w:pStyle w:val="17"/>
        <w:spacing w:before="98" w:line="276" w:lineRule="auto"/>
        <w:ind w:left="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2.双方应确保己方人员遵守本条约定保密义务，否则由此产生的一切后</w:t>
      </w:r>
      <w:r>
        <w:rPr>
          <w:color w:val="000000" w:themeColor="text1"/>
          <w:spacing w:val="-1"/>
          <w:highlight w:val="none"/>
          <w14:textFill>
            <w14:solidFill>
              <w14:schemeClr w14:val="tx1"/>
            </w14:solidFill>
          </w14:textFill>
        </w:rPr>
        <w:t>果由违约方承担责任。</w:t>
      </w:r>
    </w:p>
    <w:p w14:paraId="738B3D0C">
      <w:pPr>
        <w:pStyle w:val="17"/>
        <w:spacing w:before="259" w:line="276" w:lineRule="auto"/>
        <w:ind w:left="5"/>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3.本条约定在本协议解除、终止或被认为无效后仍然有效。</w:t>
      </w:r>
    </w:p>
    <w:p w14:paraId="04E2A3F5">
      <w:pPr>
        <w:pStyle w:val="17"/>
        <w:spacing w:before="158" w:line="276" w:lineRule="auto"/>
        <w:ind w:right="1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十四、双方及其雇员均不得在采购全流程中从事违法犯罪和违背公序良俗</w:t>
      </w:r>
      <w:r>
        <w:rPr>
          <w:color w:val="000000" w:themeColor="text1"/>
          <w:spacing w:val="-1"/>
          <w:highlight w:val="none"/>
          <w14:textFill>
            <w14:solidFill>
              <w14:schemeClr w14:val="tx1"/>
            </w14:solidFill>
          </w14:textFill>
        </w:rPr>
        <w:t>活动；乙方向甲方提供的产品或服务中不得存有违背社会主义意识形态相关内容，否则甲方有权</w:t>
      </w:r>
      <w:r>
        <w:rPr>
          <w:color w:val="000000" w:themeColor="text1"/>
          <w:spacing w:val="-2"/>
          <w:highlight w:val="none"/>
          <w14:textFill>
            <w14:solidFill>
              <w14:schemeClr w14:val="tx1"/>
            </w14:solidFill>
          </w14:textFill>
        </w:rPr>
        <w:t>终止合同。</w:t>
      </w:r>
    </w:p>
    <w:p w14:paraId="7585A96D">
      <w:pPr>
        <w:pStyle w:val="17"/>
        <w:spacing w:before="79" w:line="276" w:lineRule="auto"/>
        <w:ind w:left="1"/>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十五、其他条款</w:t>
      </w:r>
    </w:p>
    <w:p w14:paraId="564686E3">
      <w:pPr>
        <w:pStyle w:val="17"/>
        <w:spacing w:before="198" w:line="276" w:lineRule="auto"/>
        <w:ind w:left="17"/>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1.本合同有效期自双方签署之日起，至合同下设备保修期结束之日止。</w:t>
      </w:r>
    </w:p>
    <w:p w14:paraId="1AAFAED1">
      <w:pPr>
        <w:pStyle w:val="17"/>
        <w:spacing w:before="138" w:line="276" w:lineRule="auto"/>
        <w:ind w:right="1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注意条款：本合同到期后，经甲方要求，乙方仍需履行本协议下维保义务，</w:t>
      </w:r>
      <w:r>
        <w:rPr>
          <w:color w:val="000000" w:themeColor="text1"/>
          <w:spacing w:val="-1"/>
          <w:highlight w:val="none"/>
          <w14:textFill>
            <w14:solidFill>
              <w14:schemeClr w14:val="tx1"/>
            </w14:solidFill>
          </w14:textFill>
        </w:rPr>
        <w:t>按照本协议下约定有偿</w:t>
      </w:r>
      <w:r>
        <w:rPr>
          <w:color w:val="000000" w:themeColor="text1"/>
          <w:spacing w:val="-6"/>
          <w:highlight w:val="none"/>
          <w14:textFill>
            <w14:solidFill>
              <w14:schemeClr w14:val="tx1"/>
            </w14:solidFill>
          </w14:textFill>
        </w:rPr>
        <w:t>提供维保服务。</w:t>
      </w:r>
    </w:p>
    <w:p w14:paraId="31D75E12">
      <w:pPr>
        <w:pStyle w:val="17"/>
        <w:spacing w:before="159" w:line="276" w:lineRule="auto"/>
        <w:ind w:left="3"/>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2.本合同生效方式有两种，由甲方任一选择：</w:t>
      </w:r>
    </w:p>
    <w:p w14:paraId="6FE6F9BD">
      <w:pPr>
        <w:pStyle w:val="17"/>
        <w:spacing w:before="118" w:line="276" w:lineRule="auto"/>
        <w:ind w:left="2" w:right="54" w:firstLine="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（1）签署纸质合同：纸质合同一式叁份，甲方执贰份，乙方执壹份，经双方签</w:t>
      </w:r>
      <w:r>
        <w:rPr>
          <w:color w:val="000000" w:themeColor="text1"/>
          <w:spacing w:val="-1"/>
          <w:highlight w:val="none"/>
          <w14:textFill>
            <w14:solidFill>
              <w14:schemeClr w14:val="tx1"/>
            </w14:solidFill>
          </w14:textFill>
        </w:rPr>
        <w:t>字盖章并加盖骑缝章</w:t>
      </w:r>
      <w:r>
        <w:rPr>
          <w:color w:val="000000" w:themeColor="text1"/>
          <w:spacing w:val="-12"/>
          <w:highlight w:val="none"/>
          <w14:textFill>
            <w14:solidFill>
              <w14:schemeClr w14:val="tx1"/>
            </w14:solidFill>
          </w14:textFill>
        </w:rPr>
        <w:t>后生效；</w:t>
      </w:r>
    </w:p>
    <w:p w14:paraId="3DCF374E">
      <w:pPr>
        <w:pStyle w:val="17"/>
        <w:spacing w:before="4" w:line="276" w:lineRule="auto"/>
        <w:ind w:right="67" w:firstLine="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（2）签署电子合同，双方在甲方指定的电子化采</w:t>
      </w:r>
      <w:r>
        <w:rPr>
          <w:color w:val="000000" w:themeColor="text1"/>
          <w:spacing w:val="-1"/>
          <w:highlight w:val="none"/>
          <w14:textFill>
            <w14:solidFill>
              <w14:schemeClr w14:val="tx1"/>
            </w14:solidFill>
          </w14:textFill>
        </w:rPr>
        <w:t>购平台上采用电子签章的方式进行签署，经双方电</w:t>
      </w:r>
      <w:r>
        <w:rPr>
          <w:color w:val="000000" w:themeColor="text1"/>
          <w:highlight w:val="none"/>
          <w14:textFill>
            <w14:solidFill>
              <w14:schemeClr w14:val="tx1"/>
            </w14:solidFill>
          </w14:textFill>
        </w:rPr>
        <w:t>子签字或签章后生效。乙方应当妥善保管好其登录甲方电子化采购平台的账</w:t>
      </w:r>
      <w:r>
        <w:rPr>
          <w:color w:val="000000" w:themeColor="text1"/>
          <w:spacing w:val="-1"/>
          <w:highlight w:val="none"/>
          <w14:textFill>
            <w14:solidFill>
              <w14:schemeClr w14:val="tx1"/>
            </w14:solidFill>
          </w14:textFill>
        </w:rPr>
        <w:t>户及密码，乙方一旦签</w:t>
      </w:r>
      <w:r>
        <w:rPr>
          <w:color w:val="000000" w:themeColor="text1"/>
          <w:highlight w:val="none"/>
          <w14:textFill>
            <w14:solidFill>
              <w14:schemeClr w14:val="tx1"/>
            </w14:solidFill>
          </w14:textFill>
        </w:rPr>
        <w:t>字或签章，即视为签字或签章操作人有权利代表乙方签署协议且已经全面阅</w:t>
      </w:r>
      <w:r>
        <w:rPr>
          <w:color w:val="000000" w:themeColor="text1"/>
          <w:spacing w:val="-1"/>
          <w:highlight w:val="none"/>
          <w14:textFill>
            <w14:solidFill>
              <w14:schemeClr w14:val="tx1"/>
            </w14:solidFill>
          </w14:textFill>
        </w:rPr>
        <w:t>读协议条款，代表乙方</w:t>
      </w:r>
      <w:r>
        <w:rPr>
          <w:color w:val="000000" w:themeColor="text1"/>
          <w:highlight w:val="none"/>
          <w14:textFill>
            <w14:solidFill>
              <w14:schemeClr w14:val="tx1"/>
            </w14:solidFill>
          </w14:textFill>
        </w:rPr>
        <w:t>认可并接受协议的全部权利义务项。双方确认，该电子签章与手写签名或者</w:t>
      </w:r>
      <w:r>
        <w:rPr>
          <w:color w:val="000000" w:themeColor="text1"/>
          <w:spacing w:val="-1"/>
          <w:highlight w:val="none"/>
          <w14:textFill>
            <w14:solidFill>
              <w14:schemeClr w14:val="tx1"/>
            </w14:solidFill>
          </w14:textFill>
        </w:rPr>
        <w:t>盖章具有同等的法律效</w:t>
      </w:r>
      <w:r>
        <w:rPr>
          <w:color w:val="000000" w:themeColor="text1"/>
          <w:highlight w:val="none"/>
          <w14:textFill>
            <w14:solidFill>
              <w14:schemeClr w14:val="tx1"/>
            </w14:solidFill>
          </w14:textFill>
        </w:rPr>
        <w:t>力，任何一方不得仅以电子签章的形式为由否定电子合同的法律效力。签署</w:t>
      </w:r>
      <w:r>
        <w:rPr>
          <w:color w:val="000000" w:themeColor="text1"/>
          <w:spacing w:val="-1"/>
          <w:highlight w:val="none"/>
          <w14:textFill>
            <w14:solidFill>
              <w14:schemeClr w14:val="tx1"/>
            </w14:solidFill>
          </w14:textFill>
        </w:rPr>
        <w:t>电子合同的，双方不再</w:t>
      </w:r>
      <w:r>
        <w:rPr>
          <w:color w:val="000000" w:themeColor="text1"/>
          <w:highlight w:val="none"/>
          <w14:textFill>
            <w14:solidFill>
              <w14:schemeClr w14:val="tx1"/>
            </w14:solidFill>
          </w14:textFill>
        </w:rPr>
        <w:t>签署纸质合同，甲方完成电子签后的合同经电子化采购平台内部回传方式电</w:t>
      </w:r>
      <w:r>
        <w:rPr>
          <w:color w:val="000000" w:themeColor="text1"/>
          <w:spacing w:val="-1"/>
          <w:highlight w:val="none"/>
          <w14:textFill>
            <w14:solidFill>
              <w14:schemeClr w14:val="tx1"/>
            </w14:solidFill>
          </w14:textFill>
        </w:rPr>
        <w:t>子送达至乙方个人账户</w:t>
      </w:r>
      <w:r>
        <w:rPr>
          <w:color w:val="000000" w:themeColor="text1"/>
          <w:position w:val="-1"/>
          <w:highlight w:val="none"/>
          <w14:textFill>
            <w14:solidFill>
              <w14:schemeClr w14:val="tx1"/>
            </w14:solidFill>
          </w14:textFill>
        </w:rPr>
        <w:t>。</w:t>
      </w:r>
    </w:p>
    <w:p w14:paraId="7822ED0B">
      <w:pPr>
        <w:pStyle w:val="17"/>
        <w:spacing w:before="3" w:line="276" w:lineRule="auto"/>
        <w:ind w:left="1" w:right="55" w:hanging="1"/>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双方确认，电子签章生成的签署证明以及存储的与本合同签署相关的全部电子数</w:t>
      </w:r>
      <w:r>
        <w:rPr>
          <w:color w:val="000000" w:themeColor="text1"/>
          <w:highlight w:val="none"/>
          <w14:textFill>
            <w14:solidFill>
              <w14:schemeClr w14:val="tx1"/>
            </w14:solidFill>
          </w14:textFill>
        </w:rPr>
        <w:t>据(包括但不限于实</w:t>
      </w:r>
      <w:r>
        <w:rPr>
          <w:color w:val="000000" w:themeColor="text1"/>
          <w:spacing w:val="1"/>
          <w:highlight w:val="none"/>
          <w14:textFill>
            <w14:solidFill>
              <w14:schemeClr w14:val="tx1"/>
            </w14:solidFill>
          </w14:textFill>
        </w:rPr>
        <w:t>名认证记录、签署过程日志、区块链存证记录等)为本合同的有效组成部分。</w:t>
      </w:r>
      <w:r>
        <w:rPr>
          <w:color w:val="000000" w:themeColor="text1"/>
          <w:highlight w:val="none"/>
          <w14:textFill>
            <w14:solidFill>
              <w14:schemeClr w14:val="tx1"/>
            </w14:solidFill>
          </w14:textFill>
        </w:rPr>
        <w:t>如发生争议，该等电子</w:t>
      </w:r>
      <w:r>
        <w:rPr>
          <w:color w:val="000000" w:themeColor="text1"/>
          <w:spacing w:val="-1"/>
          <w:highlight w:val="none"/>
          <w14:textFill>
            <w14:solidFill>
              <w14:schemeClr w14:val="tx1"/>
            </w14:solidFill>
          </w14:textFill>
        </w:rPr>
        <w:t>数据可作为确定双方权利义务及认定案件事实的原始证据和有效依据，双方对此均予以认</w:t>
      </w:r>
      <w:r>
        <w:rPr>
          <w:color w:val="000000" w:themeColor="text1"/>
          <w:spacing w:val="-2"/>
          <w:highlight w:val="none"/>
          <w14:textFill>
            <w14:solidFill>
              <w14:schemeClr w14:val="tx1"/>
            </w14:solidFill>
          </w14:textFill>
        </w:rPr>
        <w:t>可。</w:t>
      </w:r>
    </w:p>
    <w:p w14:paraId="7D5B2F77">
      <w:pPr>
        <w:pStyle w:val="17"/>
        <w:spacing w:before="61" w:line="276" w:lineRule="auto"/>
        <w:ind w:left="1" w:right="164" w:firstLine="3"/>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3.本项目招标文件、投标文件、合同及其</w:t>
      </w:r>
      <w:r>
        <w:rPr>
          <w:color w:val="000000" w:themeColor="text1"/>
          <w:highlight w:val="none"/>
          <w14:textFill>
            <w14:solidFill>
              <w14:schemeClr w14:val="tx1"/>
            </w14:solidFill>
          </w14:textFill>
        </w:rPr>
        <w:t>附件、其他承诺为本项目不可分割的组成部分，具有同等</w:t>
      </w:r>
      <w:r>
        <w:rPr>
          <w:color w:val="000000" w:themeColor="text1"/>
          <w:spacing w:val="-2"/>
          <w:highlight w:val="none"/>
          <w14:textFill>
            <w14:solidFill>
              <w14:schemeClr w14:val="tx1"/>
            </w14:solidFill>
          </w14:textFill>
        </w:rPr>
        <w:t>法律效力，双方均不可撤销地认同并遵守各附件约定的内容。</w:t>
      </w:r>
    </w:p>
    <w:p w14:paraId="417F4EF2">
      <w:pPr>
        <w:pStyle w:val="17"/>
        <w:spacing w:before="121" w:line="276" w:lineRule="auto"/>
        <w:ind w:left="1" w:right="164" w:hanging="1"/>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4.本合同适用的语言文字为汉语文字，本合同适用法</w:t>
      </w:r>
      <w:r>
        <w:rPr>
          <w:color w:val="000000" w:themeColor="text1"/>
          <w:highlight w:val="none"/>
          <w14:textFill>
            <w14:solidFill>
              <w14:schemeClr w14:val="tx1"/>
            </w14:solidFill>
          </w14:textFill>
        </w:rPr>
        <w:t>律法规为中华人民共和国及其区域内相关法律</w:t>
      </w:r>
      <w:r>
        <w:rPr>
          <w:color w:val="000000" w:themeColor="text1"/>
          <w:spacing w:val="-3"/>
          <w:highlight w:val="none"/>
          <w14:textFill>
            <w14:solidFill>
              <w14:schemeClr w14:val="tx1"/>
            </w14:solidFill>
          </w14:textFill>
        </w:rPr>
        <w:t>法规，本合同条款解释语言以中文为准。</w:t>
      </w:r>
    </w:p>
    <w:p w14:paraId="149D3394">
      <w:pPr>
        <w:spacing w:line="276" w:lineRule="auto"/>
        <w:rPr>
          <w:color w:val="000000" w:themeColor="text1"/>
          <w:spacing w:val="-1"/>
          <w:highlight w:val="none"/>
          <w14:textFill>
            <w14:solidFill>
              <w14:schemeClr w14:val="tx1"/>
            </w14:solidFill>
          </w14:textFill>
        </w:rPr>
      </w:pPr>
      <w:r>
        <w:rPr>
          <w:color w:val="000000" w:themeColor="text1"/>
          <w:spacing w:val="-1"/>
          <w:highlight w:val="none"/>
          <w14:textFill>
            <w14:solidFill>
              <w14:schemeClr w14:val="tx1"/>
            </w14:solidFill>
          </w14:textFill>
        </w:rPr>
        <w:t>5.合同签署地点：南京市鼓楼区。</w:t>
      </w:r>
      <w:r>
        <w:rPr>
          <w:color w:val="000000" w:themeColor="text1"/>
          <w:spacing w:val="-1"/>
          <w:highlight w:val="none"/>
          <w14:textFill>
            <w14:solidFill>
              <w14:schemeClr w14:val="tx1"/>
            </w14:solidFill>
          </w14:textFill>
        </w:rPr>
        <w:br w:type="textWrapping"/>
      </w:r>
    </w:p>
    <w:tbl>
      <w:tblPr>
        <w:tblStyle w:val="4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432"/>
        <w:gridCol w:w="4404"/>
      </w:tblGrid>
      <w:tr w14:paraId="0C5A3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98" w:type="dxa"/>
          </w:tcPr>
          <w:p w14:paraId="1438E9A1">
            <w:pPr>
              <w:spacing w:line="276" w:lineRule="auto"/>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甲方：</w:t>
            </w:r>
            <w:r>
              <w:rPr>
                <w:b/>
                <w:bCs/>
                <w:color w:val="000000" w:themeColor="text1"/>
                <w:szCs w:val="21"/>
                <w:highlight w:val="none"/>
                <w:u w:val="single"/>
                <w14:textFill>
                  <w14:solidFill>
                    <w14:schemeClr w14:val="tx1"/>
                  </w14:solidFill>
                </w14:textFill>
              </w:rPr>
              <w:t>南京鼓楼医院</w:t>
            </w:r>
            <w:r>
              <w:rPr>
                <w:b/>
                <w:bCs/>
                <w:color w:val="000000" w:themeColor="text1"/>
                <w:szCs w:val="21"/>
                <w:highlight w:val="none"/>
                <w14:textFill>
                  <w14:solidFill>
                    <w14:schemeClr w14:val="tx1"/>
                  </w14:solidFill>
                </w14:textFill>
              </w:rPr>
              <w:t>（盖章）</w:t>
            </w:r>
          </w:p>
        </w:tc>
        <w:tc>
          <w:tcPr>
            <w:tcW w:w="4999" w:type="dxa"/>
          </w:tcPr>
          <w:p w14:paraId="5B99F546">
            <w:pPr>
              <w:tabs>
                <w:tab w:val="left" w:pos="420"/>
              </w:tabs>
              <w:spacing w:line="276" w:lineRule="auto"/>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乙方：</w:t>
            </w:r>
            <w:r>
              <w:rPr>
                <w:b/>
                <w:bCs/>
                <w:color w:val="000000" w:themeColor="text1"/>
                <w:szCs w:val="21"/>
                <w:highlight w:val="none"/>
                <w:u w:val="single"/>
                <w14:textFill>
                  <w14:solidFill>
                    <w14:schemeClr w14:val="tx1"/>
                  </w14:solidFill>
                </w14:textFill>
              </w:rPr>
              <w:t xml:space="preserve">                       </w:t>
            </w:r>
            <w:r>
              <w:rPr>
                <w:b/>
                <w:bCs/>
                <w:color w:val="000000" w:themeColor="text1"/>
                <w:szCs w:val="21"/>
                <w:highlight w:val="none"/>
                <w14:textFill>
                  <w14:solidFill>
                    <w14:schemeClr w14:val="tx1"/>
                  </w14:solidFill>
                </w14:textFill>
              </w:rPr>
              <w:t>（盖章）</w:t>
            </w:r>
          </w:p>
        </w:tc>
      </w:tr>
      <w:tr w14:paraId="7ED14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98" w:type="dxa"/>
          </w:tcPr>
          <w:p w14:paraId="592FD87A">
            <w:pPr>
              <w:spacing w:line="276" w:lineRule="auto"/>
              <w:rPr>
                <w:b/>
                <w:bCs/>
                <w:color w:val="000000" w:themeColor="text1"/>
                <w:szCs w:val="21"/>
                <w:highlight w:val="none"/>
                <w:u w:val="single"/>
                <w14:textFill>
                  <w14:solidFill>
                    <w14:schemeClr w14:val="tx1"/>
                  </w14:solidFill>
                </w14:textFill>
              </w:rPr>
            </w:pPr>
            <w:r>
              <w:rPr>
                <w:b/>
                <w:bCs/>
                <w:color w:val="000000" w:themeColor="text1"/>
                <w:szCs w:val="21"/>
                <w:highlight w:val="none"/>
                <w14:textFill>
                  <w14:solidFill>
                    <w14:schemeClr w14:val="tx1"/>
                  </w14:solidFill>
                </w14:textFill>
              </w:rPr>
              <w:t>地址：</w:t>
            </w:r>
            <w:r>
              <w:rPr>
                <w:b/>
                <w:bCs/>
                <w:color w:val="000000" w:themeColor="text1"/>
                <w:szCs w:val="21"/>
                <w:highlight w:val="none"/>
                <w:u w:val="single"/>
                <w14:textFill>
                  <w14:solidFill>
                    <w14:schemeClr w14:val="tx1"/>
                  </w14:solidFill>
                </w14:textFill>
              </w:rPr>
              <w:t>南京市中山路321号</w:t>
            </w:r>
          </w:p>
        </w:tc>
        <w:tc>
          <w:tcPr>
            <w:tcW w:w="4999" w:type="dxa"/>
          </w:tcPr>
          <w:p w14:paraId="61E89EAA">
            <w:pPr>
              <w:spacing w:line="276" w:lineRule="auto"/>
              <w:rPr>
                <w:b/>
                <w:bCs/>
                <w:color w:val="000000" w:themeColor="text1"/>
                <w:szCs w:val="21"/>
                <w:highlight w:val="none"/>
                <w:u w:val="single"/>
                <w14:textFill>
                  <w14:solidFill>
                    <w14:schemeClr w14:val="tx1"/>
                  </w14:solidFill>
                </w14:textFill>
              </w:rPr>
            </w:pPr>
            <w:r>
              <w:rPr>
                <w:b/>
                <w:bCs/>
                <w:color w:val="000000" w:themeColor="text1"/>
                <w:szCs w:val="21"/>
                <w:highlight w:val="none"/>
                <w14:textFill>
                  <w14:solidFill>
                    <w14:schemeClr w14:val="tx1"/>
                  </w14:solidFill>
                </w14:textFill>
              </w:rPr>
              <w:t>地址：</w:t>
            </w:r>
            <w:r>
              <w:rPr>
                <w:b/>
                <w:bCs/>
                <w:color w:val="000000" w:themeColor="text1"/>
                <w:szCs w:val="21"/>
                <w:highlight w:val="none"/>
                <w:u w:val="single"/>
                <w14:textFill>
                  <w14:solidFill>
                    <w14:schemeClr w14:val="tx1"/>
                  </w14:solidFill>
                </w14:textFill>
              </w:rPr>
              <w:t xml:space="preserve">                       </w:t>
            </w:r>
          </w:p>
        </w:tc>
      </w:tr>
      <w:tr w14:paraId="7F80A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98" w:type="dxa"/>
          </w:tcPr>
          <w:p w14:paraId="7A7F3CD1">
            <w:pPr>
              <w:spacing w:line="276" w:lineRule="auto"/>
              <w:rPr>
                <w:rFonts w:eastAsiaTheme="minorEastAsia"/>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邮编：</w:t>
            </w:r>
            <w:r>
              <w:rPr>
                <w:b/>
                <w:bCs/>
                <w:color w:val="000000" w:themeColor="text1"/>
                <w:szCs w:val="21"/>
                <w:highlight w:val="none"/>
                <w:u w:val="single"/>
                <w14:textFill>
                  <w14:solidFill>
                    <w14:schemeClr w14:val="tx1"/>
                  </w14:solidFill>
                </w14:textFill>
              </w:rPr>
              <w:t>210008</w:t>
            </w:r>
            <w:r>
              <w:rPr>
                <w:b/>
                <w:bCs/>
                <w:color w:val="000000" w:themeColor="text1"/>
                <w:szCs w:val="21"/>
                <w:highlight w:val="none"/>
                <w14:textFill>
                  <w14:solidFill>
                    <w14:schemeClr w14:val="tx1"/>
                  </w14:solidFill>
                </w14:textFill>
              </w:rPr>
              <w:t xml:space="preserve">    电话：</w:t>
            </w:r>
            <w:r>
              <w:rPr>
                <w:b/>
                <w:bCs/>
                <w:color w:val="000000" w:themeColor="text1"/>
                <w:szCs w:val="21"/>
                <w:highlight w:val="none"/>
                <w:u w:val="single"/>
                <w14:textFill>
                  <w14:solidFill>
                    <w14:schemeClr w14:val="tx1"/>
                  </w14:solidFill>
                </w14:textFill>
              </w:rPr>
              <w:t>025-83106666</w:t>
            </w:r>
          </w:p>
        </w:tc>
        <w:tc>
          <w:tcPr>
            <w:tcW w:w="4999" w:type="dxa"/>
          </w:tcPr>
          <w:p w14:paraId="2C48E780">
            <w:pPr>
              <w:spacing w:line="276" w:lineRule="auto"/>
              <w:rPr>
                <w:b/>
                <w:bCs/>
                <w:color w:val="000000" w:themeColor="text1"/>
                <w:szCs w:val="21"/>
                <w:highlight w:val="none"/>
                <w:u w:val="single"/>
                <w14:textFill>
                  <w14:solidFill>
                    <w14:schemeClr w14:val="tx1"/>
                  </w14:solidFill>
                </w14:textFill>
              </w:rPr>
            </w:pPr>
            <w:r>
              <w:rPr>
                <w:b/>
                <w:bCs/>
                <w:color w:val="000000" w:themeColor="text1"/>
                <w:szCs w:val="21"/>
                <w:highlight w:val="none"/>
                <w14:textFill>
                  <w14:solidFill>
                    <w14:schemeClr w14:val="tx1"/>
                  </w14:solidFill>
                </w14:textFill>
              </w:rPr>
              <w:t>邮编：</w:t>
            </w:r>
            <w:r>
              <w:rPr>
                <w:b/>
                <w:bCs/>
                <w:color w:val="000000" w:themeColor="text1"/>
                <w:szCs w:val="21"/>
                <w:highlight w:val="none"/>
                <w:u w:val="single"/>
                <w14:textFill>
                  <w14:solidFill>
                    <w14:schemeClr w14:val="tx1"/>
                  </w14:solidFill>
                </w14:textFill>
              </w:rPr>
              <w:t xml:space="preserve">                       </w:t>
            </w:r>
          </w:p>
        </w:tc>
      </w:tr>
      <w:tr w14:paraId="0D837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98" w:type="dxa"/>
          </w:tcPr>
          <w:p w14:paraId="0C7DF2FA">
            <w:pPr>
              <w:tabs>
                <w:tab w:val="left" w:pos="420"/>
              </w:tabs>
              <w:spacing w:line="276" w:lineRule="auto"/>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法定代表人或授权代表：</w:t>
            </w:r>
            <w:r>
              <w:rPr>
                <w:b/>
                <w:bCs/>
                <w:color w:val="000000" w:themeColor="text1"/>
                <w:szCs w:val="21"/>
                <w:highlight w:val="none"/>
                <w:u w:val="single"/>
                <w14:textFill>
                  <w14:solidFill>
                    <w14:schemeClr w14:val="tx1"/>
                  </w14:solidFill>
                </w14:textFill>
              </w:rPr>
              <w:t xml:space="preserve">               </w:t>
            </w:r>
          </w:p>
        </w:tc>
        <w:tc>
          <w:tcPr>
            <w:tcW w:w="4999" w:type="dxa"/>
          </w:tcPr>
          <w:p w14:paraId="0F5662EC">
            <w:pPr>
              <w:spacing w:line="276" w:lineRule="auto"/>
              <w:rPr>
                <w:b/>
                <w:bCs/>
                <w:color w:val="000000" w:themeColor="text1"/>
                <w:szCs w:val="21"/>
                <w:highlight w:val="none"/>
                <w:u w:val="single"/>
                <w14:textFill>
                  <w14:solidFill>
                    <w14:schemeClr w14:val="tx1"/>
                  </w14:solidFill>
                </w14:textFill>
              </w:rPr>
            </w:pPr>
            <w:r>
              <w:rPr>
                <w:b/>
                <w:bCs/>
                <w:color w:val="000000" w:themeColor="text1"/>
                <w:szCs w:val="21"/>
                <w:highlight w:val="none"/>
                <w14:textFill>
                  <w14:solidFill>
                    <w14:schemeClr w14:val="tx1"/>
                  </w14:solidFill>
                </w14:textFill>
              </w:rPr>
              <w:t>传真：</w:t>
            </w:r>
            <w:r>
              <w:rPr>
                <w:b/>
                <w:bCs/>
                <w:color w:val="000000" w:themeColor="text1"/>
                <w:szCs w:val="21"/>
                <w:highlight w:val="none"/>
                <w:u w:val="single"/>
                <w14:textFill>
                  <w14:solidFill>
                    <w14:schemeClr w14:val="tx1"/>
                  </w14:solidFill>
                </w14:textFill>
              </w:rPr>
              <w:t xml:space="preserve">                       </w:t>
            </w:r>
          </w:p>
        </w:tc>
      </w:tr>
      <w:tr w14:paraId="28A8E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98" w:type="dxa"/>
          </w:tcPr>
          <w:p w14:paraId="6307EB00">
            <w:pPr>
              <w:tabs>
                <w:tab w:val="left" w:pos="420"/>
              </w:tabs>
              <w:spacing w:line="276" w:lineRule="auto"/>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采购分管院领导：</w:t>
            </w:r>
            <w:r>
              <w:rPr>
                <w:b/>
                <w:bCs/>
                <w:color w:val="000000" w:themeColor="text1"/>
                <w:szCs w:val="21"/>
                <w:highlight w:val="none"/>
                <w:u w:val="single"/>
                <w14:textFill>
                  <w14:solidFill>
                    <w14:schemeClr w14:val="tx1"/>
                  </w14:solidFill>
                </w14:textFill>
              </w:rPr>
              <w:t xml:space="preserve">                     </w:t>
            </w:r>
          </w:p>
        </w:tc>
        <w:tc>
          <w:tcPr>
            <w:tcW w:w="4999" w:type="dxa"/>
          </w:tcPr>
          <w:p w14:paraId="70101123">
            <w:pPr>
              <w:spacing w:line="276" w:lineRule="auto"/>
              <w:rPr>
                <w:b/>
                <w:bCs/>
                <w:color w:val="000000" w:themeColor="text1"/>
                <w:szCs w:val="21"/>
                <w:highlight w:val="none"/>
                <w:u w:val="single"/>
                <w14:textFill>
                  <w14:solidFill>
                    <w14:schemeClr w14:val="tx1"/>
                  </w14:solidFill>
                </w14:textFill>
              </w:rPr>
            </w:pPr>
            <w:r>
              <w:rPr>
                <w:b/>
                <w:bCs/>
                <w:color w:val="000000" w:themeColor="text1"/>
                <w:szCs w:val="21"/>
                <w:highlight w:val="none"/>
                <w14:textFill>
                  <w14:solidFill>
                    <w14:schemeClr w14:val="tx1"/>
                  </w14:solidFill>
                </w14:textFill>
              </w:rPr>
              <w:t>电话（手机）：</w:t>
            </w:r>
            <w:r>
              <w:rPr>
                <w:b/>
                <w:bCs/>
                <w:color w:val="000000" w:themeColor="text1"/>
                <w:szCs w:val="21"/>
                <w:highlight w:val="none"/>
                <w:u w:val="single"/>
                <w14:textFill>
                  <w14:solidFill>
                    <w14:schemeClr w14:val="tx1"/>
                  </w14:solidFill>
                </w14:textFill>
              </w:rPr>
              <w:t xml:space="preserve">               </w:t>
            </w:r>
          </w:p>
        </w:tc>
      </w:tr>
      <w:tr w14:paraId="0773F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98" w:type="dxa"/>
          </w:tcPr>
          <w:p w14:paraId="514296FE">
            <w:pPr>
              <w:spacing w:line="276" w:lineRule="auto"/>
              <w:rPr>
                <w:b/>
                <w:bCs/>
                <w:color w:val="000000" w:themeColor="text1"/>
                <w:szCs w:val="21"/>
                <w:highlight w:val="none"/>
                <w:u w:val="single"/>
                <w14:textFill>
                  <w14:solidFill>
                    <w14:schemeClr w14:val="tx1"/>
                  </w14:solidFill>
                </w14:textFill>
              </w:rPr>
            </w:pPr>
            <w:r>
              <w:rPr>
                <w:b/>
                <w:bCs/>
                <w:color w:val="000000" w:themeColor="text1"/>
                <w:szCs w:val="21"/>
                <w:highlight w:val="none"/>
                <w14:textFill>
                  <w14:solidFill>
                    <w14:schemeClr w14:val="tx1"/>
                  </w14:solidFill>
                </w14:textFill>
              </w:rPr>
              <w:t>项目主管部门分管院领导：</w:t>
            </w:r>
            <w:r>
              <w:rPr>
                <w:b/>
                <w:bCs/>
                <w:color w:val="000000" w:themeColor="text1"/>
                <w:szCs w:val="21"/>
                <w:highlight w:val="none"/>
                <w:u w:val="single"/>
                <w14:textFill>
                  <w14:solidFill>
                    <w14:schemeClr w14:val="tx1"/>
                  </w14:solidFill>
                </w14:textFill>
              </w:rPr>
              <w:t xml:space="preserve">                     </w:t>
            </w:r>
          </w:p>
        </w:tc>
        <w:tc>
          <w:tcPr>
            <w:tcW w:w="4999" w:type="dxa"/>
          </w:tcPr>
          <w:p w14:paraId="2B608AE1">
            <w:pPr>
              <w:spacing w:line="276" w:lineRule="auto"/>
              <w:rPr>
                <w:b/>
                <w:bCs/>
                <w:color w:val="000000" w:themeColor="text1"/>
                <w:szCs w:val="21"/>
                <w:highlight w:val="none"/>
                <w:u w:val="single"/>
                <w14:textFill>
                  <w14:solidFill>
                    <w14:schemeClr w14:val="tx1"/>
                  </w14:solidFill>
                </w14:textFill>
              </w:rPr>
            </w:pPr>
            <w:r>
              <w:rPr>
                <w:b/>
                <w:bCs/>
                <w:color w:val="000000" w:themeColor="text1"/>
                <w:szCs w:val="21"/>
                <w:highlight w:val="none"/>
                <w14:textFill>
                  <w14:solidFill>
                    <w14:schemeClr w14:val="tx1"/>
                  </w14:solidFill>
                </w14:textFill>
              </w:rPr>
              <w:t>授权代表及手机：</w:t>
            </w:r>
            <w:r>
              <w:rPr>
                <w:b/>
                <w:bCs/>
                <w:color w:val="000000" w:themeColor="text1"/>
                <w:szCs w:val="21"/>
                <w:highlight w:val="none"/>
                <w:u w:val="single"/>
                <w14:textFill>
                  <w14:solidFill>
                    <w14:schemeClr w14:val="tx1"/>
                  </w14:solidFill>
                </w14:textFill>
              </w:rPr>
              <w:t xml:space="preserve">                 </w:t>
            </w:r>
          </w:p>
        </w:tc>
      </w:tr>
      <w:tr w14:paraId="615F9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98" w:type="dxa"/>
          </w:tcPr>
          <w:p w14:paraId="3A96E949">
            <w:pPr>
              <w:tabs>
                <w:tab w:val="left" w:pos="420"/>
              </w:tabs>
              <w:spacing w:line="276" w:lineRule="auto"/>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医用物资采购中心负责人：</w:t>
            </w:r>
            <w:r>
              <w:rPr>
                <w:b/>
                <w:bCs/>
                <w:color w:val="000000" w:themeColor="text1"/>
                <w:szCs w:val="21"/>
                <w:highlight w:val="none"/>
                <w:u w:val="single"/>
                <w14:textFill>
                  <w14:solidFill>
                    <w14:schemeClr w14:val="tx1"/>
                  </w14:solidFill>
                </w14:textFill>
              </w:rPr>
              <w:t xml:space="preserve">             </w:t>
            </w:r>
          </w:p>
        </w:tc>
        <w:tc>
          <w:tcPr>
            <w:tcW w:w="4999" w:type="dxa"/>
          </w:tcPr>
          <w:p w14:paraId="1324EDBB">
            <w:pPr>
              <w:spacing w:line="276" w:lineRule="auto"/>
              <w:rPr>
                <w:b/>
                <w:bCs/>
                <w:color w:val="000000" w:themeColor="text1"/>
                <w:szCs w:val="21"/>
                <w:highlight w:val="none"/>
                <w:u w:val="single"/>
                <w14:textFill>
                  <w14:solidFill>
                    <w14:schemeClr w14:val="tx1"/>
                  </w14:solidFill>
                </w14:textFill>
              </w:rPr>
            </w:pPr>
            <w:r>
              <w:rPr>
                <w:b/>
                <w:bCs/>
                <w:color w:val="000000" w:themeColor="text1"/>
                <w:szCs w:val="21"/>
                <w:highlight w:val="none"/>
                <w14:textFill>
                  <w14:solidFill>
                    <w14:schemeClr w14:val="tx1"/>
                  </w14:solidFill>
                </w14:textFill>
              </w:rPr>
              <w:t>法定代表人：</w:t>
            </w:r>
            <w:r>
              <w:rPr>
                <w:b/>
                <w:bCs/>
                <w:color w:val="000000" w:themeColor="text1"/>
                <w:szCs w:val="21"/>
                <w:highlight w:val="none"/>
                <w:u w:val="single"/>
                <w14:textFill>
                  <w14:solidFill>
                    <w14:schemeClr w14:val="tx1"/>
                  </w14:solidFill>
                </w14:textFill>
              </w:rPr>
              <w:t xml:space="preserve">           </w:t>
            </w:r>
          </w:p>
        </w:tc>
      </w:tr>
      <w:tr w14:paraId="3B268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98" w:type="dxa"/>
          </w:tcPr>
          <w:p w14:paraId="31066E17">
            <w:pPr>
              <w:tabs>
                <w:tab w:val="left" w:pos="420"/>
              </w:tabs>
              <w:spacing w:line="276" w:lineRule="auto"/>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日期：</w:t>
            </w:r>
            <w:r>
              <w:rPr>
                <w:b/>
                <w:bCs/>
                <w:color w:val="000000" w:themeColor="text1"/>
                <w:szCs w:val="21"/>
                <w:highlight w:val="none"/>
                <w:u w:val="single"/>
                <w14:textFill>
                  <w14:solidFill>
                    <w14:schemeClr w14:val="tx1"/>
                  </w14:solidFill>
                </w14:textFill>
              </w:rPr>
              <w:t xml:space="preserve">               </w:t>
            </w:r>
          </w:p>
        </w:tc>
        <w:tc>
          <w:tcPr>
            <w:tcW w:w="4999" w:type="dxa"/>
          </w:tcPr>
          <w:p w14:paraId="658F231A">
            <w:pPr>
              <w:tabs>
                <w:tab w:val="left" w:pos="420"/>
              </w:tabs>
              <w:spacing w:line="276" w:lineRule="auto"/>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日期：</w:t>
            </w:r>
            <w:r>
              <w:rPr>
                <w:b/>
                <w:bCs/>
                <w:color w:val="000000" w:themeColor="text1"/>
                <w:szCs w:val="21"/>
                <w:highlight w:val="none"/>
                <w:u w:val="single"/>
                <w14:textFill>
                  <w14:solidFill>
                    <w14:schemeClr w14:val="tx1"/>
                  </w14:solidFill>
                </w14:textFill>
              </w:rPr>
              <w:t xml:space="preserve">                       </w:t>
            </w:r>
          </w:p>
        </w:tc>
      </w:tr>
    </w:tbl>
    <w:p w14:paraId="66BED410">
      <w:pPr>
        <w:spacing w:line="276" w:lineRule="auto"/>
        <w:rPr>
          <w:b/>
          <w:color w:val="000000" w:themeColor="text1"/>
          <w:szCs w:val="21"/>
          <w:highlight w:val="none"/>
          <w14:textFill>
            <w14:solidFill>
              <w14:schemeClr w14:val="tx1"/>
            </w14:solidFill>
          </w14:textFill>
        </w:rPr>
      </w:pPr>
      <w:r>
        <w:rPr>
          <w:color w:val="000000" w:themeColor="text1"/>
          <w:spacing w:val="-1"/>
          <w:highlight w:val="none"/>
          <w14:textFill>
            <w14:solidFill>
              <w14:schemeClr w14:val="tx1"/>
            </w14:solidFill>
          </w14:textFill>
        </w:rPr>
        <w:br w:type="textWrapping"/>
      </w:r>
      <w:r>
        <w:rPr>
          <w:b/>
          <w:bCs/>
          <w:color w:val="000000" w:themeColor="text1"/>
          <w:szCs w:val="21"/>
          <w:highlight w:val="none"/>
          <w14:textFill>
            <w14:solidFill>
              <w14:schemeClr w14:val="tx1"/>
            </w14:solidFill>
          </w14:textFill>
        </w:rPr>
        <w:t>附件一：</w:t>
      </w:r>
      <w:r>
        <w:rPr>
          <w:b/>
          <w:color w:val="000000" w:themeColor="text1"/>
          <w:szCs w:val="21"/>
          <w:highlight w:val="none"/>
          <w14:textFill>
            <w14:solidFill>
              <w14:schemeClr w14:val="tx1"/>
            </w14:solidFill>
          </w14:textFill>
        </w:rPr>
        <w:t>南京鼓楼医院医疗设备安装（含维修）单位消防、安全生产、治安管理承诺书</w:t>
      </w:r>
    </w:p>
    <w:p w14:paraId="5019C0CC">
      <w:pPr>
        <w:pStyle w:val="18"/>
        <w:spacing w:line="276" w:lineRule="auto"/>
        <w:ind w:left="0"/>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附件二：医疗设备供应商验收须知</w:t>
      </w:r>
    </w:p>
    <w:p w14:paraId="6515CCB3">
      <w:pPr>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br w:type="page" w:clear="all"/>
      </w:r>
    </w:p>
    <w:p w14:paraId="3456E66C">
      <w:pPr>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附件一：</w:t>
      </w:r>
    </w:p>
    <w:p w14:paraId="2532CE02">
      <w:pPr>
        <w:pStyle w:val="40"/>
        <w:spacing w:before="0" w:after="0" w:line="276"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南京鼓楼医院</w:t>
      </w:r>
      <w:r>
        <w:rPr>
          <w:rFonts w:ascii="Times New Roman" w:hAnsi="Times New Roman"/>
          <w:color w:val="000000" w:themeColor="text1"/>
          <w:sz w:val="21"/>
          <w:szCs w:val="21"/>
          <w:highlight w:val="none"/>
          <w14:textFill>
            <w14:solidFill>
              <w14:schemeClr w14:val="tx1"/>
            </w14:solidFill>
          </w14:textFill>
        </w:rPr>
        <w:br w:type="textWrapping"/>
      </w:r>
      <w:r>
        <w:rPr>
          <w:rFonts w:ascii="Times New Roman" w:hAnsi="Times New Roman"/>
          <w:color w:val="000000" w:themeColor="text1"/>
          <w:sz w:val="21"/>
          <w:szCs w:val="21"/>
          <w:highlight w:val="none"/>
          <w14:textFill>
            <w14:solidFill>
              <w14:schemeClr w14:val="tx1"/>
            </w14:solidFill>
          </w14:textFill>
        </w:rPr>
        <w:t>医疗设备安装（含维修）单位消防、安全生产、治安管理承诺书</w:t>
      </w:r>
    </w:p>
    <w:p w14:paraId="5E318715">
      <w:pPr>
        <w:spacing w:line="276" w:lineRule="auto"/>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医疗设备安装（含维修）单位的消防、安全生产、治安管理工作责任人在南京鼓楼医院医用物资保障处的指导下，全面负责本单位在南京鼓楼医院相关医疗设备安装（含维修）期间的消防、安全生产和治安防范工作，履行下列职责：</w:t>
      </w:r>
    </w:p>
    <w:p w14:paraId="36B310F6">
      <w:pPr>
        <w:spacing w:line="276" w:lineRule="auto"/>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一、贯彻执行消防法规、建筑法规、安全治安管理有关法律法规，自觉接受南京鼓楼医院医用物资保障处的安全管理领导。</w:t>
      </w:r>
    </w:p>
    <w:p w14:paraId="3097438A">
      <w:pPr>
        <w:spacing w:line="276" w:lineRule="auto"/>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二、医疗设备安装（含维修）管理必须坚持“安全第一、预防为主”的方针，医疗设备安装（含维修）单位的法定代表人对本单位在南京鼓楼医院的安全生产负责。</w:t>
      </w:r>
    </w:p>
    <w:p w14:paraId="3368F3FF">
      <w:pPr>
        <w:spacing w:line="276" w:lineRule="auto"/>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三、医疗设备安装（含维修）单位必须依法加强对医疗设备安全施工的管理，执行安全生产责任制度，采取有效措施，防止伤亡和其他安全生产责任事故的发生。</w:t>
      </w:r>
    </w:p>
    <w:p w14:paraId="2C7E5943">
      <w:pPr>
        <w:spacing w:line="276" w:lineRule="auto"/>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四、医疗设备安装（含维修）单位应当建立健全劳动安全生产教育培训制度，加强对职工安全生产的教育和培训，未经安全生产教育培训人员不得上岗作业。</w:t>
      </w:r>
    </w:p>
    <w:p w14:paraId="5B644C99">
      <w:pPr>
        <w:spacing w:line="276" w:lineRule="auto"/>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五、医疗设备安装（含维修）的施工人员在南京鼓楼医院施工过程中，应当遵守有关安全生产的法律、法规和建筑行业、医疗设备行业的安全规章（规程），不得违章指挥或违章作业。</w:t>
      </w:r>
    </w:p>
    <w:p w14:paraId="6E3A942E">
      <w:pPr>
        <w:spacing w:line="276" w:lineRule="auto"/>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p>
    <w:p w14:paraId="30758DC0">
      <w:pPr>
        <w:spacing w:line="276" w:lineRule="auto"/>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七、严格管理动火程序，因医疗设备安装（含维修）需动用电焊及氧焊或其他产生明火的工程，事先需到南京鼓楼医院保卫处开具动火审批手续并采取防范措施后方能实施。</w:t>
      </w:r>
    </w:p>
    <w:p w14:paraId="47978F9C">
      <w:pPr>
        <w:spacing w:line="276" w:lineRule="auto"/>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八、医疗设备安装（含维修）单位应加强对在南京鼓楼医院施工的工程人员的管理，并将在我院施工的所有工作人员名单上报到南京鼓楼医院医用物资保障处备案，接受院方动态监督。</w:t>
      </w:r>
    </w:p>
    <w:p w14:paraId="6996104E">
      <w:pPr>
        <w:spacing w:line="276" w:lineRule="auto"/>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p>
    <w:p w14:paraId="3E17D473">
      <w:pPr>
        <w:spacing w:line="276" w:lineRule="auto"/>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十、在您签名（盖章）前，请认真阅读以上规定，签字（盖章）后，表示已同意遵守南京鼓楼医院有关消防、安全生产、治安保卫规定，南京鼓楼医院对本制度有最终解释权。</w:t>
      </w:r>
    </w:p>
    <w:tbl>
      <w:tblPr>
        <w:tblStyle w:val="44"/>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26"/>
        <w:gridCol w:w="2861"/>
      </w:tblGrid>
      <w:tr w14:paraId="14579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right"/>
        </w:trPr>
        <w:tc>
          <w:tcPr>
            <w:tcW w:w="4226" w:type="dxa"/>
          </w:tcPr>
          <w:p w14:paraId="0A942831">
            <w:pPr>
              <w:spacing w:line="440" w:lineRule="exact"/>
              <w:ind w:firstLine="420"/>
              <w:jc w:val="righ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医疗设备安装（含维修）单位（章）：</w:t>
            </w:r>
          </w:p>
        </w:tc>
        <w:tc>
          <w:tcPr>
            <w:tcW w:w="2861" w:type="dxa"/>
          </w:tcPr>
          <w:p w14:paraId="4995B572">
            <w:pPr>
              <w:spacing w:line="440" w:lineRule="exact"/>
              <w:ind w:firstLine="420"/>
              <w:rPr>
                <w:color w:val="000000" w:themeColor="text1"/>
                <w:szCs w:val="21"/>
                <w:highlight w:val="none"/>
                <w14:textFill>
                  <w14:solidFill>
                    <w14:schemeClr w14:val="tx1"/>
                  </w14:solidFill>
                </w14:textFill>
              </w:rPr>
            </w:pPr>
          </w:p>
        </w:tc>
      </w:tr>
      <w:tr w14:paraId="3FC4D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right"/>
        </w:trPr>
        <w:tc>
          <w:tcPr>
            <w:tcW w:w="4226" w:type="dxa"/>
          </w:tcPr>
          <w:p w14:paraId="739A4B0E">
            <w:pPr>
              <w:spacing w:line="440" w:lineRule="exact"/>
              <w:ind w:firstLine="420"/>
              <w:jc w:val="righ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法定代表人（签字）：</w:t>
            </w:r>
          </w:p>
        </w:tc>
        <w:tc>
          <w:tcPr>
            <w:tcW w:w="2861" w:type="dxa"/>
          </w:tcPr>
          <w:p w14:paraId="512BA1EC">
            <w:pPr>
              <w:spacing w:line="440" w:lineRule="exact"/>
              <w:ind w:firstLine="420"/>
              <w:rPr>
                <w:color w:val="000000" w:themeColor="text1"/>
                <w:szCs w:val="21"/>
                <w:highlight w:val="none"/>
                <w14:textFill>
                  <w14:solidFill>
                    <w14:schemeClr w14:val="tx1"/>
                  </w14:solidFill>
                </w14:textFill>
              </w:rPr>
            </w:pPr>
          </w:p>
        </w:tc>
      </w:tr>
      <w:tr w14:paraId="4A41E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right"/>
        </w:trPr>
        <w:tc>
          <w:tcPr>
            <w:tcW w:w="4226" w:type="dxa"/>
          </w:tcPr>
          <w:p w14:paraId="3586709E">
            <w:pPr>
              <w:spacing w:line="440" w:lineRule="exact"/>
              <w:ind w:firstLine="420"/>
              <w:jc w:val="righ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日期：</w:t>
            </w:r>
          </w:p>
        </w:tc>
        <w:tc>
          <w:tcPr>
            <w:tcW w:w="2861" w:type="dxa"/>
          </w:tcPr>
          <w:p w14:paraId="69F9F8EA">
            <w:pPr>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年      月     日</w:t>
            </w:r>
          </w:p>
        </w:tc>
      </w:tr>
    </w:tbl>
    <w:p w14:paraId="0D5AE419">
      <w:pPr>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br w:type="page" w:clear="all"/>
      </w:r>
    </w:p>
    <w:p w14:paraId="3DED505D">
      <w:pPr>
        <w:spacing w:line="6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附件二：</w:t>
      </w:r>
    </w:p>
    <w:p w14:paraId="2621348F">
      <w:pPr>
        <w:spacing w:line="276" w:lineRule="auto"/>
        <w:ind w:firstLine="422"/>
        <w:jc w:val="center"/>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医疗设备供应商验收须知</w:t>
      </w:r>
    </w:p>
    <w:p w14:paraId="5E0A5024">
      <w:pPr>
        <w:spacing w:line="276" w:lineRule="auto"/>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医疗设备采购合同是验收环节的最关键和最核心文件，甲乙双方都应严格遵守合同各项条款，现将医疗设备合同验收关键点告知如下，请大家供货之前做好自查工作：</w:t>
      </w:r>
    </w:p>
    <w:p w14:paraId="4182DF00">
      <w:pPr>
        <w:spacing w:line="276" w:lineRule="auto"/>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1.核对设备名称、品牌、规格型号、注册证号、产地及配置（设备铭牌有关信息与注册证、报关单信息一致）与合同约定条款一致；</w:t>
      </w:r>
    </w:p>
    <w:p w14:paraId="20051E8D">
      <w:pPr>
        <w:spacing w:line="276" w:lineRule="auto"/>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2.提前3天联系医用物资保障处，按要求将设备送达医院指定地点（供应商代表必须到场确认外包装无破损，不接受快递直接送货），设备安装完成后免费、及时清理包装纸箱、木箱等拆除物；</w:t>
      </w:r>
    </w:p>
    <w:p w14:paraId="14F5645F">
      <w:pPr>
        <w:spacing w:line="276" w:lineRule="auto"/>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3.按合同约定到货时间或医院要求时间提供设备；</w:t>
      </w:r>
    </w:p>
    <w:p w14:paraId="134819D3">
      <w:pPr>
        <w:spacing w:line="276" w:lineRule="auto"/>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4.医疗设备出厂日期必须满足合同约定条款；</w:t>
      </w:r>
    </w:p>
    <w:p w14:paraId="745F72C0">
      <w:pPr>
        <w:spacing w:line="276" w:lineRule="auto"/>
        <w:ind w:firstLine="42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5.设备安装后，提供医疗设备参数、性能检测合格报告，如果原厂无检测能力，医院委托国内具有相关资质的单位进行检测，按照合同约定费用由供应商承担，否则不予验收；</w:t>
      </w:r>
    </w:p>
    <w:p w14:paraId="2E0E080F">
      <w:pPr>
        <w:spacing w:line="276" w:lineRule="auto"/>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6.认真履行合同中关于设备开机率及维护情况的条款（与支付中期款、尾款挂钩）。</w:t>
      </w:r>
    </w:p>
    <w:tbl>
      <w:tblPr>
        <w:tblStyle w:val="44"/>
        <w:tblW w:w="6378"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68"/>
        <w:gridCol w:w="4110"/>
      </w:tblGrid>
      <w:tr w14:paraId="286E2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right"/>
        </w:trPr>
        <w:tc>
          <w:tcPr>
            <w:tcW w:w="2268" w:type="dxa"/>
          </w:tcPr>
          <w:p w14:paraId="4DF074EA">
            <w:pPr>
              <w:spacing w:line="440" w:lineRule="exact"/>
              <w:ind w:firstLine="420"/>
              <w:jc w:val="righ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公司名称：</w:t>
            </w:r>
          </w:p>
        </w:tc>
        <w:tc>
          <w:tcPr>
            <w:tcW w:w="4110" w:type="dxa"/>
          </w:tcPr>
          <w:p w14:paraId="62AF9CFA">
            <w:pPr>
              <w:spacing w:line="440" w:lineRule="exact"/>
              <w:ind w:firstLine="17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（盖章）</w:t>
            </w:r>
          </w:p>
        </w:tc>
      </w:tr>
      <w:tr w14:paraId="6A147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right"/>
        </w:trPr>
        <w:tc>
          <w:tcPr>
            <w:tcW w:w="2268" w:type="dxa"/>
          </w:tcPr>
          <w:p w14:paraId="7CE0B0E7">
            <w:pPr>
              <w:spacing w:line="440" w:lineRule="exact"/>
              <w:ind w:firstLine="420"/>
              <w:jc w:val="righ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w:t>
            </w:r>
          </w:p>
        </w:tc>
        <w:tc>
          <w:tcPr>
            <w:tcW w:w="4110" w:type="dxa"/>
          </w:tcPr>
          <w:p w14:paraId="0FFAF6B9">
            <w:pPr>
              <w:spacing w:line="440" w:lineRule="exact"/>
              <w:rPr>
                <w:color w:val="000000" w:themeColor="text1"/>
                <w:highlight w:val="none"/>
                <w14:textFill>
                  <w14:solidFill>
                    <w14:schemeClr w14:val="tx1"/>
                  </w14:solidFill>
                </w14:textFill>
              </w:rPr>
            </w:pPr>
          </w:p>
        </w:tc>
      </w:tr>
      <w:tr w14:paraId="292AF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right"/>
        </w:trPr>
        <w:tc>
          <w:tcPr>
            <w:tcW w:w="2268" w:type="dxa"/>
          </w:tcPr>
          <w:p w14:paraId="328BD5BF">
            <w:pPr>
              <w:spacing w:line="440" w:lineRule="exact"/>
              <w:ind w:firstLine="420"/>
              <w:jc w:val="righ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日    期：</w:t>
            </w:r>
          </w:p>
        </w:tc>
        <w:tc>
          <w:tcPr>
            <w:tcW w:w="4110" w:type="dxa"/>
          </w:tcPr>
          <w:p w14:paraId="405CDEDD">
            <w:pPr>
              <w:spacing w:line="440" w:lineRule="exact"/>
              <w:rPr>
                <w:color w:val="000000" w:themeColor="text1"/>
                <w:highlight w:val="none"/>
                <w14:textFill>
                  <w14:solidFill>
                    <w14:schemeClr w14:val="tx1"/>
                  </w14:solidFill>
                </w14:textFill>
              </w:rPr>
            </w:pPr>
          </w:p>
        </w:tc>
      </w:tr>
    </w:tbl>
    <w:p w14:paraId="02DFB315">
      <w:pPr>
        <w:pStyle w:val="18"/>
        <w:ind w:left="0" w:firstLine="422"/>
        <w:rPr>
          <w:b/>
          <w:bCs/>
          <w:color w:val="000000" w:themeColor="text1"/>
          <w:szCs w:val="21"/>
          <w:highlight w:val="none"/>
          <w14:textFill>
            <w14:solidFill>
              <w14:schemeClr w14:val="tx1"/>
            </w14:solidFill>
          </w14:textFill>
        </w:rPr>
      </w:pPr>
    </w:p>
    <w:p w14:paraId="0F0FE46F">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br w:type="page" w:clear="all"/>
      </w:r>
    </w:p>
    <w:p w14:paraId="124CE3C8">
      <w:pPr>
        <w:spacing w:line="276" w:lineRule="auto"/>
        <w:ind w:left="142" w:firstLine="211"/>
        <w:jc w:val="center"/>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售后</w:t>
      </w:r>
      <w:r>
        <w:rPr>
          <w:b/>
          <w:color w:val="000000" w:themeColor="text1"/>
          <w:szCs w:val="21"/>
          <w:highlight w:val="none"/>
          <w14:textFill>
            <w14:solidFill>
              <w14:schemeClr w14:val="tx1"/>
            </w14:solidFill>
          </w14:textFill>
        </w:rPr>
        <w:t>服务</w:t>
      </w:r>
      <w:r>
        <w:rPr>
          <w:b/>
          <w:color w:val="000000" w:themeColor="text1"/>
          <w:highlight w:val="none"/>
          <w14:textFill>
            <w14:solidFill>
              <w14:schemeClr w14:val="tx1"/>
            </w14:solidFill>
          </w14:textFill>
        </w:rPr>
        <w:t>条款</w:t>
      </w:r>
    </w:p>
    <w:p w14:paraId="2E0FFD27">
      <w:pPr>
        <w:spacing w:line="276" w:lineRule="auto"/>
        <w:ind w:left="142" w:firstLine="221"/>
        <w:jc w:val="left"/>
        <w:rPr>
          <w:b/>
          <w:color w:val="000000" w:themeColor="text1"/>
          <w:sz w:val="22"/>
          <w:highlight w:val="none"/>
          <w14:textFill>
            <w14:solidFill>
              <w14:schemeClr w14:val="tx1"/>
            </w14:solidFill>
          </w14:textFill>
        </w:rPr>
      </w:pPr>
      <w:r>
        <w:rPr>
          <w:b/>
          <w:color w:val="000000" w:themeColor="text1"/>
          <w:sz w:val="22"/>
          <w:highlight w:val="none"/>
          <w14:textFill>
            <w14:solidFill>
              <w14:schemeClr w14:val="tx1"/>
            </w14:solidFill>
          </w14:textFill>
        </w:rPr>
        <w:t>甲方：南京鼓楼医院    乙方：设备供应商</w:t>
      </w:r>
    </w:p>
    <w:p w14:paraId="155C062D">
      <w:pPr>
        <w:tabs>
          <w:tab w:val="left" w:pos="360"/>
        </w:tabs>
        <w:spacing w:line="276" w:lineRule="auto"/>
        <w:ind w:left="360" w:hanging="360"/>
        <w:rPr>
          <w:color w:val="000000" w:themeColor="text1"/>
          <w:szCs w:val="21"/>
          <w:highlight w:val="none"/>
          <w:u w:val="single"/>
          <w14:textFill>
            <w14:solidFill>
              <w14:schemeClr w14:val="tx1"/>
            </w14:solidFill>
          </w14:textFill>
        </w:rPr>
      </w:pPr>
      <w:r>
        <w:rPr>
          <w:rFonts w:hint="eastAsia" w:eastAsiaTheme="minorEastAsia"/>
          <w:color w:val="000000" w:themeColor="text1"/>
          <w:szCs w:val="21"/>
          <w:highlight w:val="none"/>
          <w14:textFill>
            <w14:solidFill>
              <w14:schemeClr w14:val="tx1"/>
            </w14:solidFill>
          </w14:textFill>
        </w:rPr>
        <w:t>1．</w:t>
      </w:r>
      <w:r>
        <w:rPr>
          <w:color w:val="000000" w:themeColor="text1"/>
          <w:highlight w:val="none"/>
          <w14:textFill>
            <w14:solidFill>
              <w14:schemeClr w14:val="tx1"/>
            </w14:solidFill>
          </w14:textFill>
        </w:rPr>
        <w:t>乙方免费提前为甲方提供设备安装图纸，并充分协助甲方做好机房的准备工作（如必要的话）。</w:t>
      </w:r>
    </w:p>
    <w:p w14:paraId="62B3B714">
      <w:pPr>
        <w:pStyle w:val="268"/>
        <w:tabs>
          <w:tab w:val="left" w:pos="360"/>
        </w:tabs>
        <w:spacing w:line="276" w:lineRule="auto"/>
        <w:ind w:left="360" w:hanging="360"/>
        <w:rPr>
          <w:b/>
          <w:bCs/>
          <w:color w:val="000000" w:themeColor="text1"/>
          <w:szCs w:val="21"/>
          <w:highlight w:val="none"/>
          <w:u w:val="single"/>
          <w14:textFill>
            <w14:solidFill>
              <w14:schemeClr w14:val="tx1"/>
            </w14:solidFill>
          </w14:textFill>
        </w:rPr>
      </w:pPr>
      <w:r>
        <w:rPr>
          <w:rFonts w:hint="eastAsia" w:eastAsiaTheme="minorEastAsia"/>
          <w:b/>
          <w:bCs/>
          <w:color w:val="000000" w:themeColor="text1"/>
          <w:szCs w:val="21"/>
          <w:highlight w:val="none"/>
          <w14:textFill>
            <w14:solidFill>
              <w14:schemeClr w14:val="tx1"/>
            </w14:solidFill>
          </w14:textFill>
        </w:rPr>
        <w:t>2．</w:t>
      </w:r>
      <w:r>
        <w:rPr>
          <w:color w:val="000000" w:themeColor="text1"/>
          <w:highlight w:val="none"/>
          <w14:textFill>
            <w14:solidFill>
              <w14:schemeClr w14:val="tx1"/>
            </w14:solidFill>
          </w14:textFill>
        </w:rPr>
        <w:t>所有医疗设备必须提供符合国家标准的电源线，插头制式必须为中国标准制式，保证安全接地，不接受欧标、美标等制式电源线。</w:t>
      </w:r>
    </w:p>
    <w:p w14:paraId="60E6299B">
      <w:pPr>
        <w:pStyle w:val="268"/>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3．</w:t>
      </w:r>
      <w:r>
        <w:rPr>
          <w:color w:val="000000" w:themeColor="text1"/>
          <w:highlight w:val="none"/>
          <w14:textFill>
            <w14:solidFill>
              <w14:schemeClr w14:val="tx1"/>
            </w14:solidFill>
          </w14:textFill>
        </w:rPr>
        <w:t>设备安装时，乙方负责设备的免费安装和调试，但乙方必须事先与甲方的医用物资保障处联系，并与医用物资保障处共同参与，否则引起的一切责任由乙方承担。</w:t>
      </w:r>
    </w:p>
    <w:p w14:paraId="16ACFDD3">
      <w:pPr>
        <w:pStyle w:val="268"/>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4．</w:t>
      </w:r>
      <w:r>
        <w:rPr>
          <w:color w:val="000000" w:themeColor="text1"/>
          <w:highlight w:val="none"/>
          <w14:textFill>
            <w14:solidFill>
              <w14:schemeClr w14:val="tx1"/>
            </w14:solidFill>
          </w14:textFill>
        </w:rPr>
        <w:t>乙方逾期交付货物的，每逾期一天，乙方向甲方偿付货款总额1%的滞纳金，如乙方逾期交货达10天，甲方有权解除合同或双方协商赔偿方式。</w:t>
      </w:r>
    </w:p>
    <w:p w14:paraId="135F7EC7">
      <w:pPr>
        <w:pStyle w:val="268"/>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5．</w:t>
      </w:r>
      <w:r>
        <w:rPr>
          <w:color w:val="000000" w:themeColor="text1"/>
          <w:highlight w:val="none"/>
          <w14:textFill>
            <w14:solidFill>
              <w14:schemeClr w14:val="tx1"/>
            </w14:solidFill>
          </w14:textFill>
        </w:rPr>
        <w:t>装机所产生的垃圾必须摆放整齐，不得有影响工作人员、病人及家属安全通过的行为。公司在装机后24小时内必须完成对包装拆除物的清理。因包装拆除物原因引起的医疗事故和纠纷，由公司承担全部法律和经济责任。</w:t>
      </w:r>
    </w:p>
    <w:p w14:paraId="68929A27">
      <w:pPr>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6．</w:t>
      </w:r>
      <w:r>
        <w:rPr>
          <w:color w:val="000000" w:themeColor="text1"/>
          <w:highlight w:val="none"/>
          <w14:textFill>
            <w14:solidFill>
              <w14:schemeClr w14:val="tx1"/>
            </w14:solidFill>
          </w14:textFill>
        </w:rPr>
        <w:t>设备安装、调试结束后，甲方对设备进行验收（时间由甲、乙双方商定），乙方免费派工程师到达现场协助验收工作。保修期自甲方验收合格之日算起</w:t>
      </w:r>
      <w:r>
        <w:rPr>
          <w:color w:val="000000" w:themeColor="text1"/>
          <w:szCs w:val="21"/>
          <w:highlight w:val="none"/>
          <w14:textFill>
            <w14:solidFill>
              <w14:schemeClr w14:val="tx1"/>
            </w14:solidFill>
          </w14:textFill>
        </w:rPr>
        <w:t>，保修期外故障待修复后只收配件费，免收上门费、人工费</w:t>
      </w:r>
      <w:r>
        <w:rPr>
          <w:color w:val="000000" w:themeColor="text1"/>
          <w:highlight w:val="none"/>
          <w14:textFill>
            <w14:solidFill>
              <w14:schemeClr w14:val="tx1"/>
            </w14:solidFill>
          </w14:textFill>
        </w:rPr>
        <w:t>。</w:t>
      </w:r>
    </w:p>
    <w:p w14:paraId="049BB318">
      <w:pPr>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7．</w:t>
      </w:r>
      <w:r>
        <w:rPr>
          <w:color w:val="000000" w:themeColor="text1"/>
          <w:highlight w:val="none"/>
          <w14:textFill>
            <w14:solidFill>
              <w14:schemeClr w14:val="tx1"/>
            </w14:solidFill>
          </w14:textFill>
        </w:rPr>
        <w:t>上述设备免费保修</w:t>
      </w:r>
      <w:r>
        <w:rPr>
          <w:color w:val="000000" w:themeColor="text1"/>
          <w:highlight w:val="none"/>
          <w:u w:val="single"/>
          <w14:textFill>
            <w14:solidFill>
              <w14:schemeClr w14:val="tx1"/>
            </w14:solidFill>
          </w14:textFill>
        </w:rPr>
        <w:t xml:space="preserve"> 标书里需填好 </w:t>
      </w:r>
      <w:r>
        <w:rPr>
          <w:color w:val="000000" w:themeColor="text1"/>
          <w:highlight w:val="none"/>
          <w14:textFill>
            <w14:solidFill>
              <w14:schemeClr w14:val="tx1"/>
            </w14:solidFill>
          </w14:textFill>
        </w:rPr>
        <w:t>年，保修范围包括合同中所有配置。并确保设备保修期内开机率≥95%，如设备故障停机率超过5%（一年按365天计算，每年18天），每超过一天，保修期延长两周。保修期外乙方对本设备终身负责维修。</w:t>
      </w:r>
    </w:p>
    <w:p w14:paraId="2A835AC2">
      <w:pPr>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8．</w:t>
      </w:r>
      <w:r>
        <w:rPr>
          <w:color w:val="000000" w:themeColor="text1"/>
          <w:highlight w:val="none"/>
          <w14:textFill>
            <w14:solidFill>
              <w14:schemeClr w14:val="tx1"/>
            </w14:solidFill>
          </w14:textFill>
        </w:rPr>
        <w:t>如设备发生故障，乙方在接到甲方报修电话后1小时之内响应，3小时内到达甲方现场（若无维修站点，24小时内到达现场），48小时内修复或免费提供备用机，否则甲方可自行采取必要的措施，由此产生的风险和费用由乙方承担。如有特殊情况，乙方应立即电话通知甲方不能响应的原因，在获得甲方同意后，才可推迟响应时间。</w:t>
      </w:r>
    </w:p>
    <w:p w14:paraId="7B40208C">
      <w:pPr>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9．</w:t>
      </w:r>
      <w:r>
        <w:rPr>
          <w:color w:val="000000" w:themeColor="text1"/>
          <w:highlight w:val="none"/>
          <w14:textFill>
            <w14:solidFill>
              <w14:schemeClr w14:val="tx1"/>
            </w14:solidFill>
          </w14:textFill>
        </w:rPr>
        <w:t>保修期内每年肆次定期维护，并经甲方工程师签字确认，留档备查。</w:t>
      </w:r>
    </w:p>
    <w:p w14:paraId="09DBCE74">
      <w:pPr>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10．</w:t>
      </w:r>
      <w:r>
        <w:rPr>
          <w:color w:val="000000" w:themeColor="text1"/>
          <w:highlight w:val="none"/>
          <w14:textFill>
            <w14:solidFill>
              <w14:schemeClr w14:val="tx1"/>
            </w14:solidFill>
          </w14:textFill>
        </w:rPr>
        <w:t>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p>
    <w:p w14:paraId="3FBD9369">
      <w:pPr>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11．</w:t>
      </w:r>
      <w:r>
        <w:rPr>
          <w:color w:val="000000" w:themeColor="text1"/>
          <w:highlight w:val="none"/>
          <w14:textFill>
            <w14:solidFill>
              <w14:schemeClr w14:val="tx1"/>
            </w14:solidFill>
          </w14:textFill>
        </w:rPr>
        <w:t>如设备软件升级，乙方负责免费软件升级，保证软件为最新、最高版本。</w:t>
      </w:r>
    </w:p>
    <w:p w14:paraId="5160475D">
      <w:pPr>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12．</w:t>
      </w:r>
      <w:r>
        <w:rPr>
          <w:color w:val="000000" w:themeColor="text1"/>
          <w:highlight w:val="none"/>
          <w14:textFill>
            <w14:solidFill>
              <w14:schemeClr w14:val="tx1"/>
            </w14:solidFill>
          </w14:textFill>
        </w:rPr>
        <w:t>如有设备具有远程维修诊断功能，乙方负责免费为甲方安装。</w:t>
      </w:r>
    </w:p>
    <w:p w14:paraId="125A2DA6">
      <w:pPr>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13．</w:t>
      </w:r>
      <w:r>
        <w:rPr>
          <w:color w:val="000000" w:themeColor="text1"/>
          <w:highlight w:val="none"/>
          <w14:textFill>
            <w14:solidFill>
              <w14:schemeClr w14:val="tx1"/>
            </w14:solidFill>
          </w14:textFill>
        </w:rPr>
        <w:t>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p>
    <w:p w14:paraId="7B4395F8">
      <w:pPr>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14．</w:t>
      </w:r>
      <w:r>
        <w:rPr>
          <w:color w:val="000000" w:themeColor="text1"/>
          <w:highlight w:val="none"/>
          <w14:textFill>
            <w14:solidFill>
              <w14:schemeClr w14:val="tx1"/>
            </w14:solidFill>
          </w14:textFill>
        </w:rPr>
        <w:t>技术培训：在安装过程中或安装结束后，乙方工程师或有关人员有义务对甲方工程师和操作人员进行现场维修、保养、操作培训并提供快捷操作指南</w:t>
      </w:r>
      <w:r>
        <w:rPr>
          <w:b/>
          <w:color w:val="000000" w:themeColor="text1"/>
          <w:highlight w:val="none"/>
          <w14:textFill>
            <w14:solidFill>
              <w14:schemeClr w14:val="tx1"/>
            </w14:solidFill>
          </w14:textFill>
        </w:rPr>
        <w:t>（过塑封好，挂在设备上）</w:t>
      </w:r>
      <w:r>
        <w:rPr>
          <w:color w:val="000000" w:themeColor="text1"/>
          <w:highlight w:val="none"/>
          <w14:textFill>
            <w14:solidFill>
              <w14:schemeClr w14:val="tx1"/>
            </w14:solidFill>
          </w14:textFill>
        </w:rPr>
        <w:t>，解答甲方人员提出的问题。必要时提供正规培训班培训，确保操作人员掌握完成日常工作所需的基本操作方法为止，工程师掌握基本的维护保养操作技术为止。详见乙方公司承诺书。</w:t>
      </w:r>
    </w:p>
    <w:p w14:paraId="708160AD">
      <w:pPr>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15．</w:t>
      </w:r>
      <w:r>
        <w:rPr>
          <w:color w:val="000000" w:themeColor="text1"/>
          <w:highlight w:val="none"/>
          <w14:textFill>
            <w14:solidFill>
              <w14:schemeClr w14:val="tx1"/>
            </w14:solidFill>
          </w14:textFill>
        </w:rPr>
        <w:t>如乙方提供的设备设有维修软件密码，乙方保证无条件地为甲方永久免费打开。</w:t>
      </w:r>
    </w:p>
    <w:p w14:paraId="47C80496">
      <w:pPr>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16．</w:t>
      </w:r>
      <w:r>
        <w:rPr>
          <w:color w:val="000000" w:themeColor="text1"/>
          <w:highlight w:val="none"/>
          <w14:textFill>
            <w14:solidFill>
              <w14:schemeClr w14:val="tx1"/>
            </w14:solidFill>
          </w14:textFill>
        </w:rPr>
        <w:t>如果产生与设备价值、成本相关的任何法律纠纷由供应商承担，采购人不承担任何相关法律责任。</w:t>
      </w:r>
    </w:p>
    <w:p w14:paraId="49AD7CCB">
      <w:pPr>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17．</w:t>
      </w:r>
      <w:r>
        <w:rPr>
          <w:color w:val="000000" w:themeColor="text1"/>
          <w:highlight w:val="none"/>
          <w14:textFill>
            <w14:solidFill>
              <w14:schemeClr w14:val="tx1"/>
            </w14:solidFill>
          </w14:textFill>
        </w:rPr>
        <w:t>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p>
    <w:p w14:paraId="6743C224">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p>
    <w:p w14:paraId="2FBF2897">
      <w:pPr>
        <w:pStyle w:val="40"/>
        <w:ind w:firstLine="569"/>
        <w:rPr>
          <w:rFonts w:hint="eastAsia" w:ascii="宋体" w:hAnsi="宋体" w:cs="宋体"/>
          <w:color w:val="000000" w:themeColor="text1"/>
          <w:sz w:val="21"/>
          <w:szCs w:val="21"/>
          <w:highlight w:val="none"/>
          <w14:textFill>
            <w14:solidFill>
              <w14:schemeClr w14:val="tx1"/>
            </w14:solidFill>
          </w14:textFill>
        </w:rPr>
      </w:pPr>
      <w:bookmarkStart w:id="257" w:name="_Toc107246271"/>
      <w:bookmarkStart w:id="258" w:name="_Toc91836564"/>
      <w:bookmarkStart w:id="259" w:name="_Toc107246272"/>
      <w:r>
        <w:rPr>
          <w:rFonts w:hint="eastAsia" w:ascii="宋体" w:hAnsi="宋体" w:cs="宋体"/>
          <w:color w:val="000000" w:themeColor="text1"/>
          <w:highlight w:val="none"/>
          <w14:textFill>
            <w14:solidFill>
              <w14:schemeClr w14:val="tx1"/>
            </w14:solidFill>
          </w14:textFill>
        </w:rPr>
        <w:t>第四章 采购需求</w:t>
      </w:r>
      <w:bookmarkEnd w:id="257"/>
      <w:bookmarkEnd w:id="258"/>
      <w:bookmarkStart w:id="260" w:name="_Hlk93775766"/>
    </w:p>
    <w:p w14:paraId="54751480">
      <w:pPr>
        <w:spacing w:line="360" w:lineRule="auto"/>
        <w:rPr>
          <w:rFonts w:hint="eastAsia" w:ascii="宋体" w:hAnsi="宋体" w:cs="宋体"/>
          <w:b/>
          <w:bCs/>
          <w:color w:val="000000" w:themeColor="text1"/>
          <w:sz w:val="24"/>
          <w:highlight w:val="none"/>
          <w14:textFill>
            <w14:solidFill>
              <w14:schemeClr w14:val="tx1"/>
            </w14:solidFill>
          </w14:textFill>
        </w:rPr>
      </w:pPr>
    </w:p>
    <w:p w14:paraId="1BC7CC34">
      <w:pPr>
        <w:spacing w:line="360" w:lineRule="auto"/>
        <w:ind w:left="482" w:hanging="482" w:hanging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★一、总体要求</w:t>
      </w:r>
    </w:p>
    <w:p w14:paraId="7D0CADB4">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3D外视显微手术成像系统，可术中实时输出原生3D立体手术视野，可同步完成手术画面的实时观察、影像录制、存档等，可用于耳鼻喉、头颈开展显微手术，并可满足科室手术示教的需求。</w:t>
      </w:r>
    </w:p>
    <w:p w14:paraId="54D3AEB9">
      <w:pPr>
        <w:spacing w:line="360" w:lineRule="auto"/>
        <w:ind w:left="482" w:hanging="482" w:hangingChars="200"/>
        <w:rPr>
          <w:rFonts w:hint="eastAsia" w:ascii="宋体" w:hAnsi="宋体" w:cs="宋体"/>
          <w:b/>
          <w:bCs/>
          <w:color w:val="000000" w:themeColor="text1"/>
          <w:sz w:val="24"/>
          <w:highlight w:val="none"/>
          <w14:textFill>
            <w14:solidFill>
              <w14:schemeClr w14:val="tx1"/>
            </w14:solidFill>
          </w14:textFill>
        </w:rPr>
      </w:pPr>
    </w:p>
    <w:p w14:paraId="300F8B96">
      <w:pPr>
        <w:spacing w:line="360" w:lineRule="auto"/>
        <w:ind w:left="482" w:hanging="482" w:hanging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二、技术参数</w:t>
      </w:r>
    </w:p>
    <w:p w14:paraId="4F9B1130">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主机和摄像模块</w:t>
      </w:r>
    </w:p>
    <w:p w14:paraId="07703239">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▲1.1可处理3D和2D画面信号，输出分辨率≥3840×2160；</w:t>
      </w:r>
    </w:p>
    <w:p w14:paraId="4876AD1E">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1.2主机集成图文工作站功能，支持术中记录全高清录像及3840×2160超高清图片；</w:t>
      </w:r>
    </w:p>
    <w:p w14:paraId="0531A15C">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1.3主机可连接外接存储设备，控制设备(键盘、鼠标、脚踏),打印机等，具备USB≥3个；</w:t>
      </w:r>
    </w:p>
    <w:p w14:paraId="085D0D90">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1.4主机具有≥2个图像处理器，可处理≥2路图像信号；</w:t>
      </w:r>
    </w:p>
    <w:p w14:paraId="10B5A058">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1.5可根据手术需要,动态调节画面亮度,暗处增亮,并降低反光；</w:t>
      </w:r>
    </w:p>
    <w:p w14:paraId="4C03D639">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1.6具备图像优化功能，增强组织表面、边缘及血管的色彩表现；</w:t>
      </w:r>
    </w:p>
    <w:p w14:paraId="50A8242E">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▲1.7至少2种腔镜光谱分析电子染色处理模式，可进行粘膜下血管染色，提高对血管等组织辨识度；</w:t>
      </w:r>
    </w:p>
    <w:p w14:paraId="189C1F49">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▲1.8兼容至少3种影像模块，至少包含3D影像模块，可通过模块化升级后兼容4K荧光、3D电子鼻内镜等；</w:t>
      </w:r>
    </w:p>
    <w:p w14:paraId="54817004">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1.9术野画面至少5级电子变焦功能，画面需能实现垂直、水平及180°翻转功能，需能实现3D和2D图像的切换；</w:t>
      </w:r>
    </w:p>
    <w:p w14:paraId="249C9EE6">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1.10术野画面至少5级亮度可调，至少3倍电子放大功能，具备自适应缩放功能；</w:t>
      </w:r>
    </w:p>
    <w:p w14:paraId="18180F15">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1.11可操控手术设备，如冷光源，可实现与一体化手术室无缝连接；</w:t>
      </w:r>
    </w:p>
    <w:p w14:paraId="4C1197DB">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1.12术野可添加指示栅栏和标记点，便于教学示教；</w:t>
      </w:r>
    </w:p>
    <w:p w14:paraId="6D77FA39">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1.13信号输出端口至少包含：DP数字端口≥2个，12G-SDI数字端口≥1个， DVI-D数字端口≥1个；</w:t>
      </w:r>
    </w:p>
    <w:p w14:paraId="0341B40B">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1.14电气安全:不低于医用设备电气安全CF级别I类防护,可应用于心脏设备；</w:t>
      </w:r>
    </w:p>
    <w:p w14:paraId="68A4F8C2">
      <w:pPr>
        <w:spacing w:line="360" w:lineRule="auto"/>
        <w:rPr>
          <w:rFonts w:hint="eastAsia" w:ascii="宋体" w:hAnsi="宋体" w:cs="宋体"/>
          <w:color w:val="000000" w:themeColor="text1"/>
          <w:sz w:val="24"/>
          <w:highlight w:val="none"/>
          <w14:textFill>
            <w14:solidFill>
              <w14:schemeClr w14:val="tx1"/>
            </w14:solidFill>
          </w14:textFill>
        </w:rPr>
      </w:pPr>
    </w:p>
    <w:p w14:paraId="494B3B23">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2.3D外视镜及机械支臂</w:t>
      </w:r>
    </w:p>
    <w:p w14:paraId="2D56C9A0">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▲2.1工作距离范围至少包含：20cm~50cm；</w:t>
      </w:r>
    </w:p>
    <w:p w14:paraId="6009475F">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2.2图像校准旋钮旋转角度不小于-90°~90°，范围≥180°；</w:t>
      </w:r>
    </w:p>
    <w:p w14:paraId="6A09AAD2">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2.3控制手柄可设置不少于4种快捷键，可预设功能至少包括术野录像、拍照、打印、调节白平衡、亮度、高级曝光调平等；</w:t>
      </w:r>
    </w:p>
    <w:p w14:paraId="198013DC">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2.4 重量≤1000g，可通过气动臂或落地式机械臂控制，可夹持固定外视镜，方便术中操作；</w:t>
      </w:r>
    </w:p>
    <w:p w14:paraId="51EE7EE0">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2.5具备变焦及对焦功能；</w:t>
      </w:r>
    </w:p>
    <w:p w14:paraId="1A0E2130">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2.6机械支臂可多关节控制，具有至少5个关节，并可以通过对应的旋钮进行锁紧固定；</w:t>
      </w:r>
    </w:p>
    <w:p w14:paraId="7C5E9199">
      <w:pPr>
        <w:spacing w:line="360" w:lineRule="auto"/>
        <w:rPr>
          <w:rFonts w:hint="eastAsia" w:ascii="宋体" w:hAnsi="宋体" w:cs="宋体"/>
          <w:color w:val="000000" w:themeColor="text1"/>
          <w:sz w:val="24"/>
          <w:highlight w:val="none"/>
          <w14:textFill>
            <w14:solidFill>
              <w14:schemeClr w14:val="tx1"/>
            </w14:solidFill>
          </w14:textFill>
        </w:rPr>
      </w:pPr>
    </w:p>
    <w:p w14:paraId="54B62917">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3.冷光源</w:t>
      </w:r>
    </w:p>
    <w:p w14:paraId="164377FC">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 LED冷光源，色温≥6000K，灯泡寿命≥30000小时；</w:t>
      </w:r>
    </w:p>
    <w:p w14:paraId="33096651">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3.2可与影像核心平台连接，实现摄像头集中控制冷光源亮度；</w:t>
      </w:r>
    </w:p>
    <w:p w14:paraId="13CFB54F">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3.3具有待机键，可一键开启或关闭照明；</w:t>
      </w:r>
    </w:p>
    <w:p w14:paraId="239BFC00">
      <w:pPr>
        <w:spacing w:line="360" w:lineRule="auto"/>
        <w:rPr>
          <w:rFonts w:hint="eastAsia" w:ascii="宋体" w:hAnsi="宋体" w:cs="宋体"/>
          <w:color w:val="000000" w:themeColor="text1"/>
          <w:sz w:val="24"/>
          <w:highlight w:val="none"/>
          <w14:textFill>
            <w14:solidFill>
              <w14:schemeClr w14:val="tx1"/>
            </w14:solidFill>
          </w14:textFill>
        </w:rPr>
      </w:pPr>
    </w:p>
    <w:p w14:paraId="7B692B3F">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4.3D医用监视器</w:t>
      </w:r>
    </w:p>
    <w:p w14:paraId="01C165E8">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4.1屏幕尺寸≥31英寸医用级全高清监视器，能提供高分辨率的3D与2D图像；</w:t>
      </w:r>
    </w:p>
    <w:p w14:paraId="18F61552">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4.2分辨率≥1920 x 1080，视角：≥178°（水平和垂直），宽高比包括16：9；</w:t>
      </w:r>
    </w:p>
    <w:p w14:paraId="43C93EF6">
      <w:pPr>
        <w:spacing w:line="360" w:lineRule="auto"/>
        <w:rPr>
          <w:rFonts w:hint="eastAsia" w:ascii="宋体" w:hAnsi="宋体" w:cs="宋体"/>
          <w:color w:val="000000" w:themeColor="text1"/>
          <w:sz w:val="24"/>
          <w:highlight w:val="none"/>
          <w14:textFill>
            <w14:solidFill>
              <w14:schemeClr w14:val="tx1"/>
            </w14:solidFill>
          </w14:textFill>
        </w:rPr>
      </w:pPr>
    </w:p>
    <w:p w14:paraId="681EB5CE">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5.台车及其他辅件</w:t>
      </w:r>
    </w:p>
    <w:p w14:paraId="7344CD22">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5.1具备配套医用台车，≥4层平台，抽拉式置物台，具备万向静音轮；</w:t>
      </w:r>
    </w:p>
    <w:p w14:paraId="248E2D02">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5.2至少配备6副3D眼镜，1包无菌保护罩。</w:t>
      </w:r>
    </w:p>
    <w:p w14:paraId="019E9B98">
      <w:pPr>
        <w:spacing w:line="360" w:lineRule="auto"/>
        <w:ind w:left="480" w:hanging="480" w:hangingChars="200"/>
        <w:rPr>
          <w:rFonts w:hint="eastAsia" w:ascii="宋体" w:hAnsi="宋体" w:cs="宋体"/>
          <w:color w:val="000000" w:themeColor="text1"/>
          <w:sz w:val="24"/>
          <w:highlight w:val="none"/>
          <w14:textFill>
            <w14:solidFill>
              <w14:schemeClr w14:val="tx1"/>
            </w14:solidFill>
          </w14:textFill>
        </w:rPr>
      </w:pPr>
    </w:p>
    <w:p w14:paraId="4A8F0C6A">
      <w:pPr>
        <w:spacing w:line="360" w:lineRule="auto"/>
        <w:ind w:left="482" w:hanging="482" w:hangingChars="20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五、★商务条款</w:t>
      </w:r>
    </w:p>
    <w:p w14:paraId="150998F7">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1.交货地点：南京鼓楼医院（南京市中山路321号）采购人指定地点。</w:t>
      </w:r>
    </w:p>
    <w:p w14:paraId="74A254A9">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2.交货期：接到医用物资保障处通知之日起30个日历日内。</w:t>
      </w:r>
    </w:p>
    <w:p w14:paraId="23FA5B85">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3.付款方式：合同生效，乙方向甲方财务处缴纳合同总额的10%作为合同履约保证金；甲方收到履约保证金后预付合同总额的30%；货到验收合格设备正常运行，甲方收到乙方开具的合法有效发票后一次性付清余款；验收合格设备正常使用一年后甲方无息退还乙方履约保证金。设备验收时，乙方须向甲方提供实收货物的合法有效全额发票，如果乙方未提供，则甲方有权拒绝支付该部分费用，因此产生的一切损失由乙方自行承担。</w:t>
      </w:r>
    </w:p>
    <w:p w14:paraId="12E7D3F2">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4.质保期限：设备整机质保不少于3年。</w:t>
      </w:r>
    </w:p>
    <w:p w14:paraId="62484888">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5.出厂日期：2025年7月1日之后生产</w:t>
      </w:r>
    </w:p>
    <w:p w14:paraId="2E0D78C5">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6.投标时需在投标文件中提供所投产品具体的配置清单（包括但不仅限于硬件、软件部分）。</w:t>
      </w:r>
    </w:p>
    <w:p w14:paraId="5FB84103">
      <w:pPr>
        <w:spacing w:line="360" w:lineRule="auto"/>
        <w:ind w:left="420"/>
        <w:rPr>
          <w:rFonts w:hint="eastAsia" w:ascii="宋体" w:hAnsi="宋体" w:cs="宋体"/>
          <w:b/>
          <w:bCs/>
          <w:color w:val="000000" w:themeColor="text1"/>
          <w:sz w:val="24"/>
          <w:highlight w:val="none"/>
          <w14:textFill>
            <w14:solidFill>
              <w14:schemeClr w14:val="tx1"/>
            </w14:solidFill>
          </w14:textFill>
        </w:rPr>
      </w:pPr>
    </w:p>
    <w:p w14:paraId="4F8EC885">
      <w:pPr>
        <w:pStyle w:val="293"/>
        <w:widowControl/>
        <w:spacing w:line="360" w:lineRule="auto"/>
        <w:ind w:firstLine="422"/>
        <w:rPr>
          <w:rFonts w:hint="eastAsia" w:ascii="宋体" w:hAnsi="宋体" w:cs="宋体"/>
          <w:b/>
          <w:bCs/>
          <w:color w:val="000000" w:themeColor="text1"/>
          <w:sz w:val="24"/>
          <w:szCs w:val="24"/>
          <w:highlight w:val="none"/>
          <w14:textFill>
            <w14:solidFill>
              <w14:schemeClr w14:val="tx1"/>
            </w14:solidFill>
          </w14:textFill>
        </w:rPr>
      </w:pPr>
    </w:p>
    <w:p w14:paraId="5A0AFDFC">
      <w:pPr>
        <w:pStyle w:val="293"/>
        <w:widowControl/>
        <w:spacing w:line="360" w:lineRule="auto"/>
        <w:ind w:firstLine="422"/>
        <w:rPr>
          <w:rFonts w:hint="eastAsia" w:ascii="宋体" w:hAnsi="宋体" w:cs="宋体"/>
          <w:b/>
          <w:bCs/>
          <w:color w:val="000000" w:themeColor="text1"/>
          <w:sz w:val="24"/>
          <w:szCs w:val="24"/>
          <w:highlight w:val="none"/>
          <w14:textFill>
            <w14:solidFill>
              <w14:schemeClr w14:val="tx1"/>
            </w14:solidFill>
          </w14:textFill>
        </w:rPr>
      </w:pPr>
    </w:p>
    <w:p w14:paraId="0A06949D">
      <w:pPr>
        <w:rPr>
          <w:color w:val="000000" w:themeColor="text1"/>
          <w:sz w:val="24"/>
          <w:highlight w:val="none"/>
          <w14:textFill>
            <w14:solidFill>
              <w14:schemeClr w14:val="tx1"/>
            </w14:solidFill>
          </w14:textFill>
        </w:rPr>
      </w:pPr>
    </w:p>
    <w:p w14:paraId="00CCA20D">
      <w:pPr>
        <w:rPr>
          <w:color w:val="000000" w:themeColor="text1"/>
          <w:sz w:val="24"/>
          <w:highlight w:val="none"/>
          <w14:textFill>
            <w14:solidFill>
              <w14:schemeClr w14:val="tx1"/>
            </w14:solidFill>
          </w14:textFill>
        </w:rPr>
      </w:pPr>
    </w:p>
    <w:p w14:paraId="2DBAD1C4">
      <w:pPr>
        <w:rPr>
          <w:color w:val="000000" w:themeColor="text1"/>
          <w:sz w:val="24"/>
          <w:highlight w:val="none"/>
          <w14:textFill>
            <w14:solidFill>
              <w14:schemeClr w14:val="tx1"/>
            </w14:solidFill>
          </w14:textFill>
        </w:rPr>
      </w:pPr>
    </w:p>
    <w:p w14:paraId="372240AB">
      <w:pPr>
        <w:rPr>
          <w:color w:val="000000" w:themeColor="text1"/>
          <w:sz w:val="24"/>
          <w:highlight w:val="none"/>
          <w14:textFill>
            <w14:solidFill>
              <w14:schemeClr w14:val="tx1"/>
            </w14:solidFill>
          </w14:textFill>
        </w:rPr>
      </w:pPr>
    </w:p>
    <w:p w14:paraId="44AD0843">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260"/>
    </w:p>
    <w:p w14:paraId="5F545B7B">
      <w:pPr>
        <w:pStyle w:val="40"/>
        <w:spacing w:line="480" w:lineRule="auto"/>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第五章 评标方法与评标标准</w:t>
      </w:r>
      <w:bookmarkEnd w:id="259"/>
    </w:p>
    <w:p w14:paraId="52AE8C52">
      <w:pPr>
        <w:spacing w:line="360" w:lineRule="auto"/>
        <w:ind w:firstLine="422"/>
        <w:contextualSpacing/>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一、评标方法</w:t>
      </w:r>
    </w:p>
    <w:p w14:paraId="185B7301">
      <w:pPr>
        <w:spacing w:line="360" w:lineRule="auto"/>
        <w:ind w:firstLine="42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评委会将对确定为实质性响应采购文件要求的投标文件进行评价和比较，评标采用综合评估法。</w:t>
      </w:r>
    </w:p>
    <w:p w14:paraId="733EAE30">
      <w:pPr>
        <w:spacing w:line="360" w:lineRule="auto"/>
        <w:ind w:firstLine="422"/>
        <w:contextualSpacing/>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二、评标标准</w:t>
      </w:r>
    </w:p>
    <w:p w14:paraId="494AC860">
      <w:pPr>
        <w:spacing w:line="360" w:lineRule="auto"/>
        <w:ind w:firstLine="42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本项目采用综合评分法确定中标候选人。评标委员会将按下列评分办法和标准进行评分，总分值为100分。</w:t>
      </w:r>
    </w:p>
    <w:tbl>
      <w:tblPr>
        <w:tblStyle w:val="43"/>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4"/>
        <w:gridCol w:w="6600"/>
        <w:gridCol w:w="890"/>
      </w:tblGrid>
      <w:tr w14:paraId="76FF0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56" w:type="pct"/>
            <w:vAlign w:val="bottom"/>
          </w:tcPr>
          <w:p w14:paraId="586230C9">
            <w:pPr>
              <w:spacing w:line="360" w:lineRule="auto"/>
              <w:contextualSpacing/>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评审因素</w:t>
            </w:r>
          </w:p>
        </w:tc>
        <w:tc>
          <w:tcPr>
            <w:tcW w:w="3738" w:type="pct"/>
            <w:vAlign w:val="bottom"/>
          </w:tcPr>
          <w:p w14:paraId="7BCC0D5E">
            <w:pPr>
              <w:spacing w:line="360" w:lineRule="auto"/>
              <w:contextualSpacing/>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评审标准</w:t>
            </w:r>
          </w:p>
        </w:tc>
        <w:tc>
          <w:tcPr>
            <w:tcW w:w="504" w:type="pct"/>
            <w:vAlign w:val="bottom"/>
          </w:tcPr>
          <w:p w14:paraId="1FC38160">
            <w:pPr>
              <w:spacing w:line="360" w:lineRule="auto"/>
              <w:contextualSpacing/>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分值</w:t>
            </w:r>
          </w:p>
        </w:tc>
      </w:tr>
      <w:tr w14:paraId="1C5DC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jc w:val="center"/>
        </w:trPr>
        <w:tc>
          <w:tcPr>
            <w:tcW w:w="756" w:type="pct"/>
            <w:vAlign w:val="center"/>
          </w:tcPr>
          <w:p w14:paraId="68F7D673">
            <w:pPr>
              <w:spacing w:line="360" w:lineRule="auto"/>
              <w:contextualSpacing/>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价格部分</w:t>
            </w:r>
          </w:p>
        </w:tc>
        <w:tc>
          <w:tcPr>
            <w:tcW w:w="3738" w:type="pct"/>
            <w:vAlign w:val="center"/>
          </w:tcPr>
          <w:p w14:paraId="63F1B315">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价格分采用低价优先法计算，即满足招标文件实质性要求且投标价格最低的投标报价为评标基准价，其价格分为满分30分。价格分按照下列公式计算：投标报价得分=（评标基准价/投标报价）×30（小数点保留两位）。</w:t>
            </w:r>
          </w:p>
          <w:p w14:paraId="12CECABE">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注：投标报价超出采购预算的，按无效投标处理。</w:t>
            </w:r>
          </w:p>
        </w:tc>
        <w:tc>
          <w:tcPr>
            <w:tcW w:w="504" w:type="pct"/>
            <w:vAlign w:val="center"/>
          </w:tcPr>
          <w:p w14:paraId="0A2CF82C">
            <w:pPr>
              <w:spacing w:line="360" w:lineRule="auto"/>
              <w:contextualSpacing/>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w:t>
            </w:r>
          </w:p>
        </w:tc>
      </w:tr>
      <w:tr w14:paraId="2847C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756" w:type="pct"/>
            <w:vAlign w:val="center"/>
          </w:tcPr>
          <w:p w14:paraId="39808EF9">
            <w:pPr>
              <w:spacing w:line="360" w:lineRule="auto"/>
              <w:contextualSpacing/>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技术要求</w:t>
            </w:r>
          </w:p>
        </w:tc>
        <w:tc>
          <w:tcPr>
            <w:tcW w:w="3738" w:type="pct"/>
            <w:vAlign w:val="center"/>
          </w:tcPr>
          <w:p w14:paraId="6C12AFD2">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全部满足招标文件第四章“采购需求”“二、技术参数要求：”的，得35分，正偏离不加分，加注“★”号指标为必须满足项，如有负偏离将作为无效投标；加注“▲”指标为重要指标（共计4项），有1项负偏离扣3分，非“★”、“▲”指标（共计23项）有1项负偏离扣1分。响应文件</w:t>
            </w:r>
            <w:r>
              <w:rPr>
                <w:rFonts w:ascii="宋体" w:hAnsi="宋体" w:cs="宋体"/>
                <w:color w:val="000000" w:themeColor="text1"/>
                <w:szCs w:val="21"/>
                <w:highlight w:val="none"/>
                <w14:textFill>
                  <w14:solidFill>
                    <w14:schemeClr w14:val="tx1"/>
                  </w14:solidFill>
                </w14:textFill>
              </w:rPr>
              <w:t>加注“▲”符号和加注“★”符号的参数以及一般参数里明确要求提供证明材料的必须提供技术证明材料，</w:t>
            </w:r>
            <w:r>
              <w:rPr>
                <w:rFonts w:hint="eastAsia" w:ascii="宋体" w:hAnsi="宋体" w:cs="宋体"/>
                <w:color w:val="000000" w:themeColor="text1"/>
                <w:szCs w:val="21"/>
                <w:highlight w:val="none"/>
                <w14:textFill>
                  <w14:solidFill>
                    <w14:schemeClr w14:val="tx1"/>
                  </w14:solidFill>
                </w14:textFill>
              </w:rPr>
              <w:t>证明材料可为产品说明书、注册证、第三方检测报告等技术支持资料</w:t>
            </w:r>
            <w:r>
              <w:rPr>
                <w:rFonts w:ascii="宋体" w:hAnsi="宋体" w:cs="宋体"/>
                <w:color w:val="000000" w:themeColor="text1"/>
                <w:szCs w:val="21"/>
                <w:highlight w:val="none"/>
                <w14:textFill>
                  <w14:solidFill>
                    <w14:schemeClr w14:val="tx1"/>
                  </w14:solidFill>
                </w14:textFill>
              </w:rPr>
              <w:t>（注：功能参数应进行明显标注，采用如箭头、标红或下划线等标注方式，</w:t>
            </w:r>
            <w:r>
              <w:rPr>
                <w:rFonts w:hint="eastAsia" w:ascii="宋体" w:hAnsi="宋体" w:cs="宋体"/>
                <w:color w:val="000000" w:themeColor="text1"/>
                <w:szCs w:val="21"/>
                <w:highlight w:val="none"/>
                <w14:textFill>
                  <w14:solidFill>
                    <w14:schemeClr w14:val="tx1"/>
                  </w14:solidFill>
                </w14:textFill>
              </w:rPr>
              <w:t>并在投标文件技术条款偏离表备注栏中标注相应证明文件页码，</w:t>
            </w:r>
            <w:r>
              <w:rPr>
                <w:rFonts w:ascii="宋体" w:hAnsi="宋体" w:cs="宋体"/>
                <w:color w:val="000000" w:themeColor="text1"/>
                <w:szCs w:val="21"/>
                <w:highlight w:val="none"/>
                <w14:textFill>
                  <w14:solidFill>
                    <w14:schemeClr w14:val="tx1"/>
                  </w14:solidFill>
                </w14:textFill>
              </w:rPr>
              <w:t>方便评委查看）</w:t>
            </w:r>
            <w:r>
              <w:rPr>
                <w:rFonts w:hint="eastAsia" w:ascii="宋体" w:hAnsi="宋体" w:cs="宋体"/>
                <w:color w:val="000000" w:themeColor="text1"/>
                <w:szCs w:val="21"/>
                <w:highlight w:val="none"/>
                <w14:textFill>
                  <w14:solidFill>
                    <w14:schemeClr w14:val="tx1"/>
                  </w14:solidFill>
                </w14:textFill>
              </w:rPr>
              <w:t>，未按要求提供的，评委有权认定为负偏离或不满足。</w:t>
            </w:r>
          </w:p>
          <w:p w14:paraId="7E9EAA48">
            <w:pPr>
              <w:spacing w:line="360" w:lineRule="auto"/>
              <w:contextualSpacing/>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★本项得0分或经评委会评议负偏离过多可能实质性影响使用的，将判定为实质性不符合招标要求，做无效投标处理。</w:t>
            </w:r>
          </w:p>
        </w:tc>
        <w:tc>
          <w:tcPr>
            <w:tcW w:w="504" w:type="pct"/>
            <w:vAlign w:val="center"/>
          </w:tcPr>
          <w:p w14:paraId="16CB91A8">
            <w:pPr>
              <w:spacing w:line="360" w:lineRule="auto"/>
              <w:contextualSpacing/>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shd w:val="clear" w:color="auto" w:fill="FFFF00"/>
                <w14:textFill>
                  <w14:solidFill>
                    <w14:schemeClr w14:val="tx1"/>
                  </w14:solidFill>
                </w14:textFill>
              </w:rPr>
              <w:t>3</w:t>
            </w:r>
            <w:r>
              <w:rPr>
                <w:rFonts w:hint="eastAsia"/>
                <w:highlight w:val="none"/>
                <w:shd w:val="clear" w:color="auto" w:fill="FFFF00"/>
              </w:rPr>
              <w:t>5</w:t>
            </w:r>
          </w:p>
        </w:tc>
      </w:tr>
      <w:tr w14:paraId="7C4EE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8" w:hRule="atLeast"/>
          <w:jc w:val="center"/>
        </w:trPr>
        <w:tc>
          <w:tcPr>
            <w:tcW w:w="756" w:type="pct"/>
            <w:vAlign w:val="center"/>
          </w:tcPr>
          <w:p w14:paraId="655780F8">
            <w:pPr>
              <w:spacing w:line="360" w:lineRule="auto"/>
              <w:jc w:val="center"/>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业绩</w:t>
            </w:r>
          </w:p>
        </w:tc>
        <w:tc>
          <w:tcPr>
            <w:tcW w:w="3738" w:type="pct"/>
            <w:vAlign w:val="center"/>
          </w:tcPr>
          <w:p w14:paraId="29B37C1D">
            <w:pPr>
              <w:spacing w:line="360" w:lineRule="auto"/>
              <w:contextualSpacing/>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提供2023年1月1日（含）以来（时间以合同签订时间为准），投标人或者制造商(含制造商其他代理商)具有</w:t>
            </w:r>
            <w:r>
              <w:rPr>
                <w:rFonts w:hint="eastAsia"/>
                <w:highlight w:val="none"/>
              </w:rPr>
              <w:t>与本次投标产品同品牌同型号（主机部分）</w:t>
            </w:r>
            <w:r>
              <w:rPr>
                <w:rFonts w:hint="eastAsia" w:ascii="宋体" w:hAnsi="宋体" w:cs="宋体"/>
                <w:color w:val="000000" w:themeColor="text1"/>
                <w:szCs w:val="21"/>
                <w:highlight w:val="none"/>
                <w14:textFill>
                  <w14:solidFill>
                    <w14:schemeClr w14:val="tx1"/>
                  </w14:solidFill>
                </w14:textFill>
              </w:rPr>
              <w:t>的成功案例。每提供一个有效成功案例得3分，同一采购方不重复计分，本项最高得9分，未提供不得分（一份有效的业绩包含完整无缺漏的合同和对应项目的验收材料，其中合同关键信息如：品牌、型号、合同双方名称、公章、签订时间等信息需清晰可见无遮挡涂改）。</w:t>
            </w:r>
          </w:p>
        </w:tc>
        <w:tc>
          <w:tcPr>
            <w:tcW w:w="504" w:type="pct"/>
            <w:vAlign w:val="center"/>
          </w:tcPr>
          <w:p w14:paraId="39B7291F">
            <w:pPr>
              <w:spacing w:line="360" w:lineRule="auto"/>
              <w:contextualSpacing/>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w:t>
            </w:r>
          </w:p>
        </w:tc>
      </w:tr>
      <w:tr w14:paraId="15579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pct"/>
            <w:vAlign w:val="center"/>
          </w:tcPr>
          <w:p w14:paraId="3E67BA45">
            <w:pPr>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项目实施方案</w:t>
            </w:r>
          </w:p>
        </w:tc>
        <w:tc>
          <w:tcPr>
            <w:tcW w:w="3738" w:type="pct"/>
            <w:vAlign w:val="center"/>
          </w:tcPr>
          <w:p w14:paraId="6B89FAE1">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评委根据投标人提供的项目实施方案综合评分（每项内容逐条阐述）</w:t>
            </w:r>
          </w:p>
          <w:p w14:paraId="1FB29284">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1.货物的包装与运输（</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w:t>
            </w:r>
          </w:p>
          <w:p w14:paraId="123E012E">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（1）内容全面合理、针对性及操作性强的，得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w:t>
            </w:r>
          </w:p>
          <w:p w14:paraId="054CC6B4">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（2）内容一般、针对性及操作性一般的，得</w:t>
            </w:r>
            <w:r>
              <w:rPr>
                <w:rFonts w:hint="eastAsia" w:ascii="宋体" w:hAnsi="宋体" w:cs="宋体"/>
                <w:color w:val="000000" w:themeColor="text1"/>
                <w:szCs w:val="21"/>
                <w:highlight w:val="none"/>
                <w:lang w:val="en-US" w:eastAsia="zh-CN"/>
                <w14:textFill>
                  <w14:solidFill>
                    <w14:schemeClr w14:val="tx1"/>
                  </w14:solidFill>
                </w14:textFill>
              </w:rPr>
              <w:t>1.5</w:t>
            </w:r>
            <w:r>
              <w:rPr>
                <w:rFonts w:hint="eastAsia" w:ascii="宋体" w:hAnsi="宋体" w:cs="宋体"/>
                <w:color w:val="000000" w:themeColor="text1"/>
                <w:szCs w:val="21"/>
                <w:highlight w:val="none"/>
                <w14:textFill>
                  <w14:solidFill>
                    <w14:schemeClr w14:val="tx1"/>
                  </w14:solidFill>
                </w14:textFill>
              </w:rPr>
              <w:t>分；</w:t>
            </w:r>
          </w:p>
          <w:p w14:paraId="5DEABC10">
            <w:pPr>
              <w:spacing w:line="360" w:lineRule="auto"/>
              <w:contextualSpacing/>
              <w:rPr>
                <w:highlight w:val="none"/>
              </w:rPr>
            </w:pPr>
            <w:r>
              <w:rPr>
                <w:rFonts w:hint="eastAsia" w:ascii="宋体" w:hAnsi="宋体" w:cs="宋体"/>
                <w:color w:val="000000" w:themeColor="text1"/>
                <w:szCs w:val="21"/>
                <w:highlight w:val="none"/>
                <w14:textFill>
                  <w14:solidFill>
                    <w14:schemeClr w14:val="tx1"/>
                  </w14:solidFill>
                </w14:textFill>
              </w:rPr>
              <w:t>（3）内容差、缺乏针对性及操作性或未提供方案的不得分。</w:t>
            </w:r>
          </w:p>
          <w:p w14:paraId="11417920">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2.供货进度保证及协调配合措施（</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w:t>
            </w:r>
          </w:p>
          <w:p w14:paraId="1B89E2FA">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（1）内容全面合理、针对性及操作性强的，得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w:t>
            </w:r>
          </w:p>
          <w:p w14:paraId="7118428E">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（2）内容一般、针对性及操作性一般的，得</w:t>
            </w:r>
            <w:r>
              <w:rPr>
                <w:rFonts w:hint="eastAsia" w:ascii="宋体" w:hAnsi="宋体" w:cs="宋体"/>
                <w:color w:val="000000" w:themeColor="text1"/>
                <w:szCs w:val="21"/>
                <w:highlight w:val="none"/>
                <w:lang w:val="en-US" w:eastAsia="zh-CN"/>
                <w14:textFill>
                  <w14:solidFill>
                    <w14:schemeClr w14:val="tx1"/>
                  </w14:solidFill>
                </w14:textFill>
              </w:rPr>
              <w:t>1.5</w:t>
            </w:r>
            <w:r>
              <w:rPr>
                <w:rFonts w:hint="eastAsia" w:ascii="宋体" w:hAnsi="宋体" w:cs="宋体"/>
                <w:color w:val="000000" w:themeColor="text1"/>
                <w:szCs w:val="21"/>
                <w:highlight w:val="none"/>
                <w14:textFill>
                  <w14:solidFill>
                    <w14:schemeClr w14:val="tx1"/>
                  </w14:solidFill>
                </w14:textFill>
              </w:rPr>
              <w:t>分；</w:t>
            </w:r>
          </w:p>
          <w:p w14:paraId="115C3A42">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（3）内容差、缺乏针对性及操作性或未提供方案的不得分。</w:t>
            </w:r>
          </w:p>
        </w:tc>
        <w:tc>
          <w:tcPr>
            <w:tcW w:w="504" w:type="pct"/>
            <w:vAlign w:val="center"/>
          </w:tcPr>
          <w:p w14:paraId="6E61CCC2">
            <w:pPr>
              <w:spacing w:line="360" w:lineRule="auto"/>
              <w:contextualSpacing/>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6</w:t>
            </w:r>
          </w:p>
        </w:tc>
      </w:tr>
      <w:tr w14:paraId="5ED9D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pct"/>
            <w:vAlign w:val="center"/>
          </w:tcPr>
          <w:p w14:paraId="7EE2C835">
            <w:pPr>
              <w:spacing w:line="360" w:lineRule="auto"/>
              <w:jc w:val="center"/>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售后服务方案</w:t>
            </w:r>
          </w:p>
        </w:tc>
        <w:tc>
          <w:tcPr>
            <w:tcW w:w="3738" w:type="pct"/>
            <w:vAlign w:val="center"/>
          </w:tcPr>
          <w:p w14:paraId="336606EB">
            <w:pPr>
              <w:spacing w:line="360" w:lineRule="auto"/>
              <w:contextualSpacing/>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评委根据投标人提供的</w:t>
            </w:r>
            <w:r>
              <w:rPr>
                <w:rFonts w:hint="eastAsia" w:ascii="宋体" w:hAnsi="宋体" w:cs="宋体"/>
                <w:color w:val="000000" w:themeColor="text1"/>
                <w:spacing w:val="-2"/>
                <w:szCs w:val="21"/>
                <w:highlight w:val="none"/>
                <w14:textFill>
                  <w14:solidFill>
                    <w14:schemeClr w14:val="tx1"/>
                  </w14:solidFill>
                </w14:textFill>
              </w:rPr>
              <w:t>售后服务方案</w:t>
            </w:r>
            <w:r>
              <w:rPr>
                <w:rFonts w:hint="eastAsia" w:ascii="宋体" w:hAnsi="宋体" w:cs="宋体"/>
                <w:color w:val="000000" w:themeColor="text1"/>
                <w:szCs w:val="21"/>
                <w:highlight w:val="none"/>
                <w:lang w:val="zh-CN"/>
                <w14:textFill>
                  <w14:solidFill>
                    <w14:schemeClr w14:val="tx1"/>
                  </w14:solidFill>
                </w14:textFill>
              </w:rPr>
              <w:t>综合评分（每项内容逐条阐述）</w:t>
            </w:r>
          </w:p>
          <w:p w14:paraId="08D1956E">
            <w:pPr>
              <w:spacing w:line="360" w:lineRule="auto"/>
              <w:contextualSpacing/>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1.服务内容及故障解决方案（</w:t>
            </w:r>
            <w:r>
              <w:rPr>
                <w:rFonts w:hint="eastAsia" w:ascii="宋体" w:hAnsi="宋体" w:cs="宋体"/>
                <w:color w:val="000000" w:themeColor="text1"/>
                <w:szCs w:val="21"/>
                <w:highlight w:val="none"/>
                <w14:textFill>
                  <w14:solidFill>
                    <w14:schemeClr w14:val="tx1"/>
                  </w14:solidFill>
                </w14:textFill>
              </w:rPr>
              <w:t>3</w:t>
            </w:r>
            <w:r>
              <w:rPr>
                <w:rFonts w:hint="eastAsia" w:ascii="宋体" w:hAnsi="宋体" w:cs="宋体"/>
                <w:color w:val="000000" w:themeColor="text1"/>
                <w:szCs w:val="21"/>
                <w:highlight w:val="none"/>
                <w:lang w:val="zh-CN"/>
                <w14:textFill>
                  <w14:solidFill>
                    <w14:schemeClr w14:val="tx1"/>
                  </w14:solidFill>
                </w14:textFill>
              </w:rPr>
              <w:t>分）</w:t>
            </w:r>
          </w:p>
          <w:p w14:paraId="3CB60B28">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（1）内容全面合理、针对性及操作性强的，得3分；</w:t>
            </w:r>
          </w:p>
          <w:p w14:paraId="11EDF3B3">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（2）内容一般、针对性及操作性一般的，得1.5分；</w:t>
            </w:r>
          </w:p>
          <w:p w14:paraId="53599AE4">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（3）未提供方案的不得分。</w:t>
            </w:r>
          </w:p>
          <w:p w14:paraId="32168F6C">
            <w:pPr>
              <w:spacing w:line="360" w:lineRule="auto"/>
              <w:contextualSpacing/>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2.预防性维护方案（</w:t>
            </w:r>
            <w:r>
              <w:rPr>
                <w:rFonts w:hint="eastAsia" w:ascii="宋体" w:hAnsi="宋体" w:cs="宋体"/>
                <w:color w:val="000000" w:themeColor="text1"/>
                <w:szCs w:val="21"/>
                <w:highlight w:val="none"/>
                <w14:textFill>
                  <w14:solidFill>
                    <w14:schemeClr w14:val="tx1"/>
                  </w14:solidFill>
                </w14:textFill>
              </w:rPr>
              <w:t>3</w:t>
            </w:r>
            <w:r>
              <w:rPr>
                <w:rFonts w:hint="eastAsia" w:ascii="宋体" w:hAnsi="宋体" w:cs="宋体"/>
                <w:color w:val="000000" w:themeColor="text1"/>
                <w:szCs w:val="21"/>
                <w:highlight w:val="none"/>
                <w:lang w:val="zh-CN"/>
                <w14:textFill>
                  <w14:solidFill>
                    <w14:schemeClr w14:val="tx1"/>
                  </w14:solidFill>
                </w14:textFill>
              </w:rPr>
              <w:t>分）</w:t>
            </w:r>
          </w:p>
          <w:p w14:paraId="60DE9169">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（1）内容全面合理、针对性及操作性强的，得3分；</w:t>
            </w:r>
          </w:p>
          <w:p w14:paraId="138788A2">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（2）内容一般、针对性及操作性一般的，得1.5分；</w:t>
            </w:r>
          </w:p>
          <w:p w14:paraId="52976326">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（3）未提供方案的不得分。</w:t>
            </w:r>
          </w:p>
        </w:tc>
        <w:tc>
          <w:tcPr>
            <w:tcW w:w="504" w:type="pct"/>
            <w:vAlign w:val="center"/>
          </w:tcPr>
          <w:p w14:paraId="02F0A0DB">
            <w:pPr>
              <w:spacing w:line="360" w:lineRule="auto"/>
              <w:contextualSpacing/>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w:t>
            </w:r>
          </w:p>
        </w:tc>
      </w:tr>
      <w:tr w14:paraId="287D2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pct"/>
            <w:vAlign w:val="center"/>
          </w:tcPr>
          <w:p w14:paraId="4183045C">
            <w:pPr>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培训方案</w:t>
            </w:r>
          </w:p>
        </w:tc>
        <w:tc>
          <w:tcPr>
            <w:tcW w:w="3738" w:type="pct"/>
            <w:vAlign w:val="center"/>
          </w:tcPr>
          <w:p w14:paraId="1535BAC6">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评委根据投标人提供的项目培训方案评分（每项内容逐条阐述）：</w:t>
            </w:r>
          </w:p>
          <w:p w14:paraId="1B34BDFB">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1.培训内容及安排（3分）</w:t>
            </w:r>
          </w:p>
          <w:p w14:paraId="7283CD5B">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（1）内容全面合理、针对性及操作性强的，得3分；</w:t>
            </w:r>
          </w:p>
          <w:p w14:paraId="74E47EE5">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（2）内容一般、针对性及操作性一般的，得1.5分；</w:t>
            </w:r>
          </w:p>
          <w:p w14:paraId="1A2BBB85">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（3）未提供方案的不得分。</w:t>
            </w:r>
          </w:p>
          <w:p w14:paraId="637CFF21">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2.培训师资力量（3分）</w:t>
            </w:r>
          </w:p>
          <w:p w14:paraId="46367008">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（1）内容全面合理、针对性及操作性强的，得3分；</w:t>
            </w:r>
          </w:p>
          <w:p w14:paraId="374D09AB">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（2）内容一般、针对性及操作性一般的，得1.5分；</w:t>
            </w:r>
          </w:p>
          <w:p w14:paraId="7FD0B8E0">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（3）未提供方案的不得分。</w:t>
            </w:r>
          </w:p>
        </w:tc>
        <w:tc>
          <w:tcPr>
            <w:tcW w:w="504" w:type="pct"/>
            <w:vAlign w:val="center"/>
          </w:tcPr>
          <w:p w14:paraId="159D3FAD">
            <w:pPr>
              <w:spacing w:line="360" w:lineRule="auto"/>
              <w:contextualSpacing/>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w:t>
            </w:r>
          </w:p>
        </w:tc>
      </w:tr>
      <w:tr w14:paraId="132F6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pct"/>
            <w:vAlign w:val="center"/>
          </w:tcPr>
          <w:p w14:paraId="2690E0CD">
            <w:pPr>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调试和应急维护方案</w:t>
            </w:r>
          </w:p>
        </w:tc>
        <w:tc>
          <w:tcPr>
            <w:tcW w:w="3738" w:type="pct"/>
            <w:vAlign w:val="center"/>
          </w:tcPr>
          <w:p w14:paraId="2BFD549F">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评委根据投标人提供的调试和应急维护方案评分（每项内容逐条阐述）（6分）</w:t>
            </w:r>
          </w:p>
          <w:p w14:paraId="6DB21C62">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设备调试方案及验收计划（3分）</w:t>
            </w:r>
          </w:p>
          <w:p w14:paraId="4E367C8E">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（1）内容全面合理、针对性及操作性强的，得3分；</w:t>
            </w:r>
          </w:p>
          <w:p w14:paraId="086FDCF0">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（2）内容一般、针对性及操作性一般的，得1.5分；</w:t>
            </w:r>
          </w:p>
          <w:p w14:paraId="490C934C">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（3）未提供方案的不得分。</w:t>
            </w:r>
          </w:p>
          <w:p w14:paraId="150A7FD0">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应急维护方案及应急保证措施（3分）</w:t>
            </w:r>
          </w:p>
          <w:p w14:paraId="1BBA1DA2">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（1）内容全面合理、针对性及操作性强的，得3分；</w:t>
            </w:r>
          </w:p>
          <w:p w14:paraId="01155909">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（2）内容一般、针对性及操作性一般的，得1.5分；</w:t>
            </w:r>
          </w:p>
          <w:p w14:paraId="2EDD7119">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（3）未提供方案的不得分。</w:t>
            </w:r>
          </w:p>
        </w:tc>
        <w:tc>
          <w:tcPr>
            <w:tcW w:w="504" w:type="pct"/>
            <w:vAlign w:val="center"/>
          </w:tcPr>
          <w:p w14:paraId="6C575E20">
            <w:pPr>
              <w:spacing w:line="360" w:lineRule="auto"/>
              <w:contextualSpacing/>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w:t>
            </w:r>
          </w:p>
        </w:tc>
      </w:tr>
      <w:tr w14:paraId="5A597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pct"/>
            <w:vAlign w:val="center"/>
          </w:tcPr>
          <w:p w14:paraId="5D64AA0D">
            <w:pPr>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节能环保</w:t>
            </w:r>
          </w:p>
        </w:tc>
        <w:tc>
          <w:tcPr>
            <w:tcW w:w="3738" w:type="pct"/>
            <w:vAlign w:val="center"/>
          </w:tcPr>
          <w:p w14:paraId="04D37123">
            <w:pPr>
              <w:spacing w:line="360" w:lineRule="auto"/>
              <w:contextualSpacing/>
              <w:rPr>
                <w:rFonts w:hint="eastAsia"/>
                <w:highlight w:val="none"/>
                <w:lang w:val="zh-CN"/>
              </w:rPr>
            </w:pPr>
            <w:r>
              <w:rPr>
                <w:rFonts w:hint="eastAsia"/>
                <w:highlight w:val="none"/>
                <w:lang w:val="zh-CN"/>
              </w:rPr>
              <w:t>投标产品属于财政部、生态环境部公布的“环境标志产品品目清单”范围内的，投标人提供国家确定的认证机构出具的、处于有效期内的该投标产品环境标志产品认证证书复印件的，有一份得</w:t>
            </w:r>
            <w:r>
              <w:rPr>
                <w:rFonts w:hint="eastAsia"/>
                <w:highlight w:val="none"/>
                <w:lang w:val="en-US" w:eastAsia="zh-CN"/>
              </w:rPr>
              <w:t>1</w:t>
            </w:r>
            <w:r>
              <w:rPr>
                <w:rFonts w:hint="eastAsia"/>
                <w:highlight w:val="none"/>
                <w:lang w:val="zh-CN"/>
              </w:rPr>
              <w:t>分，最多得</w:t>
            </w:r>
            <w:r>
              <w:rPr>
                <w:rFonts w:hint="eastAsia"/>
                <w:highlight w:val="none"/>
                <w:lang w:val="en-US" w:eastAsia="zh-CN"/>
              </w:rPr>
              <w:t>2</w:t>
            </w:r>
            <w:r>
              <w:rPr>
                <w:rFonts w:hint="eastAsia"/>
                <w:highlight w:val="none"/>
                <w:lang w:val="zh-CN"/>
              </w:rPr>
              <w:t>分。</w:t>
            </w:r>
          </w:p>
          <w:p w14:paraId="0A0FF885">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b/>
                <w:bCs/>
                <w:highlight w:val="none"/>
                <w:lang w:val="en-US" w:eastAsia="zh-CN"/>
              </w:rPr>
              <w:t>注：</w:t>
            </w:r>
            <w:r>
              <w:rPr>
                <w:rFonts w:hint="eastAsia"/>
                <w:b/>
                <w:bCs/>
                <w:highlight w:val="none"/>
                <w:lang w:val="zh-CN"/>
              </w:rPr>
              <w:t>投标人需提供环境标志产品证书并标识出产品型号，如未提供，将不予认可。</w:t>
            </w:r>
          </w:p>
        </w:tc>
        <w:tc>
          <w:tcPr>
            <w:tcW w:w="504" w:type="pct"/>
            <w:vAlign w:val="center"/>
          </w:tcPr>
          <w:p w14:paraId="1DB38892">
            <w:pPr>
              <w:spacing w:line="360" w:lineRule="auto"/>
              <w:contextualSpacing/>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w:t>
            </w:r>
          </w:p>
        </w:tc>
      </w:tr>
    </w:tbl>
    <w:p w14:paraId="0BDD32AC">
      <w:pPr>
        <w:spacing w:line="360" w:lineRule="auto"/>
        <w:rPr>
          <w:rStyle w:val="282"/>
          <w:rFonts w:hint="eastAsia" w:ascii="宋体" w:hAnsi="宋体" w:cs="宋体"/>
          <w:color w:val="000000" w:themeColor="text1"/>
          <w:sz w:val="24"/>
          <w:highlight w:val="none"/>
          <w14:textFill>
            <w14:solidFill>
              <w14:schemeClr w14:val="tx1"/>
            </w14:solidFill>
          </w14:textFill>
        </w:rPr>
      </w:pPr>
    </w:p>
    <w:p w14:paraId="495FF5AB">
      <w:pPr>
        <w:spacing w:line="360" w:lineRule="auto"/>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注：</w:t>
      </w:r>
    </w:p>
    <w:p w14:paraId="3570FC57">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bookmarkStart w:id="261" w:name="_Toc91836565"/>
      <w:r>
        <w:rPr>
          <w:rFonts w:hint="eastAsia" w:ascii="宋体" w:hAnsi="宋体" w:cs="宋体"/>
          <w:color w:val="000000" w:themeColor="text1"/>
          <w:szCs w:val="21"/>
          <w:highlight w:val="none"/>
          <w14:textFill>
            <w14:solidFill>
              <w14:schemeClr w14:val="tx1"/>
            </w14:solidFill>
          </w14:textFill>
        </w:rPr>
        <w:t>落实政府采购政策的价格调整：符合第二章《投标人须知》4条规定情形的，可以享受中小企业扶持政策，用扣除后的价格参加评审。</w:t>
      </w:r>
    </w:p>
    <w:p w14:paraId="1EE230DD">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1、对于未预留份额专门面向中小企业采购的采购项目，以及预留份额项目中的非预留部分采购包，对小微企业报价给予</w:t>
      </w:r>
      <w:r>
        <w:rPr>
          <w:rFonts w:hint="eastAsia" w:ascii="宋体" w:hAnsi="宋体" w:cs="宋体"/>
          <w:color w:val="000000" w:themeColor="text1"/>
          <w:szCs w:val="21"/>
          <w:highlight w:val="none"/>
          <w:u w:val="single"/>
          <w14:textFill>
            <w14:solidFill>
              <w14:schemeClr w14:val="tx1"/>
            </w14:solidFill>
          </w14:textFill>
        </w:rPr>
        <w:t>10%</w:t>
      </w:r>
      <w:r>
        <w:rPr>
          <w:rFonts w:hint="eastAsia" w:ascii="宋体" w:hAnsi="宋体" w:cs="宋体"/>
          <w:color w:val="000000" w:themeColor="text1"/>
          <w:szCs w:val="21"/>
          <w:highlight w:val="none"/>
          <w14:textFill>
            <w14:solidFill>
              <w14:schemeClr w14:val="tx1"/>
            </w14:solidFill>
          </w14:textFill>
        </w:rPr>
        <w:t>的扣除，用扣除后的价格参加评审。</w:t>
      </w:r>
    </w:p>
    <w:p w14:paraId="00C9E7C9">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p>
    <w:p w14:paraId="784F9877">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3、组成联合体或者接受分包的小微企业与联合体内其他企业、分包企业之间存在直接控股、管理关系的，不享受价格扣除优惠政策。</w:t>
      </w:r>
    </w:p>
    <w:p w14:paraId="0CA285B0">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4、价格扣除比例对小型企业和微型企业同等对待，不作区分。</w:t>
      </w:r>
    </w:p>
    <w:p w14:paraId="3EEFC435">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5、中小企业参加政府采购活动，应当按照招标文件给定的格式出具《中小企业声明函》，否则不得享受相关中小企业扶持政策。</w:t>
      </w:r>
    </w:p>
    <w:p w14:paraId="1F4C9456">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6、监狱企业提供了由省级以上监狱管理局、戒毒管理局（含新疆生产建设兵团）出具的属于监狱企业的证明文件的，视同小微企业。</w:t>
      </w:r>
    </w:p>
    <w:p w14:paraId="25890A26">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7、残疾人福利性单位按招标文件要求提供了《残疾人福利性单位声明函》（见附件）的，视同小微企业。</w:t>
      </w:r>
    </w:p>
    <w:p w14:paraId="564484C1">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8、若投标人同时属于小型或微型企业、监狱企业、残疾人福利性单位中的两种及以上，将不重复享受小微企业价格扣减的优惠政策。</w:t>
      </w:r>
    </w:p>
    <w:p w14:paraId="7903DC27">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9、非政府强制采购的节能产品或环境标志产品，依据品目清单和认证证书实施政府优先采购。优先采购的具体规定（如涉及）___/__。</w:t>
      </w:r>
    </w:p>
    <w:p w14:paraId="182F822F">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10、关于无线局域网认证产品政府采购清单中的产品，优先采购的具体规定（如涉及）___/__。</w:t>
      </w:r>
    </w:p>
    <w:p w14:paraId="6608D109">
      <w:pPr>
        <w:widowControl/>
        <w:jc w:val="left"/>
        <w:rPr>
          <w:rFonts w:hint="eastAsia" w:ascii="宋体" w:hAnsi="宋体" w:cs="宋体"/>
          <w:b/>
          <w:bCs/>
          <w:color w:val="000000" w:themeColor="text1"/>
          <w:sz w:val="32"/>
          <w:szCs w:val="32"/>
          <w:highlight w:val="none"/>
          <w14:textFill>
            <w14:solidFill>
              <w14:schemeClr w14:val="tx1"/>
            </w14:solidFill>
          </w14:textFill>
        </w:rPr>
      </w:pPr>
      <w:bookmarkStart w:id="262" w:name="_Toc107246273"/>
      <w:r>
        <w:rPr>
          <w:rFonts w:ascii="宋体" w:hAnsi="宋体" w:cs="宋体"/>
          <w:color w:val="000000" w:themeColor="text1"/>
          <w:highlight w:val="none"/>
          <w14:textFill>
            <w14:solidFill>
              <w14:schemeClr w14:val="tx1"/>
            </w14:solidFill>
          </w14:textFill>
        </w:rPr>
        <w:br w:type="page" w:clear="all"/>
      </w:r>
    </w:p>
    <w:p w14:paraId="718256B5">
      <w:pPr>
        <w:pStyle w:val="40"/>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 </w:t>
      </w:r>
      <w:bookmarkEnd w:id="261"/>
      <w:r>
        <w:rPr>
          <w:rFonts w:hint="eastAsia" w:ascii="宋体" w:hAnsi="宋体" w:cs="宋体"/>
          <w:color w:val="000000" w:themeColor="text1"/>
          <w:highlight w:val="none"/>
          <w14:textFill>
            <w14:solidFill>
              <w14:schemeClr w14:val="tx1"/>
            </w14:solidFill>
          </w14:textFill>
        </w:rPr>
        <w:t>投标文件格式</w:t>
      </w:r>
      <w:bookmarkEnd w:id="262"/>
    </w:p>
    <w:p w14:paraId="1AA2323F">
      <w:pPr>
        <w:spacing w:line="360" w:lineRule="auto"/>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注：请投标人按照以下文件的要求格式、内容，顺序制作投标文件，并请编制目录及页码，否则可能将影响对投标文件的评价。</w:t>
      </w:r>
    </w:p>
    <w:p w14:paraId="6B6C5108">
      <w:pPr>
        <w:pStyle w:val="259"/>
        <w:shd w:val="clear" w:color="auto" w:fill="FFFFFF"/>
        <w:spacing w:line="240" w:lineRule="auto"/>
        <w:ind w:firstLine="0"/>
        <w:rPr>
          <w:rFonts w:hint="eastAsia" w:ascii="宋体" w:hAnsi="宋体" w:eastAsia="宋体" w:cs="宋体"/>
          <w:b/>
          <w:color w:val="000000" w:themeColor="text1"/>
          <w:sz w:val="24"/>
          <w:highlight w:val="none"/>
          <w14:textFill>
            <w14:solidFill>
              <w14:schemeClr w14:val="tx1"/>
            </w14:solidFill>
          </w14:textFill>
        </w:rPr>
      </w:pPr>
    </w:p>
    <w:p w14:paraId="18EAA1A0">
      <w:pPr>
        <w:spacing w:line="360" w:lineRule="auto"/>
        <w:jc w:val="left"/>
        <w:rPr>
          <w:rFonts w:hint="eastAsia" w:ascii="宋体" w:hAnsi="宋体" w:cs="宋体"/>
          <w:color w:val="000000" w:themeColor="text1"/>
          <w:sz w:val="24"/>
          <w:highlight w:val="none"/>
          <w14:textFill>
            <w14:solidFill>
              <w14:schemeClr w14:val="tx1"/>
            </w14:solidFill>
          </w14:textFill>
        </w:rPr>
      </w:pPr>
      <w:bookmarkStart w:id="263" w:name="_Toc96347900"/>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0"/>
          <w:szCs w:val="60"/>
          <w:highlight w:val="none"/>
          <w14:textFill>
            <w14:solidFill>
              <w14:schemeClr w14:val="tx1"/>
            </w14:solidFill>
          </w14:textFill>
        </w:rPr>
        <w:t>附件</w:t>
      </w:r>
    </w:p>
    <w:p w14:paraId="52A2F051">
      <w:pPr>
        <w:pStyle w:val="22"/>
        <w:spacing w:line="360" w:lineRule="auto"/>
        <w:jc w:val="center"/>
        <w:rPr>
          <w:rFonts w:hint="eastAsia" w:hAnsi="宋体" w:cs="宋体"/>
          <w:b/>
          <w:color w:val="000000" w:themeColor="text1"/>
          <w:sz w:val="56"/>
          <w:szCs w:val="56"/>
          <w:highlight w:val="none"/>
          <w14:textFill>
            <w14:solidFill>
              <w14:schemeClr w14:val="tx1"/>
            </w14:solidFill>
          </w14:textFill>
        </w:rPr>
      </w:pPr>
    </w:p>
    <w:p w14:paraId="1EAB6B77">
      <w:pPr>
        <w:pStyle w:val="22"/>
        <w:spacing w:line="360" w:lineRule="auto"/>
        <w:jc w:val="center"/>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t>南京鼓楼医院3D外视镜系统采购项目</w:t>
      </w:r>
    </w:p>
    <w:p w14:paraId="1F28CC67">
      <w:pPr>
        <w:pStyle w:val="22"/>
        <w:spacing w:line="360" w:lineRule="auto"/>
        <w:jc w:val="center"/>
        <w:rPr>
          <w:rFonts w:hint="eastAsia" w:hAnsi="宋体" w:cs="宋体"/>
          <w:b/>
          <w:color w:val="000000" w:themeColor="text1"/>
          <w:sz w:val="56"/>
          <w:szCs w:val="56"/>
          <w:highlight w:val="none"/>
          <w14:textFill>
            <w14:solidFill>
              <w14:schemeClr w14:val="tx1"/>
            </w14:solidFill>
          </w14:textFill>
        </w:rPr>
      </w:pPr>
    </w:p>
    <w:p w14:paraId="23DCEDE7">
      <w:pPr>
        <w:spacing w:line="360" w:lineRule="auto"/>
        <w:rPr>
          <w:rFonts w:hint="eastAsia" w:ascii="宋体" w:hAnsi="宋体" w:cs="宋体"/>
          <w:color w:val="000000" w:themeColor="text1"/>
          <w:highlight w:val="none"/>
          <w14:textFill>
            <w14:solidFill>
              <w14:schemeClr w14:val="tx1"/>
            </w14:solidFill>
          </w14:textFill>
        </w:rPr>
      </w:pPr>
    </w:p>
    <w:p w14:paraId="46A26B33">
      <w:pPr>
        <w:pStyle w:val="22"/>
        <w:spacing w:line="360" w:lineRule="auto"/>
        <w:jc w:val="center"/>
        <w:rPr>
          <w:rFonts w:hint="eastAsia" w:hAnsi="宋体" w:cs="宋体"/>
          <w:b/>
          <w:color w:val="000000" w:themeColor="text1"/>
          <w:sz w:val="84"/>
          <w:szCs w:val="84"/>
          <w:highlight w:val="none"/>
          <w14:textFill>
            <w14:solidFill>
              <w14:schemeClr w14:val="tx1"/>
            </w14:solidFill>
          </w14:textFill>
        </w:rPr>
      </w:pPr>
      <w:bookmarkStart w:id="264" w:name="_Toc100905255"/>
      <w:r>
        <w:rPr>
          <w:rFonts w:hint="eastAsia" w:hAnsi="宋体" w:cs="宋体"/>
          <w:b/>
          <w:color w:val="000000" w:themeColor="text1"/>
          <w:sz w:val="84"/>
          <w:szCs w:val="84"/>
          <w:highlight w:val="none"/>
          <w14:textFill>
            <w14:solidFill>
              <w14:schemeClr w14:val="tx1"/>
            </w14:solidFill>
          </w14:textFill>
        </w:rPr>
        <w:t>投 标 文 件</w:t>
      </w:r>
      <w:bookmarkEnd w:id="264"/>
    </w:p>
    <w:p w14:paraId="02A5F9BF">
      <w:pPr>
        <w:pStyle w:val="22"/>
        <w:spacing w:line="360" w:lineRule="auto"/>
        <w:ind w:firstLine="418"/>
        <w:rPr>
          <w:rFonts w:hint="eastAsia" w:hAnsi="宋体" w:eastAsia="宋体" w:cs="宋体"/>
          <w:color w:val="000000" w:themeColor="text1"/>
          <w:sz w:val="28"/>
          <w:szCs w:val="28"/>
          <w:highlight w:val="none"/>
          <w:lang w:eastAsia="zh-CN"/>
          <w14:textFill>
            <w14:solidFill>
              <w14:schemeClr w14:val="tx1"/>
            </w14:solidFill>
          </w14:textFill>
        </w:rPr>
      </w:pPr>
      <w:r>
        <w:rPr>
          <w:rFonts w:hint="eastAsia" w:hAnsi="宋体" w:cs="宋体"/>
          <w:b/>
          <w:color w:val="000000" w:themeColor="text1"/>
          <w:sz w:val="40"/>
          <w:szCs w:val="40"/>
          <w:highlight w:val="none"/>
          <w14:textFill>
            <w14:solidFill>
              <w14:schemeClr w14:val="tx1"/>
            </w14:solidFill>
          </w14:textFill>
        </w:rPr>
        <w:t>项目编号：</w:t>
      </w:r>
      <w:r>
        <w:rPr>
          <w:rFonts w:hint="eastAsia" w:hAnsi="宋体" w:cs="宋体"/>
          <w:b/>
          <w:color w:val="000000" w:themeColor="text1"/>
          <w:sz w:val="40"/>
          <w:szCs w:val="40"/>
          <w:highlight w:val="none"/>
          <w:lang w:eastAsia="zh-CN"/>
          <w14:textFill>
            <w14:solidFill>
              <w14:schemeClr w14:val="tx1"/>
            </w14:solidFill>
          </w14:textFill>
        </w:rPr>
        <w:t>JSZC-320100-JITC-G2026-0298</w:t>
      </w:r>
    </w:p>
    <w:p w14:paraId="122BFDDD">
      <w:pPr>
        <w:pStyle w:val="22"/>
        <w:spacing w:line="360" w:lineRule="auto"/>
        <w:rPr>
          <w:rFonts w:hint="eastAsia" w:hAnsi="宋体" w:cs="宋体"/>
          <w:color w:val="000000" w:themeColor="text1"/>
          <w:sz w:val="28"/>
          <w:szCs w:val="28"/>
          <w:highlight w:val="none"/>
          <w14:textFill>
            <w14:solidFill>
              <w14:schemeClr w14:val="tx1"/>
            </w14:solidFill>
          </w14:textFill>
        </w:rPr>
      </w:pPr>
    </w:p>
    <w:p w14:paraId="3D92F9F3">
      <w:pPr>
        <w:pStyle w:val="22"/>
        <w:spacing w:line="360" w:lineRule="auto"/>
        <w:rPr>
          <w:rFonts w:hint="eastAsia" w:hAnsi="宋体" w:cs="宋体"/>
          <w:color w:val="000000" w:themeColor="text1"/>
          <w:sz w:val="28"/>
          <w:szCs w:val="28"/>
          <w:highlight w:val="none"/>
          <w14:textFill>
            <w14:solidFill>
              <w14:schemeClr w14:val="tx1"/>
            </w14:solidFill>
          </w14:textFill>
        </w:rPr>
      </w:pPr>
    </w:p>
    <w:p w14:paraId="3D354BC8">
      <w:pPr>
        <w:pStyle w:val="22"/>
        <w:spacing w:line="360" w:lineRule="auto"/>
        <w:rPr>
          <w:rFonts w:hint="eastAsia" w:hAnsi="宋体" w:cs="宋体"/>
          <w:color w:val="000000" w:themeColor="text1"/>
          <w:sz w:val="28"/>
          <w:szCs w:val="28"/>
          <w:highlight w:val="none"/>
          <w14:textFill>
            <w14:solidFill>
              <w14:schemeClr w14:val="tx1"/>
            </w14:solidFill>
          </w14:textFill>
        </w:rPr>
      </w:pPr>
    </w:p>
    <w:p w14:paraId="0B456B10">
      <w:pPr>
        <w:pStyle w:val="22"/>
        <w:spacing w:line="360" w:lineRule="auto"/>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供应商名称：</w:t>
      </w:r>
      <w:r>
        <w:rPr>
          <w:rFonts w:hint="eastAsia" w:hAnsi="宋体" w:cs="宋体"/>
          <w:b/>
          <w:color w:val="000000" w:themeColor="text1"/>
          <w:sz w:val="32"/>
          <w:szCs w:val="32"/>
          <w:highlight w:val="none"/>
          <w14:textFill>
            <w14:solidFill>
              <w14:schemeClr w14:val="tx1"/>
            </w14:solidFill>
          </w14:textFill>
        </w:rPr>
        <w:t>_____________________</w:t>
      </w:r>
    </w:p>
    <w:p w14:paraId="45A11185">
      <w:pPr>
        <w:pStyle w:val="22"/>
        <w:spacing w:line="360" w:lineRule="auto"/>
        <w:jc w:val="center"/>
        <w:rPr>
          <w:rFonts w:hint="eastAsia" w:hAnsi="宋体" w:cs="宋体"/>
          <w:b/>
          <w:color w:val="000000" w:themeColor="text1"/>
          <w:sz w:val="32"/>
          <w:szCs w:val="32"/>
          <w:highlight w:val="none"/>
          <w:u w:val="singl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地址：_____________________</w:t>
      </w:r>
    </w:p>
    <w:p w14:paraId="5A294AA0">
      <w:pPr>
        <w:pStyle w:val="22"/>
        <w:spacing w:line="360" w:lineRule="auto"/>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联系人及联系方式：_____________________</w:t>
      </w:r>
    </w:p>
    <w:p w14:paraId="44A9444E">
      <w:pPr>
        <w:spacing w:line="360" w:lineRule="auto"/>
        <w:jc w:val="center"/>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二〇   年  月  日</w:t>
      </w:r>
      <w:r>
        <w:rPr>
          <w:rFonts w:hint="eastAsia" w:ascii="宋体" w:hAnsi="宋体" w:cs="宋体"/>
          <w:b/>
          <w:color w:val="000000" w:themeColor="text1"/>
          <w:highlight w:val="none"/>
          <w14:textFill>
            <w14:solidFill>
              <w14:schemeClr w14:val="tx1"/>
            </w14:solidFill>
          </w14:textFill>
        </w:rPr>
        <w:br w:type="page" w:clear="all"/>
      </w:r>
    </w:p>
    <w:p w14:paraId="181C09AB">
      <w:pPr>
        <w:spacing w:line="360" w:lineRule="auto"/>
        <w:jc w:val="center"/>
        <w:rPr>
          <w:rFonts w:hint="eastAsia" w:ascii="宋体" w:hAnsi="宋体" w:cs="宋体"/>
          <w:b/>
          <w:color w:val="000000" w:themeColor="text1"/>
          <w:highlight w:val="none"/>
          <w14:textFill>
            <w14:solidFill>
              <w14:schemeClr w14:val="tx1"/>
            </w14:solidFill>
          </w14:textFill>
        </w:rPr>
      </w:pPr>
    </w:p>
    <w:p w14:paraId="4BB3060D">
      <w:pPr>
        <w:spacing w:line="360" w:lineRule="auto"/>
        <w:jc w:val="center"/>
        <w:rPr>
          <w:rFonts w:hint="eastAsia"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目录</w:t>
      </w:r>
    </w:p>
    <w:p w14:paraId="19F08EC6">
      <w:pPr>
        <w:spacing w:line="300" w:lineRule="exact"/>
        <w:ind w:firstLine="372"/>
        <w:jc w:val="left"/>
        <w:rPr>
          <w:rFonts w:hint="eastAsia" w:ascii="宋体" w:hAnsi="宋体" w:cs="宋体"/>
          <w:color w:val="000000" w:themeColor="text1"/>
          <w:szCs w:val="21"/>
          <w:highlight w:val="none"/>
          <w14:textFill>
            <w14:solidFill>
              <w14:schemeClr w14:val="tx1"/>
            </w14:solidFill>
          </w14:textFill>
        </w:rPr>
      </w:pPr>
    </w:p>
    <w:p w14:paraId="02002696">
      <w:pPr>
        <w:spacing w:line="30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（供应商应根据投标文件顺序，自拟格式）</w:t>
      </w:r>
    </w:p>
    <w:p w14:paraId="26D0F0EB">
      <w:pPr>
        <w:spacing w:line="300" w:lineRule="exact"/>
        <w:ind w:firstLine="372"/>
        <w:jc w:val="left"/>
        <w:rPr>
          <w:rFonts w:hint="eastAsia" w:ascii="宋体" w:hAnsi="宋体" w:cs="宋体"/>
          <w:color w:val="000000" w:themeColor="text1"/>
          <w:szCs w:val="21"/>
          <w:highlight w:val="none"/>
          <w14:textFill>
            <w14:solidFill>
              <w14:schemeClr w14:val="tx1"/>
            </w14:solidFill>
          </w14:textFill>
        </w:rPr>
      </w:pPr>
    </w:p>
    <w:p w14:paraId="44DFFA0A">
      <w:pPr>
        <w:rPr>
          <w:rFonts w:hint="eastAsia" w:ascii="宋体" w:hAnsi="宋体" w:cs="宋体"/>
          <w:color w:val="000000" w:themeColor="text1"/>
          <w:sz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263"/>
    </w:p>
    <w:p w14:paraId="0EBE0FE1">
      <w:pPr>
        <w:pStyle w:val="40"/>
        <w:spacing w:before="0"/>
        <w:ind w:left="601" w:firstLine="425"/>
        <w:rPr>
          <w:rFonts w:hint="eastAsia" w:ascii="宋体" w:hAnsi="宋体" w:cs="宋体"/>
          <w:color w:val="000000" w:themeColor="text1"/>
          <w:sz w:val="28"/>
          <w:szCs w:val="24"/>
          <w:highlight w:val="none"/>
          <w14:textFill>
            <w14:solidFill>
              <w14:schemeClr w14:val="tx1"/>
            </w14:solidFill>
          </w14:textFill>
        </w:rPr>
      </w:pPr>
      <w:r>
        <w:rPr>
          <w:rFonts w:ascii="宋体" w:hAnsi="宋体" w:cs="宋体"/>
          <w:color w:val="000000" w:themeColor="text1"/>
          <w:sz w:val="28"/>
          <w:szCs w:val="24"/>
          <w:highlight w:val="none"/>
          <w14:textFill>
            <w14:solidFill>
              <w14:schemeClr w14:val="tx1"/>
            </w14:solidFill>
          </w14:textFill>
        </w:rPr>
        <w:t>一、</w:t>
      </w:r>
      <w:bookmarkStart w:id="265" w:name="_Toc107246274"/>
      <w:bookmarkStart w:id="266" w:name="_Toc103848582"/>
      <w:bookmarkStart w:id="267" w:name="_Toc104560897"/>
      <w:bookmarkStart w:id="268" w:name="_Toc104560893"/>
      <w:r>
        <w:rPr>
          <w:rFonts w:hint="eastAsia" w:ascii="宋体" w:hAnsi="宋体" w:cs="宋体"/>
          <w:color w:val="000000" w:themeColor="text1"/>
          <w:sz w:val="28"/>
          <w:szCs w:val="24"/>
          <w:highlight w:val="none"/>
          <w14:textFill>
            <w14:solidFill>
              <w14:schemeClr w14:val="tx1"/>
            </w14:solidFill>
          </w14:textFill>
        </w:rPr>
        <w:t>价格及商务部分</w:t>
      </w:r>
      <w:bookmarkEnd w:id="265"/>
      <w:bookmarkEnd w:id="266"/>
      <w:bookmarkEnd w:id="267"/>
    </w:p>
    <w:p w14:paraId="2C0352DA">
      <w:pPr>
        <w:ind w:firstLine="372"/>
        <w:rPr>
          <w:rFonts w:hint="eastAsia" w:ascii="宋体" w:hAnsi="宋体" w:cs="宋体"/>
          <w:color w:val="000000" w:themeColor="text1"/>
          <w:highlight w:val="none"/>
          <w14:textFill>
            <w14:solidFill>
              <w14:schemeClr w14:val="tx1"/>
            </w14:solidFill>
          </w14:textFill>
        </w:rPr>
      </w:pPr>
    </w:p>
    <w:p w14:paraId="6D007463">
      <w:pPr>
        <w:pStyle w:val="40"/>
        <w:spacing w:before="0" w:line="280" w:lineRule="exact"/>
        <w:rPr>
          <w:rFonts w:hint="eastAsia" w:ascii="宋体" w:hAnsi="宋体" w:cs="宋体"/>
          <w:color w:val="000000" w:themeColor="text1"/>
          <w:sz w:val="28"/>
          <w:szCs w:val="24"/>
          <w:highlight w:val="none"/>
          <w14:textFill>
            <w14:solidFill>
              <w14:schemeClr w14:val="tx1"/>
            </w14:solidFill>
          </w14:textFill>
        </w:rPr>
      </w:pPr>
      <w:bookmarkStart w:id="269" w:name="_Toc107246275"/>
      <w:r>
        <w:rPr>
          <w:rFonts w:hint="eastAsia" w:ascii="宋体" w:hAnsi="宋体" w:cs="宋体"/>
          <w:b w:val="0"/>
          <w:color w:val="000000" w:themeColor="text1"/>
          <w:sz w:val="24"/>
          <w:highlight w:val="none"/>
          <w14:textFill>
            <w14:solidFill>
              <w14:schemeClr w14:val="tx1"/>
            </w14:solidFill>
          </w14:textFill>
        </w:rPr>
        <w:t>（1）</w:t>
      </w:r>
      <w:r>
        <w:rPr>
          <w:rFonts w:hint="eastAsia" w:ascii="宋体" w:hAnsi="宋体" w:cs="宋体"/>
          <w:color w:val="000000" w:themeColor="text1"/>
          <w:sz w:val="28"/>
          <w:szCs w:val="24"/>
          <w:highlight w:val="none"/>
          <w14:textFill>
            <w14:solidFill>
              <w14:schemeClr w14:val="tx1"/>
            </w14:solidFill>
          </w14:textFill>
        </w:rPr>
        <w:t>投标函</w:t>
      </w:r>
      <w:bookmarkEnd w:id="268"/>
      <w:bookmarkEnd w:id="269"/>
    </w:p>
    <w:p w14:paraId="56CCDC84">
      <w:pPr>
        <w:spacing w:line="360" w:lineRule="exact"/>
        <w:ind w:firstLine="420"/>
        <w:rPr>
          <w:rFonts w:hint="eastAsia" w:ascii="宋体" w:hAnsi="宋体" w:cs="宋体"/>
          <w:color w:val="000000" w:themeColor="text1"/>
          <w:szCs w:val="21"/>
          <w:highlight w:val="none"/>
          <w14:textFill>
            <w14:solidFill>
              <w14:schemeClr w14:val="tx1"/>
            </w14:solidFill>
          </w14:textFill>
        </w:rPr>
      </w:pPr>
      <w:bookmarkStart w:id="270" w:name="_Toc103848580"/>
      <w:bookmarkStart w:id="271" w:name="_Toc96347902"/>
      <w:r>
        <w:rPr>
          <w:rFonts w:hint="eastAsia" w:ascii="宋体" w:hAnsi="宋体" w:cs="宋体"/>
          <w:color w:val="000000" w:themeColor="text1"/>
          <w:szCs w:val="21"/>
          <w:highlight w:val="none"/>
          <w:u w:val="single"/>
          <w14:textFill>
            <w14:solidFill>
              <w14:schemeClr w14:val="tx1"/>
            </w14:solidFill>
          </w14:textFill>
        </w:rPr>
        <w:t>南京鼓楼医院</w:t>
      </w:r>
      <w:r>
        <w:rPr>
          <w:rFonts w:hint="eastAsia" w:ascii="宋体" w:hAnsi="宋体" w:cs="宋体"/>
          <w:color w:val="000000" w:themeColor="text1"/>
          <w:szCs w:val="21"/>
          <w:highlight w:val="none"/>
          <w14:textFill>
            <w14:solidFill>
              <w14:schemeClr w14:val="tx1"/>
            </w14:solidFill>
          </w14:textFill>
        </w:rPr>
        <w:t>（采购人）：</w:t>
      </w:r>
    </w:p>
    <w:p w14:paraId="04E91A4C">
      <w:pPr>
        <w:spacing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(投标人全称)   </w:t>
      </w:r>
      <w:r>
        <w:rPr>
          <w:rFonts w:hint="eastAsia" w:ascii="宋体" w:hAnsi="宋体" w:cs="宋体"/>
          <w:color w:val="000000" w:themeColor="text1"/>
          <w:szCs w:val="21"/>
          <w:highlight w:val="none"/>
          <w14:textFill>
            <w14:solidFill>
              <w14:schemeClr w14:val="tx1"/>
            </w14:solidFill>
          </w14:textFill>
        </w:rPr>
        <w:t>授权</w:t>
      </w:r>
      <w:r>
        <w:rPr>
          <w:rFonts w:hint="eastAsia" w:ascii="宋体" w:hAnsi="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cs="宋体"/>
          <w:color w:val="000000" w:themeColor="text1"/>
          <w:szCs w:val="21"/>
          <w:highlight w:val="none"/>
          <w14:textFill>
            <w14:solidFill>
              <w14:schemeClr w14:val="tx1"/>
            </w14:solidFill>
          </w14:textFill>
        </w:rPr>
        <w:t>为全权代表，参加贵方组织的</w:t>
      </w:r>
      <w:r>
        <w:rPr>
          <w:rFonts w:hint="eastAsia" w:ascii="宋体" w:hAnsi="宋体" w:cs="宋体"/>
          <w:color w:val="000000" w:themeColor="text1"/>
          <w:szCs w:val="21"/>
          <w:highlight w:val="none"/>
          <w:u w:val="single"/>
          <w14:textFill>
            <w14:solidFill>
              <w14:schemeClr w14:val="tx1"/>
            </w14:solidFill>
          </w14:textFill>
        </w:rPr>
        <w:t>南京鼓楼医院3D外视镜系统采购项目（项目名称）（项目编号：</w:t>
      </w:r>
      <w:r>
        <w:rPr>
          <w:rFonts w:hint="eastAsia" w:ascii="宋体" w:hAnsi="宋体" w:cs="宋体"/>
          <w:color w:val="000000" w:themeColor="text1"/>
          <w:szCs w:val="21"/>
          <w:highlight w:val="none"/>
          <w:u w:val="single"/>
          <w:lang w:eastAsia="zh-CN"/>
          <w14:textFill>
            <w14:solidFill>
              <w14:schemeClr w14:val="tx1"/>
            </w14:solidFill>
          </w14:textFill>
        </w:rPr>
        <w:t>JSZC-320100-JITC-G2026-0298</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投标的有关活动，并对此项目进行投标。</w:t>
      </w:r>
    </w:p>
    <w:p w14:paraId="40F13060">
      <w:pPr>
        <w:spacing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为此：</w:t>
      </w:r>
    </w:p>
    <w:p w14:paraId="20C9B95D">
      <w:pPr>
        <w:pStyle w:val="38"/>
        <w:spacing w:after="0" w:line="360" w:lineRule="exact"/>
        <w:ind w:firstLine="42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1、我方将按采购文件的规定履行全部责任和义务。</w:t>
      </w:r>
    </w:p>
    <w:p w14:paraId="3B82671E">
      <w:pPr>
        <w:pStyle w:val="38"/>
        <w:spacing w:after="0"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2、我方已详细审查全部采购文件，我们完全理解并同意</w:t>
      </w:r>
      <w:r>
        <w:rPr>
          <w:rFonts w:hint="eastAsia" w:ascii="宋体" w:hAnsi="宋体" w:cs="宋体"/>
          <w:color w:val="000000" w:themeColor="text1"/>
          <w:szCs w:val="21"/>
          <w:highlight w:val="none"/>
          <w14:textFill>
            <w14:solidFill>
              <w14:schemeClr w14:val="tx1"/>
            </w14:solidFill>
          </w14:textFill>
        </w:rPr>
        <w:t>放弃对采购文件提出质疑或争议的权利。</w:t>
      </w:r>
    </w:p>
    <w:p w14:paraId="7F32646C">
      <w:pPr>
        <w:pStyle w:val="38"/>
        <w:spacing w:after="0" w:line="360" w:lineRule="exact"/>
        <w:ind w:firstLine="42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3、本投标有效期为自投标日起</w:t>
      </w:r>
      <w:r>
        <w:rPr>
          <w:rFonts w:hint="eastAsia" w:ascii="宋体" w:hAnsi="宋体" w:cs="宋体"/>
          <w:color w:val="000000" w:themeColor="text1"/>
          <w:szCs w:val="21"/>
          <w:highlight w:val="none"/>
          <w:u w:val="single"/>
          <w14:textFill>
            <w14:solidFill>
              <w14:schemeClr w14:val="tx1"/>
            </w14:solidFill>
          </w14:textFill>
        </w:rPr>
        <w:t>90日历天</w:t>
      </w:r>
      <w:r>
        <w:rPr>
          <w:rFonts w:hint="eastAsia" w:ascii="宋体" w:hAnsi="宋体" w:cs="宋体"/>
          <w:color w:val="000000" w:themeColor="text1"/>
          <w:szCs w:val="21"/>
          <w:highlight w:val="none"/>
          <w14:textFill>
            <w14:solidFill>
              <w14:schemeClr w14:val="tx1"/>
            </w14:solidFill>
          </w14:textFill>
        </w:rPr>
        <w:t>。</w:t>
      </w:r>
    </w:p>
    <w:p w14:paraId="10A4241A">
      <w:pPr>
        <w:pStyle w:val="38"/>
        <w:spacing w:after="0"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4、如果在规定的递交投标文件截止时间后，我方在投标有效期内撤销投标文件，投标保证金将不予退还。</w:t>
      </w:r>
    </w:p>
    <w:p w14:paraId="1BF2BA2F">
      <w:pPr>
        <w:pStyle w:val="38"/>
        <w:spacing w:after="0"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5、我方同意贵方查询或调查我们提交的与本投标文件有关的声明、文件和资料，并同意在贵方的要求下提供相关文件或证书的原件及其他相关书面材料。</w:t>
      </w:r>
    </w:p>
    <w:p w14:paraId="21E3FAE5">
      <w:pPr>
        <w:pStyle w:val="38"/>
        <w:spacing w:after="0"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6、我方在法律和财务上独立、合法运作并独立于采购方，与采购人为本项目所委托的咨询单位或其附属机构没有直接或间接的任何关联。</w:t>
      </w:r>
    </w:p>
    <w:p w14:paraId="74391877">
      <w:pPr>
        <w:pStyle w:val="38"/>
        <w:spacing w:after="0"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7F8D084E">
      <w:pPr>
        <w:pStyle w:val="38"/>
        <w:spacing w:after="0"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highlight w:val="none"/>
          <w14:textFill>
            <w14:solidFill>
              <w14:schemeClr w14:val="tx1"/>
            </w14:solidFill>
          </w14:textFill>
        </w:rPr>
        <w:t>我方保证投标文件所提供的全部资料真实可靠，同意提供贵方要求的与该项投标有关的数据或资料，完全理解贵方不一定接受最低价的投标或收到的任何投标。</w:t>
      </w:r>
    </w:p>
    <w:p w14:paraId="2D3B0258">
      <w:pPr>
        <w:pStyle w:val="38"/>
        <w:spacing w:after="0"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与本投标有关的一切往来通讯请寄：</w:t>
      </w:r>
    </w:p>
    <w:p w14:paraId="412FDC6F">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3175B4B6">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邮编：</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3DD9AF8C">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2418313B">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手机：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0EB2EDED">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固定电话：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6D40EA39">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邮箱：</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641F7985">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376C4EEA">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法定代表人或其授权代表（签字或盖章）：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211EE479">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w:t>
      </w:r>
    </w:p>
    <w:p w14:paraId="0EE766E3">
      <w:pPr>
        <w:pStyle w:val="17"/>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p>
    <w:p w14:paraId="7D756671">
      <w:pPr>
        <w:pStyle w:val="40"/>
        <w:spacing w:before="0"/>
        <w:ind w:firstLine="569"/>
        <w:rPr>
          <w:rFonts w:hint="eastAsia" w:ascii="宋体" w:hAnsi="宋体" w:cs="宋体"/>
          <w:bCs w:val="0"/>
          <w:color w:val="000000" w:themeColor="text1"/>
          <w:sz w:val="24"/>
          <w:szCs w:val="24"/>
          <w:highlight w:val="none"/>
          <w14:textFill>
            <w14:solidFill>
              <w14:schemeClr w14:val="tx1"/>
            </w14:solidFill>
          </w14:textFill>
        </w:rPr>
      </w:pPr>
      <w:bookmarkStart w:id="272" w:name="_Toc104560898"/>
      <w:bookmarkStart w:id="273" w:name="_Toc103848583"/>
      <w:bookmarkStart w:id="274" w:name="_Toc107246276"/>
      <w:r>
        <w:rPr>
          <w:rFonts w:hint="eastAsia" w:ascii="宋体" w:hAnsi="宋体" w:cs="宋体"/>
          <w:bCs w:val="0"/>
          <w:color w:val="000000" w:themeColor="text1"/>
          <w:sz w:val="24"/>
          <w:szCs w:val="24"/>
          <w:highlight w:val="none"/>
          <w14:textFill>
            <w14:solidFill>
              <w14:schemeClr w14:val="tx1"/>
            </w14:solidFill>
          </w14:textFill>
        </w:rPr>
        <w:t>（2）</w:t>
      </w:r>
      <w:bookmarkEnd w:id="272"/>
      <w:bookmarkEnd w:id="273"/>
      <w:r>
        <w:rPr>
          <w:rFonts w:hint="eastAsia" w:ascii="宋体" w:hAnsi="宋体" w:cs="宋体"/>
          <w:bCs w:val="0"/>
          <w:color w:val="000000" w:themeColor="text1"/>
          <w:sz w:val="24"/>
          <w:szCs w:val="24"/>
          <w:highlight w:val="none"/>
          <w14:textFill>
            <w14:solidFill>
              <w14:schemeClr w14:val="tx1"/>
            </w14:solidFill>
          </w14:textFill>
        </w:rPr>
        <w:t>法定代表人（非法人单位负责人）身份证明</w:t>
      </w:r>
      <w:bookmarkEnd w:id="274"/>
    </w:p>
    <w:p w14:paraId="08B193C0">
      <w:pPr>
        <w:pStyle w:val="17"/>
        <w:tabs>
          <w:tab w:val="left" w:pos="4228"/>
        </w:tabs>
        <w:ind w:left="1236" w:firstLine="368"/>
        <w:rPr>
          <w:rFonts w:hint="eastAsia" w:ascii="宋体" w:hAnsi="宋体" w:cs="宋体"/>
          <w:color w:val="000000" w:themeColor="text1"/>
          <w:spacing w:val="-1"/>
          <w:highlight w:val="none"/>
          <w14:textFill>
            <w14:solidFill>
              <w14:schemeClr w14:val="tx1"/>
            </w14:solidFill>
          </w14:textFill>
        </w:rPr>
      </w:pPr>
    </w:p>
    <w:p w14:paraId="2986FCA4">
      <w:pPr>
        <w:pStyle w:val="17"/>
        <w:tabs>
          <w:tab w:val="left" w:pos="4228"/>
        </w:tabs>
        <w:ind w:left="1236" w:firstLine="368"/>
        <w:rPr>
          <w:rFonts w:hint="eastAsia" w:ascii="宋体" w:hAnsi="宋体" w:cs="宋体"/>
          <w:color w:val="000000" w:themeColor="text1"/>
          <w:spacing w:val="-1"/>
          <w:highlight w:val="none"/>
          <w14:textFill>
            <w14:solidFill>
              <w14:schemeClr w14:val="tx1"/>
            </w14:solidFill>
          </w14:textFill>
        </w:rPr>
      </w:pPr>
    </w:p>
    <w:p w14:paraId="7F4B8C77">
      <w:pPr>
        <w:pStyle w:val="17"/>
        <w:tabs>
          <w:tab w:val="left" w:pos="4228"/>
        </w:tabs>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投标人名</w:t>
      </w:r>
      <w:r>
        <w:rPr>
          <w:rFonts w:hint="eastAsia" w:ascii="宋体" w:hAnsi="宋体" w:cs="宋体"/>
          <w:color w:val="000000" w:themeColor="text1"/>
          <w:spacing w:val="-3"/>
          <w:highlight w:val="none"/>
          <w14:textFill>
            <w14:solidFill>
              <w14:schemeClr w14:val="tx1"/>
            </w14:solidFill>
          </w14:textFill>
        </w:rPr>
        <w:t>称</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u w:val="single"/>
          <w14:textFill>
            <w14:solidFill>
              <w14:schemeClr w14:val="tx1"/>
            </w14:solidFill>
          </w14:textFill>
        </w:rPr>
        <w:tab/>
      </w:r>
    </w:p>
    <w:p w14:paraId="35399AFC">
      <w:pPr>
        <w:pStyle w:val="17"/>
        <w:tabs>
          <w:tab w:val="left" w:pos="2712"/>
          <w:tab w:val="left" w:pos="4183"/>
          <w:tab w:val="left" w:pos="5652"/>
          <w:tab w:val="left" w:pos="7169"/>
        </w:tabs>
        <w:spacing w:before="170"/>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姓名</w:t>
      </w:r>
      <w:r>
        <w:rPr>
          <w:rFonts w:hint="eastAsia" w:ascii="宋体" w:hAnsi="宋体" w:cs="宋体"/>
          <w:color w:val="000000" w:themeColor="text1"/>
          <w:spacing w:val="-3"/>
          <w:highlight w:val="none"/>
          <w14:textFill>
            <w14:solidFill>
              <w14:schemeClr w14:val="tx1"/>
            </w14:solidFill>
          </w14:textFill>
        </w:rPr>
        <w:t>：</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性别</w:t>
      </w:r>
      <w:r>
        <w:rPr>
          <w:rFonts w:hint="eastAsia" w:ascii="宋体" w:hAnsi="宋体" w:cs="宋体"/>
          <w:color w:val="000000" w:themeColor="text1"/>
          <w:spacing w:val="-3"/>
          <w:highlight w:val="none"/>
          <w14:textFill>
            <w14:solidFill>
              <w14:schemeClr w14:val="tx1"/>
            </w14:solidFill>
          </w14:textFill>
        </w:rPr>
        <w:t>：</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年</w:t>
      </w:r>
      <w:r>
        <w:rPr>
          <w:rFonts w:hint="eastAsia" w:ascii="宋体" w:hAnsi="宋体" w:cs="宋体"/>
          <w:color w:val="000000" w:themeColor="text1"/>
          <w:spacing w:val="-3"/>
          <w:highlight w:val="none"/>
          <w14:textFill>
            <w14:solidFill>
              <w14:schemeClr w14:val="tx1"/>
            </w14:solidFill>
          </w14:textFill>
        </w:rPr>
        <w:t>龄</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1"/>
          <w:highlight w:val="none"/>
          <w14:textFill>
            <w14:solidFill>
              <w14:schemeClr w14:val="tx1"/>
            </w14:solidFill>
          </w14:textFill>
        </w:rPr>
        <w:t>职</w:t>
      </w:r>
      <w:r>
        <w:rPr>
          <w:rFonts w:hint="eastAsia" w:ascii="宋体" w:hAnsi="宋体" w:cs="宋体"/>
          <w:color w:val="000000" w:themeColor="text1"/>
          <w:spacing w:val="-3"/>
          <w:highlight w:val="none"/>
          <w14:textFill>
            <w14:solidFill>
              <w14:schemeClr w14:val="tx1"/>
            </w14:solidFill>
          </w14:textFill>
        </w:rPr>
        <w:t>务</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u w:val="single"/>
          <w14:textFill>
            <w14:solidFill>
              <w14:schemeClr w14:val="tx1"/>
            </w14:solidFill>
          </w14:textFill>
        </w:rPr>
        <w:tab/>
      </w:r>
    </w:p>
    <w:p w14:paraId="76BE3C8D">
      <w:pPr>
        <w:pStyle w:val="17"/>
        <w:tabs>
          <w:tab w:val="left" w:pos="3132"/>
        </w:tabs>
        <w:spacing w:before="173"/>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系</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3"/>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投标人</w:t>
      </w:r>
      <w:r>
        <w:rPr>
          <w:rFonts w:hint="eastAsia" w:ascii="宋体" w:hAnsi="宋体" w:cs="宋体"/>
          <w:color w:val="000000" w:themeColor="text1"/>
          <w:spacing w:val="-3"/>
          <w:highlight w:val="none"/>
          <w14:textFill>
            <w14:solidFill>
              <w14:schemeClr w14:val="tx1"/>
            </w14:solidFill>
          </w14:textFill>
        </w:rPr>
        <w:t>名</w:t>
      </w:r>
      <w:r>
        <w:rPr>
          <w:rFonts w:hint="eastAsia" w:ascii="宋体" w:hAnsi="宋体" w:cs="宋体"/>
          <w:color w:val="000000" w:themeColor="text1"/>
          <w:highlight w:val="none"/>
          <w14:textFill>
            <w14:solidFill>
              <w14:schemeClr w14:val="tx1"/>
            </w14:solidFill>
          </w14:textFill>
        </w:rPr>
        <w:t>称</w:t>
      </w:r>
      <w:r>
        <w:rPr>
          <w:rFonts w:hint="eastAsia" w:ascii="宋体" w:hAnsi="宋体" w:cs="宋体"/>
          <w:color w:val="000000" w:themeColor="text1"/>
          <w:spacing w:val="-3"/>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的</w:t>
      </w:r>
      <w:r>
        <w:rPr>
          <w:rFonts w:hint="eastAsia" w:ascii="宋体" w:hAnsi="宋体" w:cs="宋体"/>
          <w:color w:val="000000" w:themeColor="text1"/>
          <w:spacing w:val="-3"/>
          <w:highlight w:val="none"/>
          <w14:textFill>
            <w14:solidFill>
              <w14:schemeClr w14:val="tx1"/>
            </w14:solidFill>
          </w14:textFill>
        </w:rPr>
        <w:t>法定</w:t>
      </w:r>
      <w:r>
        <w:rPr>
          <w:rFonts w:hint="eastAsia" w:ascii="宋体" w:hAnsi="宋体" w:cs="宋体"/>
          <w:color w:val="000000" w:themeColor="text1"/>
          <w:highlight w:val="none"/>
          <w14:textFill>
            <w14:solidFill>
              <w14:schemeClr w14:val="tx1"/>
            </w14:solidFill>
          </w14:textFill>
        </w:rPr>
        <w:t>代表</w:t>
      </w:r>
      <w:r>
        <w:rPr>
          <w:rFonts w:hint="eastAsia" w:ascii="宋体" w:hAnsi="宋体" w:cs="宋体"/>
          <w:color w:val="000000" w:themeColor="text1"/>
          <w:spacing w:val="-3"/>
          <w:highlight w:val="none"/>
          <w14:textFill>
            <w14:solidFill>
              <w14:schemeClr w14:val="tx1"/>
            </w14:solidFill>
          </w14:textFill>
        </w:rPr>
        <w:t>人/非法人单位负责人。</w:t>
      </w:r>
    </w:p>
    <w:p w14:paraId="711DA1D9">
      <w:pPr>
        <w:pStyle w:val="17"/>
        <w:spacing w:before="170"/>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特此证明。</w:t>
      </w:r>
    </w:p>
    <w:p w14:paraId="3A4A0F6D">
      <w:pPr>
        <w:pStyle w:val="17"/>
        <w:ind w:left="1260" w:firstLine="354"/>
        <w:rPr>
          <w:rFonts w:hint="eastAsia" w:ascii="宋体" w:hAnsi="宋体" w:cs="宋体"/>
          <w:color w:val="000000" w:themeColor="text1"/>
          <w:sz w:val="20"/>
          <w:highlight w:val="none"/>
          <w14:textFill>
            <w14:solidFill>
              <w14:schemeClr w14:val="tx1"/>
            </w14:solidFill>
          </w14:textFill>
        </w:rPr>
      </w:pPr>
    </w:p>
    <w:p w14:paraId="3FC317B1">
      <w:pPr>
        <w:pStyle w:val="17"/>
        <w:spacing w:before="10"/>
        <w:ind w:left="1260" w:firstLine="478"/>
        <w:rPr>
          <w:rFonts w:hint="eastAsia" w:ascii="宋体" w:hAnsi="宋体" w:cs="宋体"/>
          <w:color w:val="000000" w:themeColor="text1"/>
          <w:sz w:val="27"/>
          <w:highlight w:val="none"/>
          <w14:textFill>
            <w14:solidFill>
              <w14:schemeClr w14:val="tx1"/>
            </w14:solidFill>
          </w14:textFill>
        </w:rPr>
      </w:pPr>
    </w:p>
    <w:p w14:paraId="00590B86">
      <w:pPr>
        <w:spacing w:line="480" w:lineRule="auto"/>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附：法定代表人（非法人单位负责人）有效期内的身份证复印件（正反面）</w:t>
      </w:r>
    </w:p>
    <w:p w14:paraId="1B4B223A">
      <w:pPr>
        <w:spacing w:line="480" w:lineRule="auto"/>
        <w:ind w:firstLine="372"/>
        <w:rPr>
          <w:rFonts w:hint="eastAsia" w:ascii="宋体" w:hAnsi="宋体" w:cs="宋体"/>
          <w:color w:val="000000" w:themeColor="text1"/>
          <w:highlight w:val="none"/>
          <w14:textFill>
            <w14:solidFill>
              <w14:schemeClr w14:val="tx1"/>
            </w14:solidFill>
          </w14:textFill>
        </w:rPr>
      </w:pPr>
    </w:p>
    <w:tbl>
      <w:tblPr>
        <w:tblStyle w:val="4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5A93A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08CB727F">
            <w:pPr>
              <w:pStyle w:val="17"/>
              <w:spacing w:line="300" w:lineRule="exact"/>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身份证正面</w:t>
            </w:r>
          </w:p>
        </w:tc>
        <w:tc>
          <w:tcPr>
            <w:tcW w:w="284" w:type="dxa"/>
            <w:tcBorders>
              <w:top w:val="nil"/>
              <w:bottom w:val="nil"/>
            </w:tcBorders>
          </w:tcPr>
          <w:p w14:paraId="72653A18">
            <w:pPr>
              <w:widowControl/>
              <w:spacing w:line="300" w:lineRule="exact"/>
              <w:ind w:firstLine="354"/>
              <w:jc w:val="left"/>
              <w:rPr>
                <w:rFonts w:hint="eastAsia" w:ascii="宋体" w:hAnsi="宋体" w:cs="宋体"/>
                <w:color w:val="000000" w:themeColor="text1"/>
                <w:sz w:val="20"/>
                <w:highlight w:val="none"/>
                <w14:textFill>
                  <w14:solidFill>
                    <w14:schemeClr w14:val="tx1"/>
                  </w14:solidFill>
                </w14:textFill>
              </w:rPr>
            </w:pPr>
          </w:p>
        </w:tc>
        <w:tc>
          <w:tcPr>
            <w:tcW w:w="4677" w:type="dxa"/>
            <w:vAlign w:val="center"/>
          </w:tcPr>
          <w:p w14:paraId="39C5FAF5">
            <w:pPr>
              <w:widowControl/>
              <w:spacing w:line="300" w:lineRule="exact"/>
              <w:jc w:val="center"/>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身份证反面</w:t>
            </w:r>
          </w:p>
        </w:tc>
      </w:tr>
    </w:tbl>
    <w:p w14:paraId="7E59FCD6">
      <w:pPr>
        <w:pStyle w:val="17"/>
        <w:ind w:firstLine="354"/>
        <w:rPr>
          <w:rFonts w:hint="eastAsia" w:ascii="宋体" w:hAnsi="宋体" w:cs="宋体"/>
          <w:color w:val="000000" w:themeColor="text1"/>
          <w:sz w:val="20"/>
          <w:highlight w:val="none"/>
          <w14:textFill>
            <w14:solidFill>
              <w14:schemeClr w14:val="tx1"/>
            </w14:solidFill>
          </w14:textFill>
        </w:rPr>
      </w:pPr>
    </w:p>
    <w:p w14:paraId="596ED4AE">
      <w:pPr>
        <w:pStyle w:val="17"/>
        <w:ind w:firstLine="354"/>
        <w:rPr>
          <w:rFonts w:hint="eastAsia" w:ascii="宋体" w:hAnsi="宋体" w:cs="宋体"/>
          <w:color w:val="000000" w:themeColor="text1"/>
          <w:sz w:val="20"/>
          <w:highlight w:val="none"/>
          <w14:textFill>
            <w14:solidFill>
              <w14:schemeClr w14:val="tx1"/>
            </w14:solidFill>
          </w14:textFill>
        </w:rPr>
      </w:pPr>
    </w:p>
    <w:p w14:paraId="34BCA2B1">
      <w:pPr>
        <w:pStyle w:val="17"/>
        <w:ind w:left="1260" w:firstLine="354"/>
        <w:rPr>
          <w:rFonts w:hint="eastAsia" w:ascii="宋体" w:hAnsi="宋体" w:cs="宋体"/>
          <w:color w:val="000000" w:themeColor="text1"/>
          <w:sz w:val="20"/>
          <w:highlight w:val="none"/>
          <w14:textFill>
            <w14:solidFill>
              <w14:schemeClr w14:val="tx1"/>
            </w14:solidFill>
          </w14:textFill>
        </w:rPr>
      </w:pPr>
    </w:p>
    <w:p w14:paraId="7DEBD9EA">
      <w:pPr>
        <w:pStyle w:val="17"/>
        <w:spacing w:before="1"/>
        <w:ind w:left="1260" w:firstLine="389"/>
        <w:rPr>
          <w:rFonts w:hint="eastAsia" w:ascii="宋体" w:hAnsi="宋体" w:cs="宋体"/>
          <w:color w:val="000000" w:themeColor="text1"/>
          <w:sz w:val="22"/>
          <w:highlight w:val="none"/>
          <w14:textFill>
            <w14:solidFill>
              <w14:schemeClr w14:val="tx1"/>
            </w14:solidFill>
          </w14:textFill>
        </w:rPr>
      </w:pPr>
    </w:p>
    <w:p w14:paraId="2DBB4900">
      <w:pPr>
        <w:pStyle w:val="17"/>
        <w:tabs>
          <w:tab w:val="left" w:pos="7977"/>
        </w:tabs>
        <w:ind w:left="1260" w:firstLine="306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highlight w:val="none"/>
          <w14:textFill>
            <w14:solidFill>
              <w14:schemeClr w14:val="tx1"/>
            </w14:solidFill>
          </w14:textFill>
        </w:rPr>
        <w:t>投标人名称（公章）</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u w:val="single"/>
          <w14:textFill>
            <w14:solidFill>
              <w14:schemeClr w14:val="tx1"/>
            </w14:solidFill>
          </w14:textFill>
        </w:rPr>
        <w:tab/>
      </w:r>
    </w:p>
    <w:p w14:paraId="12CE09AA">
      <w:pPr>
        <w:pStyle w:val="38"/>
        <w:spacing w:after="0" w:line="360" w:lineRule="exact"/>
        <w:ind w:firstLine="372"/>
        <w:jc w:val="righ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w:t>
      </w:r>
    </w:p>
    <w:p w14:paraId="089510E0">
      <w:pPr>
        <w:rPr>
          <w:color w:val="000000" w:themeColor="text1"/>
          <w:highlight w:val="none"/>
          <w14:textFill>
            <w14:solidFill>
              <w14:schemeClr w14:val="tx1"/>
            </w14:solidFill>
          </w14:textFill>
        </w:rPr>
      </w:pPr>
    </w:p>
    <w:p w14:paraId="2EFD60E5">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275" w:name="_Toc104560899"/>
      <w:bookmarkStart w:id="276" w:name="_Toc103848584"/>
      <w:bookmarkStart w:id="277" w:name="_Toc107246277"/>
      <w:r>
        <w:rPr>
          <w:rFonts w:hint="eastAsia" w:ascii="宋体" w:hAnsi="宋体" w:cs="宋体"/>
          <w:bCs w:val="0"/>
          <w:color w:val="000000" w:themeColor="text1"/>
          <w:sz w:val="24"/>
          <w:szCs w:val="24"/>
          <w:highlight w:val="none"/>
          <w14:textFill>
            <w14:solidFill>
              <w14:schemeClr w14:val="tx1"/>
            </w14:solidFill>
          </w14:textFill>
        </w:rPr>
        <w:t>（3）授权委托书</w:t>
      </w:r>
    </w:p>
    <w:p w14:paraId="678C548A">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（3-1）法定代表人授权委托书</w:t>
      </w:r>
      <w:bookmarkEnd w:id="275"/>
      <w:bookmarkEnd w:id="276"/>
      <w:bookmarkEnd w:id="277"/>
      <w:r>
        <w:rPr>
          <w:rFonts w:hint="eastAsia" w:ascii="宋体" w:hAnsi="宋体" w:cs="宋体"/>
          <w:bCs w:val="0"/>
          <w:color w:val="000000" w:themeColor="text1"/>
          <w:sz w:val="24"/>
          <w:szCs w:val="24"/>
          <w:highlight w:val="none"/>
          <w14:textFill>
            <w14:solidFill>
              <w14:schemeClr w14:val="tx1"/>
            </w14:solidFill>
          </w14:textFill>
        </w:rPr>
        <w:t>（适用于法人/非法人）</w:t>
      </w:r>
    </w:p>
    <w:p w14:paraId="5B6A1263">
      <w:pPr>
        <w:spacing w:line="300" w:lineRule="exact"/>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本授权书声明：注册于</w:t>
      </w:r>
      <w:r>
        <w:rPr>
          <w:rFonts w:hint="eastAsia" w:ascii="宋体" w:hAnsi="宋体" w:cs="宋体"/>
          <w:color w:val="000000" w:themeColor="text1"/>
          <w:szCs w:val="21"/>
          <w:highlight w:val="none"/>
          <w:u w:val="single"/>
          <w14:textFill>
            <w14:solidFill>
              <w14:schemeClr w14:val="tx1"/>
            </w14:solidFill>
          </w14:textFill>
        </w:rPr>
        <w:t>（国家或地区的名称）</w:t>
      </w:r>
      <w:r>
        <w:rPr>
          <w:rFonts w:hint="eastAsia" w:ascii="宋体" w:hAnsi="宋体" w:cs="宋体"/>
          <w:color w:val="000000" w:themeColor="text1"/>
          <w:szCs w:val="21"/>
          <w:highlight w:val="none"/>
          <w14:textFill>
            <w14:solidFill>
              <w14:schemeClr w14:val="tx1"/>
            </w14:solidFill>
          </w14:textFill>
        </w:rPr>
        <w:t>的</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的在法定代表人（签字或盖章）处签字的</w:t>
      </w:r>
      <w:r>
        <w:rPr>
          <w:rFonts w:hint="eastAsia" w:ascii="宋体" w:hAnsi="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cs="宋体"/>
          <w:color w:val="000000" w:themeColor="text1"/>
          <w:szCs w:val="21"/>
          <w:highlight w:val="none"/>
          <w14:textFill>
            <w14:solidFill>
              <w14:schemeClr w14:val="tx1"/>
            </w14:solidFill>
          </w14:textFill>
        </w:rPr>
        <w:t xml:space="preserve">代表本单位授权 </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的在授权代表（签字）处签字的</w:t>
      </w:r>
      <w:r>
        <w:rPr>
          <w:rFonts w:hint="eastAsia" w:ascii="宋体" w:hAnsi="宋体" w:cs="宋体"/>
          <w:color w:val="000000" w:themeColor="text1"/>
          <w:szCs w:val="21"/>
          <w:highlight w:val="none"/>
          <w:u w:val="single"/>
          <w14:textFill>
            <w14:solidFill>
              <w14:schemeClr w14:val="tx1"/>
            </w14:solidFill>
          </w14:textFill>
        </w:rPr>
        <w:t>（授权代表的姓名、职务）（身份证号码：             ）</w:t>
      </w:r>
      <w:r>
        <w:rPr>
          <w:rFonts w:hint="eastAsia" w:ascii="宋体" w:hAnsi="宋体" w:cs="宋体"/>
          <w:color w:val="000000" w:themeColor="text1"/>
          <w:szCs w:val="21"/>
          <w:highlight w:val="none"/>
          <w14:textFill>
            <w14:solidFill>
              <w14:schemeClr w14:val="tx1"/>
            </w14:solidFill>
          </w14:textFill>
        </w:rPr>
        <w:t>为本单位的合法代理人，就</w:t>
      </w:r>
      <w:r>
        <w:rPr>
          <w:rFonts w:hint="eastAsia" w:ascii="宋体" w:hAnsi="宋体" w:cs="宋体"/>
          <w:color w:val="000000" w:themeColor="text1"/>
          <w:szCs w:val="21"/>
          <w:highlight w:val="none"/>
          <w:u w:val="single"/>
          <w14:textFill>
            <w14:solidFill>
              <w14:schemeClr w14:val="tx1"/>
            </w14:solidFill>
          </w14:textFill>
        </w:rPr>
        <w:t>南京鼓楼医院3D外视镜系统采购项目（项目名称）（项目编号：</w:t>
      </w:r>
      <w:r>
        <w:rPr>
          <w:rFonts w:hint="eastAsia" w:ascii="宋体" w:hAnsi="宋体" w:cs="宋体"/>
          <w:color w:val="000000" w:themeColor="text1"/>
          <w:szCs w:val="21"/>
          <w:highlight w:val="none"/>
          <w:u w:val="single"/>
          <w:lang w:eastAsia="zh-CN"/>
          <w14:textFill>
            <w14:solidFill>
              <w14:schemeClr w14:val="tx1"/>
            </w14:solidFill>
          </w14:textFill>
        </w:rPr>
        <w:t>JSZC-320100-JITC-G2026-0298</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以本单位名义处理一切与之相关的事务，其后果由我单位承担。</w:t>
      </w:r>
    </w:p>
    <w:p w14:paraId="5735E8CE">
      <w:pPr>
        <w:spacing w:line="30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代理人无转委托权，特此委托。</w:t>
      </w:r>
    </w:p>
    <w:p w14:paraId="54D441E7">
      <w:pPr>
        <w:spacing w:line="300" w:lineRule="exact"/>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委托期限：自本授权委托书签署之日起至投标有效期届满之日止。</w:t>
      </w:r>
    </w:p>
    <w:p w14:paraId="41F091D0">
      <w:pPr>
        <w:spacing w:line="300" w:lineRule="exact"/>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  </w:t>
      </w:r>
    </w:p>
    <w:p w14:paraId="1AEB54DC">
      <w:pPr>
        <w:spacing w:line="300" w:lineRule="exact"/>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w:t>
      </w:r>
    </w:p>
    <w:p w14:paraId="788FD493">
      <w:pPr>
        <w:pStyle w:val="38"/>
        <w:spacing w:after="0" w:line="30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p>
    <w:p w14:paraId="6473D3BC">
      <w:pPr>
        <w:spacing w:line="300" w:lineRule="exact"/>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授权代表（签字）：</w:t>
      </w:r>
    </w:p>
    <w:p w14:paraId="2BF32488">
      <w:pPr>
        <w:pStyle w:val="38"/>
        <w:spacing w:after="0" w:line="30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身份证号码：</w:t>
      </w:r>
    </w:p>
    <w:p w14:paraId="1F95C6AB">
      <w:pPr>
        <w:spacing w:line="480" w:lineRule="auto"/>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附：法定代表人有效期内的</w:t>
      </w:r>
      <w:r>
        <w:rPr>
          <w:rFonts w:hint="eastAsia" w:ascii="宋体" w:hAnsi="宋体" w:cs="宋体"/>
          <w:color w:val="000000" w:themeColor="text1"/>
          <w:highlight w:val="none"/>
          <w14:textFill>
            <w14:solidFill>
              <w14:schemeClr w14:val="tx1"/>
            </w14:solidFill>
          </w14:textFill>
        </w:rPr>
        <w:t>身份证复印件（正反面）</w:t>
      </w:r>
    </w:p>
    <w:tbl>
      <w:tblPr>
        <w:tblStyle w:val="4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22919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2BEDA603">
            <w:pPr>
              <w:pStyle w:val="17"/>
              <w:spacing w:line="300" w:lineRule="exact"/>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身份证正面</w:t>
            </w:r>
          </w:p>
        </w:tc>
        <w:tc>
          <w:tcPr>
            <w:tcW w:w="284" w:type="dxa"/>
            <w:tcBorders>
              <w:top w:val="nil"/>
              <w:bottom w:val="nil"/>
            </w:tcBorders>
          </w:tcPr>
          <w:p w14:paraId="46D024A5">
            <w:pPr>
              <w:widowControl/>
              <w:spacing w:line="300" w:lineRule="exact"/>
              <w:ind w:firstLine="354"/>
              <w:jc w:val="left"/>
              <w:rPr>
                <w:rFonts w:hint="eastAsia" w:ascii="宋体" w:hAnsi="宋体" w:cs="宋体"/>
                <w:color w:val="000000" w:themeColor="text1"/>
                <w:sz w:val="20"/>
                <w:highlight w:val="none"/>
                <w14:textFill>
                  <w14:solidFill>
                    <w14:schemeClr w14:val="tx1"/>
                  </w14:solidFill>
                </w14:textFill>
              </w:rPr>
            </w:pPr>
          </w:p>
        </w:tc>
        <w:tc>
          <w:tcPr>
            <w:tcW w:w="4677" w:type="dxa"/>
            <w:vAlign w:val="center"/>
          </w:tcPr>
          <w:p w14:paraId="07E4F0EE">
            <w:pPr>
              <w:widowControl/>
              <w:spacing w:line="300" w:lineRule="exact"/>
              <w:jc w:val="center"/>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身份证反面</w:t>
            </w:r>
          </w:p>
        </w:tc>
      </w:tr>
    </w:tbl>
    <w:p w14:paraId="11FDB99E">
      <w:pPr>
        <w:spacing w:line="480" w:lineRule="auto"/>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授权代表有效期内的身份证复印件</w:t>
      </w:r>
      <w:r>
        <w:rPr>
          <w:rFonts w:hint="eastAsia" w:ascii="宋体" w:hAnsi="宋体" w:cs="宋体"/>
          <w:color w:val="000000" w:themeColor="text1"/>
          <w:highlight w:val="none"/>
          <w14:textFill>
            <w14:solidFill>
              <w14:schemeClr w14:val="tx1"/>
            </w14:solidFill>
          </w14:textFill>
        </w:rPr>
        <w:t>（正反面）</w:t>
      </w:r>
    </w:p>
    <w:tbl>
      <w:tblPr>
        <w:tblStyle w:val="4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6B9D8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4D2ED596">
            <w:pPr>
              <w:pStyle w:val="17"/>
              <w:spacing w:line="300" w:lineRule="exact"/>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身份证正面</w:t>
            </w:r>
          </w:p>
        </w:tc>
        <w:tc>
          <w:tcPr>
            <w:tcW w:w="278" w:type="dxa"/>
            <w:tcBorders>
              <w:top w:val="nil"/>
              <w:bottom w:val="nil"/>
            </w:tcBorders>
          </w:tcPr>
          <w:p w14:paraId="1865272C">
            <w:pPr>
              <w:widowControl/>
              <w:spacing w:line="300" w:lineRule="exact"/>
              <w:ind w:firstLine="354"/>
              <w:jc w:val="left"/>
              <w:rPr>
                <w:rFonts w:hint="eastAsia" w:ascii="宋体" w:hAnsi="宋体" w:cs="宋体"/>
                <w:color w:val="000000" w:themeColor="text1"/>
                <w:sz w:val="20"/>
                <w:highlight w:val="none"/>
                <w14:textFill>
                  <w14:solidFill>
                    <w14:schemeClr w14:val="tx1"/>
                  </w14:solidFill>
                </w14:textFill>
              </w:rPr>
            </w:pPr>
          </w:p>
        </w:tc>
        <w:tc>
          <w:tcPr>
            <w:tcW w:w="4695" w:type="dxa"/>
            <w:vAlign w:val="center"/>
          </w:tcPr>
          <w:p w14:paraId="41E96A25">
            <w:pPr>
              <w:widowControl/>
              <w:spacing w:line="300" w:lineRule="exact"/>
              <w:jc w:val="center"/>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身份证反面</w:t>
            </w:r>
          </w:p>
        </w:tc>
      </w:tr>
    </w:tbl>
    <w:p w14:paraId="77633551">
      <w:pPr>
        <w:pStyle w:val="38"/>
        <w:spacing w:line="300" w:lineRule="exact"/>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 </w:t>
      </w:r>
    </w:p>
    <w:p w14:paraId="4951E910">
      <w:pPr>
        <w:pStyle w:val="38"/>
        <w:spacing w:line="300" w:lineRule="exact"/>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1.若供应商为分公司或分支机构等无法定代表人的机构（仅当招标文件注明允许分公司或分支机构等投标时），则本投标文件各法定代表人签字处的签署人可为单位负责人。</w:t>
      </w:r>
    </w:p>
    <w:p w14:paraId="076E4C74">
      <w:pPr>
        <w:pStyle w:val="38"/>
        <w:spacing w:line="300" w:lineRule="exact"/>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2.若投标文件中签字之处均为法定代表人本人签署，则可不提供本《授权委托书》，但须提供《法定代表人（非法人单位负责人）身份证明》。</w:t>
      </w:r>
      <w:bookmarkStart w:id="278" w:name="_Toc104560895"/>
      <w:bookmarkStart w:id="279" w:name="_Toc107246279"/>
    </w:p>
    <w:p w14:paraId="6904FF73">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p>
    <w:p w14:paraId="1F10F773">
      <w:pPr>
        <w:pStyle w:val="40"/>
        <w:spacing w:before="0"/>
        <w:ind w:firstLine="426"/>
        <w:rPr>
          <w:rFonts w:hint="eastAsia" w:ascii="宋体" w:hAnsi="宋体" w:cs="宋体"/>
          <w:bCs w:val="0"/>
          <w:color w:val="000000" w:themeColor="text1"/>
          <w:sz w:val="21"/>
          <w:szCs w:val="24"/>
          <w:highlight w:val="none"/>
          <w14:textFill>
            <w14:solidFill>
              <w14:schemeClr w14:val="tx1"/>
            </w14:solidFill>
          </w14:textFill>
        </w:rPr>
      </w:pPr>
      <w:bookmarkStart w:id="280" w:name="_Toc107246278"/>
      <w:bookmarkStart w:id="281" w:name="_Toc104560900"/>
      <w:bookmarkStart w:id="282" w:name="_Toc103848585"/>
      <w:r>
        <w:rPr>
          <w:rFonts w:hint="eastAsia" w:ascii="宋体" w:hAnsi="宋体" w:cs="宋体"/>
          <w:bCs w:val="0"/>
          <w:color w:val="000000" w:themeColor="text1"/>
          <w:sz w:val="24"/>
          <w:szCs w:val="24"/>
          <w:highlight w:val="none"/>
          <w14:textFill>
            <w14:solidFill>
              <w14:schemeClr w14:val="tx1"/>
            </w14:solidFill>
          </w14:textFill>
        </w:rPr>
        <w:t>（3-2）授权委托书（适用于自然人投标）</w:t>
      </w:r>
      <w:bookmarkEnd w:id="280"/>
      <w:bookmarkEnd w:id="281"/>
      <w:bookmarkEnd w:id="282"/>
    </w:p>
    <w:p w14:paraId="3C016F09">
      <w:pPr>
        <w:ind w:firstLine="372"/>
        <w:rPr>
          <w:rFonts w:hint="eastAsia" w:ascii="宋体" w:hAnsi="宋体" w:cs="宋体"/>
          <w:color w:val="000000" w:themeColor="text1"/>
          <w:highlight w:val="none"/>
          <w14:textFill>
            <w14:solidFill>
              <w14:schemeClr w14:val="tx1"/>
            </w14:solidFill>
          </w14:textFill>
        </w:rPr>
      </w:pPr>
    </w:p>
    <w:p w14:paraId="18AD70B2">
      <w:pPr>
        <w:spacing w:line="460" w:lineRule="exact"/>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本授权书声明：我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系自然人，现授权在授权代表（签字）处签字的</w:t>
      </w:r>
      <w:r>
        <w:rPr>
          <w:rFonts w:hint="eastAsia" w:ascii="宋体" w:hAnsi="宋体" w:cs="宋体"/>
          <w:color w:val="000000" w:themeColor="text1"/>
          <w:szCs w:val="21"/>
          <w:highlight w:val="none"/>
          <w:u w:val="single"/>
          <w14:textFill>
            <w14:solidFill>
              <w14:schemeClr w14:val="tx1"/>
            </w14:solidFill>
          </w14:textFill>
        </w:rPr>
        <w:t>（授权代表的姓名）（身份证号码：             ）</w:t>
      </w:r>
      <w:r>
        <w:rPr>
          <w:rFonts w:hint="eastAsia" w:ascii="宋体" w:hAnsi="宋体" w:cs="宋体"/>
          <w:color w:val="000000" w:themeColor="text1"/>
          <w:szCs w:val="21"/>
          <w:highlight w:val="none"/>
          <w14:textFill>
            <w14:solidFill>
              <w14:schemeClr w14:val="tx1"/>
            </w14:solidFill>
          </w14:textFill>
        </w:rPr>
        <w:t>为本人的合法代理人，就</w:t>
      </w:r>
      <w:r>
        <w:rPr>
          <w:rFonts w:hint="eastAsia" w:ascii="宋体" w:hAnsi="宋体" w:cs="宋体"/>
          <w:color w:val="000000" w:themeColor="text1"/>
          <w:szCs w:val="21"/>
          <w:highlight w:val="none"/>
          <w:u w:val="single"/>
          <w14:textFill>
            <w14:solidFill>
              <w14:schemeClr w14:val="tx1"/>
            </w14:solidFill>
          </w14:textFill>
        </w:rPr>
        <w:t>南京鼓楼医院3D外视镜系统采购项目（项目名称）（项目编号：</w:t>
      </w:r>
      <w:r>
        <w:rPr>
          <w:rFonts w:hint="eastAsia" w:ascii="宋体" w:hAnsi="宋体" w:cs="宋体"/>
          <w:color w:val="000000" w:themeColor="text1"/>
          <w:szCs w:val="21"/>
          <w:highlight w:val="none"/>
          <w:u w:val="single"/>
          <w:lang w:eastAsia="zh-CN"/>
          <w14:textFill>
            <w14:solidFill>
              <w14:schemeClr w14:val="tx1"/>
            </w14:solidFill>
          </w14:textFill>
        </w:rPr>
        <w:t>JSZC-320100-JITC-G2026-0298</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，以本人名义处理一切与之相关的事务，其后果由我本人承担。</w:t>
      </w:r>
    </w:p>
    <w:p w14:paraId="17B8F4E9">
      <w:pPr>
        <w:spacing w:line="46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代理人无转委托权，特此委托。</w:t>
      </w:r>
    </w:p>
    <w:p w14:paraId="5CF3B4BE">
      <w:pPr>
        <w:spacing w:line="460" w:lineRule="exact"/>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委托期限：自本授权委托书签署之日起至投标有效期届满之日止。</w:t>
      </w:r>
    </w:p>
    <w:p w14:paraId="26C4E0BC">
      <w:pPr>
        <w:spacing w:line="460" w:lineRule="exact"/>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自然人姓名（签字）：  </w:t>
      </w:r>
    </w:p>
    <w:p w14:paraId="7EDA8FA0">
      <w:pPr>
        <w:pStyle w:val="38"/>
        <w:spacing w:after="0" w:line="46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p>
    <w:p w14:paraId="272DB8BD">
      <w:pPr>
        <w:spacing w:line="460" w:lineRule="exact"/>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授权代表（签字）：</w:t>
      </w:r>
    </w:p>
    <w:p w14:paraId="660D20D4">
      <w:pPr>
        <w:pStyle w:val="38"/>
        <w:spacing w:after="0" w:line="46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身份证号码：</w:t>
      </w:r>
    </w:p>
    <w:p w14:paraId="084E8096">
      <w:pPr>
        <w:spacing w:line="480" w:lineRule="auto"/>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w:t>
      </w:r>
      <w:r>
        <w:rPr>
          <w:rFonts w:hint="eastAsia" w:ascii="宋体" w:hAnsi="宋体" w:cs="宋体"/>
          <w:color w:val="000000" w:themeColor="text1"/>
          <w:highlight w:val="none"/>
          <w14:textFill>
            <w14:solidFill>
              <w14:schemeClr w14:val="tx1"/>
            </w14:solidFill>
          </w14:textFill>
        </w:rPr>
        <w:t>自然人</w:t>
      </w:r>
      <w:r>
        <w:rPr>
          <w:rFonts w:hint="eastAsia" w:ascii="宋体" w:hAnsi="宋体" w:cs="宋体"/>
          <w:color w:val="000000" w:themeColor="text1"/>
          <w:szCs w:val="21"/>
          <w:highlight w:val="none"/>
          <w14:textFill>
            <w14:solidFill>
              <w14:schemeClr w14:val="tx1"/>
            </w14:solidFill>
          </w14:textFill>
        </w:rPr>
        <w:t>有效期内的</w:t>
      </w:r>
      <w:r>
        <w:rPr>
          <w:rFonts w:hint="eastAsia" w:ascii="宋体" w:hAnsi="宋体" w:cs="宋体"/>
          <w:color w:val="000000" w:themeColor="text1"/>
          <w:highlight w:val="none"/>
          <w14:textFill>
            <w14:solidFill>
              <w14:schemeClr w14:val="tx1"/>
            </w14:solidFill>
          </w14:textFill>
        </w:rPr>
        <w:t>身份证复印件（正反面）</w:t>
      </w:r>
    </w:p>
    <w:tbl>
      <w:tblPr>
        <w:tblStyle w:val="4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27938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2569C16F">
            <w:pPr>
              <w:pStyle w:val="17"/>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身份证正面</w:t>
            </w:r>
          </w:p>
        </w:tc>
        <w:tc>
          <w:tcPr>
            <w:tcW w:w="284" w:type="dxa"/>
            <w:tcBorders>
              <w:top w:val="nil"/>
              <w:bottom w:val="nil"/>
            </w:tcBorders>
          </w:tcPr>
          <w:p w14:paraId="718E8065">
            <w:pPr>
              <w:widowControl/>
              <w:ind w:firstLine="354"/>
              <w:jc w:val="left"/>
              <w:rPr>
                <w:rFonts w:hint="eastAsia" w:ascii="宋体" w:hAnsi="宋体" w:cs="宋体"/>
                <w:color w:val="000000" w:themeColor="text1"/>
                <w:sz w:val="20"/>
                <w:highlight w:val="none"/>
                <w14:textFill>
                  <w14:solidFill>
                    <w14:schemeClr w14:val="tx1"/>
                  </w14:solidFill>
                </w14:textFill>
              </w:rPr>
            </w:pPr>
          </w:p>
        </w:tc>
        <w:tc>
          <w:tcPr>
            <w:tcW w:w="4677" w:type="dxa"/>
            <w:vAlign w:val="center"/>
          </w:tcPr>
          <w:p w14:paraId="5BBB5999">
            <w:pPr>
              <w:widowControl/>
              <w:jc w:val="center"/>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身份证反面</w:t>
            </w:r>
          </w:p>
        </w:tc>
      </w:tr>
    </w:tbl>
    <w:p w14:paraId="48C5326E">
      <w:pPr>
        <w:pStyle w:val="38"/>
        <w:spacing w:line="360" w:lineRule="auto"/>
        <w:ind w:firstLine="37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授权代表有效期内的身份证复印件（正反面）</w:t>
      </w:r>
    </w:p>
    <w:tbl>
      <w:tblPr>
        <w:tblStyle w:val="4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68A67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49" w:hRule="atLeast"/>
        </w:trPr>
        <w:tc>
          <w:tcPr>
            <w:tcW w:w="4678" w:type="dxa"/>
            <w:vAlign w:val="center"/>
          </w:tcPr>
          <w:p w14:paraId="6C26B71C">
            <w:pPr>
              <w:pStyle w:val="17"/>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身份证正面</w:t>
            </w:r>
          </w:p>
        </w:tc>
        <w:tc>
          <w:tcPr>
            <w:tcW w:w="278" w:type="dxa"/>
            <w:tcBorders>
              <w:top w:val="nil"/>
              <w:bottom w:val="nil"/>
            </w:tcBorders>
          </w:tcPr>
          <w:p w14:paraId="100E7C10">
            <w:pPr>
              <w:widowControl/>
              <w:ind w:firstLine="354"/>
              <w:jc w:val="left"/>
              <w:rPr>
                <w:rFonts w:hint="eastAsia" w:ascii="宋体" w:hAnsi="宋体" w:cs="宋体"/>
                <w:color w:val="000000" w:themeColor="text1"/>
                <w:sz w:val="20"/>
                <w:highlight w:val="none"/>
                <w14:textFill>
                  <w14:solidFill>
                    <w14:schemeClr w14:val="tx1"/>
                  </w14:solidFill>
                </w14:textFill>
              </w:rPr>
            </w:pPr>
          </w:p>
        </w:tc>
        <w:tc>
          <w:tcPr>
            <w:tcW w:w="4695" w:type="dxa"/>
            <w:vAlign w:val="center"/>
          </w:tcPr>
          <w:p w14:paraId="6F4E18E5">
            <w:pPr>
              <w:widowControl/>
              <w:jc w:val="center"/>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身份证反面</w:t>
            </w:r>
          </w:p>
        </w:tc>
      </w:tr>
    </w:tbl>
    <w:p w14:paraId="7E523740">
      <w:pPr>
        <w:pStyle w:val="38"/>
        <w:spacing w:line="240" w:lineRule="atLeast"/>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注：若投标文件中签字之处均为投标自然人本人签署，则可不提供本《授权委托书》，但须提供自然人身份证复印件。</w:t>
      </w:r>
    </w:p>
    <w:p w14:paraId="1F10DE32">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p>
    <w:p w14:paraId="1A9B6E45">
      <w:pPr>
        <w:pStyle w:val="40"/>
        <w:numPr>
          <w:ilvl w:val="0"/>
          <w:numId w:val="2"/>
        </w:numPr>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开标一览表</w:t>
      </w:r>
      <w:bookmarkEnd w:id="270"/>
      <w:bookmarkEnd w:id="278"/>
      <w:bookmarkEnd w:id="279"/>
    </w:p>
    <w:p w14:paraId="4D104AF3">
      <w:pPr>
        <w:ind w:firstLine="372"/>
        <w:rPr>
          <w:rFonts w:hint="eastAsia" w:ascii="宋体" w:hAnsi="宋体" w:cs="宋体"/>
          <w:color w:val="000000" w:themeColor="text1"/>
          <w:highlight w:val="none"/>
          <w14:textFill>
            <w14:solidFill>
              <w14:schemeClr w14:val="tx1"/>
            </w14:solidFill>
          </w14:textFill>
        </w:rPr>
      </w:pPr>
    </w:p>
    <w:p w14:paraId="27F1FC9E">
      <w:pPr>
        <w:spacing w:line="360" w:lineRule="auto"/>
        <w:ind w:left="-120" w:firstLine="21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投标人全称（CA公章）：供应商名称</w:t>
      </w:r>
    </w:p>
    <w:p w14:paraId="3353A093">
      <w:pPr>
        <w:spacing w:line="360" w:lineRule="auto"/>
        <w:ind w:left="-120" w:firstLine="21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项目名称：</w:t>
      </w:r>
      <w:r>
        <w:rPr>
          <w:rFonts w:hint="eastAsia" w:ascii="宋体" w:hAnsi="宋体" w:cs="宋体"/>
          <w:color w:val="000000" w:themeColor="text1"/>
          <w:szCs w:val="21"/>
          <w:highlight w:val="none"/>
          <w:u w:val="single"/>
          <w14:textFill>
            <w14:solidFill>
              <w14:schemeClr w14:val="tx1"/>
            </w14:solidFill>
          </w14:textFill>
        </w:rPr>
        <w:t>南京鼓楼医院3D外视镜系统采购项目</w:t>
      </w:r>
    </w:p>
    <w:p w14:paraId="5076D5E3">
      <w:pPr>
        <w:spacing w:line="360" w:lineRule="auto"/>
        <w:ind w:left="-120" w:firstLine="210"/>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项目编号：</w:t>
      </w:r>
      <w:bookmarkStart w:id="283" w:name="_Toc103848581"/>
      <w:r>
        <w:rPr>
          <w:rFonts w:hint="eastAsia" w:ascii="宋体" w:hAnsi="宋体" w:cs="宋体"/>
          <w:color w:val="000000" w:themeColor="text1"/>
          <w:szCs w:val="21"/>
          <w:highlight w:val="none"/>
          <w:u w:val="single"/>
          <w:lang w:eastAsia="zh-CN"/>
          <w14:textFill>
            <w14:solidFill>
              <w14:schemeClr w14:val="tx1"/>
            </w14:solidFill>
          </w14:textFill>
        </w:rPr>
        <w:t>JSZC-320100-JITC-G2026-0298</w:t>
      </w:r>
    </w:p>
    <w:p w14:paraId="582C0FEA">
      <w:pPr>
        <w:spacing w:line="360" w:lineRule="auto"/>
        <w:ind w:left="-120" w:firstLine="21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分包号：分包号</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54"/>
        <w:gridCol w:w="5382"/>
      </w:tblGrid>
      <w:tr w14:paraId="6E0CA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jc w:val="center"/>
        </w:trPr>
        <w:tc>
          <w:tcPr>
            <w:tcW w:w="3454" w:type="dxa"/>
            <w:vAlign w:val="center"/>
          </w:tcPr>
          <w:p w14:paraId="7C33DE91">
            <w:pPr>
              <w:spacing w:line="360" w:lineRule="auto"/>
              <w:ind w:left="-120" w:firstLine="210"/>
              <w:jc w:val="center"/>
              <w:rPr>
                <w:rFonts w:hint="eastAsia" w:ascii="宋体" w:hAnsi="宋体" w:cs="宋体"/>
                <w:color w:val="000000" w:themeColor="text1"/>
                <w:szCs w:val="21"/>
                <w:highlight w:val="none"/>
                <w14:textFill>
                  <w14:solidFill>
                    <w14:schemeClr w14:val="tx1"/>
                  </w14:solidFill>
                </w14:textFill>
              </w:rPr>
            </w:pPr>
            <w:bookmarkStart w:id="284" w:name="OLE_LINK17"/>
            <w:bookmarkStart w:id="285" w:name="_Toc104560896"/>
            <w:r>
              <w:rPr>
                <w:rFonts w:hint="eastAsia" w:ascii="宋体" w:hAnsi="宋体" w:cs="宋体"/>
                <w:color w:val="000000" w:themeColor="text1"/>
                <w:szCs w:val="21"/>
                <w:highlight w:val="none"/>
                <w14:textFill>
                  <w14:solidFill>
                    <w14:schemeClr w14:val="tx1"/>
                  </w14:solidFill>
                </w14:textFill>
              </w:rPr>
              <w:t>投标货物名称</w:t>
            </w:r>
          </w:p>
        </w:tc>
        <w:tc>
          <w:tcPr>
            <w:tcW w:w="5382" w:type="dxa"/>
            <w:vAlign w:val="center"/>
          </w:tcPr>
          <w:p w14:paraId="36015EA3">
            <w:pPr>
              <w:spacing w:line="360" w:lineRule="auto"/>
              <w:ind w:left="-120" w:firstLine="21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总价</w:t>
            </w:r>
          </w:p>
        </w:tc>
      </w:tr>
      <w:tr w14:paraId="5D56B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jc w:val="center"/>
        </w:trPr>
        <w:tc>
          <w:tcPr>
            <w:tcW w:w="3454" w:type="dxa"/>
            <w:vAlign w:val="center"/>
          </w:tcPr>
          <w:p w14:paraId="2E29B3EE">
            <w:pPr>
              <w:spacing w:line="360" w:lineRule="auto"/>
              <w:ind w:left="-120" w:firstLine="210"/>
              <w:jc w:val="center"/>
              <w:rPr>
                <w:rFonts w:hint="eastAsia" w:ascii="宋体" w:hAnsi="宋体" w:cs="宋体"/>
                <w:color w:val="000000" w:themeColor="text1"/>
                <w:szCs w:val="21"/>
                <w:highlight w:val="none"/>
                <w14:textFill>
                  <w14:solidFill>
                    <w14:schemeClr w14:val="tx1"/>
                  </w14:solidFill>
                </w14:textFill>
              </w:rPr>
            </w:pPr>
          </w:p>
        </w:tc>
        <w:tc>
          <w:tcPr>
            <w:tcW w:w="5382" w:type="dxa"/>
            <w:vAlign w:val="center"/>
          </w:tcPr>
          <w:p w14:paraId="79A3C7F1">
            <w:pPr>
              <w:spacing w:line="360" w:lineRule="auto"/>
              <w:ind w:left="-120" w:firstLine="210"/>
              <w:jc w:val="center"/>
              <w:rPr>
                <w:rFonts w:hint="eastAsia" w:ascii="宋体" w:hAnsi="宋体" w:cs="宋体"/>
                <w:color w:val="000000" w:themeColor="text1"/>
                <w:szCs w:val="21"/>
                <w:highlight w:val="none"/>
                <w14:textFill>
                  <w14:solidFill>
                    <w14:schemeClr w14:val="tx1"/>
                  </w14:solidFill>
                </w14:textFill>
              </w:rPr>
            </w:pPr>
          </w:p>
        </w:tc>
      </w:tr>
    </w:tbl>
    <w:p w14:paraId="78B85AFE">
      <w:pPr>
        <w:spacing w:line="360" w:lineRule="auto"/>
        <w:ind w:right="420" w:firstLine="372"/>
        <w:jc w:val="center"/>
        <w:rPr>
          <w:rFonts w:hint="eastAsia" w:ascii="宋体" w:hAnsi="宋体" w:cs="宋体"/>
          <w:bCs/>
          <w:color w:val="000000" w:themeColor="text1"/>
          <w:highlight w:val="none"/>
          <w14:textFill>
            <w14:solidFill>
              <w14:schemeClr w14:val="tx1"/>
            </w14:solidFill>
          </w14:textFill>
        </w:rPr>
      </w:pPr>
    </w:p>
    <w:p w14:paraId="3CBA8A7F">
      <w:pPr>
        <w:tabs>
          <w:tab w:val="left" w:pos="6045"/>
        </w:tabs>
        <w:spacing w:line="360" w:lineRule="auto"/>
        <w:ind w:firstLine="372"/>
        <w:jc w:val="center"/>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投标人名称（公章）：</w:t>
      </w:r>
    </w:p>
    <w:p w14:paraId="5379ED29">
      <w:pPr>
        <w:spacing w:line="360" w:lineRule="auto"/>
        <w:ind w:right="420" w:firstLine="372"/>
        <w:jc w:val="center"/>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p>
    <w:p w14:paraId="1F405BF4">
      <w:pPr>
        <w:spacing w:line="360" w:lineRule="auto"/>
        <w:ind w:right="420" w:firstLine="372"/>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bookmarkEnd w:id="284"/>
    </w:p>
    <w:bookmarkEnd w:id="283"/>
    <w:bookmarkEnd w:id="285"/>
    <w:p w14:paraId="774C5E0C">
      <w:pPr>
        <w:spacing w:line="360" w:lineRule="auto"/>
        <w:ind w:right="420" w:firstLine="372"/>
        <w:jc w:val="left"/>
        <w:rPr>
          <w:rFonts w:hint="eastAsia" w:ascii="宋体" w:hAnsi="宋体" w:cs="宋体"/>
          <w:bCs/>
          <w:color w:val="000000" w:themeColor="text1"/>
          <w:highlight w:val="none"/>
          <w14:textFill>
            <w14:solidFill>
              <w14:schemeClr w14:val="tx1"/>
            </w14:solidFill>
          </w14:textFill>
        </w:rPr>
      </w:pPr>
    </w:p>
    <w:p w14:paraId="285CECE6">
      <w:pPr>
        <w:pStyle w:val="40"/>
        <w:numPr>
          <w:ilvl w:val="0"/>
          <w:numId w:val="2"/>
        </w:numPr>
        <w:ind w:firstLine="426"/>
        <w:rPr>
          <w:rFonts w:ascii="Microsoft New Tai Lue" w:hAnsi="Microsoft New Tai Lue" w:cs="Microsoft New Tai Lue"/>
          <w:color w:val="000000" w:themeColor="text1"/>
          <w:sz w:val="24"/>
          <w:highlight w:val="none"/>
          <w14:textFill>
            <w14:solidFill>
              <w14:schemeClr w14:val="tx1"/>
            </w14:solidFill>
          </w14:textFill>
        </w:rPr>
      </w:pPr>
      <w:bookmarkStart w:id="286" w:name="_Toc107246281"/>
      <w:bookmarkStart w:id="287" w:name="_Toc103848586"/>
      <w:bookmarkStart w:id="288" w:name="_Toc104560901"/>
      <w:bookmarkStart w:id="289" w:name="_Toc102117319"/>
      <w:r>
        <w:rPr>
          <w:rStyle w:val="271"/>
          <w:rFonts w:hAnsi="宋体"/>
          <w:color w:val="000000" w:themeColor="text1"/>
          <w:highlight w:val="none"/>
          <w14:textFill>
            <w14:solidFill>
              <w14:schemeClr w14:val="tx1"/>
            </w14:solidFill>
          </w14:textFill>
        </w:rPr>
        <w:br w:type="page" w:clear="all"/>
      </w:r>
      <w:r>
        <w:rPr>
          <w:rStyle w:val="271"/>
          <w:rFonts w:hint="eastAsia" w:hAnsi="宋体"/>
          <w:color w:val="000000" w:themeColor="text1"/>
          <w:highlight w:val="none"/>
          <w14:textFill>
            <w14:solidFill>
              <w14:schemeClr w14:val="tx1"/>
            </w14:solidFill>
          </w14:textFill>
        </w:rPr>
        <w:t>配置清单</w:t>
      </w:r>
      <w:r>
        <w:rPr>
          <w:rFonts w:hint="eastAsia" w:ascii="Microsoft New Tai Lue" w:hAnsi="Microsoft New Tai Lue" w:cs="Microsoft New Tai Lue"/>
          <w:color w:val="000000" w:themeColor="text1"/>
          <w:sz w:val="24"/>
          <w:highlight w:val="none"/>
          <w14:textFill>
            <w14:solidFill>
              <w14:schemeClr w14:val="tx1"/>
            </w14:solidFill>
          </w14:textFill>
        </w:rPr>
        <w:t>表</w:t>
      </w:r>
    </w:p>
    <w:p w14:paraId="4F96DBCC">
      <w:pPr>
        <w:spacing w:line="360" w:lineRule="auto"/>
        <w:ind w:left="-120" w:firstLine="21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项目名称：</w:t>
      </w:r>
      <w:r>
        <w:rPr>
          <w:rFonts w:hint="eastAsia" w:ascii="宋体" w:hAnsi="宋体" w:cs="宋体"/>
          <w:color w:val="000000" w:themeColor="text1"/>
          <w:szCs w:val="21"/>
          <w:highlight w:val="none"/>
          <w:u w:val="single"/>
          <w14:textFill>
            <w14:solidFill>
              <w14:schemeClr w14:val="tx1"/>
            </w14:solidFill>
          </w14:textFill>
        </w:rPr>
        <w:t>南京鼓楼医院3D外视镜系统采购项目</w:t>
      </w:r>
    </w:p>
    <w:p w14:paraId="05023B54">
      <w:pPr>
        <w:spacing w:line="360" w:lineRule="auto"/>
        <w:ind w:left="-120" w:firstLine="210"/>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项目编号：</w:t>
      </w:r>
      <w:r>
        <w:rPr>
          <w:rFonts w:hint="eastAsia" w:ascii="宋体" w:hAnsi="宋体" w:cs="宋体"/>
          <w:color w:val="000000" w:themeColor="text1"/>
          <w:szCs w:val="21"/>
          <w:highlight w:val="none"/>
          <w:u w:val="single"/>
          <w:lang w:eastAsia="zh-CN"/>
          <w14:textFill>
            <w14:solidFill>
              <w14:schemeClr w14:val="tx1"/>
            </w14:solidFill>
          </w14:textFill>
        </w:rPr>
        <w:t>JSZC-320100-JITC-G2026-0298</w:t>
      </w:r>
    </w:p>
    <w:p w14:paraId="42998385">
      <w:pPr>
        <w:ind w:left="426"/>
        <w:rPr>
          <w:color w:val="000000" w:themeColor="text1"/>
          <w:highlight w:val="none"/>
          <w14:textFill>
            <w14:solidFill>
              <w14:schemeClr w14:val="tx1"/>
            </w14:solidFill>
          </w14:textFill>
        </w:rPr>
      </w:pP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2"/>
        <w:gridCol w:w="1537"/>
        <w:gridCol w:w="1078"/>
        <w:gridCol w:w="910"/>
        <w:gridCol w:w="2220"/>
        <w:gridCol w:w="1645"/>
      </w:tblGrid>
      <w:tr w14:paraId="28D48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16" w:type="pct"/>
            <w:tcBorders>
              <w:top w:val="single" w:color="auto" w:sz="4" w:space="0"/>
              <w:left w:val="single" w:color="auto" w:sz="4" w:space="0"/>
              <w:bottom w:val="single" w:color="auto" w:sz="4" w:space="0"/>
              <w:right w:val="single" w:color="auto" w:sz="4" w:space="0"/>
            </w:tcBorders>
            <w:vAlign w:val="center"/>
          </w:tcPr>
          <w:p w14:paraId="796AD84B">
            <w:pPr>
              <w:widowControl/>
              <w:jc w:val="center"/>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序号</w:t>
            </w:r>
          </w:p>
        </w:tc>
        <w:tc>
          <w:tcPr>
            <w:tcW w:w="870" w:type="pct"/>
            <w:tcBorders>
              <w:top w:val="single" w:color="auto" w:sz="4" w:space="0"/>
              <w:left w:val="single" w:color="auto" w:sz="4" w:space="0"/>
              <w:bottom w:val="single" w:color="auto" w:sz="4" w:space="0"/>
              <w:right w:val="single" w:color="auto" w:sz="4" w:space="0"/>
            </w:tcBorders>
            <w:vAlign w:val="center"/>
          </w:tcPr>
          <w:p w14:paraId="6EAEB6E8">
            <w:pPr>
              <w:widowControl/>
              <w:jc w:val="center"/>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产品名称</w:t>
            </w:r>
          </w:p>
        </w:tc>
        <w:tc>
          <w:tcPr>
            <w:tcW w:w="610" w:type="pct"/>
            <w:tcBorders>
              <w:top w:val="single" w:color="auto" w:sz="4" w:space="0"/>
              <w:left w:val="single" w:color="auto" w:sz="4" w:space="0"/>
              <w:bottom w:val="single" w:color="auto" w:sz="4" w:space="0"/>
              <w:right w:val="single" w:color="auto" w:sz="4" w:space="0"/>
            </w:tcBorders>
            <w:vAlign w:val="center"/>
          </w:tcPr>
          <w:p w14:paraId="645C0952">
            <w:pPr>
              <w:widowControl/>
              <w:jc w:val="center"/>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品牌</w:t>
            </w:r>
          </w:p>
        </w:tc>
        <w:tc>
          <w:tcPr>
            <w:tcW w:w="515" w:type="pct"/>
            <w:tcBorders>
              <w:top w:val="single" w:color="auto" w:sz="4" w:space="0"/>
              <w:left w:val="single" w:color="auto" w:sz="4" w:space="0"/>
              <w:bottom w:val="single" w:color="auto" w:sz="4" w:space="0"/>
              <w:right w:val="single" w:color="auto" w:sz="4" w:space="0"/>
            </w:tcBorders>
            <w:vAlign w:val="center"/>
          </w:tcPr>
          <w:p w14:paraId="3F5337C5">
            <w:pPr>
              <w:widowControl/>
              <w:jc w:val="center"/>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规格</w:t>
            </w:r>
          </w:p>
          <w:p w14:paraId="24AB21C0">
            <w:pPr>
              <w:widowControl/>
              <w:jc w:val="center"/>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型号</w:t>
            </w:r>
          </w:p>
        </w:tc>
        <w:tc>
          <w:tcPr>
            <w:tcW w:w="1256" w:type="pct"/>
            <w:tcBorders>
              <w:top w:val="single" w:color="auto" w:sz="4" w:space="0"/>
              <w:left w:val="single" w:color="auto" w:sz="4" w:space="0"/>
              <w:bottom w:val="single" w:color="auto" w:sz="4" w:space="0"/>
              <w:right w:val="single" w:color="auto" w:sz="4" w:space="0"/>
            </w:tcBorders>
            <w:vAlign w:val="center"/>
          </w:tcPr>
          <w:p w14:paraId="1D507565">
            <w:pPr>
              <w:jc w:val="center"/>
              <w:rPr>
                <w:rFonts w:hint="eastAsia" w:ascii="Microsoft New Tai Lue" w:hAnsi="Microsoft New Tai Lue" w:eastAsia="宋体" w:cs="Microsoft New Tai Lue"/>
                <w:b/>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数量</w:t>
            </w:r>
          </w:p>
        </w:tc>
        <w:tc>
          <w:tcPr>
            <w:tcW w:w="931" w:type="pct"/>
            <w:tcBorders>
              <w:top w:val="single" w:color="auto" w:sz="4" w:space="0"/>
              <w:left w:val="single" w:color="auto" w:sz="4" w:space="0"/>
              <w:bottom w:val="single" w:color="auto" w:sz="4" w:space="0"/>
              <w:right w:val="single" w:color="auto" w:sz="4" w:space="0"/>
            </w:tcBorders>
            <w:vAlign w:val="center"/>
          </w:tcPr>
          <w:p w14:paraId="7C57E16F">
            <w:pPr>
              <w:jc w:val="center"/>
              <w:rPr>
                <w:rFonts w:hint="eastAsia" w:ascii="Microsoft New Tai Lue" w:hAnsi="Microsoft New Tai Lue" w:eastAsia="宋体" w:cs="Microsoft New Tai Lue"/>
                <w:b/>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单位</w:t>
            </w:r>
          </w:p>
        </w:tc>
      </w:tr>
      <w:tr w14:paraId="6BF5D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816" w:type="pct"/>
            <w:tcBorders>
              <w:top w:val="single" w:color="auto" w:sz="4" w:space="0"/>
              <w:left w:val="single" w:color="auto" w:sz="4" w:space="0"/>
              <w:bottom w:val="single" w:color="auto" w:sz="4" w:space="0"/>
              <w:right w:val="single" w:color="auto" w:sz="4" w:space="0"/>
            </w:tcBorders>
            <w:vAlign w:val="center"/>
          </w:tcPr>
          <w:p w14:paraId="2C681F84">
            <w:pPr>
              <w:widowControl/>
              <w:numPr>
                <w:ilvl w:val="0"/>
                <w:numId w:val="3"/>
              </w:numPr>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870" w:type="pct"/>
            <w:tcBorders>
              <w:top w:val="single" w:color="auto" w:sz="4" w:space="0"/>
              <w:left w:val="single" w:color="auto" w:sz="4" w:space="0"/>
              <w:bottom w:val="single" w:color="auto" w:sz="4" w:space="0"/>
              <w:right w:val="single" w:color="auto" w:sz="4" w:space="0"/>
            </w:tcBorders>
            <w:vAlign w:val="center"/>
          </w:tcPr>
          <w:p w14:paraId="38073DB8">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610" w:type="pct"/>
            <w:tcBorders>
              <w:top w:val="single" w:color="auto" w:sz="4" w:space="0"/>
              <w:left w:val="single" w:color="auto" w:sz="4" w:space="0"/>
              <w:bottom w:val="single" w:color="auto" w:sz="4" w:space="0"/>
              <w:right w:val="single" w:color="auto" w:sz="4" w:space="0"/>
            </w:tcBorders>
            <w:vAlign w:val="center"/>
          </w:tcPr>
          <w:p w14:paraId="0CE4A1CD">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515" w:type="pct"/>
            <w:tcBorders>
              <w:top w:val="single" w:color="auto" w:sz="4" w:space="0"/>
              <w:left w:val="single" w:color="auto" w:sz="4" w:space="0"/>
              <w:bottom w:val="single" w:color="auto" w:sz="4" w:space="0"/>
              <w:right w:val="single" w:color="auto" w:sz="4" w:space="0"/>
            </w:tcBorders>
            <w:vAlign w:val="center"/>
          </w:tcPr>
          <w:p w14:paraId="2AEBE2C4">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1256" w:type="pct"/>
            <w:tcBorders>
              <w:top w:val="single" w:color="auto" w:sz="4" w:space="0"/>
              <w:left w:val="single" w:color="auto" w:sz="4" w:space="0"/>
              <w:bottom w:val="single" w:color="auto" w:sz="4" w:space="0"/>
              <w:right w:val="single" w:color="auto" w:sz="4" w:space="0"/>
            </w:tcBorders>
            <w:vAlign w:val="center"/>
          </w:tcPr>
          <w:p w14:paraId="76F0165B">
            <w:pPr>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931" w:type="pct"/>
            <w:tcBorders>
              <w:top w:val="single" w:color="auto" w:sz="4" w:space="0"/>
              <w:left w:val="single" w:color="auto" w:sz="4" w:space="0"/>
              <w:bottom w:val="single" w:color="auto" w:sz="4" w:space="0"/>
              <w:right w:val="single" w:color="auto" w:sz="4" w:space="0"/>
            </w:tcBorders>
            <w:vAlign w:val="center"/>
          </w:tcPr>
          <w:p w14:paraId="799ACEFF">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r>
      <w:tr w14:paraId="614E1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816" w:type="pct"/>
            <w:tcBorders>
              <w:top w:val="single" w:color="auto" w:sz="4" w:space="0"/>
              <w:left w:val="single" w:color="auto" w:sz="4" w:space="0"/>
              <w:bottom w:val="single" w:color="auto" w:sz="4" w:space="0"/>
              <w:right w:val="single" w:color="auto" w:sz="4" w:space="0"/>
            </w:tcBorders>
            <w:vAlign w:val="center"/>
          </w:tcPr>
          <w:p w14:paraId="61BE8904">
            <w:pPr>
              <w:widowControl/>
              <w:numPr>
                <w:ilvl w:val="0"/>
                <w:numId w:val="3"/>
              </w:numPr>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870" w:type="pct"/>
            <w:tcBorders>
              <w:top w:val="single" w:color="auto" w:sz="4" w:space="0"/>
              <w:left w:val="single" w:color="auto" w:sz="4" w:space="0"/>
              <w:bottom w:val="single" w:color="auto" w:sz="4" w:space="0"/>
              <w:right w:val="single" w:color="auto" w:sz="4" w:space="0"/>
            </w:tcBorders>
            <w:vAlign w:val="center"/>
          </w:tcPr>
          <w:p w14:paraId="7B047CC3">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610" w:type="pct"/>
            <w:tcBorders>
              <w:top w:val="single" w:color="auto" w:sz="4" w:space="0"/>
              <w:left w:val="single" w:color="auto" w:sz="4" w:space="0"/>
              <w:bottom w:val="single" w:color="auto" w:sz="4" w:space="0"/>
              <w:right w:val="single" w:color="auto" w:sz="4" w:space="0"/>
            </w:tcBorders>
            <w:vAlign w:val="center"/>
          </w:tcPr>
          <w:p w14:paraId="48E94226">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515" w:type="pct"/>
            <w:tcBorders>
              <w:top w:val="single" w:color="auto" w:sz="4" w:space="0"/>
              <w:left w:val="single" w:color="auto" w:sz="4" w:space="0"/>
              <w:bottom w:val="single" w:color="auto" w:sz="4" w:space="0"/>
              <w:right w:val="single" w:color="auto" w:sz="4" w:space="0"/>
            </w:tcBorders>
            <w:vAlign w:val="center"/>
          </w:tcPr>
          <w:p w14:paraId="707D3ECA">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1256" w:type="pct"/>
            <w:tcBorders>
              <w:top w:val="single" w:color="auto" w:sz="4" w:space="0"/>
              <w:left w:val="single" w:color="auto" w:sz="4" w:space="0"/>
              <w:bottom w:val="single" w:color="auto" w:sz="4" w:space="0"/>
              <w:right w:val="single" w:color="auto" w:sz="4" w:space="0"/>
            </w:tcBorders>
            <w:vAlign w:val="center"/>
          </w:tcPr>
          <w:p w14:paraId="1EDC2758">
            <w:pPr>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931" w:type="pct"/>
            <w:tcBorders>
              <w:top w:val="single" w:color="auto" w:sz="4" w:space="0"/>
              <w:left w:val="single" w:color="auto" w:sz="4" w:space="0"/>
              <w:bottom w:val="single" w:color="auto" w:sz="4" w:space="0"/>
              <w:right w:val="single" w:color="auto" w:sz="4" w:space="0"/>
            </w:tcBorders>
            <w:vAlign w:val="center"/>
          </w:tcPr>
          <w:p w14:paraId="776FE0EB">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r>
      <w:tr w14:paraId="1BA70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816" w:type="pct"/>
            <w:tcBorders>
              <w:top w:val="single" w:color="auto" w:sz="4" w:space="0"/>
              <w:left w:val="single" w:color="auto" w:sz="4" w:space="0"/>
              <w:bottom w:val="single" w:color="auto" w:sz="4" w:space="0"/>
              <w:right w:val="single" w:color="auto" w:sz="4" w:space="0"/>
            </w:tcBorders>
            <w:vAlign w:val="center"/>
          </w:tcPr>
          <w:p w14:paraId="420FD229">
            <w:pPr>
              <w:widowControl/>
              <w:numPr>
                <w:ilvl w:val="0"/>
                <w:numId w:val="3"/>
              </w:numPr>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870" w:type="pct"/>
            <w:tcBorders>
              <w:top w:val="single" w:color="auto" w:sz="4" w:space="0"/>
              <w:left w:val="single" w:color="auto" w:sz="4" w:space="0"/>
              <w:bottom w:val="single" w:color="auto" w:sz="4" w:space="0"/>
              <w:right w:val="single" w:color="auto" w:sz="4" w:space="0"/>
            </w:tcBorders>
            <w:vAlign w:val="center"/>
          </w:tcPr>
          <w:p w14:paraId="791E42DA">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610" w:type="pct"/>
            <w:tcBorders>
              <w:top w:val="single" w:color="auto" w:sz="4" w:space="0"/>
              <w:left w:val="single" w:color="auto" w:sz="4" w:space="0"/>
              <w:bottom w:val="single" w:color="auto" w:sz="4" w:space="0"/>
              <w:right w:val="single" w:color="auto" w:sz="4" w:space="0"/>
            </w:tcBorders>
            <w:vAlign w:val="center"/>
          </w:tcPr>
          <w:p w14:paraId="4C8D6E2D">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515" w:type="pct"/>
            <w:tcBorders>
              <w:top w:val="single" w:color="auto" w:sz="4" w:space="0"/>
              <w:left w:val="single" w:color="auto" w:sz="4" w:space="0"/>
              <w:bottom w:val="single" w:color="auto" w:sz="4" w:space="0"/>
              <w:right w:val="single" w:color="auto" w:sz="4" w:space="0"/>
            </w:tcBorders>
            <w:vAlign w:val="center"/>
          </w:tcPr>
          <w:p w14:paraId="617AAAB2">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1256" w:type="pct"/>
            <w:tcBorders>
              <w:top w:val="single" w:color="auto" w:sz="4" w:space="0"/>
              <w:left w:val="single" w:color="auto" w:sz="4" w:space="0"/>
              <w:bottom w:val="single" w:color="auto" w:sz="4" w:space="0"/>
              <w:right w:val="single" w:color="auto" w:sz="4" w:space="0"/>
            </w:tcBorders>
            <w:vAlign w:val="center"/>
          </w:tcPr>
          <w:p w14:paraId="3FDC4BAB">
            <w:pPr>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931" w:type="pct"/>
            <w:tcBorders>
              <w:top w:val="single" w:color="auto" w:sz="4" w:space="0"/>
              <w:left w:val="single" w:color="auto" w:sz="4" w:space="0"/>
              <w:bottom w:val="single" w:color="auto" w:sz="4" w:space="0"/>
              <w:right w:val="single" w:color="auto" w:sz="4" w:space="0"/>
            </w:tcBorders>
            <w:vAlign w:val="center"/>
          </w:tcPr>
          <w:p w14:paraId="31F46E50">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r>
      <w:tr w14:paraId="0FDFC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816" w:type="pct"/>
            <w:tcBorders>
              <w:top w:val="single" w:color="auto" w:sz="4" w:space="0"/>
              <w:left w:val="single" w:color="auto" w:sz="4" w:space="0"/>
              <w:bottom w:val="single" w:color="auto" w:sz="4" w:space="0"/>
              <w:right w:val="single" w:color="auto" w:sz="4" w:space="0"/>
            </w:tcBorders>
            <w:vAlign w:val="center"/>
          </w:tcPr>
          <w:p w14:paraId="319FA483">
            <w:pPr>
              <w:widowControl/>
              <w:numPr>
                <w:ilvl w:val="0"/>
                <w:numId w:val="3"/>
              </w:numPr>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870" w:type="pct"/>
            <w:tcBorders>
              <w:top w:val="single" w:color="auto" w:sz="4" w:space="0"/>
              <w:left w:val="single" w:color="auto" w:sz="4" w:space="0"/>
              <w:bottom w:val="single" w:color="auto" w:sz="4" w:space="0"/>
              <w:right w:val="single" w:color="auto" w:sz="4" w:space="0"/>
            </w:tcBorders>
            <w:vAlign w:val="center"/>
          </w:tcPr>
          <w:p w14:paraId="7D0BC182">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610" w:type="pct"/>
            <w:tcBorders>
              <w:top w:val="single" w:color="auto" w:sz="4" w:space="0"/>
              <w:left w:val="single" w:color="auto" w:sz="4" w:space="0"/>
              <w:bottom w:val="single" w:color="auto" w:sz="4" w:space="0"/>
              <w:right w:val="single" w:color="auto" w:sz="4" w:space="0"/>
            </w:tcBorders>
            <w:vAlign w:val="center"/>
          </w:tcPr>
          <w:p w14:paraId="1BA9DE6E">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515" w:type="pct"/>
            <w:tcBorders>
              <w:top w:val="single" w:color="auto" w:sz="4" w:space="0"/>
              <w:left w:val="single" w:color="auto" w:sz="4" w:space="0"/>
              <w:bottom w:val="single" w:color="auto" w:sz="4" w:space="0"/>
              <w:right w:val="single" w:color="auto" w:sz="4" w:space="0"/>
            </w:tcBorders>
            <w:vAlign w:val="center"/>
          </w:tcPr>
          <w:p w14:paraId="4791E502">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1256" w:type="pct"/>
            <w:tcBorders>
              <w:top w:val="single" w:color="auto" w:sz="4" w:space="0"/>
              <w:left w:val="single" w:color="auto" w:sz="4" w:space="0"/>
              <w:bottom w:val="single" w:color="auto" w:sz="4" w:space="0"/>
              <w:right w:val="single" w:color="auto" w:sz="4" w:space="0"/>
            </w:tcBorders>
            <w:vAlign w:val="center"/>
          </w:tcPr>
          <w:p w14:paraId="45FEDEC5">
            <w:pPr>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931" w:type="pct"/>
            <w:tcBorders>
              <w:top w:val="single" w:color="auto" w:sz="4" w:space="0"/>
              <w:left w:val="single" w:color="auto" w:sz="4" w:space="0"/>
              <w:bottom w:val="single" w:color="auto" w:sz="4" w:space="0"/>
              <w:right w:val="single" w:color="auto" w:sz="4" w:space="0"/>
            </w:tcBorders>
            <w:vAlign w:val="center"/>
          </w:tcPr>
          <w:p w14:paraId="3991201F">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r>
      <w:tr w14:paraId="60FC5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816" w:type="pct"/>
            <w:tcBorders>
              <w:top w:val="single" w:color="auto" w:sz="4" w:space="0"/>
              <w:left w:val="single" w:color="auto" w:sz="4" w:space="0"/>
              <w:bottom w:val="single" w:color="auto" w:sz="4" w:space="0"/>
              <w:right w:val="single" w:color="auto" w:sz="4" w:space="0"/>
            </w:tcBorders>
            <w:vAlign w:val="center"/>
          </w:tcPr>
          <w:p w14:paraId="76D5C219">
            <w:pPr>
              <w:widowControl/>
              <w:numPr>
                <w:ilvl w:val="0"/>
                <w:numId w:val="3"/>
              </w:numPr>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870" w:type="pct"/>
            <w:tcBorders>
              <w:top w:val="single" w:color="auto" w:sz="4" w:space="0"/>
              <w:left w:val="single" w:color="auto" w:sz="4" w:space="0"/>
              <w:bottom w:val="single" w:color="auto" w:sz="4" w:space="0"/>
              <w:right w:val="single" w:color="auto" w:sz="4" w:space="0"/>
            </w:tcBorders>
            <w:vAlign w:val="center"/>
          </w:tcPr>
          <w:p w14:paraId="6A51D924">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610" w:type="pct"/>
            <w:tcBorders>
              <w:top w:val="single" w:color="auto" w:sz="4" w:space="0"/>
              <w:left w:val="single" w:color="auto" w:sz="4" w:space="0"/>
              <w:bottom w:val="single" w:color="auto" w:sz="4" w:space="0"/>
              <w:right w:val="single" w:color="auto" w:sz="4" w:space="0"/>
            </w:tcBorders>
            <w:vAlign w:val="center"/>
          </w:tcPr>
          <w:p w14:paraId="0DE2A98B">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515" w:type="pct"/>
            <w:tcBorders>
              <w:top w:val="single" w:color="auto" w:sz="4" w:space="0"/>
              <w:left w:val="single" w:color="auto" w:sz="4" w:space="0"/>
              <w:bottom w:val="single" w:color="auto" w:sz="4" w:space="0"/>
              <w:right w:val="single" w:color="auto" w:sz="4" w:space="0"/>
            </w:tcBorders>
            <w:vAlign w:val="center"/>
          </w:tcPr>
          <w:p w14:paraId="6A820C59">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1256" w:type="pct"/>
            <w:tcBorders>
              <w:top w:val="single" w:color="auto" w:sz="4" w:space="0"/>
              <w:left w:val="single" w:color="auto" w:sz="4" w:space="0"/>
              <w:bottom w:val="single" w:color="auto" w:sz="4" w:space="0"/>
              <w:right w:val="single" w:color="auto" w:sz="4" w:space="0"/>
            </w:tcBorders>
            <w:vAlign w:val="center"/>
          </w:tcPr>
          <w:p w14:paraId="27D5FFC3">
            <w:pPr>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931" w:type="pct"/>
            <w:tcBorders>
              <w:top w:val="single" w:color="auto" w:sz="4" w:space="0"/>
              <w:left w:val="single" w:color="auto" w:sz="4" w:space="0"/>
              <w:bottom w:val="single" w:color="auto" w:sz="4" w:space="0"/>
              <w:right w:val="single" w:color="auto" w:sz="4" w:space="0"/>
            </w:tcBorders>
            <w:vAlign w:val="center"/>
          </w:tcPr>
          <w:p w14:paraId="6C0EBEAE">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r>
      <w:tr w14:paraId="22043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816" w:type="pct"/>
            <w:tcBorders>
              <w:top w:val="single" w:color="auto" w:sz="4" w:space="0"/>
              <w:left w:val="single" w:color="auto" w:sz="4" w:space="0"/>
              <w:bottom w:val="single" w:color="auto" w:sz="4" w:space="0"/>
              <w:right w:val="single" w:color="auto" w:sz="4" w:space="0"/>
            </w:tcBorders>
            <w:vAlign w:val="center"/>
          </w:tcPr>
          <w:p w14:paraId="487554BD">
            <w:pPr>
              <w:widowControl/>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 ......</w:t>
            </w:r>
          </w:p>
        </w:tc>
        <w:tc>
          <w:tcPr>
            <w:tcW w:w="870" w:type="pct"/>
            <w:tcBorders>
              <w:top w:val="single" w:color="auto" w:sz="4" w:space="0"/>
              <w:left w:val="single" w:color="auto" w:sz="4" w:space="0"/>
              <w:bottom w:val="single" w:color="auto" w:sz="4" w:space="0"/>
              <w:right w:val="single" w:color="auto" w:sz="4" w:space="0"/>
            </w:tcBorders>
            <w:vAlign w:val="center"/>
          </w:tcPr>
          <w:p w14:paraId="2386779A">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610" w:type="pct"/>
            <w:tcBorders>
              <w:top w:val="single" w:color="auto" w:sz="4" w:space="0"/>
              <w:left w:val="single" w:color="auto" w:sz="4" w:space="0"/>
              <w:bottom w:val="single" w:color="auto" w:sz="4" w:space="0"/>
              <w:right w:val="single" w:color="auto" w:sz="4" w:space="0"/>
            </w:tcBorders>
            <w:vAlign w:val="center"/>
          </w:tcPr>
          <w:p w14:paraId="4B6CDAF3">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515" w:type="pct"/>
            <w:tcBorders>
              <w:top w:val="single" w:color="auto" w:sz="4" w:space="0"/>
              <w:left w:val="single" w:color="auto" w:sz="4" w:space="0"/>
              <w:bottom w:val="single" w:color="auto" w:sz="4" w:space="0"/>
              <w:right w:val="single" w:color="auto" w:sz="4" w:space="0"/>
            </w:tcBorders>
            <w:vAlign w:val="center"/>
          </w:tcPr>
          <w:p w14:paraId="5F6B0C6B">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1256" w:type="pct"/>
            <w:tcBorders>
              <w:top w:val="single" w:color="auto" w:sz="4" w:space="0"/>
              <w:left w:val="single" w:color="auto" w:sz="4" w:space="0"/>
              <w:bottom w:val="single" w:color="auto" w:sz="4" w:space="0"/>
              <w:right w:val="single" w:color="auto" w:sz="4" w:space="0"/>
            </w:tcBorders>
            <w:vAlign w:val="center"/>
          </w:tcPr>
          <w:p w14:paraId="5375DF94">
            <w:pPr>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931" w:type="pct"/>
            <w:tcBorders>
              <w:top w:val="single" w:color="auto" w:sz="4" w:space="0"/>
              <w:left w:val="single" w:color="auto" w:sz="4" w:space="0"/>
              <w:bottom w:val="single" w:color="auto" w:sz="4" w:space="0"/>
              <w:right w:val="single" w:color="auto" w:sz="4" w:space="0"/>
            </w:tcBorders>
            <w:vAlign w:val="center"/>
          </w:tcPr>
          <w:p w14:paraId="2FA84E44">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r>
    </w:tbl>
    <w:p w14:paraId="08BD46E4">
      <w:pPr>
        <w:pStyle w:val="16"/>
        <w:jc w:val="right"/>
        <w:rPr>
          <w:color w:val="000000" w:themeColor="text1"/>
          <w:highlight w:val="none"/>
          <w14:textFill>
            <w14:solidFill>
              <w14:schemeClr w14:val="tx1"/>
            </w14:solidFill>
          </w14:textFill>
        </w:rPr>
      </w:pPr>
    </w:p>
    <w:p w14:paraId="1F7E77A4">
      <w:pPr>
        <w:jc w:val="right"/>
        <w:rPr>
          <w:rStyle w:val="271"/>
          <w:rFonts w:hint="eastAsia" w:hAnsi="宋体"/>
          <w:color w:val="000000" w:themeColor="text1"/>
          <w:highlight w:val="none"/>
          <w14:textFill>
            <w14:solidFill>
              <w14:schemeClr w14:val="tx1"/>
            </w14:solidFill>
          </w14:textFill>
        </w:rPr>
      </w:pPr>
    </w:p>
    <w:p w14:paraId="35B48E0C">
      <w:pPr>
        <w:tabs>
          <w:tab w:val="left" w:pos="6045"/>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注：</w:t>
      </w:r>
    </w:p>
    <w:p w14:paraId="392EB151">
      <w:pPr>
        <w:tabs>
          <w:tab w:val="left" w:pos="6045"/>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1、投标人须逐条完整填写所投产品全套配置，包含但不限于主机、各类硬件组件、配套软件、标配附件；</w:t>
      </w:r>
    </w:p>
    <w:p w14:paraId="11D9D411">
      <w:pPr>
        <w:tabs>
          <w:tab w:val="left" w:pos="6045"/>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2、配置明细不得简略、缺漏，选配部件单独注明；</w:t>
      </w:r>
    </w:p>
    <w:p w14:paraId="2826425F">
      <w:pPr>
        <w:tabs>
          <w:tab w:val="left" w:pos="6045"/>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3、本表填报内容作为供货验收依据，交付配置须与本表保持一致。</w:t>
      </w:r>
    </w:p>
    <w:p w14:paraId="413A5C23">
      <w:pPr>
        <w:rPr>
          <w:rStyle w:val="271"/>
          <w:rFonts w:hint="eastAsia" w:hAnsi="宋体"/>
          <w:color w:val="000000" w:themeColor="text1"/>
          <w:highlight w:val="none"/>
          <w14:textFill>
            <w14:solidFill>
              <w14:schemeClr w14:val="tx1"/>
            </w14:solidFill>
          </w14:textFill>
        </w:rPr>
      </w:pPr>
      <w:r>
        <w:rPr>
          <w:rStyle w:val="271"/>
          <w:rFonts w:hint="eastAsia" w:hAnsi="宋体"/>
          <w:color w:val="000000" w:themeColor="text1"/>
          <w:highlight w:val="none"/>
          <w14:textFill>
            <w14:solidFill>
              <w14:schemeClr w14:val="tx1"/>
            </w14:solidFill>
          </w14:textFill>
        </w:rPr>
        <w:br w:type="page" w:clear="all"/>
      </w:r>
    </w:p>
    <w:p w14:paraId="79FE0808">
      <w:pPr>
        <w:pStyle w:val="40"/>
        <w:rPr>
          <w:rFonts w:ascii="Microsoft New Tai Lue" w:hAnsi="Microsoft New Tai Lue" w:cs="Microsoft New Tai Lue"/>
          <w:color w:val="000000" w:themeColor="text1"/>
          <w:sz w:val="24"/>
          <w:highlight w:val="none"/>
          <w14:textFill>
            <w14:solidFill>
              <w14:schemeClr w14:val="tx1"/>
            </w14:solidFill>
          </w14:textFill>
        </w:rPr>
      </w:pPr>
      <w:r>
        <w:rPr>
          <w:rStyle w:val="271"/>
          <w:rFonts w:hint="eastAsia" w:ascii="Times New Roman" w:hAnsi="宋体"/>
          <w:color w:val="000000" w:themeColor="text1"/>
          <w:highlight w:val="none"/>
          <w14:textFill>
            <w14:solidFill>
              <w14:schemeClr w14:val="tx1"/>
            </w14:solidFill>
          </w14:textFill>
        </w:rPr>
        <w:t>（5-1）</w:t>
      </w:r>
      <w:r>
        <w:rPr>
          <w:rFonts w:ascii="Microsoft New Tai Lue" w:hAnsi="Microsoft New Tai Lue" w:cs="Microsoft New Tai Lue"/>
          <w:color w:val="000000" w:themeColor="text1"/>
          <w:sz w:val="24"/>
          <w:highlight w:val="none"/>
          <w14:textFill>
            <w14:solidFill>
              <w14:schemeClr w14:val="tx1"/>
            </w14:solidFill>
          </w14:textFill>
        </w:rPr>
        <w:t>分项报价表</w:t>
      </w:r>
      <w:r>
        <w:rPr>
          <w:rFonts w:hint="eastAsia" w:ascii="Microsoft New Tai Lue" w:hAnsi="Microsoft New Tai Lue" w:cs="Microsoft New Tai Lue"/>
          <w:color w:val="000000" w:themeColor="text1"/>
          <w:sz w:val="24"/>
          <w:highlight w:val="none"/>
          <w14:textFill>
            <w14:solidFill>
              <w14:schemeClr w14:val="tx1"/>
            </w14:solidFill>
          </w14:textFill>
        </w:rPr>
        <w:t>（零部件组成报价，如有）</w:t>
      </w:r>
    </w:p>
    <w:p w14:paraId="0E8F924F">
      <w:pPr>
        <w:spacing w:line="360" w:lineRule="auto"/>
        <w:ind w:left="-120" w:firstLine="21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项目名称：南京鼓楼医院3D外视镜系统采购项目</w:t>
      </w:r>
    </w:p>
    <w:p w14:paraId="6152E3B4">
      <w:pPr>
        <w:spacing w:line="360" w:lineRule="auto"/>
        <w:ind w:left="-120" w:firstLine="210"/>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项目编号：</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JSZC-320100-JITC-G2026-0298</w:t>
      </w:r>
    </w:p>
    <w:tbl>
      <w:tblPr>
        <w:tblStyle w:val="4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7"/>
        <w:gridCol w:w="1125"/>
        <w:gridCol w:w="647"/>
        <w:gridCol w:w="762"/>
        <w:gridCol w:w="1030"/>
        <w:gridCol w:w="688"/>
        <w:gridCol w:w="741"/>
        <w:gridCol w:w="627"/>
        <w:gridCol w:w="966"/>
        <w:gridCol w:w="939"/>
        <w:gridCol w:w="807"/>
      </w:tblGrid>
      <w:tr w14:paraId="554B3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283" w:type="pct"/>
            <w:vAlign w:val="center"/>
          </w:tcPr>
          <w:p w14:paraId="593E0E91">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序号</w:t>
            </w:r>
          </w:p>
        </w:tc>
        <w:tc>
          <w:tcPr>
            <w:tcW w:w="639" w:type="pct"/>
            <w:vAlign w:val="center"/>
          </w:tcPr>
          <w:p w14:paraId="467FF75D">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产品名称</w:t>
            </w:r>
          </w:p>
        </w:tc>
        <w:tc>
          <w:tcPr>
            <w:tcW w:w="368" w:type="pct"/>
            <w:vAlign w:val="center"/>
          </w:tcPr>
          <w:p w14:paraId="530B805C">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品牌</w:t>
            </w:r>
          </w:p>
        </w:tc>
        <w:tc>
          <w:tcPr>
            <w:tcW w:w="433" w:type="pct"/>
            <w:vAlign w:val="center"/>
          </w:tcPr>
          <w:p w14:paraId="129584C1">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规格型号</w:t>
            </w:r>
          </w:p>
        </w:tc>
        <w:tc>
          <w:tcPr>
            <w:tcW w:w="585" w:type="pct"/>
            <w:vAlign w:val="center"/>
          </w:tcPr>
          <w:p w14:paraId="64D4828D">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注册证号</w:t>
            </w:r>
          </w:p>
        </w:tc>
        <w:tc>
          <w:tcPr>
            <w:tcW w:w="391" w:type="pct"/>
            <w:vAlign w:val="center"/>
          </w:tcPr>
          <w:p w14:paraId="354EE004">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产地</w:t>
            </w:r>
          </w:p>
        </w:tc>
        <w:tc>
          <w:tcPr>
            <w:tcW w:w="421" w:type="pct"/>
            <w:vAlign w:val="center"/>
          </w:tcPr>
          <w:p w14:paraId="5F8C5CE0">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数量</w:t>
            </w:r>
          </w:p>
        </w:tc>
        <w:tc>
          <w:tcPr>
            <w:tcW w:w="356" w:type="pct"/>
            <w:vAlign w:val="center"/>
          </w:tcPr>
          <w:p w14:paraId="162BB375">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单位</w:t>
            </w:r>
          </w:p>
        </w:tc>
        <w:tc>
          <w:tcPr>
            <w:tcW w:w="548" w:type="pct"/>
            <w:vAlign w:val="center"/>
          </w:tcPr>
          <w:p w14:paraId="4D93A350">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单价</w:t>
            </w:r>
          </w:p>
          <w:p w14:paraId="45261C14">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（元）</w:t>
            </w:r>
          </w:p>
        </w:tc>
        <w:tc>
          <w:tcPr>
            <w:tcW w:w="518" w:type="pct"/>
            <w:vAlign w:val="center"/>
          </w:tcPr>
          <w:p w14:paraId="019F31C6">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小计</w:t>
            </w:r>
          </w:p>
          <w:p w14:paraId="033B1504">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（元）</w:t>
            </w:r>
          </w:p>
        </w:tc>
        <w:tc>
          <w:tcPr>
            <w:tcW w:w="452" w:type="pct"/>
            <w:vAlign w:val="center"/>
          </w:tcPr>
          <w:p w14:paraId="30E0F680">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备注</w:t>
            </w:r>
          </w:p>
        </w:tc>
      </w:tr>
      <w:tr w14:paraId="6A2C0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 w:type="pct"/>
            <w:vAlign w:val="center"/>
          </w:tcPr>
          <w:p w14:paraId="52576A32">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p>
        </w:tc>
        <w:tc>
          <w:tcPr>
            <w:tcW w:w="639" w:type="pct"/>
            <w:vAlign w:val="center"/>
          </w:tcPr>
          <w:p w14:paraId="7FD03E12">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368" w:type="pct"/>
            <w:vAlign w:val="center"/>
          </w:tcPr>
          <w:p w14:paraId="0B7794C3">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433" w:type="pct"/>
            <w:vAlign w:val="center"/>
          </w:tcPr>
          <w:p w14:paraId="4B3AFA3D">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585" w:type="pct"/>
            <w:vAlign w:val="center"/>
          </w:tcPr>
          <w:p w14:paraId="487CCCC8">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391" w:type="pct"/>
          </w:tcPr>
          <w:p w14:paraId="64907A6D">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421" w:type="pct"/>
            <w:vAlign w:val="center"/>
          </w:tcPr>
          <w:p w14:paraId="1761DB2A">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356" w:type="pct"/>
          </w:tcPr>
          <w:p w14:paraId="75B11566">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548" w:type="pct"/>
            <w:vAlign w:val="center"/>
          </w:tcPr>
          <w:p w14:paraId="2212C8B5">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518" w:type="pct"/>
            <w:vAlign w:val="center"/>
          </w:tcPr>
          <w:p w14:paraId="10F4AFB6">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452" w:type="pct"/>
            <w:vAlign w:val="center"/>
          </w:tcPr>
          <w:p w14:paraId="7E42737F">
            <w:pPr>
              <w:spacing w:line="360" w:lineRule="auto"/>
              <w:jc w:val="center"/>
              <w:rPr>
                <w:rFonts w:hint="eastAsia" w:ascii="宋体" w:hAnsi="宋体" w:cs="宋体"/>
                <w:color w:val="000000" w:themeColor="text1"/>
                <w:sz w:val="24"/>
                <w:highlight w:val="none"/>
                <w14:textFill>
                  <w14:solidFill>
                    <w14:schemeClr w14:val="tx1"/>
                  </w14:solidFill>
                </w14:textFill>
              </w:rPr>
            </w:pPr>
          </w:p>
        </w:tc>
      </w:tr>
      <w:tr w14:paraId="4E017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283" w:type="pct"/>
            <w:vAlign w:val="center"/>
          </w:tcPr>
          <w:p w14:paraId="582DAA4B">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p>
        </w:tc>
        <w:tc>
          <w:tcPr>
            <w:tcW w:w="639" w:type="pct"/>
            <w:vAlign w:val="center"/>
          </w:tcPr>
          <w:p w14:paraId="04CF1DA1">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368" w:type="pct"/>
            <w:vAlign w:val="center"/>
          </w:tcPr>
          <w:p w14:paraId="05F03492">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433" w:type="pct"/>
            <w:vAlign w:val="center"/>
          </w:tcPr>
          <w:p w14:paraId="2D17A004">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585" w:type="pct"/>
            <w:vAlign w:val="center"/>
          </w:tcPr>
          <w:p w14:paraId="147566F1">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391" w:type="pct"/>
          </w:tcPr>
          <w:p w14:paraId="6FB7DAD0">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421" w:type="pct"/>
            <w:vAlign w:val="center"/>
          </w:tcPr>
          <w:p w14:paraId="151CE34D">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356" w:type="pct"/>
          </w:tcPr>
          <w:p w14:paraId="23056A35">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548" w:type="pct"/>
            <w:vAlign w:val="center"/>
          </w:tcPr>
          <w:p w14:paraId="79DF5EDE">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518" w:type="pct"/>
            <w:vAlign w:val="center"/>
          </w:tcPr>
          <w:p w14:paraId="2F6965BC">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452" w:type="pct"/>
            <w:vAlign w:val="center"/>
          </w:tcPr>
          <w:p w14:paraId="28ED7738">
            <w:pPr>
              <w:spacing w:line="360" w:lineRule="auto"/>
              <w:jc w:val="center"/>
              <w:rPr>
                <w:rFonts w:hint="eastAsia" w:ascii="宋体" w:hAnsi="宋体" w:cs="宋体"/>
                <w:color w:val="000000" w:themeColor="text1"/>
                <w:sz w:val="24"/>
                <w:highlight w:val="none"/>
                <w14:textFill>
                  <w14:solidFill>
                    <w14:schemeClr w14:val="tx1"/>
                  </w14:solidFill>
                </w14:textFill>
              </w:rPr>
            </w:pPr>
          </w:p>
        </w:tc>
      </w:tr>
      <w:tr w14:paraId="00212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 w:type="pct"/>
            <w:vAlign w:val="center"/>
          </w:tcPr>
          <w:p w14:paraId="4DB645A9">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p>
        </w:tc>
        <w:tc>
          <w:tcPr>
            <w:tcW w:w="639" w:type="pct"/>
            <w:vAlign w:val="center"/>
          </w:tcPr>
          <w:p w14:paraId="19291702">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368" w:type="pct"/>
            <w:vAlign w:val="center"/>
          </w:tcPr>
          <w:p w14:paraId="611D4970">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433" w:type="pct"/>
            <w:vAlign w:val="center"/>
          </w:tcPr>
          <w:p w14:paraId="47A58FF2">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585" w:type="pct"/>
            <w:vAlign w:val="center"/>
          </w:tcPr>
          <w:p w14:paraId="3F1C7878">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391" w:type="pct"/>
          </w:tcPr>
          <w:p w14:paraId="34AFE6E1">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421" w:type="pct"/>
            <w:vAlign w:val="center"/>
          </w:tcPr>
          <w:p w14:paraId="47A8B569">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356" w:type="pct"/>
          </w:tcPr>
          <w:p w14:paraId="7DF8DE48">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548" w:type="pct"/>
            <w:vAlign w:val="center"/>
          </w:tcPr>
          <w:p w14:paraId="53693074">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518" w:type="pct"/>
            <w:vAlign w:val="center"/>
          </w:tcPr>
          <w:p w14:paraId="307BED71">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452" w:type="pct"/>
            <w:vAlign w:val="center"/>
          </w:tcPr>
          <w:p w14:paraId="4A7D11DE">
            <w:pPr>
              <w:spacing w:line="360" w:lineRule="auto"/>
              <w:jc w:val="center"/>
              <w:rPr>
                <w:rFonts w:hint="eastAsia" w:ascii="宋体" w:hAnsi="宋体" w:cs="宋体"/>
                <w:color w:val="000000" w:themeColor="text1"/>
                <w:sz w:val="24"/>
                <w:highlight w:val="none"/>
                <w14:textFill>
                  <w14:solidFill>
                    <w14:schemeClr w14:val="tx1"/>
                  </w14:solidFill>
                </w14:textFill>
              </w:rPr>
            </w:pPr>
          </w:p>
        </w:tc>
      </w:tr>
      <w:tr w14:paraId="0972F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 w:type="pct"/>
            <w:vAlign w:val="center"/>
          </w:tcPr>
          <w:p w14:paraId="56C94319">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639" w:type="pct"/>
            <w:vAlign w:val="center"/>
          </w:tcPr>
          <w:p w14:paraId="4EFDC075">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368" w:type="pct"/>
            <w:vAlign w:val="center"/>
          </w:tcPr>
          <w:p w14:paraId="24DBB052">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433" w:type="pct"/>
            <w:vAlign w:val="center"/>
          </w:tcPr>
          <w:p w14:paraId="5BFE51DA">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585" w:type="pct"/>
            <w:vAlign w:val="center"/>
          </w:tcPr>
          <w:p w14:paraId="715EEA79">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391" w:type="pct"/>
          </w:tcPr>
          <w:p w14:paraId="77ABC0A6">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421" w:type="pct"/>
            <w:vAlign w:val="center"/>
          </w:tcPr>
          <w:p w14:paraId="17B23CF3">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356" w:type="pct"/>
          </w:tcPr>
          <w:p w14:paraId="731513DA">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548" w:type="pct"/>
            <w:vAlign w:val="center"/>
          </w:tcPr>
          <w:p w14:paraId="53AA0CF3">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518" w:type="pct"/>
            <w:vAlign w:val="center"/>
          </w:tcPr>
          <w:p w14:paraId="578A56A4">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452" w:type="pct"/>
            <w:vAlign w:val="center"/>
          </w:tcPr>
          <w:p w14:paraId="757358D0">
            <w:pPr>
              <w:spacing w:line="360" w:lineRule="auto"/>
              <w:jc w:val="center"/>
              <w:rPr>
                <w:rFonts w:hint="eastAsia" w:ascii="宋体" w:hAnsi="宋体" w:cs="宋体"/>
                <w:color w:val="000000" w:themeColor="text1"/>
                <w:sz w:val="24"/>
                <w:highlight w:val="none"/>
                <w14:textFill>
                  <w14:solidFill>
                    <w14:schemeClr w14:val="tx1"/>
                  </w14:solidFill>
                </w14:textFill>
              </w:rPr>
            </w:pPr>
          </w:p>
        </w:tc>
      </w:tr>
      <w:tr w14:paraId="23BF7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11"/>
          </w:tcPr>
          <w:p w14:paraId="5C732CC4">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总计：                     元</w:t>
            </w:r>
          </w:p>
        </w:tc>
      </w:tr>
    </w:tbl>
    <w:p w14:paraId="249611B0">
      <w:pPr>
        <w:spacing w:line="360" w:lineRule="auto"/>
        <w:ind w:left="-120" w:firstLine="210"/>
        <w:rPr>
          <w:rFonts w:ascii="Microsoft New Tai Lue" w:hAnsi="Microsoft New Tai Lue" w:cs="Microsoft New Tai Lue"/>
          <w:color w:val="000000" w:themeColor="text1"/>
          <w:szCs w:val="21"/>
          <w:highlight w:val="none"/>
          <w14:textFill>
            <w14:solidFill>
              <w14:schemeClr w14:val="tx1"/>
            </w14:solidFill>
          </w14:textFill>
        </w:rPr>
      </w:pPr>
    </w:p>
    <w:p w14:paraId="5ADEC821">
      <w:pPr>
        <w:tabs>
          <w:tab w:val="left" w:pos="6045"/>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ascii="Microsoft New Tai Lue" w:hAnsi="Microsoft New Tai Lue" w:cs="Microsoft New Tai Lue"/>
          <w:b/>
          <w:bCs/>
          <w:color w:val="000000" w:themeColor="text1"/>
          <w:sz w:val="22"/>
          <w:szCs w:val="22"/>
          <w:highlight w:val="none"/>
          <w14:textFill>
            <w14:solidFill>
              <w14:schemeClr w14:val="tx1"/>
            </w14:solidFill>
          </w14:textFill>
        </w:rPr>
        <w:t>注：</w:t>
      </w:r>
    </w:p>
    <w:p w14:paraId="3AE5B475">
      <w:pPr>
        <w:tabs>
          <w:tab w:val="left" w:pos="6045"/>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1.如果行数不够，请自行增加。</w:t>
      </w:r>
    </w:p>
    <w:p w14:paraId="19332D41">
      <w:pPr>
        <w:tabs>
          <w:tab w:val="left" w:pos="6045"/>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2.投标报价采用总承包方式，“投标总报价”应包括所投货物（包含与货物相关的服务）费用、安装调试费、测试验收费、培训费、运行维护费用、税金、国际（如果有）国内运输保险、报关清关（如果有）、开证（如果有）、办理全套免税手续费用（如果有）、招标代理服务费及其他有关的为完成本项目发生的所有费用，招标文件中另有规定的除外。“投标总报价”数额为各“分项总价”之和。</w:t>
      </w:r>
    </w:p>
    <w:p w14:paraId="183341B3">
      <w:pPr>
        <w:tabs>
          <w:tab w:val="left" w:pos="6045"/>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3.“投标分项报价表”中“投标总报价”数额应当与“开标一览表”中“投标总报价”数额一致。</w:t>
      </w:r>
    </w:p>
    <w:p w14:paraId="7DC64964">
      <w:pPr>
        <w:tabs>
          <w:tab w:val="left" w:pos="6045"/>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4.本采购包中含有多种产品时，供应商未填写本采购包中提供的符合本国产品标准的产品成本之和占该采购包提供的全部产品成本之和的比例数值的，或比例数值未达到80%的，将不享受本国产品价格评审优惠。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7D4ADFE">
      <w:pPr>
        <w:tabs>
          <w:tab w:val="left" w:pos="6045"/>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5.投标人需认真填写本报价表，尤其注意规格型号的准确填写。</w:t>
      </w:r>
    </w:p>
    <w:p w14:paraId="2AE0917B">
      <w:pPr>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p>
    <w:p w14:paraId="064410C0">
      <w:pPr>
        <w:spacing w:line="360" w:lineRule="auto"/>
        <w:ind w:firstLine="440"/>
        <w:jc w:val="right"/>
        <w:rPr>
          <w:rFonts w:ascii="Microsoft New Tai Lue" w:hAnsi="Microsoft New Tai Lue" w:cs="Microsoft New Tai Lue"/>
          <w:color w:val="000000" w:themeColor="text1"/>
          <w:sz w:val="22"/>
          <w:szCs w:val="22"/>
          <w:highlight w:val="none"/>
          <w14:textFill>
            <w14:solidFill>
              <w14:schemeClr w14:val="tx1"/>
            </w14:solidFill>
          </w14:textFill>
        </w:rPr>
      </w:pPr>
    </w:p>
    <w:p w14:paraId="00710943">
      <w:pPr>
        <w:spacing w:line="360" w:lineRule="auto"/>
        <w:ind w:right="420" w:firstLine="3780"/>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投标人</w:t>
      </w:r>
      <w:r>
        <w:rPr>
          <w:color w:val="000000" w:themeColor="text1"/>
          <w:highlight w:val="none"/>
          <w14:textFill>
            <w14:solidFill>
              <w14:schemeClr w14:val="tx1"/>
            </w14:solidFill>
          </w14:textFill>
        </w:rPr>
        <w:t>名称（公章）：</w:t>
      </w:r>
      <w:r>
        <w:rPr>
          <w:color w:val="000000" w:themeColor="text1"/>
          <w:highlight w:val="none"/>
          <w:u w:val="single"/>
          <w14:textFill>
            <w14:solidFill>
              <w14:schemeClr w14:val="tx1"/>
            </w14:solidFill>
          </w14:textFill>
        </w:rPr>
        <w:t xml:space="preserve">                 </w:t>
      </w:r>
    </w:p>
    <w:p w14:paraId="3EF6D231">
      <w:pPr>
        <w:spacing w:line="360" w:lineRule="auto"/>
        <w:ind w:firstLine="422"/>
        <w:jc w:val="left"/>
        <w:rPr>
          <w:rStyle w:val="271"/>
          <w:rFonts w:hint="eastAsia" w:hAnsi="宋体"/>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日</w:t>
      </w:r>
    </w:p>
    <w:p w14:paraId="311C2ECC">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1CFD0601">
      <w:pPr>
        <w:ind w:left="426"/>
        <w:rPr>
          <w:color w:val="000000" w:themeColor="text1"/>
          <w:highlight w:val="none"/>
          <w14:textFill>
            <w14:solidFill>
              <w14:schemeClr w14:val="tx1"/>
            </w14:solidFill>
          </w14:textFill>
        </w:rPr>
      </w:pPr>
    </w:p>
    <w:p w14:paraId="1CBB0412">
      <w:pPr>
        <w:pStyle w:val="40"/>
        <w:spacing w:before="0"/>
        <w:ind w:firstLine="426"/>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（6）商务条款偏离表</w:t>
      </w:r>
      <w:bookmarkEnd w:id="286"/>
      <w:bookmarkEnd w:id="287"/>
      <w:bookmarkEnd w:id="288"/>
    </w:p>
    <w:p w14:paraId="22D904AE">
      <w:pPr>
        <w:pStyle w:val="26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项目名称：南京鼓楼医院3D外视镜系统采购项目</w:t>
      </w:r>
    </w:p>
    <w:p w14:paraId="4382645D">
      <w:pPr>
        <w:pStyle w:val="261"/>
        <w:ind w:firstLine="420"/>
        <w:rPr>
          <w:rFonts w:hint="eastAsia" w:hAnsi="宋体" w:eastAsia="宋体" w:cs="宋体"/>
          <w:color w:val="000000" w:themeColor="text1"/>
          <w:sz w:val="21"/>
          <w:szCs w:val="21"/>
          <w:highlight w:val="none"/>
          <w:u w:val="singl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项目编号：</w:t>
      </w:r>
      <w:r>
        <w:rPr>
          <w:rFonts w:hint="eastAsia" w:hAnsi="宋体" w:cs="宋体"/>
          <w:color w:val="000000" w:themeColor="text1"/>
          <w:sz w:val="21"/>
          <w:szCs w:val="21"/>
          <w:highlight w:val="none"/>
          <w:lang w:eastAsia="zh-CN"/>
          <w14:textFill>
            <w14:solidFill>
              <w14:schemeClr w14:val="tx1"/>
            </w14:solidFill>
          </w14:textFill>
        </w:rPr>
        <w:t>JSZC-320100-JITC-G2026-0298</w:t>
      </w:r>
    </w:p>
    <w:tbl>
      <w:tblPr>
        <w:tblStyle w:val="43"/>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1185"/>
        <w:gridCol w:w="1985"/>
        <w:gridCol w:w="2076"/>
        <w:gridCol w:w="1326"/>
        <w:gridCol w:w="1438"/>
        <w:gridCol w:w="1176"/>
      </w:tblGrid>
      <w:tr w14:paraId="4F4E7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653" w:type="dxa"/>
            <w:vAlign w:val="center"/>
          </w:tcPr>
          <w:p w14:paraId="1CAB3527">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序号</w:t>
            </w:r>
          </w:p>
        </w:tc>
        <w:tc>
          <w:tcPr>
            <w:tcW w:w="1185" w:type="dxa"/>
            <w:vAlign w:val="center"/>
          </w:tcPr>
          <w:p w14:paraId="2C7A1B81">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招标文件条目号</w:t>
            </w:r>
          </w:p>
        </w:tc>
        <w:tc>
          <w:tcPr>
            <w:tcW w:w="1985" w:type="dxa"/>
            <w:vAlign w:val="center"/>
          </w:tcPr>
          <w:p w14:paraId="58614403">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招标文件的商务条款</w:t>
            </w:r>
          </w:p>
        </w:tc>
        <w:tc>
          <w:tcPr>
            <w:tcW w:w="2076" w:type="dxa"/>
          </w:tcPr>
          <w:p w14:paraId="1A1FF0E1">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投标文件的商务条款</w:t>
            </w:r>
          </w:p>
        </w:tc>
        <w:tc>
          <w:tcPr>
            <w:tcW w:w="1326" w:type="dxa"/>
          </w:tcPr>
          <w:p w14:paraId="14329929">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响应/偏离</w:t>
            </w:r>
          </w:p>
        </w:tc>
        <w:tc>
          <w:tcPr>
            <w:tcW w:w="1438" w:type="dxa"/>
            <w:vAlign w:val="center"/>
          </w:tcPr>
          <w:p w14:paraId="7D1208E2">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投标文件响应页码</w:t>
            </w:r>
          </w:p>
        </w:tc>
        <w:tc>
          <w:tcPr>
            <w:tcW w:w="1176" w:type="dxa"/>
            <w:vAlign w:val="center"/>
          </w:tcPr>
          <w:p w14:paraId="0D3029E3">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备注</w:t>
            </w:r>
          </w:p>
        </w:tc>
      </w:tr>
      <w:tr w14:paraId="7965D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653" w:type="dxa"/>
            <w:vAlign w:val="center"/>
          </w:tcPr>
          <w:p w14:paraId="2AA43205">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85" w:type="dxa"/>
            <w:vAlign w:val="center"/>
          </w:tcPr>
          <w:p w14:paraId="7A127B97">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985" w:type="dxa"/>
            <w:vAlign w:val="center"/>
          </w:tcPr>
          <w:p w14:paraId="3F9C9345">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2076" w:type="dxa"/>
          </w:tcPr>
          <w:p w14:paraId="3677425E">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326" w:type="dxa"/>
          </w:tcPr>
          <w:p w14:paraId="1DBDD5A2">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438" w:type="dxa"/>
            <w:vAlign w:val="center"/>
          </w:tcPr>
          <w:p w14:paraId="0C4DDA3E">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76" w:type="dxa"/>
            <w:vAlign w:val="center"/>
          </w:tcPr>
          <w:p w14:paraId="10156F4C">
            <w:pPr>
              <w:pStyle w:val="261"/>
              <w:ind w:firstLine="0"/>
              <w:jc w:val="center"/>
              <w:rPr>
                <w:rFonts w:hint="eastAsia" w:hAnsi="宋体" w:cs="宋体"/>
                <w:color w:val="000000" w:themeColor="text1"/>
                <w:sz w:val="21"/>
                <w:szCs w:val="21"/>
                <w:highlight w:val="none"/>
                <w14:textFill>
                  <w14:solidFill>
                    <w14:schemeClr w14:val="tx1"/>
                  </w14:solidFill>
                </w14:textFill>
              </w:rPr>
            </w:pPr>
          </w:p>
        </w:tc>
      </w:tr>
      <w:tr w14:paraId="7E09F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653" w:type="dxa"/>
            <w:vAlign w:val="center"/>
          </w:tcPr>
          <w:p w14:paraId="339196F2">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85" w:type="dxa"/>
            <w:vAlign w:val="center"/>
          </w:tcPr>
          <w:p w14:paraId="5CF3A456">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985" w:type="dxa"/>
            <w:vAlign w:val="center"/>
          </w:tcPr>
          <w:p w14:paraId="0740A731">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2076" w:type="dxa"/>
          </w:tcPr>
          <w:p w14:paraId="5B923BB7">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326" w:type="dxa"/>
          </w:tcPr>
          <w:p w14:paraId="2E128F0C">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438" w:type="dxa"/>
            <w:vAlign w:val="center"/>
          </w:tcPr>
          <w:p w14:paraId="67B555B0">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76" w:type="dxa"/>
            <w:vAlign w:val="center"/>
          </w:tcPr>
          <w:p w14:paraId="0B3EEF86">
            <w:pPr>
              <w:pStyle w:val="261"/>
              <w:ind w:firstLine="0"/>
              <w:jc w:val="center"/>
              <w:rPr>
                <w:rFonts w:hint="eastAsia" w:hAnsi="宋体" w:cs="宋体"/>
                <w:color w:val="000000" w:themeColor="text1"/>
                <w:sz w:val="21"/>
                <w:szCs w:val="21"/>
                <w:highlight w:val="none"/>
                <w14:textFill>
                  <w14:solidFill>
                    <w14:schemeClr w14:val="tx1"/>
                  </w14:solidFill>
                </w14:textFill>
              </w:rPr>
            </w:pPr>
          </w:p>
        </w:tc>
      </w:tr>
      <w:tr w14:paraId="62AFE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653" w:type="dxa"/>
            <w:vAlign w:val="center"/>
          </w:tcPr>
          <w:p w14:paraId="226BDAB4">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85" w:type="dxa"/>
            <w:vAlign w:val="center"/>
          </w:tcPr>
          <w:p w14:paraId="6D5E24F8">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985" w:type="dxa"/>
            <w:vAlign w:val="center"/>
          </w:tcPr>
          <w:p w14:paraId="3B5DAB37">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2076" w:type="dxa"/>
          </w:tcPr>
          <w:p w14:paraId="7491F3B9">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326" w:type="dxa"/>
          </w:tcPr>
          <w:p w14:paraId="1F2D92DF">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438" w:type="dxa"/>
            <w:vAlign w:val="center"/>
          </w:tcPr>
          <w:p w14:paraId="3BEEEAE6">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76" w:type="dxa"/>
            <w:vAlign w:val="center"/>
          </w:tcPr>
          <w:p w14:paraId="72C31C96">
            <w:pPr>
              <w:pStyle w:val="261"/>
              <w:ind w:firstLine="0"/>
              <w:jc w:val="center"/>
              <w:rPr>
                <w:rFonts w:hint="eastAsia" w:hAnsi="宋体" w:cs="宋体"/>
                <w:color w:val="000000" w:themeColor="text1"/>
                <w:sz w:val="21"/>
                <w:szCs w:val="21"/>
                <w:highlight w:val="none"/>
                <w14:textFill>
                  <w14:solidFill>
                    <w14:schemeClr w14:val="tx1"/>
                  </w14:solidFill>
                </w14:textFill>
              </w:rPr>
            </w:pPr>
          </w:p>
        </w:tc>
      </w:tr>
      <w:tr w14:paraId="044BF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653" w:type="dxa"/>
            <w:vAlign w:val="center"/>
          </w:tcPr>
          <w:p w14:paraId="0511D7D6">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85" w:type="dxa"/>
            <w:vAlign w:val="center"/>
          </w:tcPr>
          <w:p w14:paraId="544A8E04">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985" w:type="dxa"/>
            <w:vAlign w:val="center"/>
          </w:tcPr>
          <w:p w14:paraId="27CDD080">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2076" w:type="dxa"/>
          </w:tcPr>
          <w:p w14:paraId="625D1E33">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326" w:type="dxa"/>
          </w:tcPr>
          <w:p w14:paraId="1FC02120">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438" w:type="dxa"/>
            <w:vAlign w:val="center"/>
          </w:tcPr>
          <w:p w14:paraId="4EDB7887">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76" w:type="dxa"/>
            <w:vAlign w:val="center"/>
          </w:tcPr>
          <w:p w14:paraId="03A6FFE1">
            <w:pPr>
              <w:pStyle w:val="261"/>
              <w:ind w:firstLine="0"/>
              <w:jc w:val="center"/>
              <w:rPr>
                <w:rFonts w:hint="eastAsia" w:hAnsi="宋体" w:cs="宋体"/>
                <w:color w:val="000000" w:themeColor="text1"/>
                <w:sz w:val="21"/>
                <w:szCs w:val="21"/>
                <w:highlight w:val="none"/>
                <w14:textFill>
                  <w14:solidFill>
                    <w14:schemeClr w14:val="tx1"/>
                  </w14:solidFill>
                </w14:textFill>
              </w:rPr>
            </w:pPr>
          </w:p>
        </w:tc>
      </w:tr>
      <w:tr w14:paraId="5DE16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653" w:type="dxa"/>
            <w:vAlign w:val="center"/>
          </w:tcPr>
          <w:p w14:paraId="0876EC06">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85" w:type="dxa"/>
            <w:vAlign w:val="center"/>
          </w:tcPr>
          <w:p w14:paraId="7F3014AC">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985" w:type="dxa"/>
            <w:vAlign w:val="center"/>
          </w:tcPr>
          <w:p w14:paraId="322AA70D">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2076" w:type="dxa"/>
          </w:tcPr>
          <w:p w14:paraId="33AB3A9F">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326" w:type="dxa"/>
          </w:tcPr>
          <w:p w14:paraId="4C3A96D9">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438" w:type="dxa"/>
            <w:vAlign w:val="center"/>
          </w:tcPr>
          <w:p w14:paraId="549BB3A4">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76" w:type="dxa"/>
            <w:vAlign w:val="center"/>
          </w:tcPr>
          <w:p w14:paraId="2EE4A356">
            <w:pPr>
              <w:pStyle w:val="261"/>
              <w:ind w:firstLine="0"/>
              <w:jc w:val="center"/>
              <w:rPr>
                <w:rFonts w:hint="eastAsia" w:hAnsi="宋体" w:cs="宋体"/>
                <w:color w:val="000000" w:themeColor="text1"/>
                <w:sz w:val="21"/>
                <w:szCs w:val="21"/>
                <w:highlight w:val="none"/>
                <w14:textFill>
                  <w14:solidFill>
                    <w14:schemeClr w14:val="tx1"/>
                  </w14:solidFill>
                </w14:textFill>
              </w:rPr>
            </w:pPr>
          </w:p>
        </w:tc>
      </w:tr>
      <w:tr w14:paraId="10061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653" w:type="dxa"/>
            <w:vAlign w:val="center"/>
          </w:tcPr>
          <w:p w14:paraId="6E3A2FD5">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85" w:type="dxa"/>
            <w:vAlign w:val="center"/>
          </w:tcPr>
          <w:p w14:paraId="347F5E8C">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985" w:type="dxa"/>
            <w:vAlign w:val="center"/>
          </w:tcPr>
          <w:p w14:paraId="4E9F332F">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2076" w:type="dxa"/>
          </w:tcPr>
          <w:p w14:paraId="62297A64">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326" w:type="dxa"/>
          </w:tcPr>
          <w:p w14:paraId="40225467">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438" w:type="dxa"/>
            <w:vAlign w:val="center"/>
          </w:tcPr>
          <w:p w14:paraId="16CFC038">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76" w:type="dxa"/>
            <w:vAlign w:val="center"/>
          </w:tcPr>
          <w:p w14:paraId="2053D654">
            <w:pPr>
              <w:pStyle w:val="261"/>
              <w:ind w:firstLine="0"/>
              <w:jc w:val="center"/>
              <w:rPr>
                <w:rFonts w:hint="eastAsia" w:hAnsi="宋体" w:cs="宋体"/>
                <w:color w:val="000000" w:themeColor="text1"/>
                <w:sz w:val="21"/>
                <w:szCs w:val="21"/>
                <w:highlight w:val="none"/>
                <w14:textFill>
                  <w14:solidFill>
                    <w14:schemeClr w14:val="tx1"/>
                  </w14:solidFill>
                </w14:textFill>
              </w:rPr>
            </w:pPr>
          </w:p>
        </w:tc>
      </w:tr>
    </w:tbl>
    <w:p w14:paraId="5AB17C9A">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p>
    <w:p w14:paraId="442FF236">
      <w:pPr>
        <w:tabs>
          <w:tab w:val="left" w:pos="6045"/>
        </w:tabs>
        <w:spacing w:line="360" w:lineRule="auto"/>
        <w:ind w:firstLine="372"/>
        <w:jc w:val="center"/>
        <w:rPr>
          <w:rFonts w:hint="eastAsia" w:ascii="宋体" w:hAnsi="宋体" w:cs="宋体"/>
          <w:color w:val="000000" w:themeColor="text1"/>
          <w:highlight w:val="none"/>
          <w:u w:val="single"/>
          <w14:textFill>
            <w14:solidFill>
              <w14:schemeClr w14:val="tx1"/>
            </w14:solidFill>
          </w14:textFill>
        </w:rPr>
      </w:pPr>
      <w:bookmarkStart w:id="290" w:name="OLE_LINK18"/>
      <w:r>
        <w:rPr>
          <w:rFonts w:hint="eastAsia" w:ascii="宋体" w:hAnsi="宋体" w:cs="宋体"/>
          <w:color w:val="000000" w:themeColor="text1"/>
          <w:highlight w:val="none"/>
          <w14:textFill>
            <w14:solidFill>
              <w14:schemeClr w14:val="tx1"/>
            </w14:solidFill>
          </w14:textFill>
        </w:rPr>
        <w:t>投标人名称（公章）：</w:t>
      </w:r>
    </w:p>
    <w:p w14:paraId="0422ED82">
      <w:pPr>
        <w:spacing w:line="360" w:lineRule="auto"/>
        <w:ind w:right="420" w:firstLine="372"/>
        <w:jc w:val="center"/>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p>
    <w:p w14:paraId="533B2014">
      <w:pPr>
        <w:spacing w:line="360" w:lineRule="auto"/>
        <w:ind w:right="420" w:firstLine="372"/>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bookmarkEnd w:id="290"/>
    </w:p>
    <w:p w14:paraId="79483E61">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w:t>
      </w:r>
    </w:p>
    <w:p w14:paraId="08A807EB">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1. 投标人须根据招标文件商务条款要求填写此表，作为投标文件的组成部分。</w:t>
      </w:r>
    </w:p>
    <w:p w14:paraId="74922011">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2. 投标人须对照招标文件商务条款部分逐条说明做出实质性的响应。所有偏离必须在本表中列出，未在本偏离表中列出偏离，将视为投标人已完全接受招标文件要求。</w:t>
      </w:r>
    </w:p>
    <w:p w14:paraId="59B8867E">
      <w:pPr>
        <w:pStyle w:val="38"/>
        <w:spacing w:line="360" w:lineRule="exact"/>
        <w:ind w:firstLine="373"/>
        <w:rPr>
          <w:rStyle w:val="51"/>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w:t>
      </w:r>
      <w:r>
        <w:rPr>
          <w:rStyle w:val="51"/>
          <w:rFonts w:hint="eastAsia" w:ascii="Times New Roman" w:hAnsi="Times New Roman"/>
          <w:b/>
          <w:bCs/>
          <w:color w:val="000000" w:themeColor="text1"/>
          <w:highlight w:val="none"/>
          <w14:textFill>
            <w14:solidFill>
              <w14:schemeClr w14:val="tx1"/>
            </w14:solidFill>
          </w14:textFill>
        </w:rPr>
        <w:t>“响应/偏离”栏需注明响应/正偏离/负偏离，正偏离指投标人的响应优于招标文件要求，负偏离指投标人的响应低于招标文件要求。</w:t>
      </w:r>
    </w:p>
    <w:p w14:paraId="6A40D5F8">
      <w:pPr>
        <w:pStyle w:val="38"/>
        <w:spacing w:line="360" w:lineRule="exact"/>
        <w:ind w:firstLine="373"/>
        <w:rPr>
          <w:rStyle w:val="51"/>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 </w:t>
      </w:r>
      <w:r>
        <w:rPr>
          <w:rStyle w:val="51"/>
          <w:rFonts w:ascii="Times New Roman" w:hAnsi="Times New Roman"/>
          <w:b/>
          <w:bCs/>
          <w:color w:val="000000" w:themeColor="text1"/>
          <w:highlight w:val="none"/>
          <w14:textFill>
            <w14:solidFill>
              <w14:schemeClr w14:val="tx1"/>
            </w14:solidFill>
          </w14:textFill>
        </w:rPr>
        <w:t>行数不够，投标人请自行增加</w:t>
      </w:r>
    </w:p>
    <w:p w14:paraId="357A23DE">
      <w:pPr>
        <w:spacing w:line="360" w:lineRule="auto"/>
        <w:ind w:firstLine="440"/>
        <w:jc w:val="right"/>
        <w:rPr>
          <w:rFonts w:hint="eastAsia" w:ascii="宋体" w:hAnsi="宋体" w:cs="宋体"/>
          <w:color w:val="000000" w:themeColor="text1"/>
          <w:sz w:val="22"/>
          <w:szCs w:val="22"/>
          <w:highlight w:val="none"/>
          <w14:textFill>
            <w14:solidFill>
              <w14:schemeClr w14:val="tx1"/>
            </w14:solidFill>
          </w14:textFill>
        </w:rPr>
      </w:pPr>
      <w:bookmarkStart w:id="291" w:name="_Toc103848587"/>
      <w:bookmarkStart w:id="292" w:name="_Toc104560902"/>
    </w:p>
    <w:p w14:paraId="622E4E0A">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p>
    <w:p w14:paraId="38E6D23B">
      <w:pPr>
        <w:pStyle w:val="40"/>
        <w:spacing w:line="240" w:lineRule="atLeast"/>
        <w:rPr>
          <w:rFonts w:hint="eastAsia" w:ascii="宋体" w:hAnsi="宋体" w:cs="宋体"/>
          <w:bCs w:val="0"/>
          <w:color w:val="000000" w:themeColor="text1"/>
          <w:sz w:val="24"/>
          <w:szCs w:val="24"/>
          <w:highlight w:val="none"/>
          <w14:textFill>
            <w14:solidFill>
              <w14:schemeClr w14:val="tx1"/>
            </w14:solidFill>
          </w14:textFill>
        </w:rPr>
      </w:pPr>
      <w:bookmarkStart w:id="293" w:name="_Toc107246282"/>
      <w:r>
        <w:rPr>
          <w:rFonts w:hint="eastAsia" w:ascii="宋体" w:hAnsi="宋体" w:cs="宋体"/>
          <w:bCs w:val="0"/>
          <w:color w:val="000000" w:themeColor="text1"/>
          <w:sz w:val="24"/>
          <w:szCs w:val="24"/>
          <w:highlight w:val="none"/>
          <w14:textFill>
            <w14:solidFill>
              <w14:schemeClr w14:val="tx1"/>
            </w14:solidFill>
          </w14:textFill>
        </w:rPr>
        <w:t>（7）投标人具备投标资格的证明文件</w:t>
      </w:r>
      <w:bookmarkEnd w:id="291"/>
      <w:bookmarkEnd w:id="292"/>
      <w:bookmarkEnd w:id="293"/>
    </w:p>
    <w:p w14:paraId="6D356660">
      <w:pPr>
        <w:pStyle w:val="40"/>
        <w:spacing w:line="240" w:lineRule="atLeast"/>
        <w:ind w:firstLine="426"/>
        <w:rPr>
          <w:rFonts w:hint="eastAsia" w:ascii="宋体" w:hAnsi="宋体" w:cs="宋体"/>
          <w:bCs w:val="0"/>
          <w:color w:val="000000" w:themeColor="text1"/>
          <w:sz w:val="24"/>
          <w:szCs w:val="24"/>
          <w:highlight w:val="none"/>
          <w14:textFill>
            <w14:solidFill>
              <w14:schemeClr w14:val="tx1"/>
            </w14:solidFill>
          </w14:textFill>
        </w:rPr>
      </w:pPr>
      <w:bookmarkStart w:id="294" w:name="_Toc104560903"/>
      <w:bookmarkStart w:id="295" w:name="_Toc107246283"/>
      <w:bookmarkStart w:id="296" w:name="_Toc103848588"/>
      <w:r>
        <w:rPr>
          <w:rFonts w:hint="eastAsia" w:ascii="宋体" w:hAnsi="宋体" w:cs="宋体"/>
          <w:bCs w:val="0"/>
          <w:color w:val="000000" w:themeColor="text1"/>
          <w:sz w:val="24"/>
          <w:szCs w:val="24"/>
          <w:highlight w:val="none"/>
          <w14:textFill>
            <w14:solidFill>
              <w14:schemeClr w14:val="tx1"/>
            </w14:solidFill>
          </w14:textFill>
        </w:rPr>
        <w:t>（7-1-1）营业执照复印件</w:t>
      </w:r>
      <w:bookmarkEnd w:id="289"/>
      <w:r>
        <w:rPr>
          <w:rFonts w:hint="eastAsia" w:ascii="宋体" w:hAnsi="宋体" w:cs="宋体"/>
          <w:bCs w:val="0"/>
          <w:color w:val="000000" w:themeColor="text1"/>
          <w:sz w:val="24"/>
          <w:szCs w:val="24"/>
          <w:highlight w:val="none"/>
          <w14:textFill>
            <w14:solidFill>
              <w14:schemeClr w14:val="tx1"/>
            </w14:solidFill>
          </w14:textFill>
        </w:rPr>
        <w:t>或自然人的身份证明复印件</w:t>
      </w:r>
      <w:bookmarkEnd w:id="294"/>
      <w:bookmarkEnd w:id="295"/>
      <w:bookmarkEnd w:id="296"/>
    </w:p>
    <w:p w14:paraId="2A14EA37">
      <w:pPr>
        <w:spacing w:line="360" w:lineRule="auto"/>
        <w:ind w:firstLine="373"/>
        <w:rPr>
          <w:rFonts w:hint="eastAsia" w:ascii="宋体" w:hAnsi="宋体" w:cs="宋体"/>
          <w:b/>
          <w:bCs/>
          <w:color w:val="000000" w:themeColor="text1"/>
          <w:highlight w:val="none"/>
          <w14:textFill>
            <w14:solidFill>
              <w14:schemeClr w14:val="tx1"/>
            </w14:solidFill>
          </w14:textFill>
        </w:rPr>
      </w:pPr>
      <w:bookmarkStart w:id="297" w:name="_Hlk33717720"/>
      <w:r>
        <w:rPr>
          <w:rFonts w:hint="eastAsia" w:ascii="宋体" w:hAnsi="宋体" w:cs="宋体"/>
          <w:b/>
          <w:bCs/>
          <w:color w:val="000000" w:themeColor="text1"/>
          <w:highlight w:val="none"/>
          <w14:textFill>
            <w14:solidFill>
              <w14:schemeClr w14:val="tx1"/>
            </w14:solidFill>
          </w14:textFill>
        </w:rPr>
        <w:t>具有独立承担民事责任的能力，投标人提供在有效经营期内的营业执照、法人授权书（法人直接参与投标的可不提供）、法人身份证复印件、投标人代表身份证复印件；</w:t>
      </w:r>
      <w:bookmarkEnd w:id="297"/>
    </w:p>
    <w:p w14:paraId="09B658A8">
      <w:pPr>
        <w:ind w:firstLine="372"/>
        <w:rPr>
          <w:rFonts w:hint="eastAsia" w:ascii="宋体" w:hAnsi="宋体" w:cs="宋体"/>
          <w:color w:val="000000" w:themeColor="text1"/>
          <w:highlight w:val="none"/>
          <w14:textFill>
            <w14:solidFill>
              <w14:schemeClr w14:val="tx1"/>
            </w14:solidFill>
          </w14:textFill>
        </w:rPr>
      </w:pPr>
    </w:p>
    <w:p w14:paraId="3B697BA5">
      <w:pPr>
        <w:ind w:firstLine="372"/>
        <w:rPr>
          <w:rFonts w:hint="eastAsia" w:ascii="宋体" w:hAnsi="宋体" w:cs="宋体"/>
          <w:color w:val="000000" w:themeColor="text1"/>
          <w:highlight w:val="none"/>
          <w14:textFill>
            <w14:solidFill>
              <w14:schemeClr w14:val="tx1"/>
            </w14:solidFill>
          </w14:textFill>
        </w:rPr>
      </w:pPr>
      <w:bookmarkStart w:id="298" w:name="_Toc102117320"/>
      <w:bookmarkStart w:id="299" w:name="_Toc103848589"/>
      <w:r>
        <w:rPr>
          <w:rFonts w:hint="eastAsia" w:ascii="宋体" w:hAnsi="宋体" w:cs="宋体"/>
          <w:color w:val="000000" w:themeColor="text1"/>
          <w:highlight w:val="none"/>
          <w14:textFill>
            <w14:solidFill>
              <w14:schemeClr w14:val="tx1"/>
            </w14:solidFill>
          </w14:textFill>
        </w:rPr>
        <w:br w:type="page" w:clear="all"/>
      </w:r>
      <w:bookmarkStart w:id="300" w:name="_Toc107246284"/>
      <w:bookmarkStart w:id="301" w:name="_Toc104560904"/>
    </w:p>
    <w:p w14:paraId="7D4A6078">
      <w:pPr>
        <w:pStyle w:val="40"/>
        <w:spacing w:line="240" w:lineRule="atLeast"/>
        <w:ind w:firstLine="426"/>
        <w:rPr>
          <w:rFonts w:hint="eastAsia" w:ascii="宋体" w:hAnsi="宋体" w:cs="宋体"/>
          <w:b w:val="0"/>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（7-1-2）工商变更登记文件（如需）</w:t>
      </w:r>
      <w:bookmarkEnd w:id="298"/>
      <w:bookmarkEnd w:id="299"/>
      <w:bookmarkEnd w:id="300"/>
      <w:bookmarkEnd w:id="301"/>
    </w:p>
    <w:p w14:paraId="6FB7002D">
      <w:pPr>
        <w:spacing w:line="360" w:lineRule="auto"/>
        <w:ind w:firstLine="373"/>
        <w:rPr>
          <w:rFonts w:hint="eastAsia" w:ascii="宋体" w:hAnsi="宋体" w:cs="宋体"/>
          <w:b/>
          <w:bCs/>
          <w:color w:val="000000" w:themeColor="text1"/>
          <w:highlight w:val="none"/>
          <w14:textFill>
            <w14:solidFill>
              <w14:schemeClr w14:val="tx1"/>
            </w14:solidFill>
          </w14:textFill>
        </w:rPr>
      </w:pPr>
    </w:p>
    <w:p w14:paraId="3DBC2E55">
      <w:pPr>
        <w:spacing w:line="360" w:lineRule="auto"/>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注：如</w:t>
      </w:r>
      <w:r>
        <w:rPr>
          <w:rFonts w:hint="eastAsia" w:ascii="宋体" w:hAnsi="宋体" w:cs="宋体"/>
          <w:b/>
          <w:bCs/>
          <w:color w:val="000000" w:themeColor="text1"/>
          <w:sz w:val="22"/>
          <w:szCs w:val="22"/>
          <w:highlight w:val="none"/>
          <w14:textFill>
            <w14:solidFill>
              <w14:schemeClr w14:val="tx1"/>
            </w14:solidFill>
          </w14:textFill>
        </w:rPr>
        <w:t>投标人</w:t>
      </w:r>
      <w:r>
        <w:rPr>
          <w:rFonts w:hint="eastAsia" w:ascii="宋体" w:hAnsi="宋体" w:cs="宋体"/>
          <w:b/>
          <w:bCs/>
          <w:color w:val="000000" w:themeColor="text1"/>
          <w:highlight w:val="none"/>
          <w14:textFill>
            <w14:solidFill>
              <w14:schemeClr w14:val="tx1"/>
            </w14:solidFill>
          </w14:textFill>
        </w:rPr>
        <w:t>在招标文件资质、业绩等要求的时间期限内发生了单位名称等变更的，提供相关工商变更登记文件的复印件。如无，则可不提供。</w:t>
      </w:r>
    </w:p>
    <w:p w14:paraId="54A98DB5">
      <w:pPr>
        <w:spacing w:line="360" w:lineRule="auto"/>
        <w:ind w:firstLine="372"/>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02" w:name="_Toc104560905"/>
      <w:bookmarkStart w:id="303" w:name="_Toc102117321"/>
      <w:bookmarkStart w:id="304" w:name="_Toc103848590"/>
      <w:bookmarkStart w:id="305" w:name="_Toc107246285"/>
      <w:r>
        <w:rPr>
          <w:rFonts w:hint="eastAsia" w:ascii="宋体" w:hAnsi="宋体" w:cs="宋体"/>
          <w:b/>
          <w:color w:val="000000" w:themeColor="text1"/>
          <w:highlight w:val="none"/>
          <w14:textFill>
            <w14:solidFill>
              <w14:schemeClr w14:val="tx1"/>
            </w14:solidFill>
          </w14:textFill>
        </w:rPr>
        <w:t>说明：根据《关于在政府采购活动中推行信用承诺制的通知》（宁财购通〔2021〕5 号）的规定，适用信用承诺的供应商，对于下列7-2至7-6款证明材料可使用《南京市政府采购供应商信用记录表暨信用承诺书》替代。</w:t>
      </w:r>
    </w:p>
    <w:p w14:paraId="7A784CF7">
      <w:pPr>
        <w:pStyle w:val="40"/>
        <w:spacing w:line="240" w:lineRule="atLeast"/>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（7-2）</w:t>
      </w:r>
      <w:bookmarkEnd w:id="302"/>
      <w:bookmarkEnd w:id="303"/>
      <w:bookmarkEnd w:id="304"/>
      <w:bookmarkEnd w:id="305"/>
      <w:r>
        <w:rPr>
          <w:rFonts w:hint="eastAsia" w:ascii="宋体" w:hAnsi="宋体" w:cs="宋体"/>
          <w:bCs w:val="0"/>
          <w:color w:val="000000" w:themeColor="text1"/>
          <w:sz w:val="24"/>
          <w:szCs w:val="24"/>
          <w:highlight w:val="none"/>
          <w14:textFill>
            <w14:solidFill>
              <w14:schemeClr w14:val="tx1"/>
            </w14:solidFill>
          </w14:textFill>
        </w:rPr>
        <w:t>南京市政府采购供应商信用记录表暨信用承诺书</w:t>
      </w:r>
    </w:p>
    <w:p w14:paraId="16DE2046">
      <w:pPr>
        <w:rPr>
          <w:color w:val="000000" w:themeColor="text1"/>
          <w:highlight w:val="none"/>
          <w14:textFill>
            <w14:solidFill>
              <w14:schemeClr w14:val="tx1"/>
            </w14:solidFill>
          </w14:textFill>
        </w:rPr>
      </w:pPr>
    </w:p>
    <w:p w14:paraId="5745967F">
      <w:pPr>
        <w:snapToGrid w:val="0"/>
        <w:jc w:val="center"/>
        <w:rPr>
          <w:rFonts w:hint="eastAsia" w:ascii="方正小标宋简体" w:hAnsi="方正小标宋简体" w:eastAsia="方正小标宋简体" w:cs="方正小标宋简体"/>
          <w:sz w:val="44"/>
          <w:szCs w:val="52"/>
          <w:highlight w:val="none"/>
        </w:rPr>
      </w:pPr>
      <w:bookmarkStart w:id="306" w:name="_Toc102117322"/>
      <w:bookmarkStart w:id="307" w:name="_Toc104560908"/>
      <w:bookmarkStart w:id="308" w:name="_Toc103848593"/>
      <w:r>
        <w:rPr>
          <w:rFonts w:hint="eastAsia" w:ascii="方正小标宋简体" w:hAnsi="方正小标宋简体" w:eastAsia="方正小标宋简体" w:cs="方正小标宋简体"/>
          <w:sz w:val="44"/>
          <w:szCs w:val="52"/>
          <w:highlight w:val="none"/>
        </w:rPr>
        <w:t>南京市政府采购供应商信用承诺书</w:t>
      </w:r>
    </w:p>
    <w:p w14:paraId="3654A928">
      <w:pPr>
        <w:jc w:val="right"/>
        <w:rPr>
          <w:rFonts w:hint="eastAsia" w:ascii="方正小标宋简体" w:hAnsi="方正小标宋简体" w:eastAsia="方正小标宋简体" w:cs="方正小标宋简体"/>
          <w:sz w:val="22"/>
          <w:szCs w:val="28"/>
          <w:highlight w:val="none"/>
        </w:rPr>
      </w:pPr>
      <w:r>
        <w:rPr>
          <w:rFonts w:hint="eastAsia" w:ascii="方正小标宋简体" w:hAnsi="方正小标宋简体" w:eastAsia="方正小标宋简体" w:cs="方正小标宋简体"/>
          <w:sz w:val="22"/>
          <w:szCs w:val="28"/>
          <w:highlight w:val="none"/>
        </w:rPr>
        <w:t>XXXX年XX月XX日</w:t>
      </w:r>
    </w:p>
    <w:p w14:paraId="163B356A">
      <w:pPr>
        <w:jc w:val="center"/>
        <w:rPr>
          <w:highlight w:val="none"/>
        </w:rPr>
      </w:pPr>
    </w:p>
    <w:tbl>
      <w:tblPr>
        <w:tblStyle w:val="44"/>
        <w:tblpPr w:leftFromText="180" w:rightFromText="180" w:vertAnchor="text" w:tblpXSpec="center" w:tblpY="1"/>
        <w:tblOverlap w:val="never"/>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4BEB5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53F705F2">
            <w:pPr>
              <w:tabs>
                <w:tab w:val="left" w:pos="2520"/>
              </w:tabs>
              <w:ind w:left="-420" w:leftChars="-200"/>
              <w:jc w:val="center"/>
              <w:rPr>
                <w:sz w:val="24"/>
                <w:szCs w:val="32"/>
                <w:highlight w:val="none"/>
              </w:rPr>
            </w:pPr>
            <w:r>
              <w:rPr>
                <w:rFonts w:hint="eastAsia"/>
                <w:sz w:val="24"/>
                <w:szCs w:val="32"/>
                <w:highlight w:val="none"/>
              </w:rPr>
              <w:t xml:space="preserve">   单位名称</w:t>
            </w:r>
          </w:p>
        </w:tc>
        <w:tc>
          <w:tcPr>
            <w:tcW w:w="2284" w:type="dxa"/>
            <w:vAlign w:val="center"/>
          </w:tcPr>
          <w:p w14:paraId="24B88F88">
            <w:pPr>
              <w:jc w:val="center"/>
              <w:rPr>
                <w:sz w:val="24"/>
                <w:szCs w:val="32"/>
                <w:highlight w:val="none"/>
              </w:rPr>
            </w:pPr>
          </w:p>
        </w:tc>
        <w:tc>
          <w:tcPr>
            <w:tcW w:w="1833" w:type="dxa"/>
            <w:vAlign w:val="center"/>
          </w:tcPr>
          <w:p w14:paraId="7F20584A">
            <w:pPr>
              <w:jc w:val="center"/>
              <w:rPr>
                <w:sz w:val="24"/>
                <w:szCs w:val="32"/>
                <w:highlight w:val="none"/>
              </w:rPr>
            </w:pPr>
            <w:r>
              <w:rPr>
                <w:rFonts w:hint="eastAsia"/>
                <w:sz w:val="24"/>
                <w:szCs w:val="32"/>
                <w:highlight w:val="none"/>
              </w:rPr>
              <w:t>统一社会信用代码</w:t>
            </w:r>
          </w:p>
        </w:tc>
        <w:tc>
          <w:tcPr>
            <w:tcW w:w="3331" w:type="dxa"/>
            <w:vAlign w:val="center"/>
          </w:tcPr>
          <w:p w14:paraId="3CDC154D">
            <w:pPr>
              <w:tabs>
                <w:tab w:val="left" w:pos="2320"/>
              </w:tabs>
              <w:ind w:right="-678" w:rightChars="-323"/>
              <w:jc w:val="center"/>
              <w:rPr>
                <w:highlight w:val="none"/>
              </w:rPr>
            </w:pPr>
          </w:p>
        </w:tc>
      </w:tr>
      <w:tr w14:paraId="2F86A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53655613">
            <w:pPr>
              <w:jc w:val="center"/>
              <w:rPr>
                <w:sz w:val="24"/>
                <w:szCs w:val="32"/>
                <w:highlight w:val="none"/>
              </w:rPr>
            </w:pPr>
            <w:r>
              <w:rPr>
                <w:rFonts w:hint="eastAsia"/>
                <w:sz w:val="24"/>
                <w:szCs w:val="32"/>
                <w:highlight w:val="none"/>
              </w:rPr>
              <w:t>法定代表人</w:t>
            </w:r>
          </w:p>
        </w:tc>
        <w:tc>
          <w:tcPr>
            <w:tcW w:w="2284" w:type="dxa"/>
            <w:vAlign w:val="center"/>
          </w:tcPr>
          <w:p w14:paraId="0C0A56E5">
            <w:pPr>
              <w:jc w:val="center"/>
              <w:rPr>
                <w:sz w:val="24"/>
                <w:szCs w:val="32"/>
                <w:highlight w:val="none"/>
              </w:rPr>
            </w:pPr>
          </w:p>
        </w:tc>
        <w:tc>
          <w:tcPr>
            <w:tcW w:w="1833" w:type="dxa"/>
            <w:vAlign w:val="center"/>
          </w:tcPr>
          <w:p w14:paraId="3A7CC148">
            <w:pPr>
              <w:jc w:val="center"/>
              <w:rPr>
                <w:sz w:val="24"/>
                <w:szCs w:val="32"/>
                <w:highlight w:val="none"/>
              </w:rPr>
            </w:pPr>
            <w:r>
              <w:rPr>
                <w:rFonts w:hint="eastAsia"/>
                <w:sz w:val="24"/>
                <w:szCs w:val="32"/>
                <w:highlight w:val="none"/>
              </w:rPr>
              <w:t>联系人</w:t>
            </w:r>
          </w:p>
        </w:tc>
        <w:tc>
          <w:tcPr>
            <w:tcW w:w="3331" w:type="dxa"/>
            <w:vAlign w:val="center"/>
          </w:tcPr>
          <w:p w14:paraId="468020BE">
            <w:pPr>
              <w:jc w:val="center"/>
              <w:rPr>
                <w:highlight w:val="none"/>
              </w:rPr>
            </w:pPr>
          </w:p>
        </w:tc>
      </w:tr>
      <w:tr w14:paraId="620D1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71B2FBC9">
            <w:pPr>
              <w:jc w:val="center"/>
              <w:rPr>
                <w:sz w:val="24"/>
                <w:szCs w:val="32"/>
                <w:highlight w:val="none"/>
              </w:rPr>
            </w:pPr>
            <w:r>
              <w:rPr>
                <w:rFonts w:hint="eastAsia"/>
                <w:sz w:val="24"/>
                <w:szCs w:val="32"/>
                <w:highlight w:val="none"/>
              </w:rPr>
              <w:t>联系地址</w:t>
            </w:r>
          </w:p>
        </w:tc>
        <w:tc>
          <w:tcPr>
            <w:tcW w:w="2284" w:type="dxa"/>
            <w:vAlign w:val="center"/>
          </w:tcPr>
          <w:p w14:paraId="0CE3BC02">
            <w:pPr>
              <w:jc w:val="center"/>
              <w:rPr>
                <w:sz w:val="24"/>
                <w:szCs w:val="32"/>
                <w:highlight w:val="none"/>
              </w:rPr>
            </w:pPr>
          </w:p>
        </w:tc>
        <w:tc>
          <w:tcPr>
            <w:tcW w:w="1833" w:type="dxa"/>
            <w:vAlign w:val="center"/>
          </w:tcPr>
          <w:p w14:paraId="2D931342">
            <w:pPr>
              <w:jc w:val="center"/>
              <w:rPr>
                <w:sz w:val="24"/>
                <w:szCs w:val="32"/>
                <w:highlight w:val="none"/>
              </w:rPr>
            </w:pPr>
            <w:r>
              <w:rPr>
                <w:rFonts w:hint="eastAsia"/>
                <w:sz w:val="24"/>
                <w:szCs w:val="32"/>
                <w:highlight w:val="none"/>
              </w:rPr>
              <w:t>联系电话</w:t>
            </w:r>
          </w:p>
        </w:tc>
        <w:tc>
          <w:tcPr>
            <w:tcW w:w="3331" w:type="dxa"/>
            <w:vAlign w:val="center"/>
          </w:tcPr>
          <w:p w14:paraId="3B534EE0">
            <w:pPr>
              <w:jc w:val="center"/>
              <w:rPr>
                <w:highlight w:val="none"/>
              </w:rPr>
            </w:pPr>
          </w:p>
        </w:tc>
      </w:tr>
      <w:tr w14:paraId="3E3E4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2036D8D2">
            <w:pPr>
              <w:jc w:val="center"/>
              <w:rPr>
                <w:sz w:val="24"/>
                <w:szCs w:val="32"/>
                <w:highlight w:val="none"/>
              </w:rPr>
            </w:pPr>
            <w:r>
              <w:rPr>
                <w:rFonts w:hint="eastAsia"/>
                <w:sz w:val="24"/>
                <w:szCs w:val="32"/>
                <w:highlight w:val="none"/>
              </w:rPr>
              <w:t>信用承诺</w:t>
            </w:r>
          </w:p>
        </w:tc>
        <w:tc>
          <w:tcPr>
            <w:tcW w:w="7448" w:type="dxa"/>
            <w:gridSpan w:val="3"/>
            <w:vAlign w:val="center"/>
          </w:tcPr>
          <w:p w14:paraId="7FF2472B">
            <w:pPr>
              <w:ind w:firstLine="420" w:firstLineChars="200"/>
              <w:rPr>
                <w:highlight w:val="none"/>
              </w:rPr>
            </w:pPr>
            <w:r>
              <w:rPr>
                <w:rFonts w:hint="eastAsia"/>
                <w:highlight w:val="none"/>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1E8DAAF7">
            <w:pPr>
              <w:ind w:firstLine="420" w:firstLineChars="200"/>
              <w:rPr>
                <w:highlight w:val="none"/>
              </w:rPr>
            </w:pPr>
          </w:p>
          <w:p w14:paraId="6BEAC756">
            <w:pPr>
              <w:ind w:firstLine="420" w:firstLineChars="200"/>
              <w:jc w:val="center"/>
              <w:rPr>
                <w:highlight w:val="none"/>
              </w:rPr>
            </w:pPr>
            <w:r>
              <w:rPr>
                <w:rFonts w:hint="eastAsia"/>
                <w:highlight w:val="none"/>
              </w:rPr>
              <w:t>供应商名称（盖章）：</w:t>
            </w:r>
          </w:p>
          <w:p w14:paraId="1BCB923D">
            <w:pPr>
              <w:ind w:firstLine="420" w:firstLineChars="200"/>
              <w:jc w:val="center"/>
              <w:rPr>
                <w:highlight w:val="none"/>
              </w:rPr>
            </w:pPr>
          </w:p>
          <w:p w14:paraId="0614079F">
            <w:pPr>
              <w:ind w:firstLine="420" w:firstLineChars="200"/>
              <w:jc w:val="center"/>
              <w:rPr>
                <w:highlight w:val="none"/>
              </w:rPr>
            </w:pPr>
            <w:r>
              <w:rPr>
                <w:rFonts w:hint="eastAsia"/>
                <w:highlight w:val="none"/>
              </w:rPr>
              <w:t>法定代表人（签字）：</w:t>
            </w:r>
          </w:p>
          <w:p w14:paraId="116C8654">
            <w:pPr>
              <w:ind w:firstLine="420" w:firstLineChars="200"/>
              <w:jc w:val="center"/>
              <w:rPr>
                <w:highlight w:val="none"/>
              </w:rPr>
            </w:pPr>
          </w:p>
          <w:p w14:paraId="63677342">
            <w:pPr>
              <w:ind w:firstLine="420" w:firstLineChars="200"/>
              <w:jc w:val="center"/>
              <w:rPr>
                <w:highlight w:val="none"/>
              </w:rPr>
            </w:pPr>
            <w:r>
              <w:rPr>
                <w:rFonts w:hint="eastAsia"/>
                <w:highlight w:val="none"/>
              </w:rPr>
              <w:t>XXXX年XX月XX日</w:t>
            </w:r>
          </w:p>
        </w:tc>
      </w:tr>
    </w:tbl>
    <w:p w14:paraId="030EC270">
      <w:pPr>
        <w:spacing w:line="360" w:lineRule="auto"/>
        <w:rPr>
          <w:rFonts w:hint="eastAsia" w:ascii="宋体" w:hAnsi="宋体" w:cs="宋体"/>
          <w:color w:val="000000" w:themeColor="text1"/>
          <w:szCs w:val="21"/>
          <w:highlight w:val="none"/>
          <w14:textFill>
            <w14:solidFill>
              <w14:schemeClr w14:val="tx1"/>
            </w14:solidFill>
          </w14:textFill>
        </w:rPr>
      </w:pPr>
    </w:p>
    <w:p w14:paraId="1D226ADD">
      <w:pPr>
        <w:spacing w:line="360" w:lineRule="auto"/>
        <w:ind w:firstLine="37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Start w:id="309" w:name="_Toc107246286"/>
    </w:p>
    <w:p w14:paraId="76CF412B">
      <w:pPr>
        <w:pStyle w:val="40"/>
        <w:spacing w:line="240" w:lineRule="atLeast"/>
        <w:ind w:firstLine="426"/>
        <w:jc w:val="lef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(7-3)具有良好的商业信誉和健全的财务会计制度，提供上年度财务报表复印件（如为新成立的公司，应提供公司成立之后的财务报表）或投标文件递交截止时间前3个月内，由其基本开户银行出具的资信证明；</w:t>
      </w:r>
    </w:p>
    <w:p w14:paraId="729B216E">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p>
    <w:p w14:paraId="3011BFFF">
      <w:pPr>
        <w:rPr>
          <w:color w:val="000000" w:themeColor="text1"/>
          <w:highlight w:val="none"/>
          <w14:textFill>
            <w14:solidFill>
              <w14:schemeClr w14:val="tx1"/>
            </w14:solidFill>
          </w14:textFill>
        </w:rPr>
      </w:pPr>
    </w:p>
    <w:p w14:paraId="526C8DD5">
      <w:pPr>
        <w:pStyle w:val="40"/>
        <w:spacing w:before="0" w:after="0"/>
        <w:ind w:firstLine="374"/>
        <w:jc w:val="lef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（7-4）具</w:t>
      </w:r>
      <w:bookmarkEnd w:id="306"/>
      <w:bookmarkEnd w:id="307"/>
      <w:bookmarkEnd w:id="308"/>
      <w:bookmarkEnd w:id="309"/>
      <w:r>
        <w:rPr>
          <w:rFonts w:hint="eastAsia" w:ascii="宋体" w:hAnsi="宋体" w:cs="宋体"/>
          <w:bCs w:val="0"/>
          <w:color w:val="000000" w:themeColor="text1"/>
          <w:sz w:val="24"/>
          <w:szCs w:val="24"/>
          <w:highlight w:val="none"/>
          <w14:textFill>
            <w14:solidFill>
              <w14:schemeClr w14:val="tx1"/>
            </w14:solidFill>
          </w14:textFill>
        </w:rPr>
        <w:t>有履行合同所必需的设备和专业技术能力，投标人提供具备履行合同所必需的设备和专业技术能力的书面声明（由供应商根据项目需求提供材料）；</w:t>
      </w:r>
    </w:p>
    <w:p w14:paraId="4ACEA9B3">
      <w:pPr>
        <w:ind w:firstLine="372"/>
        <w:rPr>
          <w:rFonts w:hint="eastAsia" w:ascii="宋体" w:hAnsi="宋体" w:cs="宋体"/>
          <w:color w:val="000000" w:themeColor="text1"/>
          <w:highlight w:val="none"/>
          <w14:textFill>
            <w14:solidFill>
              <w14:schemeClr w14:val="tx1"/>
            </w14:solidFill>
          </w14:textFill>
        </w:rPr>
      </w:pPr>
    </w:p>
    <w:p w14:paraId="79882B55">
      <w:pPr>
        <w:ind w:firstLine="372"/>
        <w:rPr>
          <w:rFonts w:hint="eastAsia" w:ascii="宋体" w:hAnsi="宋体" w:cs="宋体"/>
          <w:color w:val="000000" w:themeColor="text1"/>
          <w:highlight w:val="none"/>
          <w14:textFill>
            <w14:solidFill>
              <w14:schemeClr w14:val="tx1"/>
            </w14:solidFill>
          </w14:textFill>
        </w:rPr>
      </w:pPr>
    </w:p>
    <w:p w14:paraId="251EDAC5">
      <w:pPr>
        <w:spacing w:before="120" w:after="120" w:line="360" w:lineRule="auto"/>
        <w:ind w:firstLine="782"/>
        <w:jc w:val="center"/>
        <w:rPr>
          <w:rFonts w:hint="eastAsia" w:ascii="宋体" w:hAnsi="宋体" w:cs="宋体"/>
          <w:b/>
          <w:color w:val="000000" w:themeColor="text1"/>
          <w:sz w:val="44"/>
          <w:szCs w:val="44"/>
          <w:highlight w:val="none"/>
          <w14:textFill>
            <w14:solidFill>
              <w14:schemeClr w14:val="tx1"/>
            </w14:solidFill>
          </w14:textFill>
        </w:rPr>
      </w:pPr>
    </w:p>
    <w:p w14:paraId="60AFD26A">
      <w:pPr>
        <w:spacing w:before="120" w:after="120" w:line="360" w:lineRule="auto"/>
        <w:ind w:firstLine="782"/>
        <w:jc w:val="center"/>
        <w:rPr>
          <w:rFonts w:hint="eastAsia" w:ascii="宋体" w:hAnsi="宋体" w:cs="宋体"/>
          <w:b/>
          <w:color w:val="000000" w:themeColor="text1"/>
          <w:sz w:val="44"/>
          <w:szCs w:val="44"/>
          <w:highlight w:val="none"/>
          <w14:textFill>
            <w14:solidFill>
              <w14:schemeClr w14:val="tx1"/>
            </w14:solidFill>
          </w14:textFill>
        </w:rPr>
      </w:pPr>
    </w:p>
    <w:p w14:paraId="3E4A61B0">
      <w:pPr>
        <w:spacing w:before="120" w:after="120" w:line="360" w:lineRule="auto"/>
        <w:ind w:firstLine="779"/>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承 诺 函</w:t>
      </w:r>
    </w:p>
    <w:p w14:paraId="5FF9D103">
      <w:pPr>
        <w:spacing w:before="120" w:after="120" w:line="360" w:lineRule="auto"/>
        <w:ind w:firstLine="389"/>
        <w:jc w:val="left"/>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我单位郑重承诺：我单位具备履行本项采购合同所必需的设备和专业技术能力。</w:t>
      </w:r>
    </w:p>
    <w:p w14:paraId="45678FBD">
      <w:pPr>
        <w:spacing w:before="120" w:after="120" w:line="360" w:lineRule="auto"/>
        <w:ind w:firstLine="372"/>
        <w:jc w:val="left"/>
        <w:rPr>
          <w:rFonts w:hint="eastAsia" w:ascii="宋体" w:hAnsi="宋体" w:cs="宋体"/>
          <w:color w:val="000000" w:themeColor="text1"/>
          <w:highlight w:val="none"/>
          <w14:textFill>
            <w14:solidFill>
              <w14:schemeClr w14:val="tx1"/>
            </w14:solidFill>
          </w14:textFill>
        </w:rPr>
      </w:pPr>
    </w:p>
    <w:p w14:paraId="74D5D3FD">
      <w:pPr>
        <w:spacing w:before="120" w:after="120" w:line="360" w:lineRule="auto"/>
        <w:ind w:firstLine="372"/>
        <w:jc w:val="left"/>
        <w:rPr>
          <w:rFonts w:hint="eastAsia" w:ascii="宋体" w:hAnsi="宋体" w:cs="宋体"/>
          <w:color w:val="000000" w:themeColor="text1"/>
          <w:highlight w:val="none"/>
          <w14:textFill>
            <w14:solidFill>
              <w14:schemeClr w14:val="tx1"/>
            </w14:solidFill>
          </w14:textFill>
        </w:rPr>
      </w:pPr>
    </w:p>
    <w:p w14:paraId="245849C5">
      <w:pPr>
        <w:pStyle w:val="19"/>
        <w:ind w:left="1260" w:firstLine="426"/>
        <w:rPr>
          <w:rFonts w:hint="eastAsia" w:hAnsi="宋体" w:cs="宋体"/>
          <w:color w:val="000000" w:themeColor="text1"/>
          <w:highlight w:val="none"/>
          <w14:textFill>
            <w14:solidFill>
              <w14:schemeClr w14:val="tx1"/>
            </w14:solidFill>
          </w14:textFill>
        </w:rPr>
      </w:pPr>
    </w:p>
    <w:p w14:paraId="30750561">
      <w:pPr>
        <w:ind w:firstLine="372"/>
        <w:rPr>
          <w:rFonts w:hint="eastAsia" w:ascii="宋体" w:hAnsi="宋体" w:cs="宋体"/>
          <w:color w:val="000000" w:themeColor="text1"/>
          <w:highlight w:val="none"/>
          <w14:textFill>
            <w14:solidFill>
              <w14:schemeClr w14:val="tx1"/>
            </w14:solidFill>
          </w14:textFill>
        </w:rPr>
      </w:pPr>
    </w:p>
    <w:p w14:paraId="392BC643">
      <w:pPr>
        <w:pStyle w:val="19"/>
        <w:ind w:left="1260" w:firstLine="426"/>
        <w:rPr>
          <w:rFonts w:hint="eastAsia" w:hAnsi="宋体" w:cs="宋体"/>
          <w:color w:val="000000" w:themeColor="text1"/>
          <w:highlight w:val="none"/>
          <w14:textFill>
            <w14:solidFill>
              <w14:schemeClr w14:val="tx1"/>
            </w14:solidFill>
          </w14:textFill>
        </w:rPr>
      </w:pPr>
    </w:p>
    <w:p w14:paraId="089A1EBF">
      <w:pPr>
        <w:ind w:firstLine="372"/>
        <w:rPr>
          <w:rFonts w:hint="eastAsia" w:ascii="宋体" w:hAnsi="宋体" w:cs="宋体"/>
          <w:color w:val="000000" w:themeColor="text1"/>
          <w:highlight w:val="none"/>
          <w14:textFill>
            <w14:solidFill>
              <w14:schemeClr w14:val="tx1"/>
            </w14:solidFill>
          </w14:textFill>
        </w:rPr>
      </w:pPr>
    </w:p>
    <w:p w14:paraId="0F33D000">
      <w:pPr>
        <w:spacing w:line="276" w:lineRule="auto"/>
        <w:ind w:firstLine="372"/>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投标人名称（公章）：______________________</w:t>
      </w:r>
    </w:p>
    <w:p w14:paraId="1C59007A">
      <w:pPr>
        <w:spacing w:line="276" w:lineRule="auto"/>
        <w:ind w:firstLine="372"/>
        <w:rPr>
          <w:rFonts w:hint="eastAsia" w:ascii="宋体" w:hAnsi="宋体" w:cs="宋体"/>
          <w:color w:val="000000" w:themeColor="text1"/>
          <w:szCs w:val="21"/>
          <w:highlight w:val="none"/>
          <w:u w:val="single"/>
          <w14:textFill>
            <w14:solidFill>
              <w14:schemeClr w14:val="tx1"/>
            </w14:solidFill>
          </w14:textFill>
        </w:rPr>
      </w:pPr>
    </w:p>
    <w:p w14:paraId="6F22ED43">
      <w:pPr>
        <w:spacing w:line="276" w:lineRule="auto"/>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日</w:t>
      </w:r>
    </w:p>
    <w:p w14:paraId="5775EA37">
      <w:pPr>
        <w:spacing w:line="360" w:lineRule="auto"/>
        <w:ind w:firstLine="373"/>
        <w:rPr>
          <w:rFonts w:hint="eastAsia" w:ascii="宋体" w:hAnsi="宋体" w:cs="宋体"/>
          <w:b/>
          <w:bCs/>
          <w:color w:val="000000" w:themeColor="text1"/>
          <w:highlight w:val="none"/>
          <w14:textFill>
            <w14:solidFill>
              <w14:schemeClr w14:val="tx1"/>
            </w14:solidFill>
          </w14:textFill>
        </w:rPr>
      </w:pPr>
    </w:p>
    <w:p w14:paraId="7C66BF3D">
      <w:pPr>
        <w:pStyle w:val="40"/>
        <w:spacing w:line="240" w:lineRule="atLeast"/>
        <w:ind w:firstLine="426"/>
        <w:rPr>
          <w:rFonts w:hint="eastAsia" w:ascii="宋体" w:hAnsi="宋体" w:cs="宋体"/>
          <w:b w:val="0"/>
          <w:color w:val="000000" w:themeColor="text1"/>
          <w:highlight w:val="none"/>
          <w14:textFill>
            <w14:solidFill>
              <w14:schemeClr w14:val="tx1"/>
            </w14:solidFill>
          </w14:textFill>
        </w:rPr>
      </w:pPr>
      <w:bookmarkStart w:id="310" w:name="_Toc103848591"/>
      <w:bookmarkStart w:id="311" w:name="_Toc102117323"/>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12" w:name="_Toc107246287"/>
      <w:bookmarkStart w:id="313" w:name="_Toc104560906"/>
      <w:r>
        <w:rPr>
          <w:rFonts w:hint="eastAsia" w:ascii="宋体" w:hAnsi="宋体" w:cs="宋体"/>
          <w:bCs w:val="0"/>
          <w:color w:val="000000" w:themeColor="text1"/>
          <w:sz w:val="24"/>
          <w:szCs w:val="24"/>
          <w:highlight w:val="none"/>
          <w14:textFill>
            <w14:solidFill>
              <w14:schemeClr w14:val="tx1"/>
            </w14:solidFill>
          </w14:textFill>
        </w:rPr>
        <w:t>（7-5）有依法缴纳税收和社会保障资金的良好记录的相关材料</w:t>
      </w:r>
      <w:bookmarkEnd w:id="310"/>
      <w:bookmarkEnd w:id="311"/>
      <w:bookmarkEnd w:id="312"/>
      <w:bookmarkEnd w:id="313"/>
    </w:p>
    <w:p w14:paraId="05994254">
      <w:pPr>
        <w:spacing w:line="360" w:lineRule="auto"/>
        <w:ind w:firstLine="373"/>
        <w:jc w:val="left"/>
        <w:rPr>
          <w:rFonts w:hint="eastAsia" w:ascii="宋体" w:hAnsi="宋体" w:cs="宋体"/>
          <w:b/>
          <w:bCs/>
          <w:color w:val="000000" w:themeColor="text1"/>
          <w:highlight w:val="none"/>
          <w14:textFill>
            <w14:solidFill>
              <w14:schemeClr w14:val="tx1"/>
            </w14:solidFill>
          </w14:textFill>
        </w:rPr>
      </w:pPr>
    </w:p>
    <w:p w14:paraId="17591C96">
      <w:pPr>
        <w:spacing w:line="360" w:lineRule="auto"/>
        <w:ind w:firstLine="373"/>
        <w:jc w:val="lef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有依法缴纳税收和社会保障资金的良好记录，投标人提供递交投标文件截止时间前六个月内至少一个月依法缴纳税收及缴纳社会保障资金的证明材料。投标人依法享受缓缴、免缴的，提供证明材料。</w:t>
      </w:r>
    </w:p>
    <w:p w14:paraId="439958FF">
      <w:pPr>
        <w:spacing w:line="360" w:lineRule="auto"/>
        <w:ind w:firstLine="373"/>
        <w:jc w:val="left"/>
        <w:rPr>
          <w:rFonts w:hint="eastAsia"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p>
    <w:p w14:paraId="1A44A9FB">
      <w:pPr>
        <w:spacing w:line="360" w:lineRule="auto"/>
        <w:ind w:firstLine="373"/>
        <w:rPr>
          <w:rFonts w:hint="eastAsia" w:ascii="宋体" w:hAnsi="宋体" w:cs="宋体"/>
          <w:b/>
          <w:bCs/>
          <w:color w:val="000000" w:themeColor="text1"/>
          <w:highlight w:val="none"/>
          <w14:textFill>
            <w14:solidFill>
              <w14:schemeClr w14:val="tx1"/>
            </w14:solidFill>
          </w14:textFill>
        </w:rPr>
      </w:pPr>
    </w:p>
    <w:p w14:paraId="16F9E144">
      <w:pPr>
        <w:pStyle w:val="40"/>
        <w:spacing w:line="240" w:lineRule="atLeast"/>
        <w:ind w:firstLine="566"/>
        <w:jc w:val="left"/>
        <w:rPr>
          <w:rFonts w:hint="eastAsia" w:ascii="宋体" w:hAnsi="宋体" w:cs="宋体"/>
          <w:b w:val="0"/>
          <w:color w:val="000000" w:themeColor="text1"/>
          <w:sz w:val="24"/>
          <w:highlight w:val="none"/>
          <w14:textFill>
            <w14:solidFill>
              <w14:schemeClr w14:val="tx1"/>
            </w14:solidFill>
          </w14:textFill>
        </w:rPr>
      </w:pPr>
      <w:bookmarkStart w:id="314" w:name="_Toc102117325"/>
      <w:bookmarkStart w:id="315" w:name="_Toc107246289"/>
      <w:bookmarkStart w:id="316" w:name="_Toc103848594"/>
      <w:bookmarkStart w:id="317" w:name="_Toc104560909"/>
      <w:r>
        <w:rPr>
          <w:rFonts w:hint="eastAsia" w:ascii="宋体" w:hAnsi="宋体" w:cs="宋体"/>
          <w:bCs w:val="0"/>
          <w:color w:val="000000" w:themeColor="text1"/>
          <w:sz w:val="24"/>
          <w:szCs w:val="24"/>
          <w:highlight w:val="none"/>
          <w14:textFill>
            <w14:solidFill>
              <w14:schemeClr w14:val="tx1"/>
            </w14:solidFill>
          </w14:textFill>
        </w:rPr>
        <w:t>（7-6）</w:t>
      </w:r>
      <w:bookmarkEnd w:id="314"/>
      <w:bookmarkEnd w:id="315"/>
      <w:bookmarkEnd w:id="316"/>
      <w:bookmarkEnd w:id="317"/>
      <w:r>
        <w:rPr>
          <w:rFonts w:hint="eastAsia" w:ascii="宋体" w:hAnsi="宋体" w:cs="宋体"/>
          <w:bCs w:val="0"/>
          <w:color w:val="000000" w:themeColor="text1"/>
          <w:sz w:val="24"/>
          <w:szCs w:val="24"/>
          <w:highlight w:val="none"/>
          <w14:textFill>
            <w14:solidFill>
              <w14:schemeClr w14:val="tx1"/>
            </w14:solidFill>
          </w14:textFill>
        </w:rPr>
        <w:t>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p>
    <w:p w14:paraId="00BE28FC">
      <w:pPr>
        <w:spacing w:line="360" w:lineRule="auto"/>
        <w:ind w:firstLine="373"/>
        <w:rPr>
          <w:rFonts w:hint="eastAsia" w:ascii="宋体" w:hAnsi="宋体" w:cs="宋体"/>
          <w:b/>
          <w:bCs/>
          <w:color w:val="000000" w:themeColor="text1"/>
          <w:highlight w:val="none"/>
          <w14:textFill>
            <w14:solidFill>
              <w14:schemeClr w14:val="tx1"/>
            </w14:solidFill>
          </w14:textFill>
        </w:rPr>
      </w:pPr>
    </w:p>
    <w:p w14:paraId="048C6DBB">
      <w:pPr>
        <w:spacing w:line="360" w:lineRule="auto"/>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注：参加政府采购活动前3年内在经营活动中没有重大违法记录的书面声明（提供声明函原件）。</w:t>
      </w:r>
    </w:p>
    <w:p w14:paraId="408382EB">
      <w:pPr>
        <w:spacing w:line="360" w:lineRule="auto"/>
        <w:ind w:firstLine="569"/>
        <w:jc w:val="center"/>
        <w:rPr>
          <w:rFonts w:hint="eastAsia" w:ascii="宋体" w:hAnsi="宋体" w:cs="宋体"/>
          <w:b/>
          <w:color w:val="000000" w:themeColor="text1"/>
          <w:sz w:val="32"/>
          <w:szCs w:val="32"/>
          <w:highlight w:val="none"/>
          <w14:textFill>
            <w14:solidFill>
              <w14:schemeClr w14:val="tx1"/>
            </w14:solidFill>
          </w14:textFill>
        </w:rPr>
      </w:pPr>
    </w:p>
    <w:p w14:paraId="7E51A40F">
      <w:pPr>
        <w:spacing w:line="360" w:lineRule="auto"/>
        <w:ind w:firstLine="569"/>
        <w:jc w:val="center"/>
        <w:rPr>
          <w:rFonts w:hint="eastAsia" w:ascii="宋体" w:hAnsi="宋体" w:cs="宋体"/>
          <w:b/>
          <w:color w:val="000000" w:themeColor="text1"/>
          <w:sz w:val="32"/>
          <w:szCs w:val="32"/>
          <w:highlight w:val="none"/>
          <w14:textFill>
            <w14:solidFill>
              <w14:schemeClr w14:val="tx1"/>
            </w14:solidFill>
          </w14:textFill>
        </w:rPr>
      </w:pPr>
    </w:p>
    <w:p w14:paraId="45D3FB21">
      <w:pPr>
        <w:spacing w:line="360" w:lineRule="auto"/>
        <w:ind w:firstLine="779"/>
        <w:jc w:val="center"/>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声  明</w:t>
      </w:r>
    </w:p>
    <w:p w14:paraId="65FC7264">
      <w:pPr>
        <w:ind w:firstLine="496"/>
        <w:rPr>
          <w:rFonts w:hint="eastAsia" w:ascii="宋体" w:hAnsi="宋体" w:cs="宋体"/>
          <w:color w:val="000000" w:themeColor="text1"/>
          <w:sz w:val="28"/>
          <w:szCs w:val="28"/>
          <w:highlight w:val="none"/>
          <w14:textFill>
            <w14:solidFill>
              <w14:schemeClr w14:val="tx1"/>
            </w14:solidFill>
          </w14:textFill>
        </w:rPr>
      </w:pPr>
    </w:p>
    <w:p w14:paraId="2743EE17">
      <w:pPr>
        <w:spacing w:line="360" w:lineRule="auto"/>
        <w:ind w:firstLine="372"/>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我单位郑重声明：参加本次政府采购活动前 3 年内，我单位在经营活动中没有因违法经营受到刑事处罚或者责令停产停业、吊销许可证或者执照、较大数额罚款等行政处罚。</w:t>
      </w:r>
    </w:p>
    <w:p w14:paraId="7B1901A4">
      <w:pPr>
        <w:spacing w:line="360" w:lineRule="auto"/>
        <w:ind w:firstLine="372"/>
        <w:rPr>
          <w:rFonts w:hint="eastAsia" w:ascii="宋体" w:hAnsi="宋体" w:cs="宋体"/>
          <w:bCs/>
          <w:color w:val="000000" w:themeColor="text1"/>
          <w:highlight w:val="none"/>
          <w14:textFill>
            <w14:solidFill>
              <w14:schemeClr w14:val="tx1"/>
            </w14:solidFill>
          </w14:textFill>
        </w:rPr>
      </w:pPr>
    </w:p>
    <w:p w14:paraId="4ACA4B3C">
      <w:pPr>
        <w:spacing w:line="360" w:lineRule="auto"/>
        <w:ind w:firstLine="372"/>
        <w:rPr>
          <w:rFonts w:hint="eastAsia" w:ascii="宋体" w:hAnsi="宋体" w:cs="宋体"/>
          <w:bCs/>
          <w:color w:val="000000" w:themeColor="text1"/>
          <w:highlight w:val="none"/>
          <w14:textFill>
            <w14:solidFill>
              <w14:schemeClr w14:val="tx1"/>
            </w14:solidFill>
          </w14:textFill>
        </w:rPr>
      </w:pPr>
    </w:p>
    <w:p w14:paraId="4C9BF78A">
      <w:pPr>
        <w:spacing w:line="360" w:lineRule="auto"/>
        <w:ind w:firstLine="372"/>
        <w:rPr>
          <w:rFonts w:hint="eastAsia" w:ascii="宋体" w:hAnsi="宋体" w:cs="宋体"/>
          <w:bCs/>
          <w:color w:val="000000" w:themeColor="text1"/>
          <w:highlight w:val="none"/>
          <w14:textFill>
            <w14:solidFill>
              <w14:schemeClr w14:val="tx1"/>
            </w14:solidFill>
          </w14:textFill>
        </w:rPr>
      </w:pPr>
    </w:p>
    <w:p w14:paraId="7F484057">
      <w:pPr>
        <w:spacing w:line="360" w:lineRule="auto"/>
        <w:ind w:firstLine="372"/>
        <w:rPr>
          <w:rFonts w:hint="eastAsia" w:ascii="宋体" w:hAnsi="宋体" w:cs="宋体"/>
          <w:bCs/>
          <w:color w:val="000000" w:themeColor="text1"/>
          <w:highlight w:val="none"/>
          <w14:textFill>
            <w14:solidFill>
              <w14:schemeClr w14:val="tx1"/>
            </w14:solidFill>
          </w14:textFill>
        </w:rPr>
      </w:pPr>
    </w:p>
    <w:p w14:paraId="2B846885">
      <w:pPr>
        <w:spacing w:line="360" w:lineRule="auto"/>
        <w:ind w:firstLine="399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738C0014">
      <w:pPr>
        <w:spacing w:line="360" w:lineRule="auto"/>
        <w:ind w:firstLine="3990"/>
        <w:rPr>
          <w:rFonts w:hint="eastAsia" w:ascii="宋体" w:hAnsi="宋体" w:cs="宋体"/>
          <w:bCs/>
          <w:color w:val="000000" w:themeColor="text1"/>
          <w:highlight w:val="none"/>
          <w14:textFill>
            <w14:solidFill>
              <w14:schemeClr w14:val="tx1"/>
            </w14:solidFill>
          </w14:textFill>
        </w:rPr>
      </w:pPr>
    </w:p>
    <w:p w14:paraId="06A897A1">
      <w:pPr>
        <w:spacing w:line="360" w:lineRule="auto"/>
        <w:ind w:firstLine="372"/>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p>
    <w:p w14:paraId="51FFB2DE">
      <w:pPr>
        <w:spacing w:line="360" w:lineRule="auto"/>
        <w:ind w:firstLine="372"/>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备注：</w:t>
      </w:r>
    </w:p>
    <w:p w14:paraId="5D4493E4">
      <w:pPr>
        <w:spacing w:line="360" w:lineRule="auto"/>
        <w:ind w:firstLine="372"/>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较大数额罚款金额规定如下：</w:t>
      </w:r>
    </w:p>
    <w:p w14:paraId="5DA8601A">
      <w:pPr>
        <w:spacing w:line="360" w:lineRule="auto"/>
        <w:ind w:firstLine="372"/>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p>
    <w:p w14:paraId="0B39EFE3">
      <w:pPr>
        <w:pStyle w:val="40"/>
        <w:spacing w:line="240" w:lineRule="atLeast"/>
        <w:ind w:firstLine="566"/>
        <w:rPr>
          <w:rFonts w:hint="eastAsia" w:ascii="宋体" w:hAnsi="宋体" w:cs="宋体"/>
          <w:b w:val="0"/>
          <w:color w:val="000000" w:themeColor="text1"/>
          <w:highlight w:val="none"/>
          <w14:textFill>
            <w14:solidFill>
              <w14:schemeClr w14:val="tx1"/>
            </w14:solidFill>
          </w14:textFill>
        </w:rPr>
        <w:sectPr>
          <w:headerReference r:id="rId8" w:type="default"/>
          <w:footerReference r:id="rId9" w:type="default"/>
          <w:pgSz w:w="11906" w:h="16838"/>
          <w:pgMar w:top="1440" w:right="1698" w:bottom="1440" w:left="1588" w:header="851" w:footer="992" w:gutter="0"/>
          <w:cols w:space="720" w:num="1"/>
          <w:docGrid w:linePitch="360" w:charSpace="0"/>
        </w:sectPr>
      </w:pPr>
      <w:r>
        <w:rPr>
          <w:rFonts w:hint="eastAsia" w:ascii="宋体" w:hAnsi="宋体" w:cs="宋体"/>
          <w:b w:val="0"/>
          <w:color w:val="000000" w:themeColor="text1"/>
          <w:highlight w:val="none"/>
          <w14:textFill>
            <w14:solidFill>
              <w14:schemeClr w14:val="tx1"/>
            </w14:solidFill>
          </w14:textFill>
        </w:rPr>
        <w:br w:type="page" w:clear="all"/>
      </w:r>
      <w:bookmarkStart w:id="318" w:name="_Toc104560910"/>
      <w:bookmarkStart w:id="319" w:name="_Toc107246290"/>
    </w:p>
    <w:p w14:paraId="5F8BCE75">
      <w:pPr>
        <w:pStyle w:val="40"/>
        <w:spacing w:line="240" w:lineRule="atLeast"/>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（7-7） 法律、行政法规规定的其他条件</w:t>
      </w:r>
    </w:p>
    <w:p w14:paraId="66D0BA03">
      <w:pPr>
        <w:spacing w:line="360" w:lineRule="auto"/>
        <w:ind w:firstLine="420"/>
        <w:rPr>
          <w:rFonts w:hint="eastAsia" w:ascii="宋体" w:hAnsi="宋体" w:cs="宋体"/>
          <w:color w:val="000000" w:themeColor="text1"/>
          <w:highlight w:val="none"/>
          <w14:textFill>
            <w14:solidFill>
              <w14:schemeClr w14:val="tx1"/>
            </w14:solidFill>
          </w14:textFill>
        </w:rPr>
      </w:pPr>
    </w:p>
    <w:p w14:paraId="50F796A3">
      <w:pPr>
        <w:spacing w:line="360" w:lineRule="auto"/>
        <w:ind w:firstLine="420"/>
        <w:rPr>
          <w:rFonts w:hint="eastAsia" w:ascii="宋体" w:hAnsi="宋体" w:cs="宋体"/>
          <w:color w:val="000000" w:themeColor="text1"/>
          <w:highlight w:val="none"/>
          <w14:textFill>
            <w14:solidFill>
              <w14:schemeClr w14:val="tx1"/>
            </w14:solidFill>
          </w14:textFill>
        </w:rPr>
        <w:sectPr>
          <w:pgSz w:w="11906" w:h="16838"/>
          <w:pgMar w:top="1440" w:right="1698" w:bottom="1440" w:left="1588" w:header="851" w:footer="992" w:gutter="0"/>
          <w:cols w:space="720" w:num="1"/>
          <w:docGrid w:linePitch="360" w:charSpace="0"/>
        </w:sectPr>
      </w:pPr>
    </w:p>
    <w:p w14:paraId="526D00AA">
      <w:pPr>
        <w:pStyle w:val="40"/>
        <w:spacing w:line="240" w:lineRule="atLeast"/>
        <w:ind w:firstLine="426"/>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（7-8）承诺函</w:t>
      </w:r>
      <w:bookmarkEnd w:id="318"/>
      <w:bookmarkEnd w:id="319"/>
    </w:p>
    <w:p w14:paraId="53EF23E6">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（一）本单位郑重承诺满足以下要求：</w:t>
      </w:r>
    </w:p>
    <w:p w14:paraId="4C5451E8">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1.投标人单位负责人为同一人或者存在直接控股、管理关系的不同投标人，不得同时参加本项目的采购活动。</w:t>
      </w:r>
    </w:p>
    <w:p w14:paraId="53784736">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2.凡为采购项目提供整体设计、规范编制或者项目管理、监理、检测等服务的投标人，不得再参加本项目的采购活动。</w:t>
      </w:r>
    </w:p>
    <w:p w14:paraId="545EE542">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（二）本单位郑重承诺，我单位无以下不良信用记录情形：</w:t>
      </w:r>
    </w:p>
    <w:p w14:paraId="44B38F40">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1.被人民法院列入失信被执行人；</w:t>
      </w:r>
    </w:p>
    <w:p w14:paraId="26E8622A">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2.被税务部门列入重大税收违法失信主体；</w:t>
      </w:r>
    </w:p>
    <w:p w14:paraId="1F46EE99">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3.被政府采购监管部门列入政府采购严重违法失信行为记录名单；</w:t>
      </w:r>
    </w:p>
    <w:p w14:paraId="13B178ED">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4.不符合《政府采购法》第二十二条规定的条件。</w:t>
      </w:r>
    </w:p>
    <w:p w14:paraId="5963622E">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6FFA6AEA">
      <w:pPr>
        <w:pStyle w:val="261"/>
        <w:ind w:firstLine="400"/>
        <w:rPr>
          <w:rFonts w:hint="eastAsia" w:hAnsi="宋体" w:cs="宋体"/>
          <w:color w:val="000000" w:themeColor="text1"/>
          <w:highlight w:val="none"/>
          <w14:textFill>
            <w14:solidFill>
              <w14:schemeClr w14:val="tx1"/>
            </w14:solidFill>
          </w14:textFill>
        </w:rPr>
      </w:pPr>
    </w:p>
    <w:p w14:paraId="5A9843A6">
      <w:pPr>
        <w:pStyle w:val="261"/>
        <w:ind w:firstLine="400"/>
        <w:rPr>
          <w:rFonts w:hint="eastAsia" w:hAnsi="宋体" w:cs="宋体"/>
          <w:color w:val="000000" w:themeColor="text1"/>
          <w:highlight w:val="none"/>
          <w14:textFill>
            <w14:solidFill>
              <w14:schemeClr w14:val="tx1"/>
            </w14:solidFill>
          </w14:textFill>
        </w:rPr>
      </w:pPr>
    </w:p>
    <w:p w14:paraId="2D9F19D5">
      <w:pPr>
        <w:spacing w:line="360" w:lineRule="auto"/>
        <w:ind w:firstLine="3990"/>
        <w:rPr>
          <w:rFonts w:hint="eastAsia" w:ascii="宋体" w:hAnsi="宋体" w:cs="宋体"/>
          <w:color w:val="000000" w:themeColor="text1"/>
          <w:szCs w:val="21"/>
          <w:highlight w:val="none"/>
          <w:u w:val="single"/>
          <w14:textFill>
            <w14:solidFill>
              <w14:schemeClr w14:val="tx1"/>
            </w14:solidFill>
          </w14:textFill>
        </w:rPr>
      </w:pPr>
      <w:bookmarkStart w:id="320" w:name="_Toc102117326"/>
      <w:bookmarkStart w:id="321" w:name="_Toc103848596"/>
      <w:r>
        <w:rPr>
          <w:rFonts w:hint="eastAsia" w:ascii="宋体" w:hAnsi="宋体" w:cs="宋体"/>
          <w:bCs/>
          <w:color w:val="000000" w:themeColor="text1"/>
          <w:highlight w:val="none"/>
          <w14:textFill>
            <w14:solidFill>
              <w14:schemeClr w14:val="tx1"/>
            </w14:solidFill>
          </w14:textFill>
        </w:rPr>
        <w:t>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672726C0">
      <w:pPr>
        <w:spacing w:line="360" w:lineRule="auto"/>
        <w:ind w:firstLine="3990"/>
        <w:rPr>
          <w:rFonts w:hint="eastAsia" w:ascii="宋体" w:hAnsi="宋体" w:cs="宋体"/>
          <w:bCs/>
          <w:color w:val="000000" w:themeColor="text1"/>
          <w:highlight w:val="none"/>
          <w14:textFill>
            <w14:solidFill>
              <w14:schemeClr w14:val="tx1"/>
            </w14:solidFill>
          </w14:textFill>
        </w:rPr>
      </w:pPr>
    </w:p>
    <w:p w14:paraId="4CF6952D">
      <w:pPr>
        <w:spacing w:line="360" w:lineRule="auto"/>
        <w:ind w:firstLine="372"/>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日</w:t>
      </w:r>
    </w:p>
    <w:p w14:paraId="358D4C21">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22" w:name="_Toc104560911"/>
      <w:bookmarkStart w:id="323" w:name="_Toc107246291"/>
      <w:r>
        <w:rPr>
          <w:rFonts w:hint="eastAsia" w:ascii="宋体" w:hAnsi="宋体" w:cs="宋体"/>
          <w:bCs w:val="0"/>
          <w:color w:val="000000" w:themeColor="text1"/>
          <w:sz w:val="24"/>
          <w:szCs w:val="24"/>
          <w:highlight w:val="none"/>
          <w14:textFill>
            <w14:solidFill>
              <w14:schemeClr w14:val="tx1"/>
            </w14:solidFill>
          </w14:textFill>
        </w:rPr>
        <w:t>（7-9）</w:t>
      </w:r>
      <w:bookmarkEnd w:id="320"/>
      <w:r>
        <w:rPr>
          <w:rFonts w:hint="eastAsia" w:ascii="宋体" w:hAnsi="宋体" w:cs="宋体"/>
          <w:bCs w:val="0"/>
          <w:color w:val="000000" w:themeColor="text1"/>
          <w:sz w:val="24"/>
          <w:szCs w:val="24"/>
          <w:highlight w:val="none"/>
          <w14:textFill>
            <w14:solidFill>
              <w14:schemeClr w14:val="tx1"/>
            </w14:solidFill>
          </w14:textFill>
        </w:rPr>
        <w:t>招标文件要求的其它实质性资格资信证明文件</w:t>
      </w:r>
      <w:bookmarkEnd w:id="322"/>
      <w:bookmarkEnd w:id="323"/>
    </w:p>
    <w:p w14:paraId="2DC3055D">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1）根据国家相关规定提供投标产品有效的医疗器械产品注册证或产品备案凭证</w:t>
      </w:r>
      <w:r>
        <w:rPr>
          <w:rFonts w:hint="eastAsia" w:hAnsi="宋体" w:cs="宋体"/>
          <w:bCs/>
          <w:color w:val="000000" w:themeColor="text1"/>
          <w:szCs w:val="21"/>
          <w:highlight w:val="none"/>
          <w14:textFill>
            <w14:solidFill>
              <w14:schemeClr w14:val="tx1"/>
            </w14:solidFill>
          </w14:textFill>
        </w:rPr>
        <w:t>复印件</w:t>
      </w:r>
      <w:r>
        <w:rPr>
          <w:rFonts w:hint="eastAsia" w:hAnsi="宋体" w:cs="宋体"/>
          <w:color w:val="000000" w:themeColor="text1"/>
          <w:sz w:val="21"/>
          <w:szCs w:val="21"/>
          <w:highlight w:val="none"/>
          <w14:textFill>
            <w14:solidFill>
              <w14:schemeClr w14:val="tx1"/>
            </w14:solidFill>
          </w14:textFill>
        </w:rPr>
        <w:t>；</w:t>
      </w:r>
    </w:p>
    <w:p w14:paraId="20720436">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2）若投标供应商为代理商，应根据国家相关规定提供范围涵盖投标产品的医疗器械经营许可证或医疗器械经营备案凭证复印件；</w:t>
      </w:r>
    </w:p>
    <w:p w14:paraId="0D9D193C">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3）若投标供应商为生产商，应根据国家相关规定提供范围涵盖投标产品的医疗器械生产许可证或生产备案凭证</w:t>
      </w:r>
      <w:r>
        <w:rPr>
          <w:rFonts w:hint="eastAsia" w:hAnsi="宋体" w:cs="宋体"/>
          <w:bCs/>
          <w:color w:val="000000" w:themeColor="text1"/>
          <w:szCs w:val="21"/>
          <w:highlight w:val="none"/>
          <w14:textFill>
            <w14:solidFill>
              <w14:schemeClr w14:val="tx1"/>
            </w14:solidFill>
          </w14:textFill>
        </w:rPr>
        <w:t>复印件</w:t>
      </w:r>
      <w:r>
        <w:rPr>
          <w:rFonts w:hint="eastAsia" w:hAnsi="宋体" w:cs="宋体"/>
          <w:color w:val="000000" w:themeColor="text1"/>
          <w:sz w:val="21"/>
          <w:szCs w:val="21"/>
          <w:highlight w:val="none"/>
          <w14:textFill>
            <w14:solidFill>
              <w14:schemeClr w14:val="tx1"/>
            </w14:solidFill>
          </w14:textFill>
        </w:rPr>
        <w:t>；</w:t>
      </w:r>
    </w:p>
    <w:p w14:paraId="39E2FBD0">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4）若所投产品为进口产品，应提供有效的经销授权复印件（格式自拟，从生产企业至投标供应商逐级全涵盖）</w:t>
      </w:r>
    </w:p>
    <w:p w14:paraId="71D69FBD">
      <w:pPr>
        <w:rPr>
          <w:rFonts w:hint="eastAsia" w:ascii="宋体" w:hAnsi="宋体" w:cs="宋体"/>
          <w:color w:val="000000" w:themeColor="text1"/>
          <w:highlight w:val="none"/>
          <w14:textFill>
            <w14:solidFill>
              <w14:schemeClr w14:val="tx1"/>
            </w14:solidFill>
          </w14:textFill>
        </w:rPr>
      </w:pPr>
      <w:bookmarkStart w:id="324" w:name="_Toc107246292"/>
      <w:r>
        <w:rPr>
          <w:rFonts w:hint="eastAsia" w:ascii="宋体" w:hAnsi="宋体" w:cs="宋体"/>
          <w:color w:val="000000" w:themeColor="text1"/>
          <w:highlight w:val="none"/>
          <w14:textFill>
            <w14:solidFill>
              <w14:schemeClr w14:val="tx1"/>
            </w14:solidFill>
          </w14:textFill>
        </w:rPr>
        <w:br w:type="page" w:clear="all"/>
      </w:r>
      <w:bookmarkEnd w:id="324"/>
      <w:bookmarkStart w:id="325" w:name="_Toc107246293"/>
      <w:bookmarkStart w:id="326" w:name="_Toc104560912"/>
    </w:p>
    <w:p w14:paraId="6DA4820B">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（8）售后服务条款</w:t>
      </w:r>
    </w:p>
    <w:p w14:paraId="02A40B7E">
      <w:pPr>
        <w:spacing w:line="276" w:lineRule="auto"/>
        <w:ind w:left="142" w:firstLine="211"/>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售后</w:t>
      </w:r>
      <w:r>
        <w:rPr>
          <w:rFonts w:hint="eastAsia"/>
          <w:b/>
          <w:color w:val="000000" w:themeColor="text1"/>
          <w:szCs w:val="21"/>
          <w:highlight w:val="none"/>
          <w14:textFill>
            <w14:solidFill>
              <w14:schemeClr w14:val="tx1"/>
            </w14:solidFill>
          </w14:textFill>
        </w:rPr>
        <w:t>服务</w:t>
      </w:r>
      <w:r>
        <w:rPr>
          <w:rFonts w:hint="eastAsia"/>
          <w:b/>
          <w:color w:val="000000" w:themeColor="text1"/>
          <w:highlight w:val="none"/>
          <w14:textFill>
            <w14:solidFill>
              <w14:schemeClr w14:val="tx1"/>
            </w14:solidFill>
          </w14:textFill>
        </w:rPr>
        <w:t>条款</w:t>
      </w:r>
    </w:p>
    <w:p w14:paraId="0F191AD8">
      <w:pPr>
        <w:spacing w:line="276" w:lineRule="auto"/>
        <w:ind w:left="142" w:firstLine="211"/>
        <w:rPr>
          <w:b/>
          <w:color w:val="000000" w:themeColor="text1"/>
          <w:highlight w:val="none"/>
          <w14:textFill>
            <w14:solidFill>
              <w14:schemeClr w14:val="tx1"/>
            </w14:solidFill>
          </w14:textFill>
        </w:rPr>
      </w:pPr>
    </w:p>
    <w:p w14:paraId="18138214">
      <w:pPr>
        <w:spacing w:line="276" w:lineRule="auto"/>
        <w:ind w:left="142" w:firstLine="221"/>
        <w:jc w:val="left"/>
        <w:rPr>
          <w:b/>
          <w:color w:val="000000" w:themeColor="text1"/>
          <w:sz w:val="22"/>
          <w:highlight w:val="none"/>
          <w14:textFill>
            <w14:solidFill>
              <w14:schemeClr w14:val="tx1"/>
            </w14:solidFill>
          </w14:textFill>
        </w:rPr>
      </w:pPr>
      <w:r>
        <w:rPr>
          <w:rFonts w:hint="eastAsia"/>
          <w:b/>
          <w:color w:val="000000" w:themeColor="text1"/>
          <w:sz w:val="22"/>
          <w:highlight w:val="none"/>
          <w14:textFill>
            <w14:solidFill>
              <w14:schemeClr w14:val="tx1"/>
            </w14:solidFill>
          </w14:textFill>
        </w:rPr>
        <w:t xml:space="preserve">甲方：南京鼓楼医院 </w:t>
      </w:r>
      <w:r>
        <w:rPr>
          <w:b/>
          <w:color w:val="000000" w:themeColor="text1"/>
          <w:sz w:val="22"/>
          <w:highlight w:val="none"/>
          <w14:textFill>
            <w14:solidFill>
              <w14:schemeClr w14:val="tx1"/>
            </w14:solidFill>
          </w14:textFill>
        </w:rPr>
        <w:t xml:space="preserve">   </w:t>
      </w:r>
      <w:r>
        <w:rPr>
          <w:rFonts w:hint="eastAsia"/>
          <w:b/>
          <w:color w:val="000000" w:themeColor="text1"/>
          <w:sz w:val="22"/>
          <w:highlight w:val="none"/>
          <w14:textFill>
            <w14:solidFill>
              <w14:schemeClr w14:val="tx1"/>
            </w14:solidFill>
          </w14:textFill>
        </w:rPr>
        <w:t>乙方：设备供应商</w:t>
      </w:r>
    </w:p>
    <w:p w14:paraId="0F7204C7">
      <w:pPr>
        <w:numPr>
          <w:ilvl w:val="0"/>
          <w:numId w:val="4"/>
        </w:numPr>
        <w:tabs>
          <w:tab w:val="left" w:pos="360"/>
        </w:tabs>
        <w:spacing w:line="276" w:lineRule="auto"/>
        <w:rPr>
          <w:color w:val="000000" w:themeColor="text1"/>
          <w:szCs w:val="2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乙方免费提前为甲方提供设备安装图纸，并充分协助甲方做好机房的准备工作（如必要的话）。</w:t>
      </w:r>
    </w:p>
    <w:p w14:paraId="67093EA9">
      <w:pPr>
        <w:pStyle w:val="268"/>
        <w:numPr>
          <w:ilvl w:val="0"/>
          <w:numId w:val="4"/>
        </w:numPr>
        <w:tabs>
          <w:tab w:val="left" w:pos="360"/>
        </w:tabs>
        <w:spacing w:line="276" w:lineRule="auto"/>
        <w:rPr>
          <w:b/>
          <w:bCs/>
          <w:color w:val="000000" w:themeColor="text1"/>
          <w:szCs w:val="2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所有医疗设备必须提供符合国家标准的电源线，插头制式必须为中国标准制式，保证安全接地，不接受欧标、美标等制式电源线。</w:t>
      </w:r>
    </w:p>
    <w:p w14:paraId="7645287E">
      <w:pPr>
        <w:pStyle w:val="268"/>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设备安装时，乙方负责设备的免费安装和调试，但乙方必须事先与甲方的医用物资保障处联系，并与医用物资保障处共同参与，否则引起的一切责任由乙方承担。</w:t>
      </w:r>
    </w:p>
    <w:p w14:paraId="4BF129EF">
      <w:pPr>
        <w:pStyle w:val="268"/>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乙方逾期交付货物的，每逾期一天，乙方向甲方偿付货款总额1%的滞纳金，如乙方逾期交货达10天，甲方有权解除合同或双方协商赔偿方式。</w:t>
      </w:r>
    </w:p>
    <w:p w14:paraId="7A5B14AA">
      <w:pPr>
        <w:pStyle w:val="268"/>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装机所产生的垃圾必须摆放整齐，不得有影响工作人员、病人及家属安全通过的行为。公司在装机后24小时内必须完成对包装拆除物的清理。因包装拆除物原因引起的医疗事故和纠纷，由公司承担全部法律和经济责任。</w:t>
      </w:r>
    </w:p>
    <w:p w14:paraId="3C07784C">
      <w:pPr>
        <w:numPr>
          <w:ilvl w:val="0"/>
          <w:numId w:val="4"/>
        </w:numPr>
        <w:shd w:val="clear" w:color="FFFFFF" w:themeColor="background1" w:fill="FFFFFF" w:themeFill="background1"/>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设备安装、调试结束后，甲方对设备进行验收（时间由甲、乙双方商定），乙方免费派工程师到达现场协助验收工作。保修期自甲方验收合格之日算起</w:t>
      </w:r>
      <w:r>
        <w:rPr>
          <w:rFonts w:hint="eastAsia"/>
          <w:color w:val="000000" w:themeColor="text1"/>
          <w:szCs w:val="21"/>
          <w:highlight w:val="none"/>
          <w14:textFill>
            <w14:solidFill>
              <w14:schemeClr w14:val="tx1"/>
            </w14:solidFill>
          </w14:textFill>
        </w:rPr>
        <w:t>，保修期外故障待修复后只收配件费，免收上门费、人工费</w:t>
      </w:r>
      <w:r>
        <w:rPr>
          <w:rFonts w:hint="eastAsia"/>
          <w:color w:val="000000" w:themeColor="text1"/>
          <w:highlight w:val="none"/>
          <w14:textFill>
            <w14:solidFill>
              <w14:schemeClr w14:val="tx1"/>
            </w14:solidFill>
          </w14:textFill>
        </w:rPr>
        <w:t>。</w:t>
      </w:r>
    </w:p>
    <w:p w14:paraId="1DC2EE50">
      <w:pPr>
        <w:numPr>
          <w:ilvl w:val="0"/>
          <w:numId w:val="4"/>
        </w:numPr>
        <w:shd w:val="clear" w:color="FFFFFF" w:themeColor="background1" w:fill="FFFFFF" w:themeFill="background1"/>
        <w:tabs>
          <w:tab w:val="left" w:pos="360"/>
        </w:tabs>
        <w:spacing w:line="276" w:lineRule="auto"/>
        <w:rPr>
          <w:color w:val="000000" w:themeColor="text1"/>
          <w:highlight w:val="none"/>
          <w14:textFill>
            <w14:solidFill>
              <w14:schemeClr w14:val="tx1"/>
            </w14:solidFill>
          </w14:textFill>
        </w:rPr>
      </w:pPr>
      <w:r>
        <w:rPr>
          <w:rFonts w:hint="eastAsia"/>
          <w:b/>
          <w:bCs/>
          <w:color w:val="000000" w:themeColor="text1"/>
          <w:sz w:val="22"/>
          <w:szCs w:val="28"/>
          <w:highlight w:val="none"/>
          <w14:textFill>
            <w14:solidFill>
              <w14:schemeClr w14:val="tx1"/>
            </w14:solidFill>
          </w14:textFill>
        </w:rPr>
        <w:t>上述设备免费保修</w:t>
      </w:r>
      <w:r>
        <w:rPr>
          <w:rFonts w:hint="eastAsia"/>
          <w:b/>
          <w:bCs/>
          <w:color w:val="000000" w:themeColor="text1"/>
          <w:sz w:val="22"/>
          <w:szCs w:val="28"/>
          <w:highlight w:val="none"/>
          <w:u w:val="single"/>
          <w14:textFill>
            <w14:solidFill>
              <w14:schemeClr w14:val="tx1"/>
            </w14:solidFill>
          </w14:textFill>
        </w:rPr>
        <w:t xml:space="preserve">  </w:t>
      </w:r>
      <w:r>
        <w:rPr>
          <w:rFonts w:hint="eastAsia"/>
          <w:b/>
          <w:bCs/>
          <w:color w:val="000000" w:themeColor="text1"/>
          <w:sz w:val="22"/>
          <w:szCs w:val="28"/>
          <w:highlight w:val="none"/>
          <w14:textFill>
            <w14:solidFill>
              <w14:schemeClr w14:val="tx1"/>
            </w14:solidFill>
          </w14:textFill>
        </w:rPr>
        <w:t>年</w:t>
      </w:r>
      <w:r>
        <w:rPr>
          <w:rFonts w:hint="eastAsia"/>
          <w:color w:val="000000" w:themeColor="text1"/>
          <w:highlight w:val="none"/>
          <w14:textFill>
            <w14:solidFill>
              <w14:schemeClr w14:val="tx1"/>
            </w14:solidFill>
          </w14:textFill>
        </w:rPr>
        <w:t>，保修范围包括合同中所有配置。并确保设备保修期内开机率≥9</w:t>
      </w:r>
      <w:r>
        <w:rPr>
          <w:color w:val="000000" w:themeColor="text1"/>
          <w:highlight w:val="none"/>
          <w14:textFill>
            <w14:solidFill>
              <w14:schemeClr w14:val="tx1"/>
            </w14:solidFill>
          </w14:textFill>
        </w:rPr>
        <w:t>5</w:t>
      </w:r>
      <w:r>
        <w:rPr>
          <w:rFonts w:hint="eastAsia"/>
          <w:color w:val="000000" w:themeColor="text1"/>
          <w:highlight w:val="none"/>
          <w14:textFill>
            <w14:solidFill>
              <w14:schemeClr w14:val="tx1"/>
            </w14:solidFill>
          </w14:textFill>
        </w:rPr>
        <w:t>%，如设备故障停机率超过</w:t>
      </w:r>
      <w:r>
        <w:rPr>
          <w:color w:val="000000" w:themeColor="text1"/>
          <w:highlight w:val="none"/>
          <w14:textFill>
            <w14:solidFill>
              <w14:schemeClr w14:val="tx1"/>
            </w14:solidFill>
          </w14:textFill>
        </w:rPr>
        <w:t>5</w:t>
      </w:r>
      <w:r>
        <w:rPr>
          <w:rFonts w:hint="eastAsia"/>
          <w:color w:val="000000" w:themeColor="text1"/>
          <w:highlight w:val="none"/>
          <w14:textFill>
            <w14:solidFill>
              <w14:schemeClr w14:val="tx1"/>
            </w14:solidFill>
          </w14:textFill>
        </w:rPr>
        <w:t>%（一年按</w:t>
      </w:r>
      <w:r>
        <w:rPr>
          <w:color w:val="000000" w:themeColor="text1"/>
          <w:highlight w:val="none"/>
          <w14:textFill>
            <w14:solidFill>
              <w14:schemeClr w14:val="tx1"/>
            </w14:solidFill>
          </w14:textFill>
        </w:rPr>
        <w:t>365</w:t>
      </w:r>
      <w:r>
        <w:rPr>
          <w:rFonts w:hint="eastAsia"/>
          <w:color w:val="000000" w:themeColor="text1"/>
          <w:highlight w:val="none"/>
          <w14:textFill>
            <w14:solidFill>
              <w14:schemeClr w14:val="tx1"/>
            </w14:solidFill>
          </w14:textFill>
        </w:rPr>
        <w:t>天计算，每年</w:t>
      </w:r>
      <w:r>
        <w:rPr>
          <w:color w:val="000000" w:themeColor="text1"/>
          <w:highlight w:val="none"/>
          <w14:textFill>
            <w14:solidFill>
              <w14:schemeClr w14:val="tx1"/>
            </w14:solidFill>
          </w14:textFill>
        </w:rPr>
        <w:t>18</w:t>
      </w:r>
      <w:r>
        <w:rPr>
          <w:rFonts w:hint="eastAsia"/>
          <w:color w:val="000000" w:themeColor="text1"/>
          <w:highlight w:val="none"/>
          <w14:textFill>
            <w14:solidFill>
              <w14:schemeClr w14:val="tx1"/>
            </w14:solidFill>
          </w14:textFill>
        </w:rPr>
        <w:t>天），每超过一天，保修期延长两周。保修期外乙方对本设备终身负责维修。</w:t>
      </w:r>
    </w:p>
    <w:p w14:paraId="252620A7">
      <w:pPr>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如设备发生故障，乙方在接到甲方报修电话后1小时之内响应，</w:t>
      </w:r>
      <w:r>
        <w:rPr>
          <w:color w:val="000000" w:themeColor="text1"/>
          <w:highlight w:val="none"/>
          <w14:textFill>
            <w14:solidFill>
              <w14:schemeClr w14:val="tx1"/>
            </w14:solidFill>
          </w14:textFill>
        </w:rPr>
        <w:t>3</w:t>
      </w:r>
      <w:r>
        <w:rPr>
          <w:rFonts w:hint="eastAsia"/>
          <w:color w:val="000000" w:themeColor="text1"/>
          <w:highlight w:val="none"/>
          <w14:textFill>
            <w14:solidFill>
              <w14:schemeClr w14:val="tx1"/>
            </w14:solidFill>
          </w14:textFill>
        </w:rPr>
        <w:t>小时内到达甲方现场（若无维修站点，2</w:t>
      </w:r>
      <w:r>
        <w:rPr>
          <w:color w:val="000000" w:themeColor="text1"/>
          <w:highlight w:val="none"/>
          <w14:textFill>
            <w14:solidFill>
              <w14:schemeClr w14:val="tx1"/>
            </w14:solidFill>
          </w14:textFill>
        </w:rPr>
        <w:t>4</w:t>
      </w:r>
      <w:r>
        <w:rPr>
          <w:rFonts w:hint="eastAsia"/>
          <w:color w:val="000000" w:themeColor="text1"/>
          <w:highlight w:val="none"/>
          <w14:textFill>
            <w14:solidFill>
              <w14:schemeClr w14:val="tx1"/>
            </w14:solidFill>
          </w14:textFill>
        </w:rPr>
        <w:t>小时内到达现场），48小时内修复或免费提供备用机，否则甲方可自行采取必要的措施，由此产生的风险和费用由乙方承担。如有特殊情况，乙方应立即电话通知甲方不能响应的原因，在获得甲方同意后，才可推迟响应时间。</w:t>
      </w:r>
    </w:p>
    <w:p w14:paraId="52DE065C">
      <w:pPr>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保修期内每年肆次定期维护，并经甲方工程师签字确认，留档备查。</w:t>
      </w:r>
    </w:p>
    <w:p w14:paraId="34E6C209">
      <w:pPr>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p>
    <w:p w14:paraId="00AB1AF2">
      <w:pPr>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如设备软件升级，乙方负责免费软件升级，保证软件为最新、最高版本。</w:t>
      </w:r>
    </w:p>
    <w:p w14:paraId="27ABD4EC">
      <w:pPr>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如有设备具有远程维修诊断功能，乙方负责免费为甲方安装。</w:t>
      </w:r>
    </w:p>
    <w:p w14:paraId="14B6BC3A">
      <w:pPr>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p>
    <w:p w14:paraId="5A109983">
      <w:pPr>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技术培训：在安装过程中或安装结束后，乙方工程师或有关人员有义务对甲方工程师和操作人员进行现场维修、保养、操作培训并提供快捷操作指南</w:t>
      </w:r>
      <w:r>
        <w:rPr>
          <w:rFonts w:hint="eastAsia"/>
          <w:b/>
          <w:color w:val="000000" w:themeColor="text1"/>
          <w:highlight w:val="none"/>
          <w14:textFill>
            <w14:solidFill>
              <w14:schemeClr w14:val="tx1"/>
            </w14:solidFill>
          </w14:textFill>
        </w:rPr>
        <w:t>（过塑封好，挂在设备上）</w:t>
      </w:r>
      <w:r>
        <w:rPr>
          <w:rFonts w:hint="eastAsia"/>
          <w:color w:val="000000" w:themeColor="text1"/>
          <w:highlight w:val="none"/>
          <w14:textFill>
            <w14:solidFill>
              <w14:schemeClr w14:val="tx1"/>
            </w14:solidFill>
          </w14:textFill>
        </w:rPr>
        <w:t>，解答甲方人员提出的问题。必要时提供正规培训班培训，确保操作人员掌握完成日常工作所需的基本操作方法为止，工程师掌握基本的维护保养操作技术为止。详见乙方公司承诺书。</w:t>
      </w:r>
    </w:p>
    <w:p w14:paraId="00D9A482">
      <w:pPr>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如乙方提供的设备设有维修软件密码，乙方保证无条件地为甲方永久免费打开。</w:t>
      </w:r>
    </w:p>
    <w:p w14:paraId="1EDB0E06">
      <w:pPr>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如果产生与设备价值、成本相关的任何法律纠纷由供应商承担，采购人不承担任何相关法律责任。</w:t>
      </w:r>
    </w:p>
    <w:p w14:paraId="31A0C397">
      <w:pPr>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p>
    <w:p w14:paraId="3A8E3E3C">
      <w:pPr>
        <w:pStyle w:val="18"/>
        <w:ind w:left="0"/>
        <w:rPr>
          <w:color w:val="000000" w:themeColor="text1"/>
          <w:highlight w:val="none"/>
          <w14:textFill>
            <w14:solidFill>
              <w14:schemeClr w14:val="tx1"/>
            </w14:solidFill>
          </w14:textFill>
        </w:rPr>
      </w:pPr>
    </w:p>
    <w:p w14:paraId="2C1D3D21">
      <w:pPr>
        <w:rPr>
          <w:color w:val="000000" w:themeColor="text1"/>
          <w:highlight w:val="none"/>
          <w14:textFill>
            <w14:solidFill>
              <w14:schemeClr w14:val="tx1"/>
            </w14:solidFill>
          </w14:textFill>
        </w:rPr>
      </w:pPr>
    </w:p>
    <w:p w14:paraId="1310E5F9">
      <w:pPr>
        <w:rPr>
          <w:rFonts w:hint="eastAsia" w:ascii="宋体" w:hAnsi="宋体" w:cs="宋体"/>
          <w:color w:val="000000" w:themeColor="text1"/>
          <w:sz w:val="24"/>
          <w:highlight w:val="none"/>
          <w14:textFill>
            <w14:solidFill>
              <w14:schemeClr w14:val="tx1"/>
            </w14:solidFill>
          </w14:textFill>
        </w:rPr>
      </w:pPr>
    </w:p>
    <w:p w14:paraId="2B6FC840">
      <w:pPr>
        <w:pStyle w:val="16"/>
        <w:ind w:firstLine="420"/>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说明：投标人须在投标文件中写明设备免费保修期限，并与商务条款中的保修时间一致。</w:t>
      </w:r>
    </w:p>
    <w:p w14:paraId="20E7612F">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bookmarkEnd w:id="321"/>
      <w:bookmarkEnd w:id="325"/>
      <w:bookmarkEnd w:id="326"/>
    </w:p>
    <w:p w14:paraId="21D6D3AC">
      <w:pPr>
        <w:rPr>
          <w:rFonts w:hint="eastAsia" w:ascii="宋体" w:hAnsi="宋体" w:cs="宋体"/>
          <w:color w:val="000000" w:themeColor="text1"/>
          <w:highlight w:val="none"/>
          <w14:textFill>
            <w14:solidFill>
              <w14:schemeClr w14:val="tx1"/>
            </w14:solidFill>
          </w14:textFill>
        </w:rPr>
      </w:pPr>
    </w:p>
    <w:p w14:paraId="436916E6">
      <w:pPr>
        <w:pStyle w:val="40"/>
        <w:spacing w:before="0"/>
        <w:ind w:left="601" w:firstLine="498"/>
        <w:rPr>
          <w:rFonts w:hint="eastAsia" w:ascii="宋体" w:hAnsi="宋体" w:cs="宋体"/>
          <w:color w:val="000000" w:themeColor="text1"/>
          <w:sz w:val="28"/>
          <w:szCs w:val="24"/>
          <w:highlight w:val="none"/>
          <w14:textFill>
            <w14:solidFill>
              <w14:schemeClr w14:val="tx1"/>
            </w14:solidFill>
          </w14:textFill>
        </w:rPr>
      </w:pPr>
      <w:bookmarkStart w:id="327" w:name="_Toc104560916"/>
      <w:bookmarkStart w:id="328" w:name="_Toc107246299"/>
      <w:bookmarkStart w:id="329" w:name="_Toc103848599"/>
      <w:r>
        <w:rPr>
          <w:rFonts w:ascii="宋体" w:hAnsi="宋体" w:cs="宋体"/>
          <w:color w:val="000000" w:themeColor="text1"/>
          <w:sz w:val="28"/>
          <w:szCs w:val="24"/>
          <w:highlight w:val="none"/>
          <w14:textFill>
            <w14:solidFill>
              <w14:schemeClr w14:val="tx1"/>
            </w14:solidFill>
          </w14:textFill>
        </w:rPr>
        <w:t>二、</w:t>
      </w:r>
      <w:r>
        <w:rPr>
          <w:rFonts w:hint="eastAsia" w:ascii="宋体" w:hAnsi="宋体" w:cs="宋体"/>
          <w:color w:val="000000" w:themeColor="text1"/>
          <w:sz w:val="28"/>
          <w:szCs w:val="24"/>
          <w:highlight w:val="none"/>
          <w14:textFill>
            <w14:solidFill>
              <w14:schemeClr w14:val="tx1"/>
            </w14:solidFill>
          </w14:textFill>
        </w:rPr>
        <w:t>技术部分</w:t>
      </w:r>
      <w:bookmarkEnd w:id="327"/>
      <w:bookmarkEnd w:id="328"/>
      <w:bookmarkEnd w:id="329"/>
    </w:p>
    <w:p w14:paraId="45287B2D">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bookmarkStart w:id="330" w:name="_Toc107246301"/>
      <w:bookmarkStart w:id="331" w:name="_Toc104560918"/>
      <w:bookmarkStart w:id="332" w:name="_Toc103848601"/>
      <w:r>
        <w:rPr>
          <w:rFonts w:hint="eastAsia" w:ascii="宋体" w:hAnsi="宋体" w:cs="宋体"/>
          <w:bCs w:val="0"/>
          <w:color w:val="000000" w:themeColor="text1"/>
          <w:sz w:val="24"/>
          <w:szCs w:val="24"/>
          <w:highlight w:val="none"/>
          <w14:textFill>
            <w14:solidFill>
              <w14:schemeClr w14:val="tx1"/>
            </w14:solidFill>
          </w14:textFill>
        </w:rPr>
        <w:t>（1）技术条款偏离表</w:t>
      </w:r>
      <w:bookmarkEnd w:id="330"/>
      <w:bookmarkEnd w:id="331"/>
      <w:bookmarkEnd w:id="332"/>
    </w:p>
    <w:p w14:paraId="2958DC26">
      <w:pPr>
        <w:pStyle w:val="26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项目名称：南京鼓楼医院3D外视镜系统采购项目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p>
    <w:p w14:paraId="37B4F422">
      <w:pPr>
        <w:pStyle w:val="261"/>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项目编号：</w:t>
      </w:r>
      <w:r>
        <w:rPr>
          <w:rFonts w:hint="eastAsia" w:hAnsi="宋体" w:cs="宋体"/>
          <w:color w:val="000000" w:themeColor="text1"/>
          <w:sz w:val="21"/>
          <w:szCs w:val="21"/>
          <w:highlight w:val="none"/>
          <w:lang w:eastAsia="zh-CN"/>
          <w14:textFill>
            <w14:solidFill>
              <w14:schemeClr w14:val="tx1"/>
            </w14:solidFill>
          </w14:textFill>
        </w:rPr>
        <w:t>JSZC-320100-JITC-G2026-0298</w:t>
      </w:r>
    </w:p>
    <w:tbl>
      <w:tblPr>
        <w:tblStyle w:val="43"/>
        <w:tblW w:w="45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793"/>
        <w:gridCol w:w="1719"/>
        <w:gridCol w:w="1169"/>
        <w:gridCol w:w="1371"/>
        <w:gridCol w:w="1363"/>
      </w:tblGrid>
      <w:tr w14:paraId="33044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417" w:type="pct"/>
            <w:vAlign w:val="center"/>
          </w:tcPr>
          <w:p w14:paraId="304AC3BD">
            <w:pPr>
              <w:pStyle w:val="261"/>
              <w:spacing w:line="240" w:lineRule="auto"/>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序号</w:t>
            </w:r>
          </w:p>
        </w:tc>
        <w:tc>
          <w:tcPr>
            <w:tcW w:w="1108" w:type="pct"/>
            <w:vAlign w:val="center"/>
          </w:tcPr>
          <w:p w14:paraId="1A7FC72C">
            <w:pPr>
              <w:pStyle w:val="261"/>
              <w:spacing w:line="240" w:lineRule="auto"/>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招标文件的技术条款</w:t>
            </w:r>
          </w:p>
        </w:tc>
        <w:tc>
          <w:tcPr>
            <w:tcW w:w="1062" w:type="pct"/>
          </w:tcPr>
          <w:p w14:paraId="4101783C">
            <w:pPr>
              <w:pStyle w:val="261"/>
              <w:spacing w:line="240" w:lineRule="auto"/>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投标文件的响应条款</w:t>
            </w:r>
          </w:p>
        </w:tc>
        <w:tc>
          <w:tcPr>
            <w:tcW w:w="722" w:type="pct"/>
            <w:vAlign w:val="center"/>
          </w:tcPr>
          <w:p w14:paraId="732B81D6">
            <w:pPr>
              <w:pStyle w:val="261"/>
              <w:spacing w:line="240" w:lineRule="auto"/>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响应/偏离</w:t>
            </w:r>
          </w:p>
        </w:tc>
        <w:tc>
          <w:tcPr>
            <w:tcW w:w="847" w:type="pct"/>
            <w:vAlign w:val="center"/>
          </w:tcPr>
          <w:p w14:paraId="5A5EDE32">
            <w:pPr>
              <w:pStyle w:val="261"/>
              <w:spacing w:line="240" w:lineRule="auto"/>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偏离说明</w:t>
            </w:r>
          </w:p>
        </w:tc>
        <w:tc>
          <w:tcPr>
            <w:tcW w:w="842" w:type="pct"/>
            <w:vAlign w:val="center"/>
          </w:tcPr>
          <w:p w14:paraId="2BBFA425">
            <w:pPr>
              <w:pStyle w:val="261"/>
              <w:spacing w:line="240" w:lineRule="auto"/>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备注</w:t>
            </w:r>
          </w:p>
        </w:tc>
      </w:tr>
      <w:tr w14:paraId="3DD98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417" w:type="pct"/>
            <w:vAlign w:val="center"/>
          </w:tcPr>
          <w:p w14:paraId="69AEDDF8">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08" w:type="pct"/>
            <w:vAlign w:val="center"/>
          </w:tcPr>
          <w:p w14:paraId="43D823AF">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062" w:type="pct"/>
          </w:tcPr>
          <w:p w14:paraId="3EDF29F3">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722" w:type="pct"/>
          </w:tcPr>
          <w:p w14:paraId="352D449B">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847" w:type="pct"/>
            <w:vAlign w:val="center"/>
          </w:tcPr>
          <w:p w14:paraId="2B316B6B">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842" w:type="pct"/>
            <w:vAlign w:val="center"/>
          </w:tcPr>
          <w:p w14:paraId="03BB08A0">
            <w:pPr>
              <w:pStyle w:val="261"/>
              <w:ind w:firstLine="0"/>
              <w:jc w:val="center"/>
              <w:rPr>
                <w:rFonts w:hint="eastAsia" w:hAnsi="宋体" w:cs="宋体"/>
                <w:color w:val="000000" w:themeColor="text1"/>
                <w:sz w:val="21"/>
                <w:szCs w:val="21"/>
                <w:highlight w:val="none"/>
                <w14:textFill>
                  <w14:solidFill>
                    <w14:schemeClr w14:val="tx1"/>
                  </w14:solidFill>
                </w14:textFill>
              </w:rPr>
            </w:pPr>
          </w:p>
        </w:tc>
      </w:tr>
      <w:tr w14:paraId="375C5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417" w:type="pct"/>
            <w:vAlign w:val="center"/>
          </w:tcPr>
          <w:p w14:paraId="1746E1F0">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08" w:type="pct"/>
            <w:vAlign w:val="center"/>
          </w:tcPr>
          <w:p w14:paraId="5AED2930">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062" w:type="pct"/>
          </w:tcPr>
          <w:p w14:paraId="78B4B7DB">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722" w:type="pct"/>
          </w:tcPr>
          <w:p w14:paraId="14EE01B2">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847" w:type="pct"/>
            <w:vAlign w:val="center"/>
          </w:tcPr>
          <w:p w14:paraId="521A58FC">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842" w:type="pct"/>
            <w:vAlign w:val="center"/>
          </w:tcPr>
          <w:p w14:paraId="3AA7D370">
            <w:pPr>
              <w:pStyle w:val="261"/>
              <w:ind w:firstLine="0"/>
              <w:jc w:val="center"/>
              <w:rPr>
                <w:rFonts w:hint="eastAsia" w:hAnsi="宋体" w:cs="宋体"/>
                <w:color w:val="000000" w:themeColor="text1"/>
                <w:sz w:val="21"/>
                <w:szCs w:val="21"/>
                <w:highlight w:val="none"/>
                <w14:textFill>
                  <w14:solidFill>
                    <w14:schemeClr w14:val="tx1"/>
                  </w14:solidFill>
                </w14:textFill>
              </w:rPr>
            </w:pPr>
          </w:p>
        </w:tc>
      </w:tr>
      <w:tr w14:paraId="57CA6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17" w:type="pct"/>
            <w:vAlign w:val="center"/>
          </w:tcPr>
          <w:p w14:paraId="01CD577C">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08" w:type="pct"/>
            <w:vAlign w:val="center"/>
          </w:tcPr>
          <w:p w14:paraId="1E3E44B9">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062" w:type="pct"/>
          </w:tcPr>
          <w:p w14:paraId="5153E0D7">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722" w:type="pct"/>
          </w:tcPr>
          <w:p w14:paraId="1158B8C4">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847" w:type="pct"/>
            <w:vAlign w:val="center"/>
          </w:tcPr>
          <w:p w14:paraId="29568C9A">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842" w:type="pct"/>
            <w:vAlign w:val="center"/>
          </w:tcPr>
          <w:p w14:paraId="2A982286">
            <w:pPr>
              <w:pStyle w:val="261"/>
              <w:ind w:firstLine="0"/>
              <w:jc w:val="center"/>
              <w:rPr>
                <w:rFonts w:hint="eastAsia" w:hAnsi="宋体" w:cs="宋体"/>
                <w:color w:val="000000" w:themeColor="text1"/>
                <w:sz w:val="21"/>
                <w:szCs w:val="21"/>
                <w:highlight w:val="none"/>
                <w14:textFill>
                  <w14:solidFill>
                    <w14:schemeClr w14:val="tx1"/>
                  </w14:solidFill>
                </w14:textFill>
              </w:rPr>
            </w:pPr>
          </w:p>
        </w:tc>
      </w:tr>
      <w:tr w14:paraId="3A7B9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417" w:type="pct"/>
            <w:vAlign w:val="center"/>
          </w:tcPr>
          <w:p w14:paraId="1C2FE6BC">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08" w:type="pct"/>
            <w:vAlign w:val="center"/>
          </w:tcPr>
          <w:p w14:paraId="2F2B749B">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062" w:type="pct"/>
          </w:tcPr>
          <w:p w14:paraId="0871145C">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722" w:type="pct"/>
          </w:tcPr>
          <w:p w14:paraId="5841FBC3">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847" w:type="pct"/>
            <w:vAlign w:val="center"/>
          </w:tcPr>
          <w:p w14:paraId="3FECE7BA">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842" w:type="pct"/>
            <w:vAlign w:val="center"/>
          </w:tcPr>
          <w:p w14:paraId="18CD29BE">
            <w:pPr>
              <w:pStyle w:val="261"/>
              <w:ind w:firstLine="0"/>
              <w:jc w:val="center"/>
              <w:rPr>
                <w:rFonts w:hint="eastAsia" w:hAnsi="宋体" w:cs="宋体"/>
                <w:color w:val="000000" w:themeColor="text1"/>
                <w:sz w:val="21"/>
                <w:szCs w:val="21"/>
                <w:highlight w:val="none"/>
                <w14:textFill>
                  <w14:solidFill>
                    <w14:schemeClr w14:val="tx1"/>
                  </w14:solidFill>
                </w14:textFill>
              </w:rPr>
            </w:pPr>
          </w:p>
        </w:tc>
      </w:tr>
      <w:tr w14:paraId="277A7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417" w:type="pct"/>
            <w:vAlign w:val="center"/>
          </w:tcPr>
          <w:p w14:paraId="4E3B6CF4">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08" w:type="pct"/>
            <w:vAlign w:val="center"/>
          </w:tcPr>
          <w:p w14:paraId="7BA2A573">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062" w:type="pct"/>
          </w:tcPr>
          <w:p w14:paraId="177FDB8D">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722" w:type="pct"/>
          </w:tcPr>
          <w:p w14:paraId="2348B5B0">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847" w:type="pct"/>
            <w:vAlign w:val="center"/>
          </w:tcPr>
          <w:p w14:paraId="512442EA">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842" w:type="pct"/>
            <w:vAlign w:val="center"/>
          </w:tcPr>
          <w:p w14:paraId="1DDF52CD">
            <w:pPr>
              <w:pStyle w:val="261"/>
              <w:ind w:firstLine="0"/>
              <w:jc w:val="center"/>
              <w:rPr>
                <w:rFonts w:hint="eastAsia" w:hAnsi="宋体" w:cs="宋体"/>
                <w:color w:val="000000" w:themeColor="text1"/>
                <w:sz w:val="21"/>
                <w:szCs w:val="21"/>
                <w:highlight w:val="none"/>
                <w14:textFill>
                  <w14:solidFill>
                    <w14:schemeClr w14:val="tx1"/>
                  </w14:solidFill>
                </w14:textFill>
              </w:rPr>
            </w:pPr>
          </w:p>
        </w:tc>
      </w:tr>
      <w:tr w14:paraId="2E7D5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417" w:type="pct"/>
            <w:vAlign w:val="center"/>
          </w:tcPr>
          <w:p w14:paraId="1A07AC00">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08" w:type="pct"/>
            <w:vAlign w:val="center"/>
          </w:tcPr>
          <w:p w14:paraId="34E906DD">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062" w:type="pct"/>
          </w:tcPr>
          <w:p w14:paraId="45C12CF7">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722" w:type="pct"/>
          </w:tcPr>
          <w:p w14:paraId="508E9B9C">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847" w:type="pct"/>
            <w:vAlign w:val="center"/>
          </w:tcPr>
          <w:p w14:paraId="5237E798">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842" w:type="pct"/>
            <w:vAlign w:val="center"/>
          </w:tcPr>
          <w:p w14:paraId="322A6B5B">
            <w:pPr>
              <w:pStyle w:val="261"/>
              <w:ind w:firstLine="0"/>
              <w:jc w:val="center"/>
              <w:rPr>
                <w:rFonts w:hint="eastAsia" w:hAnsi="宋体" w:cs="宋体"/>
                <w:color w:val="000000" w:themeColor="text1"/>
                <w:sz w:val="21"/>
                <w:szCs w:val="21"/>
                <w:highlight w:val="none"/>
                <w14:textFill>
                  <w14:solidFill>
                    <w14:schemeClr w14:val="tx1"/>
                  </w14:solidFill>
                </w14:textFill>
              </w:rPr>
            </w:pPr>
          </w:p>
        </w:tc>
      </w:tr>
    </w:tbl>
    <w:p w14:paraId="07870F02">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p>
    <w:p w14:paraId="5D1CEA79">
      <w:pPr>
        <w:tabs>
          <w:tab w:val="left" w:pos="6045"/>
        </w:tabs>
        <w:spacing w:line="360" w:lineRule="auto"/>
        <w:ind w:firstLine="372"/>
        <w:jc w:val="center"/>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投标人名称（公章）：</w:t>
      </w:r>
    </w:p>
    <w:p w14:paraId="54864456">
      <w:pPr>
        <w:spacing w:line="360" w:lineRule="auto"/>
        <w:ind w:right="420" w:firstLine="372"/>
        <w:jc w:val="center"/>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p>
    <w:p w14:paraId="7B5D5E93">
      <w:pPr>
        <w:spacing w:line="360" w:lineRule="auto"/>
        <w:ind w:right="420" w:firstLine="372"/>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p>
    <w:p w14:paraId="433201A4">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p>
    <w:p w14:paraId="61490914">
      <w:pPr>
        <w:pStyle w:val="38"/>
        <w:spacing w:line="360" w:lineRule="exact"/>
        <w:rPr>
          <w:rFonts w:hint="eastAsia" w:ascii="宋体" w:hAnsi="宋体" w:cs="宋体"/>
          <w:b/>
          <w:bCs/>
          <w:color w:val="000000" w:themeColor="text1"/>
          <w:highlight w:val="none"/>
          <w14:textFill>
            <w14:solidFill>
              <w14:schemeClr w14:val="tx1"/>
            </w14:solidFill>
          </w14:textFill>
        </w:rPr>
      </w:pPr>
    </w:p>
    <w:p w14:paraId="51A5C2DC">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p>
    <w:p w14:paraId="420F0835">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p>
    <w:p w14:paraId="4939836B">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w:t>
      </w:r>
    </w:p>
    <w:p w14:paraId="7113515E">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1. 投标人须根据招标文件技术条款要求填写此表，作为投标文件的组成部分。</w:t>
      </w:r>
    </w:p>
    <w:p w14:paraId="58155EBC">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2. 投标人应按照招标文件第四章“采购需求”的要求，对相关技术参数逐项响应，需要在备注中标明证明材料在投标文件中的页码，否则评审时将不予认可。</w:t>
      </w:r>
    </w:p>
    <w:p w14:paraId="6A61DAD9">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3. 偏离包括正、负偏离，正偏离指投标人的响应优于招标文件要求，负偏离指投标人的响应低于招标文件要求。</w:t>
      </w:r>
    </w:p>
    <w:p w14:paraId="3F65EA68">
      <w:pPr>
        <w:pStyle w:val="38"/>
        <w:spacing w:line="360" w:lineRule="exact"/>
        <w:ind w:firstLine="373"/>
        <w:rPr>
          <w:rFonts w:hint="eastAsia"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4.行数不够，投标人请自行增加</w:t>
      </w:r>
    </w:p>
    <w:p w14:paraId="255A0438">
      <w:pPr>
        <w:pStyle w:val="17"/>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p>
    <w:p w14:paraId="1ECD93CE">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（2）用于本项目产品技术参数证明文件</w:t>
      </w:r>
    </w:p>
    <w:p w14:paraId="6A4818E9">
      <w:pPr>
        <w:pBdr>
          <w:top w:val="none" w:color="000000" w:sz="0" w:space="0"/>
          <w:left w:val="none" w:color="000000" w:sz="0" w:space="0"/>
          <w:bottom w:val="none" w:color="000000" w:sz="0" w:space="0"/>
          <w:right w:val="none" w:color="000000" w:sz="0" w:space="0"/>
        </w:pBdr>
        <w:spacing w:after="156" w:line="439" w:lineRule="atLeast"/>
        <w:jc w:val="center"/>
        <w:rPr>
          <w:rFonts w:hint="eastAsia" w:ascii="宋体" w:hAnsi="宋体" w:cs="宋体"/>
          <w:bCs/>
          <w:color w:val="000000" w:themeColor="text1"/>
          <w:sz w:val="24"/>
          <w:highlight w:val="none"/>
          <w14:textFill>
            <w14:solidFill>
              <w14:schemeClr w14:val="tx1"/>
            </w14:solidFill>
          </w14:textFill>
        </w:rPr>
      </w:pPr>
    </w:p>
    <w:p w14:paraId="04BE9768">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4AD2FBA9">
      <w:pPr>
        <w:pStyle w:val="13"/>
        <w:rPr>
          <w:color w:val="000000" w:themeColor="text1"/>
          <w:highlight w:val="none"/>
          <w14:textFill>
            <w14:solidFill>
              <w14:schemeClr w14:val="tx1"/>
            </w14:solidFill>
          </w14:textFill>
        </w:rPr>
      </w:pPr>
    </w:p>
    <w:p w14:paraId="7F4E1580">
      <w:pPr>
        <w:pStyle w:val="40"/>
        <w:spacing w:before="0"/>
        <w:ind w:left="114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（3）需求响应方案</w:t>
      </w:r>
    </w:p>
    <w:p w14:paraId="4864915D">
      <w:pPr>
        <w:ind w:firstLine="372"/>
        <w:rPr>
          <w:rFonts w:hint="eastAsia" w:ascii="宋体" w:hAnsi="宋体" w:cs="宋体"/>
          <w:color w:val="000000" w:themeColor="text1"/>
          <w:highlight w:val="none"/>
          <w14:textFill>
            <w14:solidFill>
              <w14:schemeClr w14:val="tx1"/>
            </w14:solidFill>
          </w14:textFill>
        </w:rPr>
      </w:pPr>
    </w:p>
    <w:p w14:paraId="52CFA87C">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格式自拟。</w:t>
      </w:r>
    </w:p>
    <w:p w14:paraId="193B9F7B">
      <w:pPr>
        <w:pStyle w:val="261"/>
        <w:ind w:firstLine="400"/>
        <w:rPr>
          <w:rFonts w:hint="eastAsia" w:hAnsi="宋体" w:cs="宋体"/>
          <w:color w:val="000000" w:themeColor="text1"/>
          <w:highlight w:val="none"/>
          <w14:textFill>
            <w14:solidFill>
              <w14:schemeClr w14:val="tx1"/>
            </w14:solidFill>
          </w14:textFill>
        </w:rPr>
      </w:pPr>
    </w:p>
    <w:p w14:paraId="7608DB69">
      <w:pPr>
        <w:pStyle w:val="261"/>
        <w:ind w:firstLine="400"/>
        <w:rPr>
          <w:rFonts w:hint="eastAsia" w:hAnsi="宋体" w:cs="宋体"/>
          <w:color w:val="000000" w:themeColor="text1"/>
          <w:highlight w:val="none"/>
          <w14:textFill>
            <w14:solidFill>
              <w14:schemeClr w14:val="tx1"/>
            </w14:solidFill>
          </w14:textFill>
        </w:rPr>
      </w:pPr>
    </w:p>
    <w:p w14:paraId="191A922B">
      <w:pPr>
        <w:pStyle w:val="40"/>
        <w:spacing w:before="0" w:line="480" w:lineRule="auto"/>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33" w:name="_Toc104560919"/>
      <w:bookmarkStart w:id="334" w:name="_Toc107246302"/>
      <w:bookmarkStart w:id="335" w:name="_Toc103848602"/>
      <w:r>
        <w:rPr>
          <w:rFonts w:hint="eastAsia" w:ascii="宋体" w:hAnsi="宋体" w:cs="宋体"/>
          <w:bCs w:val="0"/>
          <w:color w:val="000000" w:themeColor="text1"/>
          <w:sz w:val="24"/>
          <w:szCs w:val="24"/>
          <w:highlight w:val="none"/>
          <w14:textFill>
            <w14:solidFill>
              <w14:schemeClr w14:val="tx1"/>
            </w14:solidFill>
          </w14:textFill>
        </w:rPr>
        <w:t>（4）投标人服务承诺</w:t>
      </w:r>
      <w:bookmarkEnd w:id="333"/>
      <w:bookmarkEnd w:id="334"/>
      <w:bookmarkEnd w:id="335"/>
      <w:r>
        <w:rPr>
          <w:rFonts w:hint="eastAsia" w:ascii="宋体" w:hAnsi="宋体" w:cs="宋体"/>
          <w:bCs w:val="0"/>
          <w:color w:val="000000" w:themeColor="text1"/>
          <w:sz w:val="24"/>
          <w:szCs w:val="24"/>
          <w:highlight w:val="none"/>
          <w14:textFill>
            <w14:solidFill>
              <w14:schemeClr w14:val="tx1"/>
            </w14:solidFill>
          </w14:textFill>
        </w:rPr>
        <w:t>（如需，格式自拟）</w:t>
      </w:r>
    </w:p>
    <w:p w14:paraId="0D8474E7">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36" w:name="_Toc107246303"/>
      <w:bookmarkStart w:id="337" w:name="_Toc104560920"/>
      <w:bookmarkStart w:id="338" w:name="_Toc103848603"/>
      <w:r>
        <w:rPr>
          <w:rFonts w:hint="eastAsia" w:ascii="宋体" w:hAnsi="宋体" w:cs="宋体"/>
          <w:bCs w:val="0"/>
          <w:color w:val="000000" w:themeColor="text1"/>
          <w:sz w:val="24"/>
          <w:szCs w:val="24"/>
          <w:highlight w:val="none"/>
          <w14:textFill>
            <w14:solidFill>
              <w14:schemeClr w14:val="tx1"/>
            </w14:solidFill>
          </w14:textFill>
        </w:rPr>
        <w:t>（5）用于本项目人员简历表</w:t>
      </w:r>
      <w:bookmarkEnd w:id="336"/>
      <w:bookmarkEnd w:id="337"/>
      <w:bookmarkEnd w:id="338"/>
    </w:p>
    <w:p w14:paraId="27AA6710">
      <w:pPr>
        <w:pStyle w:val="261"/>
        <w:ind w:firstLine="400"/>
        <w:rPr>
          <w:rFonts w:hint="eastAsia" w:hAnsi="宋体" w:cs="宋体"/>
          <w:color w:val="000000" w:themeColor="text1"/>
          <w:highlight w:val="none"/>
          <w14:textFill>
            <w14:solidFill>
              <w14:schemeClr w14:val="tx1"/>
            </w14:solidFill>
          </w14:textFill>
        </w:rPr>
      </w:pPr>
    </w:p>
    <w:tbl>
      <w:tblPr>
        <w:tblStyle w:val="43"/>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6"/>
        <w:gridCol w:w="1656"/>
        <w:gridCol w:w="1866"/>
        <w:gridCol w:w="2286"/>
      </w:tblGrid>
      <w:tr w14:paraId="72CA7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74D981A7">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姓名</w:t>
            </w:r>
          </w:p>
        </w:tc>
        <w:tc>
          <w:tcPr>
            <w:tcW w:w="1656" w:type="dxa"/>
            <w:vAlign w:val="center"/>
          </w:tcPr>
          <w:p w14:paraId="065C17D2">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40B7A7B8">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性别</w:t>
            </w:r>
          </w:p>
        </w:tc>
        <w:tc>
          <w:tcPr>
            <w:tcW w:w="2286" w:type="dxa"/>
            <w:vAlign w:val="center"/>
          </w:tcPr>
          <w:p w14:paraId="0D6EB84F">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4D1CC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6F24A75A">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职务</w:t>
            </w:r>
          </w:p>
        </w:tc>
        <w:tc>
          <w:tcPr>
            <w:tcW w:w="1656" w:type="dxa"/>
            <w:vAlign w:val="center"/>
          </w:tcPr>
          <w:p w14:paraId="322CD13F">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70CF764C">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职称</w:t>
            </w:r>
          </w:p>
        </w:tc>
        <w:tc>
          <w:tcPr>
            <w:tcW w:w="2286" w:type="dxa"/>
            <w:vAlign w:val="center"/>
          </w:tcPr>
          <w:p w14:paraId="4CE2BB4C">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05E18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5972ACE7">
            <w:pPr>
              <w:pStyle w:val="26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毕业学校、专业</w:t>
            </w:r>
          </w:p>
        </w:tc>
        <w:tc>
          <w:tcPr>
            <w:tcW w:w="5808" w:type="dxa"/>
            <w:gridSpan w:val="3"/>
            <w:vAlign w:val="center"/>
          </w:tcPr>
          <w:p w14:paraId="5308C020">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0415E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6B12193E">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身份证号</w:t>
            </w:r>
          </w:p>
        </w:tc>
        <w:tc>
          <w:tcPr>
            <w:tcW w:w="1656" w:type="dxa"/>
            <w:vAlign w:val="center"/>
          </w:tcPr>
          <w:p w14:paraId="2E857105">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15F2BD53">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拟在本项目任职</w:t>
            </w:r>
          </w:p>
        </w:tc>
        <w:tc>
          <w:tcPr>
            <w:tcW w:w="2286" w:type="dxa"/>
            <w:vAlign w:val="center"/>
          </w:tcPr>
          <w:p w14:paraId="36D28578">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33791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3D5E54F6">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执业资格证</w:t>
            </w:r>
          </w:p>
        </w:tc>
        <w:tc>
          <w:tcPr>
            <w:tcW w:w="1656" w:type="dxa"/>
            <w:vAlign w:val="center"/>
          </w:tcPr>
          <w:p w14:paraId="5591335A">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7DECD5D9">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执业资格证书号</w:t>
            </w:r>
          </w:p>
        </w:tc>
        <w:tc>
          <w:tcPr>
            <w:tcW w:w="2286" w:type="dxa"/>
            <w:vAlign w:val="center"/>
          </w:tcPr>
          <w:p w14:paraId="1AA26D0B">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0C675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04" w:type="dxa"/>
            <w:gridSpan w:val="4"/>
            <w:vAlign w:val="center"/>
          </w:tcPr>
          <w:p w14:paraId="31FF7D86">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近____年承担项目情况</w:t>
            </w:r>
          </w:p>
        </w:tc>
      </w:tr>
      <w:tr w14:paraId="6667B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1314E980">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时间</w:t>
            </w:r>
          </w:p>
        </w:tc>
        <w:tc>
          <w:tcPr>
            <w:tcW w:w="1656" w:type="dxa"/>
            <w:vAlign w:val="center"/>
          </w:tcPr>
          <w:p w14:paraId="3DFAA358">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类似项目名称</w:t>
            </w:r>
          </w:p>
        </w:tc>
        <w:tc>
          <w:tcPr>
            <w:tcW w:w="1866" w:type="dxa"/>
            <w:vAlign w:val="center"/>
          </w:tcPr>
          <w:p w14:paraId="53C857B0">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担任职务</w:t>
            </w:r>
          </w:p>
        </w:tc>
        <w:tc>
          <w:tcPr>
            <w:tcW w:w="2286" w:type="dxa"/>
            <w:vAlign w:val="center"/>
          </w:tcPr>
          <w:p w14:paraId="3597451F">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项目单位名称及电话</w:t>
            </w:r>
          </w:p>
        </w:tc>
      </w:tr>
      <w:tr w14:paraId="12299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6F2809F5">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vAlign w:val="center"/>
          </w:tcPr>
          <w:p w14:paraId="47B8FBA7">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081454BB">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vAlign w:val="center"/>
          </w:tcPr>
          <w:p w14:paraId="346AE0B5">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1D5A6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43017764">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vAlign w:val="center"/>
          </w:tcPr>
          <w:p w14:paraId="2E794E19">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2F607F30">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vAlign w:val="center"/>
          </w:tcPr>
          <w:p w14:paraId="5DB220E3">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71E8B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4F8986F8">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vAlign w:val="center"/>
          </w:tcPr>
          <w:p w14:paraId="4334FD47">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1EBF2388">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vAlign w:val="center"/>
          </w:tcPr>
          <w:p w14:paraId="2C708041">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5D5C0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1B383A15">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vAlign w:val="center"/>
          </w:tcPr>
          <w:p w14:paraId="6F49603B">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11CA58E6">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vAlign w:val="center"/>
          </w:tcPr>
          <w:p w14:paraId="464B3313">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62C1A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4B60B446">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vAlign w:val="center"/>
          </w:tcPr>
          <w:p w14:paraId="1AAAA1FB">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2AD69070">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vAlign w:val="center"/>
          </w:tcPr>
          <w:p w14:paraId="3D59DD12">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633DA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718AD26C">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vAlign w:val="center"/>
          </w:tcPr>
          <w:p w14:paraId="2206AB8C">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22FC25D3">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vAlign w:val="center"/>
          </w:tcPr>
          <w:p w14:paraId="2CA7A206">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6B166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58E763D8">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vAlign w:val="center"/>
          </w:tcPr>
          <w:p w14:paraId="6804B34F">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5B2CA982">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vAlign w:val="center"/>
          </w:tcPr>
          <w:p w14:paraId="0D1C996A">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40B76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72B83836">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vAlign w:val="center"/>
          </w:tcPr>
          <w:p w14:paraId="25616822">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7BE3EFCE">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vAlign w:val="center"/>
          </w:tcPr>
          <w:p w14:paraId="1E555514">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66B35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544F9CDE">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vAlign w:val="center"/>
          </w:tcPr>
          <w:p w14:paraId="10DF3625">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66F6A79D">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vAlign w:val="center"/>
          </w:tcPr>
          <w:p w14:paraId="4B2D71C6">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073BF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55245A01">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vAlign w:val="center"/>
          </w:tcPr>
          <w:p w14:paraId="306D734D">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2FDF109F">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vAlign w:val="center"/>
          </w:tcPr>
          <w:p w14:paraId="1AAA09D7">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3B126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6F36DF11">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vAlign w:val="center"/>
          </w:tcPr>
          <w:p w14:paraId="1D4960B2">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06A8F688">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vAlign w:val="center"/>
          </w:tcPr>
          <w:p w14:paraId="7689498E">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bl>
    <w:p w14:paraId="7E8FCEEC">
      <w:pPr>
        <w:pStyle w:val="261"/>
        <w:ind w:firstLine="400"/>
        <w:rPr>
          <w:rFonts w:hint="eastAsia" w:hAnsi="宋体" w:cs="宋体"/>
          <w:color w:val="000000" w:themeColor="text1"/>
          <w:highlight w:val="none"/>
          <w14:textFill>
            <w14:solidFill>
              <w14:schemeClr w14:val="tx1"/>
            </w14:solidFill>
          </w14:textFill>
        </w:rPr>
      </w:pPr>
    </w:p>
    <w:p w14:paraId="02E43C9E">
      <w:pPr>
        <w:pStyle w:val="261"/>
        <w:ind w:firstLine="400"/>
        <w:rPr>
          <w:rFonts w:hint="eastAsia" w:hAnsi="宋体" w:cs="宋体"/>
          <w:color w:val="000000" w:themeColor="text1"/>
          <w:highlight w:val="none"/>
          <w14:textFill>
            <w14:solidFill>
              <w14:schemeClr w14:val="tx1"/>
            </w14:solidFill>
          </w14:textFill>
        </w:rPr>
      </w:pPr>
    </w:p>
    <w:p w14:paraId="77FFF93B">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p>
    <w:p w14:paraId="70BB0BD5">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（6）拟投入本项目人员情况表</w:t>
      </w:r>
    </w:p>
    <w:p w14:paraId="735ACD5B">
      <w:pPr>
        <w:pStyle w:val="26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项目名称：南京鼓楼医院3D外视镜系统采购项目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p>
    <w:p w14:paraId="238F60D3">
      <w:pPr>
        <w:pStyle w:val="261"/>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项目编号：</w:t>
      </w:r>
      <w:r>
        <w:rPr>
          <w:rFonts w:hint="eastAsia" w:hAnsi="宋体" w:cs="宋体"/>
          <w:color w:val="000000" w:themeColor="text1"/>
          <w:sz w:val="21"/>
          <w:szCs w:val="21"/>
          <w:highlight w:val="none"/>
          <w:lang w:eastAsia="zh-CN"/>
          <w14:textFill>
            <w14:solidFill>
              <w14:schemeClr w14:val="tx1"/>
            </w14:solidFill>
          </w14:textFill>
        </w:rPr>
        <w:t>JSZC-320100-JITC-G2026-0298</w:t>
      </w:r>
    </w:p>
    <w:tbl>
      <w:tblPr>
        <w:tblStyle w:val="43"/>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488"/>
        <w:gridCol w:w="1627"/>
        <w:gridCol w:w="915"/>
        <w:gridCol w:w="1698"/>
        <w:gridCol w:w="1564"/>
      </w:tblGrid>
      <w:tr w14:paraId="2708B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901" w:type="dxa"/>
            <w:noWrap/>
            <w:vAlign w:val="center"/>
          </w:tcPr>
          <w:p w14:paraId="7268B1E7">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1488" w:type="dxa"/>
            <w:noWrap/>
            <w:vAlign w:val="center"/>
          </w:tcPr>
          <w:p w14:paraId="453AED81">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岗位</w:t>
            </w:r>
          </w:p>
        </w:tc>
        <w:tc>
          <w:tcPr>
            <w:tcW w:w="1627" w:type="dxa"/>
            <w:noWrap/>
            <w:vAlign w:val="center"/>
          </w:tcPr>
          <w:p w14:paraId="0762A845">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p>
        </w:tc>
        <w:tc>
          <w:tcPr>
            <w:tcW w:w="915" w:type="dxa"/>
            <w:noWrap/>
            <w:vAlign w:val="center"/>
          </w:tcPr>
          <w:p w14:paraId="7AC25386">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年龄</w:t>
            </w:r>
          </w:p>
        </w:tc>
        <w:tc>
          <w:tcPr>
            <w:tcW w:w="1698" w:type="dxa"/>
            <w:noWrap/>
            <w:vAlign w:val="center"/>
          </w:tcPr>
          <w:p w14:paraId="02FF7E48">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职称/证书</w:t>
            </w:r>
          </w:p>
        </w:tc>
        <w:tc>
          <w:tcPr>
            <w:tcW w:w="1564" w:type="dxa"/>
            <w:noWrap/>
            <w:vAlign w:val="center"/>
          </w:tcPr>
          <w:p w14:paraId="756460A0">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p>
        </w:tc>
      </w:tr>
      <w:tr w14:paraId="23D47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29A4053E">
            <w:pPr>
              <w:spacing w:line="360" w:lineRule="auto"/>
              <w:rPr>
                <w:rFonts w:hint="eastAsia" w:ascii="宋体" w:hAnsi="宋体" w:cs="宋体"/>
                <w:color w:val="000000" w:themeColor="text1"/>
                <w:sz w:val="24"/>
                <w:highlight w:val="none"/>
                <w14:textFill>
                  <w14:solidFill>
                    <w14:schemeClr w14:val="tx1"/>
                  </w14:solidFill>
                </w14:textFill>
              </w:rPr>
            </w:pPr>
          </w:p>
        </w:tc>
        <w:tc>
          <w:tcPr>
            <w:tcW w:w="1488" w:type="dxa"/>
            <w:noWrap/>
          </w:tcPr>
          <w:p w14:paraId="317F73F7">
            <w:pPr>
              <w:spacing w:line="360" w:lineRule="auto"/>
              <w:rPr>
                <w:rFonts w:hint="eastAsia" w:ascii="宋体" w:hAnsi="宋体" w:cs="宋体"/>
                <w:color w:val="000000" w:themeColor="text1"/>
                <w:sz w:val="24"/>
                <w:highlight w:val="none"/>
                <w14:textFill>
                  <w14:solidFill>
                    <w14:schemeClr w14:val="tx1"/>
                  </w14:solidFill>
                </w14:textFill>
              </w:rPr>
            </w:pPr>
          </w:p>
        </w:tc>
        <w:tc>
          <w:tcPr>
            <w:tcW w:w="1627" w:type="dxa"/>
            <w:noWrap/>
          </w:tcPr>
          <w:p w14:paraId="67EEC944">
            <w:pPr>
              <w:spacing w:line="360" w:lineRule="auto"/>
              <w:rPr>
                <w:rFonts w:hint="eastAsia" w:ascii="宋体" w:hAnsi="宋体" w:cs="宋体"/>
                <w:color w:val="000000" w:themeColor="text1"/>
                <w:sz w:val="24"/>
                <w:highlight w:val="none"/>
                <w14:textFill>
                  <w14:solidFill>
                    <w14:schemeClr w14:val="tx1"/>
                  </w14:solidFill>
                </w14:textFill>
              </w:rPr>
            </w:pPr>
          </w:p>
        </w:tc>
        <w:tc>
          <w:tcPr>
            <w:tcW w:w="915" w:type="dxa"/>
            <w:noWrap/>
          </w:tcPr>
          <w:p w14:paraId="2F413916">
            <w:pPr>
              <w:spacing w:line="360" w:lineRule="auto"/>
              <w:rPr>
                <w:rFonts w:hint="eastAsia" w:ascii="宋体" w:hAnsi="宋体" w:cs="宋体"/>
                <w:color w:val="000000" w:themeColor="text1"/>
                <w:sz w:val="24"/>
                <w:highlight w:val="none"/>
                <w14:textFill>
                  <w14:solidFill>
                    <w14:schemeClr w14:val="tx1"/>
                  </w14:solidFill>
                </w14:textFill>
              </w:rPr>
            </w:pPr>
          </w:p>
        </w:tc>
        <w:tc>
          <w:tcPr>
            <w:tcW w:w="1698" w:type="dxa"/>
            <w:noWrap/>
            <w:vAlign w:val="center"/>
          </w:tcPr>
          <w:p w14:paraId="2FD9E08F">
            <w:pPr>
              <w:spacing w:line="360" w:lineRule="auto"/>
              <w:rPr>
                <w:rFonts w:hint="eastAsia" w:ascii="宋体" w:hAnsi="宋体" w:cs="宋体"/>
                <w:color w:val="000000" w:themeColor="text1"/>
                <w:sz w:val="24"/>
                <w:highlight w:val="none"/>
                <w14:textFill>
                  <w14:solidFill>
                    <w14:schemeClr w14:val="tx1"/>
                  </w14:solidFill>
                </w14:textFill>
              </w:rPr>
            </w:pPr>
          </w:p>
        </w:tc>
        <w:tc>
          <w:tcPr>
            <w:tcW w:w="1564" w:type="dxa"/>
            <w:noWrap/>
            <w:vAlign w:val="center"/>
          </w:tcPr>
          <w:p w14:paraId="59FDBF29">
            <w:pPr>
              <w:spacing w:line="360" w:lineRule="auto"/>
              <w:rPr>
                <w:rFonts w:hint="eastAsia" w:ascii="宋体" w:hAnsi="宋体" w:cs="宋体"/>
                <w:color w:val="000000" w:themeColor="text1"/>
                <w:sz w:val="24"/>
                <w:highlight w:val="none"/>
                <w14:textFill>
                  <w14:solidFill>
                    <w14:schemeClr w14:val="tx1"/>
                  </w14:solidFill>
                </w14:textFill>
              </w:rPr>
            </w:pPr>
          </w:p>
        </w:tc>
      </w:tr>
      <w:tr w14:paraId="1E93E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3D374DCE">
            <w:pPr>
              <w:spacing w:line="360" w:lineRule="auto"/>
              <w:rPr>
                <w:rFonts w:hint="eastAsia" w:ascii="宋体" w:hAnsi="宋体" w:cs="宋体"/>
                <w:color w:val="000000" w:themeColor="text1"/>
                <w:sz w:val="24"/>
                <w:highlight w:val="none"/>
                <w14:textFill>
                  <w14:solidFill>
                    <w14:schemeClr w14:val="tx1"/>
                  </w14:solidFill>
                </w14:textFill>
              </w:rPr>
            </w:pPr>
          </w:p>
        </w:tc>
        <w:tc>
          <w:tcPr>
            <w:tcW w:w="1488" w:type="dxa"/>
            <w:noWrap/>
            <w:vAlign w:val="center"/>
          </w:tcPr>
          <w:p w14:paraId="4710F6C1">
            <w:pPr>
              <w:spacing w:line="360" w:lineRule="auto"/>
              <w:rPr>
                <w:rFonts w:hint="eastAsia" w:ascii="宋体" w:hAnsi="宋体" w:cs="宋体"/>
                <w:color w:val="000000" w:themeColor="text1"/>
                <w:sz w:val="24"/>
                <w:highlight w:val="none"/>
                <w14:textFill>
                  <w14:solidFill>
                    <w14:schemeClr w14:val="tx1"/>
                  </w14:solidFill>
                </w14:textFill>
              </w:rPr>
            </w:pPr>
          </w:p>
        </w:tc>
        <w:tc>
          <w:tcPr>
            <w:tcW w:w="1627" w:type="dxa"/>
            <w:noWrap/>
            <w:vAlign w:val="center"/>
          </w:tcPr>
          <w:p w14:paraId="71EFA097">
            <w:pPr>
              <w:spacing w:line="360" w:lineRule="auto"/>
              <w:rPr>
                <w:rFonts w:hint="eastAsia" w:ascii="宋体" w:hAnsi="宋体" w:cs="宋体"/>
                <w:color w:val="000000" w:themeColor="text1"/>
                <w:sz w:val="24"/>
                <w:highlight w:val="none"/>
                <w14:textFill>
                  <w14:solidFill>
                    <w14:schemeClr w14:val="tx1"/>
                  </w14:solidFill>
                </w14:textFill>
              </w:rPr>
            </w:pPr>
          </w:p>
        </w:tc>
        <w:tc>
          <w:tcPr>
            <w:tcW w:w="915" w:type="dxa"/>
            <w:noWrap/>
            <w:vAlign w:val="center"/>
          </w:tcPr>
          <w:p w14:paraId="4EAB795A">
            <w:pPr>
              <w:spacing w:line="360" w:lineRule="auto"/>
              <w:rPr>
                <w:rFonts w:hint="eastAsia" w:ascii="宋体" w:hAnsi="宋体" w:cs="宋体"/>
                <w:color w:val="000000" w:themeColor="text1"/>
                <w:sz w:val="24"/>
                <w:highlight w:val="none"/>
                <w14:textFill>
                  <w14:solidFill>
                    <w14:schemeClr w14:val="tx1"/>
                  </w14:solidFill>
                </w14:textFill>
              </w:rPr>
            </w:pPr>
          </w:p>
        </w:tc>
        <w:tc>
          <w:tcPr>
            <w:tcW w:w="1698" w:type="dxa"/>
            <w:noWrap/>
            <w:vAlign w:val="center"/>
          </w:tcPr>
          <w:p w14:paraId="083EC3EF">
            <w:pPr>
              <w:spacing w:line="360" w:lineRule="auto"/>
              <w:rPr>
                <w:rFonts w:hint="eastAsia" w:ascii="宋体" w:hAnsi="宋体" w:cs="宋体"/>
                <w:color w:val="000000" w:themeColor="text1"/>
                <w:sz w:val="24"/>
                <w:highlight w:val="none"/>
                <w14:textFill>
                  <w14:solidFill>
                    <w14:schemeClr w14:val="tx1"/>
                  </w14:solidFill>
                </w14:textFill>
              </w:rPr>
            </w:pPr>
          </w:p>
        </w:tc>
        <w:tc>
          <w:tcPr>
            <w:tcW w:w="1564" w:type="dxa"/>
            <w:noWrap/>
            <w:vAlign w:val="center"/>
          </w:tcPr>
          <w:p w14:paraId="5ADD9B89">
            <w:pPr>
              <w:spacing w:line="360" w:lineRule="auto"/>
              <w:rPr>
                <w:rFonts w:hint="eastAsia" w:ascii="宋体" w:hAnsi="宋体" w:cs="宋体"/>
                <w:color w:val="000000" w:themeColor="text1"/>
                <w:sz w:val="24"/>
                <w:highlight w:val="none"/>
                <w14:textFill>
                  <w14:solidFill>
                    <w14:schemeClr w14:val="tx1"/>
                  </w14:solidFill>
                </w14:textFill>
              </w:rPr>
            </w:pPr>
          </w:p>
        </w:tc>
      </w:tr>
      <w:tr w14:paraId="46BE8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26C08E46">
            <w:pPr>
              <w:spacing w:line="360" w:lineRule="auto"/>
              <w:rPr>
                <w:rFonts w:hint="eastAsia" w:ascii="宋体" w:hAnsi="宋体" w:cs="宋体"/>
                <w:color w:val="000000" w:themeColor="text1"/>
                <w:sz w:val="24"/>
                <w:highlight w:val="none"/>
                <w14:textFill>
                  <w14:solidFill>
                    <w14:schemeClr w14:val="tx1"/>
                  </w14:solidFill>
                </w14:textFill>
              </w:rPr>
            </w:pPr>
          </w:p>
        </w:tc>
        <w:tc>
          <w:tcPr>
            <w:tcW w:w="1488" w:type="dxa"/>
            <w:noWrap/>
            <w:vAlign w:val="center"/>
          </w:tcPr>
          <w:p w14:paraId="11D634C0">
            <w:pPr>
              <w:spacing w:line="360" w:lineRule="auto"/>
              <w:rPr>
                <w:rFonts w:hint="eastAsia" w:ascii="宋体" w:hAnsi="宋体" w:cs="宋体"/>
                <w:color w:val="000000" w:themeColor="text1"/>
                <w:sz w:val="24"/>
                <w:highlight w:val="none"/>
                <w14:textFill>
                  <w14:solidFill>
                    <w14:schemeClr w14:val="tx1"/>
                  </w14:solidFill>
                </w14:textFill>
              </w:rPr>
            </w:pPr>
          </w:p>
        </w:tc>
        <w:tc>
          <w:tcPr>
            <w:tcW w:w="1627" w:type="dxa"/>
            <w:noWrap/>
            <w:vAlign w:val="center"/>
          </w:tcPr>
          <w:p w14:paraId="12B01FE0">
            <w:pPr>
              <w:spacing w:line="360" w:lineRule="auto"/>
              <w:rPr>
                <w:rFonts w:hint="eastAsia" w:ascii="宋体" w:hAnsi="宋体" w:cs="宋体"/>
                <w:color w:val="000000" w:themeColor="text1"/>
                <w:sz w:val="24"/>
                <w:highlight w:val="none"/>
                <w14:textFill>
                  <w14:solidFill>
                    <w14:schemeClr w14:val="tx1"/>
                  </w14:solidFill>
                </w14:textFill>
              </w:rPr>
            </w:pPr>
          </w:p>
        </w:tc>
        <w:tc>
          <w:tcPr>
            <w:tcW w:w="915" w:type="dxa"/>
            <w:noWrap/>
            <w:vAlign w:val="center"/>
          </w:tcPr>
          <w:p w14:paraId="187FFA5C">
            <w:pPr>
              <w:spacing w:line="360" w:lineRule="auto"/>
              <w:rPr>
                <w:rFonts w:hint="eastAsia" w:ascii="宋体" w:hAnsi="宋体" w:cs="宋体"/>
                <w:color w:val="000000" w:themeColor="text1"/>
                <w:sz w:val="24"/>
                <w:highlight w:val="none"/>
                <w14:textFill>
                  <w14:solidFill>
                    <w14:schemeClr w14:val="tx1"/>
                  </w14:solidFill>
                </w14:textFill>
              </w:rPr>
            </w:pPr>
          </w:p>
        </w:tc>
        <w:tc>
          <w:tcPr>
            <w:tcW w:w="1698" w:type="dxa"/>
            <w:noWrap/>
            <w:vAlign w:val="center"/>
          </w:tcPr>
          <w:p w14:paraId="7CD11C63">
            <w:pPr>
              <w:spacing w:line="360" w:lineRule="auto"/>
              <w:rPr>
                <w:rFonts w:hint="eastAsia" w:ascii="宋体" w:hAnsi="宋体" w:cs="宋体"/>
                <w:color w:val="000000" w:themeColor="text1"/>
                <w:sz w:val="24"/>
                <w:highlight w:val="none"/>
                <w14:textFill>
                  <w14:solidFill>
                    <w14:schemeClr w14:val="tx1"/>
                  </w14:solidFill>
                </w14:textFill>
              </w:rPr>
            </w:pPr>
          </w:p>
        </w:tc>
        <w:tc>
          <w:tcPr>
            <w:tcW w:w="1564" w:type="dxa"/>
            <w:noWrap/>
            <w:vAlign w:val="center"/>
          </w:tcPr>
          <w:p w14:paraId="11B4107A">
            <w:pPr>
              <w:spacing w:line="360" w:lineRule="auto"/>
              <w:rPr>
                <w:rFonts w:hint="eastAsia" w:ascii="宋体" w:hAnsi="宋体" w:cs="宋体"/>
                <w:color w:val="000000" w:themeColor="text1"/>
                <w:sz w:val="24"/>
                <w:highlight w:val="none"/>
                <w14:textFill>
                  <w14:solidFill>
                    <w14:schemeClr w14:val="tx1"/>
                  </w14:solidFill>
                </w14:textFill>
              </w:rPr>
            </w:pPr>
          </w:p>
        </w:tc>
      </w:tr>
      <w:tr w14:paraId="3FD73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4FBB3C0C">
            <w:pPr>
              <w:spacing w:line="360" w:lineRule="auto"/>
              <w:rPr>
                <w:rFonts w:hint="eastAsia" w:ascii="宋体" w:hAnsi="宋体" w:cs="宋体"/>
                <w:color w:val="000000" w:themeColor="text1"/>
                <w:sz w:val="24"/>
                <w:highlight w:val="none"/>
                <w14:textFill>
                  <w14:solidFill>
                    <w14:schemeClr w14:val="tx1"/>
                  </w14:solidFill>
                </w14:textFill>
              </w:rPr>
            </w:pPr>
          </w:p>
        </w:tc>
        <w:tc>
          <w:tcPr>
            <w:tcW w:w="1488" w:type="dxa"/>
            <w:noWrap/>
            <w:vAlign w:val="center"/>
          </w:tcPr>
          <w:p w14:paraId="3905EB29">
            <w:pPr>
              <w:spacing w:line="360" w:lineRule="auto"/>
              <w:rPr>
                <w:rFonts w:hint="eastAsia" w:ascii="宋体" w:hAnsi="宋体" w:cs="宋体"/>
                <w:color w:val="000000" w:themeColor="text1"/>
                <w:sz w:val="24"/>
                <w:highlight w:val="none"/>
                <w14:textFill>
                  <w14:solidFill>
                    <w14:schemeClr w14:val="tx1"/>
                  </w14:solidFill>
                </w14:textFill>
              </w:rPr>
            </w:pPr>
          </w:p>
        </w:tc>
        <w:tc>
          <w:tcPr>
            <w:tcW w:w="1627" w:type="dxa"/>
            <w:noWrap/>
            <w:vAlign w:val="center"/>
          </w:tcPr>
          <w:p w14:paraId="5F2325C0">
            <w:pPr>
              <w:spacing w:line="360" w:lineRule="auto"/>
              <w:rPr>
                <w:rFonts w:hint="eastAsia" w:ascii="宋体" w:hAnsi="宋体" w:cs="宋体"/>
                <w:color w:val="000000" w:themeColor="text1"/>
                <w:sz w:val="24"/>
                <w:highlight w:val="none"/>
                <w14:textFill>
                  <w14:solidFill>
                    <w14:schemeClr w14:val="tx1"/>
                  </w14:solidFill>
                </w14:textFill>
              </w:rPr>
            </w:pPr>
          </w:p>
        </w:tc>
        <w:tc>
          <w:tcPr>
            <w:tcW w:w="915" w:type="dxa"/>
            <w:noWrap/>
            <w:vAlign w:val="center"/>
          </w:tcPr>
          <w:p w14:paraId="3F6BF4CF">
            <w:pPr>
              <w:spacing w:line="360" w:lineRule="auto"/>
              <w:rPr>
                <w:rFonts w:hint="eastAsia" w:ascii="宋体" w:hAnsi="宋体" w:cs="宋体"/>
                <w:color w:val="000000" w:themeColor="text1"/>
                <w:sz w:val="24"/>
                <w:highlight w:val="none"/>
                <w14:textFill>
                  <w14:solidFill>
                    <w14:schemeClr w14:val="tx1"/>
                  </w14:solidFill>
                </w14:textFill>
              </w:rPr>
            </w:pPr>
          </w:p>
        </w:tc>
        <w:tc>
          <w:tcPr>
            <w:tcW w:w="1698" w:type="dxa"/>
            <w:noWrap/>
            <w:vAlign w:val="center"/>
          </w:tcPr>
          <w:p w14:paraId="0D354799">
            <w:pPr>
              <w:spacing w:line="360" w:lineRule="auto"/>
              <w:rPr>
                <w:rFonts w:hint="eastAsia" w:ascii="宋体" w:hAnsi="宋体" w:cs="宋体"/>
                <w:color w:val="000000" w:themeColor="text1"/>
                <w:sz w:val="24"/>
                <w:highlight w:val="none"/>
                <w14:textFill>
                  <w14:solidFill>
                    <w14:schemeClr w14:val="tx1"/>
                  </w14:solidFill>
                </w14:textFill>
              </w:rPr>
            </w:pPr>
          </w:p>
        </w:tc>
        <w:tc>
          <w:tcPr>
            <w:tcW w:w="1564" w:type="dxa"/>
            <w:noWrap/>
            <w:vAlign w:val="center"/>
          </w:tcPr>
          <w:p w14:paraId="65FE2AEE">
            <w:pPr>
              <w:spacing w:line="360" w:lineRule="auto"/>
              <w:rPr>
                <w:rFonts w:hint="eastAsia" w:ascii="宋体" w:hAnsi="宋体" w:cs="宋体"/>
                <w:color w:val="000000" w:themeColor="text1"/>
                <w:sz w:val="24"/>
                <w:highlight w:val="none"/>
                <w14:textFill>
                  <w14:solidFill>
                    <w14:schemeClr w14:val="tx1"/>
                  </w14:solidFill>
                </w14:textFill>
              </w:rPr>
            </w:pPr>
          </w:p>
        </w:tc>
      </w:tr>
      <w:tr w14:paraId="01D5D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48335D50">
            <w:pPr>
              <w:spacing w:line="360" w:lineRule="auto"/>
              <w:rPr>
                <w:rFonts w:hint="eastAsia" w:ascii="宋体" w:hAnsi="宋体" w:cs="宋体"/>
                <w:color w:val="000000" w:themeColor="text1"/>
                <w:sz w:val="24"/>
                <w:highlight w:val="none"/>
                <w14:textFill>
                  <w14:solidFill>
                    <w14:schemeClr w14:val="tx1"/>
                  </w14:solidFill>
                </w14:textFill>
              </w:rPr>
            </w:pPr>
          </w:p>
        </w:tc>
        <w:tc>
          <w:tcPr>
            <w:tcW w:w="1488" w:type="dxa"/>
            <w:noWrap/>
            <w:vAlign w:val="center"/>
          </w:tcPr>
          <w:p w14:paraId="4965C58A">
            <w:pPr>
              <w:spacing w:line="360" w:lineRule="auto"/>
              <w:rPr>
                <w:rFonts w:hint="eastAsia" w:ascii="宋体" w:hAnsi="宋体" w:cs="宋体"/>
                <w:color w:val="000000" w:themeColor="text1"/>
                <w:sz w:val="24"/>
                <w:highlight w:val="none"/>
                <w14:textFill>
                  <w14:solidFill>
                    <w14:schemeClr w14:val="tx1"/>
                  </w14:solidFill>
                </w14:textFill>
              </w:rPr>
            </w:pPr>
          </w:p>
        </w:tc>
        <w:tc>
          <w:tcPr>
            <w:tcW w:w="1627" w:type="dxa"/>
            <w:noWrap/>
            <w:vAlign w:val="center"/>
          </w:tcPr>
          <w:p w14:paraId="659DA467">
            <w:pPr>
              <w:spacing w:line="360" w:lineRule="auto"/>
              <w:rPr>
                <w:rFonts w:hint="eastAsia" w:ascii="宋体" w:hAnsi="宋体" w:cs="宋体"/>
                <w:color w:val="000000" w:themeColor="text1"/>
                <w:sz w:val="24"/>
                <w:highlight w:val="none"/>
                <w14:textFill>
                  <w14:solidFill>
                    <w14:schemeClr w14:val="tx1"/>
                  </w14:solidFill>
                </w14:textFill>
              </w:rPr>
            </w:pPr>
          </w:p>
        </w:tc>
        <w:tc>
          <w:tcPr>
            <w:tcW w:w="915" w:type="dxa"/>
            <w:noWrap/>
            <w:vAlign w:val="center"/>
          </w:tcPr>
          <w:p w14:paraId="1CEC7520">
            <w:pPr>
              <w:spacing w:line="360" w:lineRule="auto"/>
              <w:rPr>
                <w:rFonts w:hint="eastAsia" w:ascii="宋体" w:hAnsi="宋体" w:cs="宋体"/>
                <w:color w:val="000000" w:themeColor="text1"/>
                <w:sz w:val="24"/>
                <w:highlight w:val="none"/>
                <w14:textFill>
                  <w14:solidFill>
                    <w14:schemeClr w14:val="tx1"/>
                  </w14:solidFill>
                </w14:textFill>
              </w:rPr>
            </w:pPr>
          </w:p>
        </w:tc>
        <w:tc>
          <w:tcPr>
            <w:tcW w:w="1698" w:type="dxa"/>
            <w:noWrap/>
            <w:vAlign w:val="center"/>
          </w:tcPr>
          <w:p w14:paraId="21B5EF00">
            <w:pPr>
              <w:spacing w:line="360" w:lineRule="auto"/>
              <w:rPr>
                <w:rFonts w:hint="eastAsia" w:ascii="宋体" w:hAnsi="宋体" w:cs="宋体"/>
                <w:color w:val="000000" w:themeColor="text1"/>
                <w:sz w:val="24"/>
                <w:highlight w:val="none"/>
                <w14:textFill>
                  <w14:solidFill>
                    <w14:schemeClr w14:val="tx1"/>
                  </w14:solidFill>
                </w14:textFill>
              </w:rPr>
            </w:pPr>
          </w:p>
        </w:tc>
        <w:tc>
          <w:tcPr>
            <w:tcW w:w="1564" w:type="dxa"/>
            <w:noWrap/>
            <w:vAlign w:val="center"/>
          </w:tcPr>
          <w:p w14:paraId="5109E9DE">
            <w:pPr>
              <w:spacing w:line="360" w:lineRule="auto"/>
              <w:rPr>
                <w:rFonts w:hint="eastAsia" w:ascii="宋体" w:hAnsi="宋体" w:cs="宋体"/>
                <w:color w:val="000000" w:themeColor="text1"/>
                <w:sz w:val="24"/>
                <w:highlight w:val="none"/>
                <w14:textFill>
                  <w14:solidFill>
                    <w14:schemeClr w14:val="tx1"/>
                  </w14:solidFill>
                </w14:textFill>
              </w:rPr>
            </w:pPr>
          </w:p>
        </w:tc>
      </w:tr>
      <w:tr w14:paraId="0885C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5D7AD52A">
            <w:pPr>
              <w:spacing w:line="360" w:lineRule="auto"/>
              <w:rPr>
                <w:rFonts w:hint="eastAsia" w:ascii="宋体" w:hAnsi="宋体" w:cs="宋体"/>
                <w:color w:val="000000" w:themeColor="text1"/>
                <w:sz w:val="24"/>
                <w:highlight w:val="none"/>
                <w14:textFill>
                  <w14:solidFill>
                    <w14:schemeClr w14:val="tx1"/>
                  </w14:solidFill>
                </w14:textFill>
              </w:rPr>
            </w:pPr>
          </w:p>
        </w:tc>
        <w:tc>
          <w:tcPr>
            <w:tcW w:w="1488" w:type="dxa"/>
            <w:noWrap/>
            <w:vAlign w:val="center"/>
          </w:tcPr>
          <w:p w14:paraId="3C586385">
            <w:pPr>
              <w:spacing w:line="360" w:lineRule="auto"/>
              <w:rPr>
                <w:rFonts w:hint="eastAsia" w:ascii="宋体" w:hAnsi="宋体" w:cs="宋体"/>
                <w:color w:val="000000" w:themeColor="text1"/>
                <w:sz w:val="24"/>
                <w:highlight w:val="none"/>
                <w14:textFill>
                  <w14:solidFill>
                    <w14:schemeClr w14:val="tx1"/>
                  </w14:solidFill>
                </w14:textFill>
              </w:rPr>
            </w:pPr>
          </w:p>
        </w:tc>
        <w:tc>
          <w:tcPr>
            <w:tcW w:w="1627" w:type="dxa"/>
            <w:noWrap/>
            <w:vAlign w:val="center"/>
          </w:tcPr>
          <w:p w14:paraId="407246ED">
            <w:pPr>
              <w:spacing w:line="360" w:lineRule="auto"/>
              <w:rPr>
                <w:rFonts w:hint="eastAsia" w:ascii="宋体" w:hAnsi="宋体" w:cs="宋体"/>
                <w:color w:val="000000" w:themeColor="text1"/>
                <w:sz w:val="24"/>
                <w:highlight w:val="none"/>
                <w14:textFill>
                  <w14:solidFill>
                    <w14:schemeClr w14:val="tx1"/>
                  </w14:solidFill>
                </w14:textFill>
              </w:rPr>
            </w:pPr>
          </w:p>
        </w:tc>
        <w:tc>
          <w:tcPr>
            <w:tcW w:w="915" w:type="dxa"/>
            <w:noWrap/>
            <w:vAlign w:val="center"/>
          </w:tcPr>
          <w:p w14:paraId="2D8D7C92">
            <w:pPr>
              <w:spacing w:line="360" w:lineRule="auto"/>
              <w:rPr>
                <w:rFonts w:hint="eastAsia" w:ascii="宋体" w:hAnsi="宋体" w:cs="宋体"/>
                <w:color w:val="000000" w:themeColor="text1"/>
                <w:sz w:val="24"/>
                <w:highlight w:val="none"/>
                <w14:textFill>
                  <w14:solidFill>
                    <w14:schemeClr w14:val="tx1"/>
                  </w14:solidFill>
                </w14:textFill>
              </w:rPr>
            </w:pPr>
          </w:p>
        </w:tc>
        <w:tc>
          <w:tcPr>
            <w:tcW w:w="1698" w:type="dxa"/>
            <w:noWrap/>
            <w:vAlign w:val="center"/>
          </w:tcPr>
          <w:p w14:paraId="0BFE4BD2">
            <w:pPr>
              <w:spacing w:line="360" w:lineRule="auto"/>
              <w:rPr>
                <w:rFonts w:hint="eastAsia" w:ascii="宋体" w:hAnsi="宋体" w:cs="宋体"/>
                <w:color w:val="000000" w:themeColor="text1"/>
                <w:sz w:val="24"/>
                <w:highlight w:val="none"/>
                <w14:textFill>
                  <w14:solidFill>
                    <w14:schemeClr w14:val="tx1"/>
                  </w14:solidFill>
                </w14:textFill>
              </w:rPr>
            </w:pPr>
          </w:p>
        </w:tc>
        <w:tc>
          <w:tcPr>
            <w:tcW w:w="1564" w:type="dxa"/>
            <w:noWrap/>
            <w:vAlign w:val="center"/>
          </w:tcPr>
          <w:p w14:paraId="4EFB2AC0">
            <w:pPr>
              <w:spacing w:line="360" w:lineRule="auto"/>
              <w:rPr>
                <w:rFonts w:hint="eastAsia" w:ascii="宋体" w:hAnsi="宋体" w:cs="宋体"/>
                <w:color w:val="000000" w:themeColor="text1"/>
                <w:sz w:val="24"/>
                <w:highlight w:val="none"/>
                <w14:textFill>
                  <w14:solidFill>
                    <w14:schemeClr w14:val="tx1"/>
                  </w14:solidFill>
                </w14:textFill>
              </w:rPr>
            </w:pPr>
          </w:p>
        </w:tc>
      </w:tr>
      <w:tr w14:paraId="60790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6593D594">
            <w:pPr>
              <w:spacing w:line="360" w:lineRule="auto"/>
              <w:rPr>
                <w:rFonts w:hint="eastAsia" w:ascii="宋体" w:hAnsi="宋体" w:cs="宋体"/>
                <w:color w:val="000000" w:themeColor="text1"/>
                <w:sz w:val="24"/>
                <w:highlight w:val="none"/>
                <w14:textFill>
                  <w14:solidFill>
                    <w14:schemeClr w14:val="tx1"/>
                  </w14:solidFill>
                </w14:textFill>
              </w:rPr>
            </w:pPr>
          </w:p>
        </w:tc>
        <w:tc>
          <w:tcPr>
            <w:tcW w:w="1488" w:type="dxa"/>
            <w:noWrap/>
            <w:vAlign w:val="center"/>
          </w:tcPr>
          <w:p w14:paraId="6FE8C6C9">
            <w:pPr>
              <w:spacing w:line="360" w:lineRule="auto"/>
              <w:rPr>
                <w:rFonts w:hint="eastAsia" w:ascii="宋体" w:hAnsi="宋体" w:cs="宋体"/>
                <w:color w:val="000000" w:themeColor="text1"/>
                <w:sz w:val="24"/>
                <w:highlight w:val="none"/>
                <w14:textFill>
                  <w14:solidFill>
                    <w14:schemeClr w14:val="tx1"/>
                  </w14:solidFill>
                </w14:textFill>
              </w:rPr>
            </w:pPr>
          </w:p>
        </w:tc>
        <w:tc>
          <w:tcPr>
            <w:tcW w:w="1627" w:type="dxa"/>
            <w:noWrap/>
            <w:vAlign w:val="center"/>
          </w:tcPr>
          <w:p w14:paraId="0D86372A">
            <w:pPr>
              <w:spacing w:line="360" w:lineRule="auto"/>
              <w:rPr>
                <w:rFonts w:hint="eastAsia" w:ascii="宋体" w:hAnsi="宋体" w:cs="宋体"/>
                <w:color w:val="000000" w:themeColor="text1"/>
                <w:sz w:val="24"/>
                <w:highlight w:val="none"/>
                <w14:textFill>
                  <w14:solidFill>
                    <w14:schemeClr w14:val="tx1"/>
                  </w14:solidFill>
                </w14:textFill>
              </w:rPr>
            </w:pPr>
          </w:p>
        </w:tc>
        <w:tc>
          <w:tcPr>
            <w:tcW w:w="915" w:type="dxa"/>
            <w:noWrap/>
            <w:vAlign w:val="center"/>
          </w:tcPr>
          <w:p w14:paraId="405D691C">
            <w:pPr>
              <w:spacing w:line="360" w:lineRule="auto"/>
              <w:rPr>
                <w:rFonts w:hint="eastAsia" w:ascii="宋体" w:hAnsi="宋体" w:cs="宋体"/>
                <w:color w:val="000000" w:themeColor="text1"/>
                <w:sz w:val="24"/>
                <w:highlight w:val="none"/>
                <w14:textFill>
                  <w14:solidFill>
                    <w14:schemeClr w14:val="tx1"/>
                  </w14:solidFill>
                </w14:textFill>
              </w:rPr>
            </w:pPr>
          </w:p>
        </w:tc>
        <w:tc>
          <w:tcPr>
            <w:tcW w:w="1698" w:type="dxa"/>
            <w:noWrap/>
            <w:vAlign w:val="center"/>
          </w:tcPr>
          <w:p w14:paraId="48AAC617">
            <w:pPr>
              <w:spacing w:line="360" w:lineRule="auto"/>
              <w:rPr>
                <w:rFonts w:hint="eastAsia" w:ascii="宋体" w:hAnsi="宋体" w:cs="宋体"/>
                <w:color w:val="000000" w:themeColor="text1"/>
                <w:sz w:val="24"/>
                <w:highlight w:val="none"/>
                <w14:textFill>
                  <w14:solidFill>
                    <w14:schemeClr w14:val="tx1"/>
                  </w14:solidFill>
                </w14:textFill>
              </w:rPr>
            </w:pPr>
          </w:p>
        </w:tc>
        <w:tc>
          <w:tcPr>
            <w:tcW w:w="1564" w:type="dxa"/>
            <w:noWrap/>
            <w:vAlign w:val="center"/>
          </w:tcPr>
          <w:p w14:paraId="0329EE00">
            <w:pPr>
              <w:spacing w:line="360" w:lineRule="auto"/>
              <w:rPr>
                <w:rFonts w:hint="eastAsia" w:ascii="宋体" w:hAnsi="宋体" w:cs="宋体"/>
                <w:color w:val="000000" w:themeColor="text1"/>
                <w:sz w:val="24"/>
                <w:highlight w:val="none"/>
                <w14:textFill>
                  <w14:solidFill>
                    <w14:schemeClr w14:val="tx1"/>
                  </w14:solidFill>
                </w14:textFill>
              </w:rPr>
            </w:pPr>
          </w:p>
        </w:tc>
      </w:tr>
      <w:tr w14:paraId="37285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7423C3E1">
            <w:pPr>
              <w:spacing w:line="360" w:lineRule="auto"/>
              <w:rPr>
                <w:rFonts w:hint="eastAsia" w:ascii="宋体" w:hAnsi="宋体" w:cs="宋体"/>
                <w:color w:val="000000" w:themeColor="text1"/>
                <w:sz w:val="24"/>
                <w:highlight w:val="none"/>
                <w14:textFill>
                  <w14:solidFill>
                    <w14:schemeClr w14:val="tx1"/>
                  </w14:solidFill>
                </w14:textFill>
              </w:rPr>
            </w:pPr>
          </w:p>
        </w:tc>
        <w:tc>
          <w:tcPr>
            <w:tcW w:w="1488" w:type="dxa"/>
            <w:noWrap/>
            <w:vAlign w:val="center"/>
          </w:tcPr>
          <w:p w14:paraId="11B66953">
            <w:pPr>
              <w:spacing w:line="360" w:lineRule="auto"/>
              <w:rPr>
                <w:rFonts w:hint="eastAsia" w:ascii="宋体" w:hAnsi="宋体" w:cs="宋体"/>
                <w:color w:val="000000" w:themeColor="text1"/>
                <w:sz w:val="24"/>
                <w:highlight w:val="none"/>
                <w14:textFill>
                  <w14:solidFill>
                    <w14:schemeClr w14:val="tx1"/>
                  </w14:solidFill>
                </w14:textFill>
              </w:rPr>
            </w:pPr>
          </w:p>
        </w:tc>
        <w:tc>
          <w:tcPr>
            <w:tcW w:w="1627" w:type="dxa"/>
            <w:noWrap/>
            <w:vAlign w:val="center"/>
          </w:tcPr>
          <w:p w14:paraId="07B1DA69">
            <w:pPr>
              <w:spacing w:line="360" w:lineRule="auto"/>
              <w:rPr>
                <w:rFonts w:hint="eastAsia" w:ascii="宋体" w:hAnsi="宋体" w:cs="宋体"/>
                <w:color w:val="000000" w:themeColor="text1"/>
                <w:sz w:val="24"/>
                <w:highlight w:val="none"/>
                <w14:textFill>
                  <w14:solidFill>
                    <w14:schemeClr w14:val="tx1"/>
                  </w14:solidFill>
                </w14:textFill>
              </w:rPr>
            </w:pPr>
          </w:p>
        </w:tc>
        <w:tc>
          <w:tcPr>
            <w:tcW w:w="915" w:type="dxa"/>
            <w:noWrap/>
            <w:vAlign w:val="center"/>
          </w:tcPr>
          <w:p w14:paraId="13DD802D">
            <w:pPr>
              <w:spacing w:line="360" w:lineRule="auto"/>
              <w:rPr>
                <w:rFonts w:hint="eastAsia" w:ascii="宋体" w:hAnsi="宋体" w:cs="宋体"/>
                <w:color w:val="000000" w:themeColor="text1"/>
                <w:sz w:val="24"/>
                <w:highlight w:val="none"/>
                <w14:textFill>
                  <w14:solidFill>
                    <w14:schemeClr w14:val="tx1"/>
                  </w14:solidFill>
                </w14:textFill>
              </w:rPr>
            </w:pPr>
          </w:p>
        </w:tc>
        <w:tc>
          <w:tcPr>
            <w:tcW w:w="1698" w:type="dxa"/>
            <w:noWrap/>
            <w:vAlign w:val="center"/>
          </w:tcPr>
          <w:p w14:paraId="56A86EDC">
            <w:pPr>
              <w:spacing w:line="360" w:lineRule="auto"/>
              <w:rPr>
                <w:rFonts w:hint="eastAsia" w:ascii="宋体" w:hAnsi="宋体" w:cs="宋体"/>
                <w:color w:val="000000" w:themeColor="text1"/>
                <w:sz w:val="24"/>
                <w:highlight w:val="none"/>
                <w14:textFill>
                  <w14:solidFill>
                    <w14:schemeClr w14:val="tx1"/>
                  </w14:solidFill>
                </w14:textFill>
              </w:rPr>
            </w:pPr>
          </w:p>
        </w:tc>
        <w:tc>
          <w:tcPr>
            <w:tcW w:w="1564" w:type="dxa"/>
            <w:noWrap/>
            <w:vAlign w:val="center"/>
          </w:tcPr>
          <w:p w14:paraId="3EADEB0B">
            <w:pPr>
              <w:spacing w:line="360" w:lineRule="auto"/>
              <w:rPr>
                <w:rFonts w:hint="eastAsia" w:ascii="宋体" w:hAnsi="宋体" w:cs="宋体"/>
                <w:color w:val="000000" w:themeColor="text1"/>
                <w:sz w:val="24"/>
                <w:highlight w:val="none"/>
                <w14:textFill>
                  <w14:solidFill>
                    <w14:schemeClr w14:val="tx1"/>
                  </w14:solidFill>
                </w14:textFill>
              </w:rPr>
            </w:pPr>
          </w:p>
        </w:tc>
      </w:tr>
    </w:tbl>
    <w:p w14:paraId="590B94D8">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271"/>
    </w:p>
    <w:p w14:paraId="7DAEB547">
      <w:pPr>
        <w:rPr>
          <w:color w:val="000000" w:themeColor="text1"/>
          <w:highlight w:val="none"/>
          <w14:textFill>
            <w14:solidFill>
              <w14:schemeClr w14:val="tx1"/>
            </w14:solidFill>
          </w14:textFill>
        </w:rPr>
      </w:pPr>
      <w:bookmarkStart w:id="339" w:name="_Toc107246305"/>
      <w:bookmarkStart w:id="340" w:name="_Toc104560922"/>
      <w:bookmarkStart w:id="341" w:name="_Toc103848605"/>
      <w:bookmarkStart w:id="342" w:name="_Toc100905289"/>
      <w:bookmarkStart w:id="343" w:name="_Toc96347904"/>
    </w:p>
    <w:p w14:paraId="139DE68F">
      <w:pPr>
        <w:rPr>
          <w:color w:val="000000" w:themeColor="text1"/>
          <w:highlight w:val="none"/>
          <w14:textFill>
            <w14:solidFill>
              <w14:schemeClr w14:val="tx1"/>
            </w14:solidFill>
          </w14:textFill>
        </w:rPr>
      </w:pPr>
    </w:p>
    <w:p w14:paraId="16C9EEF7">
      <w:pPr>
        <w:pStyle w:val="40"/>
        <w:spacing w:before="0"/>
        <w:ind w:firstLine="498"/>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8"/>
          <w:szCs w:val="24"/>
          <w:highlight w:val="none"/>
          <w14:textFill>
            <w14:solidFill>
              <w14:schemeClr w14:val="tx1"/>
            </w14:solidFill>
          </w14:textFill>
        </w:rPr>
        <w:t>三、其他部分</w:t>
      </w:r>
      <w:bookmarkEnd w:id="339"/>
      <w:bookmarkEnd w:id="340"/>
      <w:bookmarkEnd w:id="341"/>
    </w:p>
    <w:p w14:paraId="2D88A513">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bookmarkStart w:id="344" w:name="_Toc103848608"/>
      <w:bookmarkStart w:id="345" w:name="_Toc107246308"/>
      <w:bookmarkStart w:id="346" w:name="_Toc104560925"/>
      <w:bookmarkStart w:id="347" w:name="_Toc100905295"/>
      <w:bookmarkStart w:id="348" w:name="_Toc104560924"/>
      <w:bookmarkStart w:id="349" w:name="_Toc103848607"/>
      <w:bookmarkStart w:id="350" w:name="_Toc107246307"/>
      <w:bookmarkStart w:id="351" w:name="_Toc107246306"/>
      <w:bookmarkStart w:id="352" w:name="_Toc104560923"/>
      <w:bookmarkStart w:id="353" w:name="_Toc103848606"/>
      <w:r>
        <w:rPr>
          <w:rFonts w:hint="eastAsia" w:ascii="宋体" w:hAnsi="宋体" w:cs="宋体"/>
          <w:bCs w:val="0"/>
          <w:color w:val="000000" w:themeColor="text1"/>
          <w:sz w:val="24"/>
          <w:szCs w:val="24"/>
          <w:highlight w:val="none"/>
          <w14:textFill>
            <w14:solidFill>
              <w14:schemeClr w14:val="tx1"/>
            </w14:solidFill>
          </w14:textFill>
        </w:rPr>
        <w:t>（1）要求投标人提交的其他文件材料或证明材料</w:t>
      </w:r>
      <w:bookmarkEnd w:id="344"/>
      <w:bookmarkEnd w:id="345"/>
      <w:bookmarkEnd w:id="346"/>
    </w:p>
    <w:p w14:paraId="1E45A4DD">
      <w:pPr>
        <w:pStyle w:val="19"/>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p>
    <w:p w14:paraId="3D449BF2">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（2）投标人认为需提供的其他</w:t>
      </w:r>
      <w:bookmarkEnd w:id="347"/>
      <w:r>
        <w:rPr>
          <w:rFonts w:hint="eastAsia" w:ascii="宋体" w:hAnsi="宋体" w:cs="宋体"/>
          <w:bCs w:val="0"/>
          <w:color w:val="000000" w:themeColor="text1"/>
          <w:sz w:val="24"/>
          <w:szCs w:val="24"/>
          <w:highlight w:val="none"/>
          <w14:textFill>
            <w14:solidFill>
              <w14:schemeClr w14:val="tx1"/>
            </w14:solidFill>
          </w14:textFill>
        </w:rPr>
        <w:t>文件或证明材料</w:t>
      </w:r>
      <w:bookmarkEnd w:id="348"/>
      <w:bookmarkEnd w:id="349"/>
      <w:bookmarkEnd w:id="350"/>
    </w:p>
    <w:p w14:paraId="18B84A37">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p>
    <w:p w14:paraId="659A5658">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（3）提供符合政府采购政策的证明材料</w:t>
      </w:r>
      <w:bookmarkEnd w:id="342"/>
      <w:bookmarkEnd w:id="351"/>
      <w:bookmarkEnd w:id="352"/>
      <w:bookmarkEnd w:id="353"/>
    </w:p>
    <w:p w14:paraId="28004A64">
      <w:pPr>
        <w:ind w:firstLine="372"/>
        <w:rPr>
          <w:rFonts w:hint="eastAsia" w:ascii="宋体" w:hAnsi="宋体" w:cs="宋体"/>
          <w:color w:val="000000" w:themeColor="text1"/>
          <w:highlight w:val="none"/>
          <w14:textFill>
            <w14:solidFill>
              <w14:schemeClr w14:val="tx1"/>
            </w14:solidFill>
          </w14:textFill>
        </w:rPr>
      </w:pPr>
    </w:p>
    <w:p w14:paraId="57D8529F">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（请根据本项目</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采购项目类型</w:t>
      </w:r>
      <w:r>
        <w:rPr>
          <w:rFonts w:hint="eastAsia" w:ascii="宋体" w:hAnsi="宋体" w:cs="宋体"/>
          <w:bCs/>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选择合适的中小企业声明函，不适用的可以不提交）</w:t>
      </w:r>
    </w:p>
    <w:p w14:paraId="28173E71">
      <w:pPr>
        <w:ind w:right="-23" w:firstLine="379"/>
        <w:jc w:val="center"/>
        <w:rPr>
          <w:rFonts w:hint="eastAsia" w:ascii="宋体" w:hAnsi="宋体" w:cs="宋体"/>
          <w:color w:val="000000" w:themeColor="text1"/>
          <w:spacing w:val="2"/>
          <w:position w:val="-3"/>
          <w:szCs w:val="21"/>
          <w:highlight w:val="none"/>
          <w14:textFill>
            <w14:solidFill>
              <w14:schemeClr w14:val="tx1"/>
            </w14:solidFill>
          </w14:textFill>
        </w:rPr>
      </w:pPr>
    </w:p>
    <w:p w14:paraId="51745475">
      <w:pPr>
        <w:pStyle w:val="261"/>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中小企业声明函（货物）</w:t>
      </w:r>
    </w:p>
    <w:p w14:paraId="03B67B79">
      <w:pPr>
        <w:spacing w:line="360" w:lineRule="auto"/>
        <w:ind w:right="-20" w:firstLine="420"/>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iCs/>
          <w:color w:val="000000" w:themeColor="text1"/>
          <w:position w:val="-2"/>
          <w:szCs w:val="21"/>
          <w:highlight w:val="none"/>
          <w:u w:val="single"/>
          <w14:textFill>
            <w14:solidFill>
              <w14:schemeClr w14:val="tx1"/>
            </w14:solidFill>
          </w14:textFill>
        </w:rPr>
        <w:t>南京鼓楼医院</w:t>
      </w:r>
      <w:r>
        <w:rPr>
          <w:rFonts w:hint="eastAsia" w:ascii="宋体" w:hAnsi="宋体" w:cs="宋体"/>
          <w:color w:val="000000" w:themeColor="text1"/>
          <w:position w:val="-2"/>
          <w:szCs w:val="21"/>
          <w:highlight w:val="none"/>
          <w14:textFill>
            <w14:solidFill>
              <w14:schemeClr w14:val="tx1"/>
            </w14:solidFill>
          </w14:textFill>
        </w:rPr>
        <w:t>的</w:t>
      </w:r>
      <w:r>
        <w:rPr>
          <w:rFonts w:hint="eastAsia" w:ascii="宋体" w:hAnsi="宋体" w:cs="宋体"/>
          <w:iCs/>
          <w:color w:val="000000" w:themeColor="text1"/>
          <w:position w:val="-2"/>
          <w:szCs w:val="21"/>
          <w:highlight w:val="none"/>
          <w:u w:val="single"/>
          <w14:textFill>
            <w14:solidFill>
              <w14:schemeClr w14:val="tx1"/>
            </w14:solidFill>
          </w14:textFill>
        </w:rPr>
        <w:t>南京鼓楼医院3D外视镜系统采购项目</w:t>
      </w:r>
      <w:r>
        <w:rPr>
          <w:rFonts w:hint="eastAsia" w:ascii="宋体" w:hAnsi="宋体" w:cs="宋体"/>
          <w:color w:val="000000" w:themeColor="text1"/>
          <w:position w:val="-2"/>
          <w:szCs w:val="21"/>
          <w:highlight w:val="none"/>
          <w14:textFill>
            <w14:solidFill>
              <w14:schemeClr w14:val="tx1"/>
            </w14:solidFill>
          </w14:textFill>
        </w:rPr>
        <w:t>采购活动，提供的货物全部由符合政策要求的中小企业制造。相关企业（含联合体中的中小企业、签订分包意向协议的中小企业） 的具体情况如下：</w:t>
      </w:r>
    </w:p>
    <w:p w14:paraId="4BA3B981">
      <w:pPr>
        <w:spacing w:line="360" w:lineRule="auto"/>
        <w:ind w:right="-20" w:firstLine="420"/>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1. </w:t>
      </w:r>
      <w:r>
        <w:rPr>
          <w:rFonts w:hint="eastAsia" w:ascii="宋体" w:hAnsi="宋体" w:cs="宋体"/>
          <w:i/>
          <w:color w:val="000000" w:themeColor="text1"/>
          <w:position w:val="-2"/>
          <w:szCs w:val="21"/>
          <w:highlight w:val="none"/>
          <w:u w:val="single"/>
          <w14:textFill>
            <w14:solidFill>
              <w14:schemeClr w14:val="tx1"/>
            </w14:solidFill>
          </w14:textFill>
        </w:rPr>
        <w:t>（标的名称）</w:t>
      </w:r>
      <w:r>
        <w:rPr>
          <w:rFonts w:hint="eastAsia" w:ascii="宋体" w:hAnsi="宋体" w:cs="宋体"/>
          <w:color w:val="000000" w:themeColor="text1"/>
          <w:position w:val="-2"/>
          <w:szCs w:val="21"/>
          <w:highlight w:val="none"/>
          <w14:textFill>
            <w14:solidFill>
              <w14:schemeClr w14:val="tx1"/>
            </w14:solidFill>
          </w14:textFill>
        </w:rPr>
        <w:t>，属于</w:t>
      </w:r>
      <w:r>
        <w:rPr>
          <w:rFonts w:hint="eastAsia" w:ascii="宋体" w:hAnsi="宋体" w:cs="宋体"/>
          <w:color w:val="000000" w:themeColor="text1"/>
          <w:position w:val="-2"/>
          <w:szCs w:val="21"/>
          <w:highlight w:val="none"/>
          <w:u w:val="single"/>
          <w14:textFill>
            <w14:solidFill>
              <w14:schemeClr w14:val="tx1"/>
            </w14:solidFill>
          </w14:textFill>
        </w:rPr>
        <w:t>工业</w:t>
      </w:r>
      <w:r>
        <w:rPr>
          <w:rFonts w:hint="eastAsia" w:ascii="宋体" w:hAnsi="宋体" w:cs="宋体"/>
          <w:color w:val="000000" w:themeColor="text1"/>
          <w:position w:val="-2"/>
          <w:szCs w:val="21"/>
          <w:highlight w:val="none"/>
          <w14:textFill>
            <w14:solidFill>
              <w14:schemeClr w14:val="tx1"/>
            </w14:solidFill>
          </w14:textFill>
        </w:rPr>
        <w:t>行业；制造商（或工程</w:t>
      </w:r>
      <w:r>
        <w:rPr>
          <w:rFonts w:hint="eastAsia" w:ascii="宋体" w:hAnsi="宋体" w:cs="宋体"/>
          <w:color w:val="000000" w:themeColor="text1"/>
          <w:spacing w:val="3"/>
          <w:szCs w:val="21"/>
          <w:highlight w:val="none"/>
          <w14:textFill>
            <w14:solidFill>
              <w14:schemeClr w14:val="tx1"/>
            </w14:solidFill>
          </w14:textFill>
        </w:rPr>
        <w:t>承建/</w:t>
      </w:r>
      <w:r>
        <w:rPr>
          <w:rFonts w:hint="eastAsia" w:ascii="宋体" w:hAnsi="宋体" w:cs="宋体"/>
          <w:color w:val="000000" w:themeColor="text1"/>
          <w:position w:val="-2"/>
          <w:szCs w:val="21"/>
          <w:highlight w:val="none"/>
          <w14:textFill>
            <w14:solidFill>
              <w14:schemeClr w14:val="tx1"/>
            </w14:solidFill>
          </w14:textFill>
        </w:rPr>
        <w:t>服务</w:t>
      </w:r>
      <w:r>
        <w:rPr>
          <w:rFonts w:hint="eastAsia" w:ascii="宋体" w:hAnsi="宋体" w:cs="宋体"/>
          <w:color w:val="000000" w:themeColor="text1"/>
          <w:spacing w:val="3"/>
          <w:szCs w:val="21"/>
          <w:highlight w:val="none"/>
          <w14:textFill>
            <w14:solidFill>
              <w14:schemeClr w14:val="tx1"/>
            </w14:solidFill>
          </w14:textFill>
        </w:rPr>
        <w:t>承接企业</w:t>
      </w:r>
      <w:r>
        <w:rPr>
          <w:rFonts w:hint="eastAsia" w:ascii="宋体" w:hAnsi="宋体" w:cs="宋体"/>
          <w:color w:val="000000" w:themeColor="text1"/>
          <w:position w:val="-2"/>
          <w:szCs w:val="21"/>
          <w:highlight w:val="none"/>
          <w14:textFill>
            <w14:solidFill>
              <w14:schemeClr w14:val="tx1"/>
            </w14:solidFill>
          </w14:textFill>
        </w:rPr>
        <w:t>）为</w:t>
      </w:r>
      <w:r>
        <w:rPr>
          <w:rFonts w:hint="eastAsia" w:ascii="宋体" w:hAnsi="宋体" w:cs="宋体"/>
          <w:i/>
          <w:color w:val="000000" w:themeColor="text1"/>
          <w:position w:val="-2"/>
          <w:szCs w:val="21"/>
          <w:highlight w:val="none"/>
          <w:u w:val="single"/>
          <w14:textFill>
            <w14:solidFill>
              <w14:schemeClr w14:val="tx1"/>
            </w14:solidFill>
          </w14:textFill>
        </w:rPr>
        <w:t>（企业名称）</w:t>
      </w:r>
      <w:r>
        <w:rPr>
          <w:rFonts w:hint="eastAsia" w:ascii="宋体" w:hAnsi="宋体" w:cs="宋体"/>
          <w:color w:val="000000" w:themeColor="text1"/>
          <w:position w:val="-2"/>
          <w:szCs w:val="21"/>
          <w:highlight w:val="none"/>
          <w14:textFill>
            <w14:solidFill>
              <w14:schemeClr w14:val="tx1"/>
            </w14:solidFill>
          </w14:textFill>
        </w:rPr>
        <w:t>，从业人员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人，营业收 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万元</w:t>
      </w:r>
      <w:r>
        <w:rPr>
          <w:rFonts w:hint="eastAsia" w:ascii="宋体" w:hAnsi="宋体" w:cs="宋体"/>
          <w:color w:val="000000" w:themeColor="text1"/>
          <w:position w:val="-2"/>
          <w:szCs w:val="21"/>
          <w:highlight w:val="none"/>
          <w:vertAlign w:val="superscript"/>
          <w14:textFill>
            <w14:solidFill>
              <w14:schemeClr w14:val="tx1"/>
            </w14:solidFill>
          </w14:textFill>
        </w:rPr>
        <w:t>1</w:t>
      </w:r>
      <w:r>
        <w:rPr>
          <w:rFonts w:hint="eastAsia" w:ascii="宋体" w:hAnsi="宋体" w:cs="宋体"/>
          <w:color w:val="000000" w:themeColor="text1"/>
          <w:position w:val="-2"/>
          <w:szCs w:val="21"/>
          <w:highlight w:val="none"/>
          <w14:textFill>
            <w14:solidFill>
              <w14:schemeClr w14:val="tx1"/>
            </w14:solidFill>
          </w14:textFill>
        </w:rPr>
        <w:t>，属于</w:t>
      </w:r>
      <w:r>
        <w:rPr>
          <w:rFonts w:hint="eastAsia" w:ascii="宋体" w:hAnsi="宋体" w:cs="宋体"/>
          <w:i/>
          <w:color w:val="000000" w:themeColor="text1"/>
          <w:position w:val="-2"/>
          <w:szCs w:val="21"/>
          <w:highlight w:val="none"/>
          <w:u w:val="single"/>
          <w14:textFill>
            <w14:solidFill>
              <w14:schemeClr w14:val="tx1"/>
            </w14:solidFill>
          </w14:textFill>
        </w:rPr>
        <w:t>（中型企业、小型企业、微型企业）</w:t>
      </w:r>
      <w:r>
        <w:rPr>
          <w:rFonts w:hint="eastAsia" w:ascii="宋体" w:hAnsi="宋体" w:cs="宋体"/>
          <w:color w:val="000000" w:themeColor="text1"/>
          <w:position w:val="-2"/>
          <w:szCs w:val="21"/>
          <w:highlight w:val="none"/>
          <w14:textFill>
            <w14:solidFill>
              <w14:schemeClr w14:val="tx1"/>
            </w14:solidFill>
          </w14:textFill>
        </w:rPr>
        <w:t>；</w:t>
      </w:r>
    </w:p>
    <w:p w14:paraId="0B99DF4E">
      <w:pPr>
        <w:spacing w:line="360" w:lineRule="auto"/>
        <w:ind w:right="-20" w:firstLine="420"/>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2. </w:t>
      </w:r>
      <w:r>
        <w:rPr>
          <w:rFonts w:hint="eastAsia" w:ascii="宋体" w:hAnsi="宋体" w:cs="宋体"/>
          <w:i/>
          <w:color w:val="000000" w:themeColor="text1"/>
          <w:position w:val="-2"/>
          <w:szCs w:val="21"/>
          <w:highlight w:val="none"/>
          <w:u w:val="single"/>
          <w14:textFill>
            <w14:solidFill>
              <w14:schemeClr w14:val="tx1"/>
            </w14:solidFill>
          </w14:textFill>
        </w:rPr>
        <w:t>（标的名称）</w:t>
      </w:r>
      <w:r>
        <w:rPr>
          <w:rFonts w:hint="eastAsia" w:ascii="宋体" w:hAnsi="宋体" w:cs="宋体"/>
          <w:color w:val="000000" w:themeColor="text1"/>
          <w:position w:val="-2"/>
          <w:szCs w:val="21"/>
          <w:highlight w:val="none"/>
          <w14:textFill>
            <w14:solidFill>
              <w14:schemeClr w14:val="tx1"/>
            </w14:solidFill>
          </w14:textFill>
        </w:rPr>
        <w:t>，属于</w:t>
      </w:r>
      <w:r>
        <w:rPr>
          <w:rFonts w:hint="eastAsia" w:ascii="宋体" w:hAnsi="宋体" w:cs="宋体"/>
          <w:color w:val="000000" w:themeColor="text1"/>
          <w:position w:val="-2"/>
          <w:szCs w:val="21"/>
          <w:highlight w:val="none"/>
          <w:u w:val="single"/>
          <w14:textFill>
            <w14:solidFill>
              <w14:schemeClr w14:val="tx1"/>
            </w14:solidFill>
          </w14:textFill>
        </w:rPr>
        <w:t>工业</w:t>
      </w:r>
      <w:r>
        <w:rPr>
          <w:rFonts w:hint="eastAsia" w:ascii="宋体" w:hAnsi="宋体" w:cs="宋体"/>
          <w:color w:val="000000" w:themeColor="text1"/>
          <w:position w:val="-2"/>
          <w:szCs w:val="21"/>
          <w:highlight w:val="none"/>
          <w14:textFill>
            <w14:solidFill>
              <w14:schemeClr w14:val="tx1"/>
            </w14:solidFill>
          </w14:textFill>
        </w:rPr>
        <w:t>行业；制造商（或工程</w:t>
      </w:r>
      <w:r>
        <w:rPr>
          <w:rFonts w:hint="eastAsia" w:ascii="宋体" w:hAnsi="宋体" w:cs="宋体"/>
          <w:color w:val="000000" w:themeColor="text1"/>
          <w:spacing w:val="3"/>
          <w:szCs w:val="21"/>
          <w:highlight w:val="none"/>
          <w14:textFill>
            <w14:solidFill>
              <w14:schemeClr w14:val="tx1"/>
            </w14:solidFill>
          </w14:textFill>
        </w:rPr>
        <w:t>承建/</w:t>
      </w:r>
      <w:r>
        <w:rPr>
          <w:rFonts w:hint="eastAsia" w:ascii="宋体" w:hAnsi="宋体" w:cs="宋体"/>
          <w:color w:val="000000" w:themeColor="text1"/>
          <w:position w:val="-2"/>
          <w:szCs w:val="21"/>
          <w:highlight w:val="none"/>
          <w14:textFill>
            <w14:solidFill>
              <w14:schemeClr w14:val="tx1"/>
            </w14:solidFill>
          </w14:textFill>
        </w:rPr>
        <w:t>服务</w:t>
      </w:r>
      <w:r>
        <w:rPr>
          <w:rFonts w:hint="eastAsia" w:ascii="宋体" w:hAnsi="宋体" w:cs="宋体"/>
          <w:color w:val="000000" w:themeColor="text1"/>
          <w:spacing w:val="3"/>
          <w:szCs w:val="21"/>
          <w:highlight w:val="none"/>
          <w14:textFill>
            <w14:solidFill>
              <w14:schemeClr w14:val="tx1"/>
            </w14:solidFill>
          </w14:textFill>
        </w:rPr>
        <w:t>承接企业</w:t>
      </w:r>
      <w:r>
        <w:rPr>
          <w:rFonts w:hint="eastAsia" w:ascii="宋体" w:hAnsi="宋体" w:cs="宋体"/>
          <w:color w:val="000000" w:themeColor="text1"/>
          <w:position w:val="-2"/>
          <w:szCs w:val="21"/>
          <w:highlight w:val="none"/>
          <w14:textFill>
            <w14:solidFill>
              <w14:schemeClr w14:val="tx1"/>
            </w14:solidFill>
          </w14:textFill>
        </w:rPr>
        <w:t>）为</w:t>
      </w:r>
      <w:r>
        <w:rPr>
          <w:rFonts w:hint="eastAsia" w:ascii="宋体" w:hAnsi="宋体" w:cs="宋体"/>
          <w:i/>
          <w:color w:val="000000" w:themeColor="text1"/>
          <w:position w:val="-2"/>
          <w:szCs w:val="21"/>
          <w:highlight w:val="none"/>
          <w:u w:val="single"/>
          <w14:textFill>
            <w14:solidFill>
              <w14:schemeClr w14:val="tx1"/>
            </w14:solidFill>
          </w14:textFill>
        </w:rPr>
        <w:t>（企业名称）</w:t>
      </w:r>
      <w:r>
        <w:rPr>
          <w:rFonts w:hint="eastAsia" w:ascii="宋体" w:hAnsi="宋体" w:cs="宋体"/>
          <w:color w:val="000000" w:themeColor="text1"/>
          <w:position w:val="-2"/>
          <w:szCs w:val="21"/>
          <w:highlight w:val="none"/>
          <w14:textFill>
            <w14:solidFill>
              <w14:schemeClr w14:val="tx1"/>
            </w14:solidFill>
          </w14:textFill>
        </w:rPr>
        <w:t>，从业人员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人，营业收入为万元，资产总额为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万元，属于</w:t>
      </w:r>
      <w:r>
        <w:rPr>
          <w:rFonts w:hint="eastAsia" w:ascii="宋体" w:hAnsi="宋体" w:cs="宋体"/>
          <w:i/>
          <w:color w:val="000000" w:themeColor="text1"/>
          <w:position w:val="-2"/>
          <w:szCs w:val="21"/>
          <w:highlight w:val="none"/>
          <w:u w:val="single"/>
          <w14:textFill>
            <w14:solidFill>
              <w14:schemeClr w14:val="tx1"/>
            </w14:solidFill>
          </w14:textFill>
        </w:rPr>
        <w:t>（中型企业、小型企业、微型企业）</w:t>
      </w:r>
      <w:r>
        <w:rPr>
          <w:rFonts w:hint="eastAsia" w:ascii="宋体" w:hAnsi="宋体" w:cs="宋体"/>
          <w:color w:val="000000" w:themeColor="text1"/>
          <w:position w:val="-2"/>
          <w:szCs w:val="21"/>
          <w:highlight w:val="none"/>
          <w14:textFill>
            <w14:solidFill>
              <w14:schemeClr w14:val="tx1"/>
            </w14:solidFill>
          </w14:textFill>
        </w:rPr>
        <w:t>；</w:t>
      </w:r>
    </w:p>
    <w:p w14:paraId="663494A2">
      <w:pPr>
        <w:spacing w:line="360" w:lineRule="auto"/>
        <w:ind w:right="-20" w:firstLine="420"/>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w:t>
      </w:r>
    </w:p>
    <w:p w14:paraId="73564D1E">
      <w:pPr>
        <w:spacing w:line="360" w:lineRule="auto"/>
        <w:ind w:right="-20" w:firstLine="420"/>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以上企业，不属于大企业的分支机构，不存在控股股东为大企业的情形，也不存在与大企业的负责人为同一人的情形。</w:t>
      </w:r>
    </w:p>
    <w:p w14:paraId="067AD398">
      <w:pPr>
        <w:spacing w:line="360" w:lineRule="auto"/>
        <w:ind w:right="-20" w:firstLine="420"/>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本企业对上述声明内容的真实性负责。如有虚假，将依法承担相应责任。</w:t>
      </w:r>
    </w:p>
    <w:p w14:paraId="18CC5994">
      <w:pPr>
        <w:spacing w:line="360" w:lineRule="auto"/>
        <w:ind w:right="400" w:firstLine="372"/>
        <w:rPr>
          <w:rFonts w:hint="eastAsia" w:ascii="宋体" w:hAnsi="宋体" w:cs="宋体"/>
          <w:color w:val="000000" w:themeColor="text1"/>
          <w:position w:val="-2"/>
          <w:szCs w:val="21"/>
          <w:highlight w:val="none"/>
          <w14:textFill>
            <w14:solidFill>
              <w14:schemeClr w14:val="tx1"/>
            </w14:solidFill>
          </w14:textFill>
        </w:rPr>
      </w:pPr>
    </w:p>
    <w:p w14:paraId="17F149A9">
      <w:pPr>
        <w:spacing w:line="360" w:lineRule="auto"/>
        <w:ind w:right="400" w:firstLine="378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企</w:t>
      </w:r>
      <w:r>
        <w:rPr>
          <w:rFonts w:hint="eastAsia" w:ascii="宋体" w:hAnsi="宋体" w:cs="宋体"/>
          <w:color w:val="000000" w:themeColor="text1"/>
          <w:spacing w:val="3"/>
          <w:position w:val="-2"/>
          <w:szCs w:val="21"/>
          <w:highlight w:val="none"/>
          <w14:textFill>
            <w14:solidFill>
              <w14:schemeClr w14:val="tx1"/>
            </w14:solidFill>
          </w14:textFill>
        </w:rPr>
        <w:t>业</w:t>
      </w:r>
      <w:r>
        <w:rPr>
          <w:rFonts w:hint="eastAsia" w:ascii="宋体" w:hAnsi="宋体" w:cs="宋体"/>
          <w:color w:val="000000" w:themeColor="text1"/>
          <w:position w:val="-2"/>
          <w:szCs w:val="21"/>
          <w:highlight w:val="none"/>
          <w14:textFill>
            <w14:solidFill>
              <w14:schemeClr w14:val="tx1"/>
            </w14:solidFill>
          </w14:textFill>
        </w:rPr>
        <w:t>名称</w:t>
      </w:r>
      <w:r>
        <w:rPr>
          <w:rFonts w:hint="eastAsia" w:ascii="宋体" w:hAnsi="宋体" w:cs="宋体"/>
          <w:color w:val="000000" w:themeColor="text1"/>
          <w:spacing w:val="3"/>
          <w:position w:val="-2"/>
          <w:szCs w:val="21"/>
          <w:highlight w:val="none"/>
          <w14:textFill>
            <w14:solidFill>
              <w14:schemeClr w14:val="tx1"/>
            </w14:solidFill>
          </w14:textFill>
        </w:rPr>
        <w:t>（</w:t>
      </w:r>
      <w:r>
        <w:rPr>
          <w:rFonts w:hint="eastAsia" w:ascii="宋体" w:hAnsi="宋体" w:cs="宋体"/>
          <w:color w:val="000000" w:themeColor="text1"/>
          <w:position w:val="-2"/>
          <w:szCs w:val="21"/>
          <w:highlight w:val="none"/>
          <w14:textFill>
            <w14:solidFill>
              <w14:schemeClr w14:val="tx1"/>
            </w14:solidFill>
          </w14:textFill>
        </w:rPr>
        <w:t>盖章</w:t>
      </w:r>
      <w:r>
        <w:rPr>
          <w:rFonts w:hint="eastAsia" w:ascii="宋体" w:hAnsi="宋体" w:cs="宋体"/>
          <w:color w:val="000000" w:themeColor="text1"/>
          <w:spacing w:val="-158"/>
          <w:position w:val="-2"/>
          <w:szCs w:val="21"/>
          <w:highlight w:val="none"/>
          <w14:textFill>
            <w14:solidFill>
              <w14:schemeClr w14:val="tx1"/>
            </w14:solidFill>
          </w14:textFill>
        </w:rPr>
        <w:t>）</w:t>
      </w:r>
      <w:r>
        <w:rPr>
          <w:rFonts w:hint="eastAsia" w:ascii="宋体" w:hAnsi="宋体" w:cs="宋体"/>
          <w:color w:val="000000" w:themeColor="text1"/>
          <w:position w:val="-2"/>
          <w:szCs w:val="21"/>
          <w:highlight w:val="none"/>
          <w14:textFill>
            <w14:solidFill>
              <w14:schemeClr w14:val="tx1"/>
            </w14:solidFill>
          </w14:textFill>
        </w:rPr>
        <w:t xml:space="preserve">  ： </w:t>
      </w:r>
    </w:p>
    <w:p w14:paraId="6CAB87D6">
      <w:pPr>
        <w:spacing w:line="360" w:lineRule="auto"/>
        <w:ind w:right="420" w:firstLine="37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日期：年月日</w:t>
      </w:r>
    </w:p>
    <w:p w14:paraId="17A9C1FA">
      <w:pPr>
        <w:spacing w:line="360" w:lineRule="auto"/>
        <w:ind w:right="420" w:firstLine="4200"/>
        <w:jc w:val="center"/>
        <w:rPr>
          <w:rFonts w:hint="eastAsia" w:ascii="宋体" w:hAnsi="宋体" w:cs="宋体"/>
          <w:color w:val="000000" w:themeColor="text1"/>
          <w:szCs w:val="21"/>
          <w:highlight w:val="none"/>
          <w14:textFill>
            <w14:solidFill>
              <w14:schemeClr w14:val="tx1"/>
            </w14:solidFill>
          </w14:textFill>
        </w:rPr>
      </w:pPr>
    </w:p>
    <w:p w14:paraId="54F35936">
      <w:pPr>
        <w:spacing w:line="360" w:lineRule="auto"/>
        <w:ind w:right="-20" w:firstLine="372"/>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vertAlign w:val="superscript"/>
          <w14:textFill>
            <w14:solidFill>
              <w14:schemeClr w14:val="tx1"/>
            </w14:solidFill>
          </w14:textFill>
        </w:rPr>
        <w:t>1</w:t>
      </w:r>
      <w:r>
        <w:rPr>
          <w:rFonts w:hint="eastAsia" w:ascii="宋体" w:hAnsi="宋体" w:cs="宋体"/>
          <w:color w:val="000000" w:themeColor="text1"/>
          <w:position w:val="-2"/>
          <w:szCs w:val="21"/>
          <w:highlight w:val="none"/>
          <w14:textFill>
            <w14:solidFill>
              <w14:schemeClr w14:val="tx1"/>
            </w14:solidFill>
          </w14:textFill>
        </w:rPr>
        <w:t>从业人员、营业收入、资产总额填报上一年度数据，无上一年度数据的新成立企业可不填报。</w:t>
      </w:r>
    </w:p>
    <w:p w14:paraId="0D328691">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注：</w:t>
      </w:r>
    </w:p>
    <w:p w14:paraId="31387223">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 本项目中小微企业划分标准为：</w:t>
      </w:r>
      <w:r>
        <w:rPr>
          <w:rFonts w:hint="eastAsia" w:ascii="宋体" w:hAnsi="宋体" w:cs="宋体"/>
          <w:b/>
          <w:color w:val="000000" w:themeColor="text1"/>
          <w:szCs w:val="21"/>
          <w:highlight w:val="none"/>
          <w:u w:val="single"/>
          <w14:textFill>
            <w14:solidFill>
              <w14:schemeClr w14:val="tx1"/>
            </w14:solidFill>
          </w14:textFill>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98769A0">
      <w:pPr>
        <w:ind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themeColor="text1"/>
          <w:highlight w:val="none"/>
          <w14:textFill>
            <w14:solidFill>
              <w14:schemeClr w14:val="tx1"/>
            </w14:solidFill>
          </w14:textFill>
        </w:rPr>
        <w:br w:type="page" w:clear="all"/>
      </w:r>
    </w:p>
    <w:p w14:paraId="7891497E">
      <w:pPr>
        <w:ind w:firstLine="372"/>
        <w:rPr>
          <w:rFonts w:hint="eastAsia" w:ascii="宋体" w:hAnsi="宋体" w:cs="宋体"/>
          <w:color w:val="000000" w:themeColor="text1"/>
          <w:highlight w:val="none"/>
          <w14:textFill>
            <w14:solidFill>
              <w14:schemeClr w14:val="tx1"/>
            </w14:solidFill>
          </w14:textFill>
        </w:rPr>
      </w:pPr>
    </w:p>
    <w:p w14:paraId="0E9868EE">
      <w:pPr>
        <w:pStyle w:val="261"/>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监狱企业证明</w:t>
      </w:r>
    </w:p>
    <w:p w14:paraId="4061F70F">
      <w:pPr>
        <w:pStyle w:val="261"/>
        <w:spacing w:line="276" w:lineRule="auto"/>
        <w:ind w:firstLine="482"/>
        <w:jc w:val="center"/>
        <w:rPr>
          <w:rFonts w:hint="eastAsia" w:hAnsi="宋体" w:cs="宋体"/>
          <w:b/>
          <w:color w:val="000000" w:themeColor="text1"/>
          <w:sz w:val="24"/>
          <w:szCs w:val="24"/>
          <w:highlight w:val="none"/>
          <w14:textFill>
            <w14:solidFill>
              <w14:schemeClr w14:val="tx1"/>
            </w14:solidFill>
          </w14:textFill>
        </w:rPr>
      </w:pPr>
    </w:p>
    <w:p w14:paraId="755889DE">
      <w:pPr>
        <w:pStyle w:val="26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4973F7AB">
      <w:pPr>
        <w:pStyle w:val="261"/>
        <w:ind w:firstLine="400"/>
        <w:rPr>
          <w:rFonts w:hint="eastAsia" w:hAnsi="宋体" w:cs="宋体"/>
          <w:color w:val="000000" w:themeColor="text1"/>
          <w:highlight w:val="none"/>
          <w14:textFill>
            <w14:solidFill>
              <w14:schemeClr w14:val="tx1"/>
            </w14:solidFill>
          </w14:textFill>
        </w:rPr>
      </w:pPr>
    </w:p>
    <w:p w14:paraId="6F03FF44">
      <w:pPr>
        <w:ind w:firstLine="372"/>
        <w:rPr>
          <w:rFonts w:hint="eastAsia" w:ascii="宋体" w:hAnsi="宋体" w:cs="宋体"/>
          <w:color w:val="000000" w:themeColor="text1"/>
          <w:highlight w:val="none"/>
          <w14:textFill>
            <w14:solidFill>
              <w14:schemeClr w14:val="tx1"/>
            </w14:solidFill>
          </w14:textFill>
        </w:rPr>
      </w:pPr>
    </w:p>
    <w:p w14:paraId="3A0EB4A6">
      <w:pPr>
        <w:pStyle w:val="261"/>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残疾人福利性单位声明函</w:t>
      </w:r>
    </w:p>
    <w:p w14:paraId="3B412653">
      <w:pPr>
        <w:spacing w:line="276" w:lineRule="auto"/>
        <w:ind w:firstLine="554"/>
        <w:rPr>
          <w:rFonts w:hint="eastAsia" w:ascii="宋体" w:hAnsi="宋体" w:cs="宋体"/>
          <w:b/>
          <w:color w:val="000000" w:themeColor="text1"/>
          <w:spacing w:val="6"/>
          <w:sz w:val="30"/>
          <w:szCs w:val="30"/>
          <w:highlight w:val="none"/>
          <w14:textFill>
            <w14:solidFill>
              <w14:schemeClr w14:val="tx1"/>
            </w14:solidFill>
          </w14:textFill>
        </w:rPr>
      </w:pPr>
    </w:p>
    <w:p w14:paraId="6C0F3F15">
      <w:pPr>
        <w:pStyle w:val="26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41DDA44">
      <w:pPr>
        <w:pStyle w:val="26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本单位对上述声明的真实性负责。如有虚假，将依法承担相应责任。</w:t>
      </w:r>
    </w:p>
    <w:p w14:paraId="48CEB7AF">
      <w:pPr>
        <w:pStyle w:val="261"/>
        <w:ind w:firstLine="420"/>
        <w:rPr>
          <w:rFonts w:hint="eastAsia" w:hAnsi="宋体" w:cs="宋体"/>
          <w:color w:val="000000" w:themeColor="text1"/>
          <w:sz w:val="21"/>
          <w:szCs w:val="21"/>
          <w:highlight w:val="none"/>
          <w14:textFill>
            <w14:solidFill>
              <w14:schemeClr w14:val="tx1"/>
            </w14:solidFill>
          </w14:textFill>
        </w:rPr>
      </w:pPr>
    </w:p>
    <w:p w14:paraId="571060FF">
      <w:pPr>
        <w:pStyle w:val="261"/>
        <w:ind w:firstLine="420"/>
        <w:rPr>
          <w:rFonts w:hint="eastAsia" w:hAnsi="宋体" w:cs="宋体"/>
          <w:color w:val="000000" w:themeColor="text1"/>
          <w:sz w:val="21"/>
          <w:szCs w:val="21"/>
          <w:highlight w:val="none"/>
          <w14:textFill>
            <w14:solidFill>
              <w14:schemeClr w14:val="tx1"/>
            </w14:solidFill>
          </w14:textFill>
        </w:rPr>
      </w:pPr>
    </w:p>
    <w:p w14:paraId="46DDC6B1">
      <w:pPr>
        <w:pStyle w:val="261"/>
        <w:ind w:firstLine="420"/>
        <w:rPr>
          <w:rFonts w:hint="eastAsia" w:hAnsi="宋体" w:cs="宋体"/>
          <w:color w:val="000000" w:themeColor="text1"/>
          <w:sz w:val="21"/>
          <w:szCs w:val="21"/>
          <w:highlight w:val="none"/>
          <w14:textFill>
            <w14:solidFill>
              <w14:schemeClr w14:val="tx1"/>
            </w14:solidFill>
          </w14:textFill>
        </w:rPr>
      </w:pPr>
    </w:p>
    <w:p w14:paraId="3F3A48B1">
      <w:pPr>
        <w:pStyle w:val="261"/>
        <w:ind w:firstLine="376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单位名称（盖章）：____________</w:t>
      </w:r>
    </w:p>
    <w:p w14:paraId="39347C65">
      <w:pPr>
        <w:spacing w:line="360" w:lineRule="auto"/>
        <w:ind w:firstLine="3780"/>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日期：</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年</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月</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日</w:t>
      </w:r>
      <w:bookmarkEnd w:id="343"/>
    </w:p>
    <w:p w14:paraId="19E78B29">
      <w:pPr>
        <w:pStyle w:val="261"/>
        <w:ind w:firstLine="164"/>
        <w:jc w:val="center"/>
        <w:rPr>
          <w:rFonts w:hint="eastAsia" w:hAnsi="宋体" w:cs="宋体"/>
          <w:color w:val="000000" w:themeColor="text1"/>
          <w:szCs w:val="21"/>
          <w:highlight w:val="none"/>
          <w14:textFill>
            <w14:solidFill>
              <w14:schemeClr w14:val="tx1"/>
            </w14:solidFill>
          </w14:textFill>
        </w:rPr>
      </w:pPr>
    </w:p>
    <w:p w14:paraId="274FAE57">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p>
    <w:p w14:paraId="1DE1A17F">
      <w:pPr>
        <w:pStyle w:val="261"/>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符合本国产品标准的声明函</w:t>
      </w:r>
    </w:p>
    <w:p w14:paraId="56563771">
      <w:pPr>
        <w:pStyle w:val="39"/>
        <w:spacing w:before="30" w:beforeAutospacing="0" w:after="156" w:afterAutospacing="0" w:line="360" w:lineRule="auto"/>
        <w:ind w:firstLine="420"/>
        <w:rPr>
          <w:rFonts w:hint="eastAsia" w:ascii="宋体" w:hAnsi="宋体" w:cs="宋体"/>
          <w:color w:val="000000" w:themeColor="text1"/>
          <w:sz w:val="21"/>
          <w:szCs w:val="21"/>
          <w:highlight w:val="none"/>
          <w14:textFill>
            <w14:solidFill>
              <w14:schemeClr w14:val="tx1"/>
            </w14:solidFill>
          </w14:textFill>
        </w:rPr>
      </w:pPr>
    </w:p>
    <w:p w14:paraId="4A297560">
      <w:pPr>
        <w:pStyle w:val="39"/>
        <w:spacing w:before="30" w:beforeAutospacing="0" w:after="156" w:afterAutospacing="0" w:line="360" w:lineRule="auto"/>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1C6E2353">
      <w:pPr>
        <w:pStyle w:val="39"/>
        <w:spacing w:before="0" w:beforeAutospacing="0" w:after="156" w:afterAutospacing="0" w:line="360" w:lineRule="auto"/>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产品名称1）1，生产厂为（厂名）2，厂址为（生产厂址）。（产品名称1）的中国境内生产的组件成本占比≥（规定比例）3。（产品名称1）的（关键组件）4在中国境内生产。（产品名称1）的（关键工序）5在中国境内完成。</w:t>
      </w:r>
    </w:p>
    <w:p w14:paraId="0519FDF7">
      <w:pPr>
        <w:pStyle w:val="39"/>
        <w:spacing w:before="0" w:beforeAutospacing="0" w:after="156" w:afterAutospacing="0" w:line="360" w:lineRule="auto"/>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产品名称2），生产厂为（厂名），厂址为（生产厂址）。（产品名称2）的中国境内生产的组件成本占比≥（规定比例）。（产品名称2）的（关键组件）在中国境内生产。（产品名称2）的（关键工序）在中国境内完成。</w:t>
      </w:r>
    </w:p>
    <w:p w14:paraId="5B3AA4BF">
      <w:pPr>
        <w:pStyle w:val="39"/>
        <w:spacing w:before="30" w:beforeAutospacing="0" w:after="156" w:afterAutospacing="0" w:line="360" w:lineRule="auto"/>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w:t>
      </w:r>
    </w:p>
    <w:p w14:paraId="6F89C5F3">
      <w:pPr>
        <w:pStyle w:val="39"/>
        <w:spacing w:before="30" w:beforeAutospacing="0" w:after="156" w:afterAutospacing="0" w:line="360" w:lineRule="auto"/>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本公司（单位）对上述声明内容的真实性负责。如有虚假，愿承担相应法律责任。 </w:t>
      </w:r>
    </w:p>
    <w:p w14:paraId="157BBE7E">
      <w:pPr>
        <w:pStyle w:val="39"/>
        <w:spacing w:before="30" w:beforeAutospacing="0" w:after="156" w:afterAutospacing="0" w:line="360" w:lineRule="auto"/>
        <w:ind w:firstLine="420"/>
        <w:jc w:val="righ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公司（单位）名称（盖章）：            </w:t>
      </w:r>
    </w:p>
    <w:p w14:paraId="5AE053C7">
      <w:pPr>
        <w:pStyle w:val="39"/>
        <w:spacing w:line="360" w:lineRule="auto"/>
        <w:ind w:firstLine="420"/>
        <w:jc w:val="righ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日期：　  年　  月　  日</w:t>
      </w:r>
    </w:p>
    <w:p w14:paraId="64402138">
      <w:pPr>
        <w:pStyle w:val="39"/>
        <w:spacing w:before="0" w:beforeAutospacing="0" w:after="156" w:afterAutospacing="0" w:line="360" w:lineRule="auto"/>
        <w:ind w:firstLine="420"/>
        <w:rPr>
          <w:rFonts w:hint="eastAsia" w:ascii="宋体" w:hAnsi="宋体" w:cs="宋体"/>
          <w:b/>
          <w:bCs/>
          <w:color w:val="000000" w:themeColor="text1"/>
          <w:sz w:val="21"/>
          <w:szCs w:val="21"/>
          <w:highlight w:val="none"/>
          <w14:textFill>
            <w14:solidFill>
              <w14:schemeClr w14:val="tx1"/>
            </w14:solidFill>
          </w14:textFill>
        </w:rPr>
      </w:pPr>
    </w:p>
    <w:p w14:paraId="4B7EF19C">
      <w:pPr>
        <w:pStyle w:val="39"/>
        <w:spacing w:before="0" w:beforeAutospacing="0" w:after="156" w:afterAutospacing="0" w:line="360" w:lineRule="auto"/>
        <w:ind w:firstLine="420"/>
        <w:rPr>
          <w:rFonts w:hint="eastAsia" w:ascii="宋体" w:hAnsi="宋体" w:cs="宋体"/>
          <w:b/>
          <w:bCs/>
          <w:color w:val="000000" w:themeColor="text1"/>
          <w:sz w:val="21"/>
          <w:szCs w:val="21"/>
          <w:highlight w:val="none"/>
          <w14:textFill>
            <w14:solidFill>
              <w14:schemeClr w14:val="tx1"/>
            </w14:solidFill>
          </w14:textFill>
        </w:rPr>
      </w:pPr>
    </w:p>
    <w:p w14:paraId="0B0DF9EC">
      <w:pPr>
        <w:pStyle w:val="39"/>
        <w:spacing w:before="0" w:beforeAutospacing="0" w:after="156" w:afterAutospacing="0" w:line="360" w:lineRule="auto"/>
        <w:ind w:firstLine="420"/>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注：1.产品如有型号，请在“产品名称”栏一并填写。</w:t>
      </w:r>
    </w:p>
    <w:p w14:paraId="03644527">
      <w:pPr>
        <w:pStyle w:val="39"/>
        <w:spacing w:before="0" w:beforeAutospacing="0" w:after="156" w:afterAutospacing="0" w:line="360" w:lineRule="auto"/>
        <w:ind w:firstLine="420"/>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2.生产厂名与厂址应与生产厂营业执照载明的相关信息保持一致。</w:t>
      </w:r>
    </w:p>
    <w:p w14:paraId="2CC9EFC2">
      <w:pPr>
        <w:pStyle w:val="39"/>
        <w:spacing w:before="0" w:beforeAutospacing="0" w:after="156" w:afterAutospacing="0" w:line="360" w:lineRule="auto"/>
        <w:ind w:firstLine="420"/>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3.该产品的中国境内生产的组件成本占比相关要求实施前，“规定比例”栏可不填，下同。</w:t>
      </w:r>
    </w:p>
    <w:p w14:paraId="6EB19425">
      <w:pPr>
        <w:pStyle w:val="39"/>
        <w:spacing w:before="0" w:beforeAutospacing="0" w:after="156" w:afterAutospacing="0" w:line="360" w:lineRule="auto"/>
        <w:ind w:firstLine="420"/>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4.该产品的关键组件要求实施前，“关键组件”栏可不填，下同。</w:t>
      </w:r>
    </w:p>
    <w:p w14:paraId="52330850">
      <w:pPr>
        <w:pStyle w:val="39"/>
        <w:spacing w:before="0" w:beforeAutospacing="0" w:after="156" w:afterAutospacing="0" w:line="360" w:lineRule="auto"/>
        <w:ind w:firstLine="420"/>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5.该产品的关键工序要求实施前，“关键工序”栏可不填，下同。</w:t>
      </w:r>
    </w:p>
    <w:p w14:paraId="26173952">
      <w:pPr>
        <w:spacing w:line="360" w:lineRule="auto"/>
        <w:rPr>
          <w:color w:val="000000" w:themeColor="text1"/>
          <w:highlight w:val="none"/>
          <w:shd w:val="clear" w:color="auto" w:fill="FFFFFF"/>
          <w:lang w:eastAsia="zh"/>
          <w14:textFill>
            <w14:solidFill>
              <w14:schemeClr w14:val="tx1"/>
            </w14:solidFill>
          </w14:textFill>
        </w:rPr>
      </w:pPr>
      <w:r>
        <w:rPr>
          <w:rFonts w:hint="eastAsia"/>
          <w:color w:val="000000" w:themeColor="text1"/>
          <w:highlight w:val="none"/>
          <w:shd w:val="clear" w:color="auto" w:fill="FFFFFF"/>
          <w:lang w:eastAsia="zh"/>
          <w14:textFill>
            <w14:solidFill>
              <w14:schemeClr w14:val="tx1"/>
            </w14:solidFill>
          </w14:textFill>
        </w:rPr>
        <w:br w:type="page" w:clear="all"/>
      </w:r>
    </w:p>
    <w:p w14:paraId="352BB8DC">
      <w:pPr>
        <w:pStyle w:val="39"/>
        <w:spacing w:before="0" w:beforeAutospacing="0" w:after="156" w:afterAutospacing="0" w:line="360" w:lineRule="auto"/>
        <w:jc w:val="center"/>
        <w:rPr>
          <w:rFonts w:hint="eastAsia" w:ascii="宋体" w:hAnsi="宋体" w:cs="宋体"/>
          <w:b/>
          <w:color w:val="000000" w:themeColor="text1"/>
          <w:highlight w:val="none"/>
          <w:lang w:eastAsia="zh"/>
          <w14:textFill>
            <w14:solidFill>
              <w14:schemeClr w14:val="tx1"/>
            </w14:solidFill>
          </w14:textFill>
        </w:rPr>
      </w:pPr>
      <w:r>
        <w:rPr>
          <w:rFonts w:hint="eastAsia" w:ascii="宋体" w:hAnsi="宋体" w:cs="宋体"/>
          <w:b/>
          <w:color w:val="000000" w:themeColor="text1"/>
          <w:highlight w:val="none"/>
          <w:lang w:eastAsia="zh"/>
          <w14:textFill>
            <w14:solidFill>
              <w14:schemeClr w14:val="tx1"/>
            </w14:solidFill>
          </w14:textFill>
        </w:rPr>
        <w:t>成本比例声明函</w:t>
      </w:r>
    </w:p>
    <w:p w14:paraId="6D81B262">
      <w:pPr>
        <w:pStyle w:val="39"/>
        <w:spacing w:before="0" w:beforeAutospacing="0" w:after="156" w:afterAutospacing="0" w:line="360" w:lineRule="auto"/>
        <w:jc w:val="center"/>
        <w:rPr>
          <w:rFonts w:hint="eastAsia" w:ascii="宋体" w:hAnsi="宋体" w:cs="宋体"/>
          <w:color w:val="000000" w:themeColor="text1"/>
          <w:sz w:val="21"/>
          <w:highlight w:val="none"/>
          <w:lang w:eastAsia="zh"/>
          <w14:textFill>
            <w14:solidFill>
              <w14:schemeClr w14:val="tx1"/>
            </w14:solidFill>
          </w14:textFill>
        </w:rPr>
      </w:pPr>
      <w:r>
        <w:rPr>
          <w:rFonts w:hint="eastAsia" w:ascii="宋体" w:hAnsi="宋体" w:cs="宋体"/>
          <w:color w:val="000000" w:themeColor="text1"/>
          <w:sz w:val="21"/>
          <w:highlight w:val="none"/>
          <w:lang w:eastAsia="zh"/>
          <w14:textFill>
            <w14:solidFill>
              <w14:schemeClr w14:val="tx1"/>
            </w14:solidFill>
          </w14:textFill>
        </w:rPr>
        <w:t>（适用于采购项目或者采购包中含有多种产品时，不提供或者提供声明的比例达不到要求时，不享受价格扣除）</w:t>
      </w:r>
    </w:p>
    <w:p w14:paraId="19BF5851">
      <w:pPr>
        <w:spacing w:line="360" w:lineRule="auto"/>
        <w:ind w:right="-20" w:firstLine="420"/>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本公司（单位）郑重声明，根据《国务院办公厅关于在政府采购中实施本国产品标准及相关政策的通知》（国办发〔2025〕34号）的规定，本公司（单位）</w:t>
      </w:r>
      <w:r>
        <w:rPr>
          <w:rFonts w:hint="eastAsia" w:ascii="宋体" w:hAnsi="宋体" w:cs="宋体"/>
          <w:color w:val="000000" w:themeColor="text1"/>
          <w:position w:val="-2"/>
          <w:szCs w:val="21"/>
          <w:highlight w:val="none"/>
          <w:lang w:eastAsia="zh"/>
          <w14:textFill>
            <w14:solidFill>
              <w14:schemeClr w14:val="tx1"/>
            </w14:solidFill>
          </w14:textFill>
        </w:rPr>
        <w:t>提供的全部产品中，</w:t>
      </w:r>
      <w:r>
        <w:rPr>
          <w:rFonts w:hint="eastAsia" w:ascii="宋体" w:hAnsi="宋体" w:cs="宋体"/>
          <w:color w:val="000000" w:themeColor="text1"/>
          <w:position w:val="-2"/>
          <w:szCs w:val="21"/>
          <w:highlight w:val="none"/>
          <w14:textFill>
            <w14:solidFill>
              <w14:schemeClr w14:val="tx1"/>
            </w14:solidFill>
          </w14:textFill>
        </w:rPr>
        <w:t>符合本国产品标准的产品成本之和占本公司（单位）提供的全部产品成本之和的比例达到（填写具体百分比）。</w:t>
      </w:r>
    </w:p>
    <w:p w14:paraId="1912AEEF">
      <w:pPr>
        <w:spacing w:line="360" w:lineRule="auto"/>
        <w:ind w:right="-20" w:firstLine="420"/>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本公司（单位）对上述声明内容的真实性负责。如有虚假，愿承担相应法律责任。</w:t>
      </w:r>
    </w:p>
    <w:p w14:paraId="2462771B">
      <w:pPr>
        <w:spacing w:line="360" w:lineRule="auto"/>
        <w:ind w:right="-20" w:firstLine="420"/>
        <w:jc w:val="center"/>
        <w:rPr>
          <w:rFonts w:hint="eastAsia" w:ascii="宋体" w:hAnsi="宋体" w:cs="宋体"/>
          <w:color w:val="000000" w:themeColor="text1"/>
          <w:position w:val="-2"/>
          <w:szCs w:val="21"/>
          <w:highlight w:val="none"/>
          <w14:textFill>
            <w14:solidFill>
              <w14:schemeClr w14:val="tx1"/>
            </w14:solidFill>
          </w14:textFill>
        </w:rPr>
      </w:pPr>
    </w:p>
    <w:p w14:paraId="5D97793C">
      <w:pPr>
        <w:spacing w:line="360" w:lineRule="auto"/>
        <w:ind w:right="-20" w:firstLine="420"/>
        <w:jc w:val="center"/>
        <w:rPr>
          <w:rFonts w:hint="eastAsia" w:ascii="宋体" w:hAnsi="宋体" w:cs="宋体"/>
          <w:color w:val="000000" w:themeColor="text1"/>
          <w:position w:val="-2"/>
          <w:szCs w:val="21"/>
          <w:highlight w:val="none"/>
          <w14:textFill>
            <w14:solidFill>
              <w14:schemeClr w14:val="tx1"/>
            </w14:solidFill>
          </w14:textFill>
        </w:rPr>
      </w:pPr>
    </w:p>
    <w:p w14:paraId="4804AFF6">
      <w:pPr>
        <w:spacing w:line="360" w:lineRule="auto"/>
        <w:ind w:right="-20" w:firstLine="420"/>
        <w:jc w:val="center"/>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公司（单位）名称（盖章）：</w:t>
      </w:r>
    </w:p>
    <w:p w14:paraId="7BCAE6B5">
      <w:pPr>
        <w:spacing w:line="360" w:lineRule="auto"/>
        <w:ind w:right="-20" w:firstLine="420"/>
        <w:jc w:val="center"/>
        <w:rPr>
          <w:rFonts w:hint="eastAsia" w:ascii="宋体" w:hAnsi="宋体" w:cs="宋体"/>
          <w:color w:val="000000" w:themeColor="text1"/>
          <w:position w:val="-2"/>
          <w:szCs w:val="21"/>
          <w:highlight w:val="none"/>
          <w14:textFill>
            <w14:solidFill>
              <w14:schemeClr w14:val="tx1"/>
            </w14:solidFill>
          </w14:textFill>
        </w:rPr>
      </w:pPr>
    </w:p>
    <w:p w14:paraId="24368FC5">
      <w:pPr>
        <w:spacing w:line="360" w:lineRule="auto"/>
        <w:ind w:right="-20" w:firstLine="420"/>
        <w:jc w:val="center"/>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日期：　  年　  月　  日</w:t>
      </w:r>
    </w:p>
    <w:p w14:paraId="701D54BD">
      <w:pPr>
        <w:pStyle w:val="39"/>
        <w:spacing w:before="0" w:beforeAutospacing="0" w:after="156" w:afterAutospacing="0" w:line="560" w:lineRule="atLeast"/>
        <w:rPr>
          <w:color w:val="000000" w:themeColor="text1"/>
          <w:highlight w:val="none"/>
          <w:shd w:val="clear" w:color="auto" w:fill="FFFFFF"/>
          <w14:textFill>
            <w14:solidFill>
              <w14:schemeClr w14:val="tx1"/>
            </w14:solidFill>
          </w14:textFill>
        </w:rPr>
      </w:pPr>
    </w:p>
    <w:p w14:paraId="66FCF80A">
      <w:pPr>
        <w:pStyle w:val="39"/>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p>
    <w:p w14:paraId="191E542C">
      <w:pPr>
        <w:pStyle w:val="39"/>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p>
    <w:p w14:paraId="314AB162">
      <w:pPr>
        <w:pStyle w:val="39"/>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p>
    <w:p w14:paraId="3226B435">
      <w:pPr>
        <w:pStyle w:val="39"/>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p>
    <w:p w14:paraId="141150E6">
      <w:pPr>
        <w:pStyle w:val="39"/>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t>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AEBB100">
      <w:pPr>
        <w:pStyle w:val="39"/>
        <w:spacing w:before="0" w:beforeAutospacing="0" w:after="156" w:afterAutospacing="0" w:line="560" w:lineRule="atLeast"/>
        <w:rPr>
          <w:color w:val="000000" w:themeColor="text1"/>
          <w:highlight w:val="none"/>
          <w:shd w:val="clear" w:color="auto" w:fill="FFFFFF"/>
          <w14:textFill>
            <w14:solidFill>
              <w14:schemeClr w14:val="tx1"/>
            </w14:solidFill>
          </w14:textFill>
        </w:rPr>
      </w:pPr>
    </w:p>
    <w:p w14:paraId="5A687B1C">
      <w:pPr>
        <w:pStyle w:val="39"/>
        <w:spacing w:before="0" w:beforeAutospacing="0" w:after="156" w:afterAutospacing="0" w:line="560" w:lineRule="atLeast"/>
        <w:rPr>
          <w:color w:val="000000" w:themeColor="text1"/>
          <w:highlight w:val="none"/>
          <w:shd w:val="clear" w:color="auto" w:fill="FFFFFF"/>
          <w:lang w:eastAsia="zh"/>
          <w14:textFill>
            <w14:solidFill>
              <w14:schemeClr w14:val="tx1"/>
            </w14:solidFill>
          </w14:textFill>
        </w:rPr>
      </w:pPr>
    </w:p>
    <w:p w14:paraId="02252B55">
      <w:pPr>
        <w:widowControl/>
        <w:jc w:val="left"/>
        <w:rPr>
          <w:rFonts w:hint="eastAsia" w:ascii="宋体" w:hAnsi="宋体" w:cs="宋体"/>
          <w:color w:val="000000" w:themeColor="text1"/>
          <w:szCs w:val="21"/>
          <w:highlight w:val="none"/>
          <w14:textFill>
            <w14:solidFill>
              <w14:schemeClr w14:val="tx1"/>
            </w14:solidFill>
          </w14:textFill>
        </w:rPr>
      </w:pPr>
    </w:p>
    <w:p w14:paraId="597CAAE8">
      <w:pPr>
        <w:spacing w:line="360" w:lineRule="auto"/>
        <w:ind w:right="420" w:firstLine="3780"/>
        <w:rPr>
          <w:rFonts w:hint="eastAsia" w:ascii="宋体" w:hAnsi="宋体" w:cs="宋体"/>
          <w:color w:val="000000" w:themeColor="text1"/>
          <w:szCs w:val="21"/>
          <w:highlight w:val="none"/>
          <w14:textFill>
            <w14:solidFill>
              <w14:schemeClr w14:val="tx1"/>
            </w14:solidFill>
          </w14:textFill>
        </w:rPr>
      </w:pPr>
    </w:p>
    <w:sectPr>
      <w:pgSz w:w="11906" w:h="16838"/>
      <w:pgMar w:top="1440" w:right="1698" w:bottom="1440" w:left="1588"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微软雅黑">
    <w:panose1 w:val="020B0503020204020204"/>
    <w:charset w:val="86"/>
    <w:family w:val="swiss"/>
    <w:pitch w:val="default"/>
    <w:sig w:usb0="80000287" w:usb1="2ACF3C50" w:usb2="00000016" w:usb3="00000000" w:csb0="0004001F" w:csb1="00000000"/>
  </w:font>
  <w:font w:name="Microsoft YaHei UI">
    <w:panose1 w:val="020B0503020204020204"/>
    <w:charset w:val="86"/>
    <w:family w:val="swiss"/>
    <w:pitch w:val="default"/>
    <w:sig w:usb0="80000287" w:usb1="2ACF3C50" w:usb2="00000016" w:usb3="00000000" w:csb0="0004001F" w:csb1="00000000"/>
  </w:font>
  <w:font w:name="方正仿宋_GBK">
    <w:panose1 w:val="02000000000000000000"/>
    <w:charset w:val="86"/>
    <w:family w:val="auto"/>
    <w:pitch w:val="default"/>
    <w:sig w:usb0="A00002BF" w:usb1="38CF7CFA" w:usb2="00082016" w:usb3="00000000" w:csb0="00040001" w:csb1="00000000"/>
  </w:font>
  <w:font w:name="华文宋体">
    <w:altName w:val="宋体"/>
    <w:panose1 w:val="02010600040101010101"/>
    <w:charset w:val="86"/>
    <w:family w:val="auto"/>
    <w:pitch w:val="default"/>
    <w:sig w:usb0="00000000" w:usb1="00000000" w:usb2="00000010" w:usb3="00000000" w:csb0="0004009F" w:csb1="00000000"/>
  </w:font>
  <w:font w:name="Microsoft New Tai Lue">
    <w:panose1 w:val="020B0502040204020203"/>
    <w:charset w:val="00"/>
    <w:family w:val="swiss"/>
    <w:pitch w:val="default"/>
    <w:sig w:usb0="00000003" w:usb1="00000000" w:usb2="80000000" w:usb3="00000000" w:csb0="00000001" w:csb1="00000000"/>
  </w:font>
  <w:font w:name="Segoe UI Symbol">
    <w:panose1 w:val="020B0502040204020203"/>
    <w:charset w:val="00"/>
    <w:family w:val="swiss"/>
    <w:pitch w:val="default"/>
    <w:sig w:usb0="800001E3" w:usb1="1200FFEF" w:usb2="00040000" w:usb3="04000000" w:csb0="00000001" w:csb1="40000000"/>
  </w:font>
  <w:font w:name="方正小标宋简体">
    <w:altName w:val="黑体"/>
    <w:panose1 w:val="02000000000000000000"/>
    <w:charset w:val="86"/>
    <w:family w:val="auto"/>
    <w:pitch w:val="default"/>
    <w:sig w:usb0="00000000" w:usb1="00000000" w:usb2="00000012" w:usb3="00000000" w:csb0="00040001" w:csb1="00000000"/>
  </w:font>
  <w:font w:name="Tahoma">
    <w:panose1 w:val="020B0604030504040204"/>
    <w:charset w:val="00"/>
    <w:family w:val="auto"/>
    <w:pitch w:val="default"/>
    <w:sig w:usb0="E1002EFF" w:usb1="C000605B" w:usb2="00000029" w:usb3="00000000" w:csb0="200101FF" w:csb1="20280000"/>
  </w:font>
  <w:font w:name="KSOF439EEF5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9890B">
    <w:pPr>
      <w:pStyle w:val="27"/>
      <w:jc w:val="center"/>
    </w:pPr>
  </w:p>
  <w:p w14:paraId="0296B68A">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6531C">
    <w:pPr>
      <w:pStyle w:val="27"/>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D7397">
    <w:pPr>
      <w:pStyle w:val="27"/>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8"/>
              <wp:cNvGraphicFramePr/>
              <a:graphic xmlns:a="http://schemas.openxmlformats.org/drawingml/2006/main">
                <a:graphicData uri="http://schemas.microsoft.com/office/word/2010/wordprocessingShape">
                  <wps:wsp>
                    <wps:cNvSpPr txBox="1"/>
                    <wps:spPr bwMode="auto">
                      <a:xfrm>
                        <a:off x="0" y="0"/>
                        <a:ext cx="57785" cy="131445"/>
                      </a:xfrm>
                      <a:prstGeom prst="rect">
                        <a:avLst/>
                      </a:prstGeom>
                      <a:noFill/>
                      <a:ln>
                        <a:noFill/>
                        <a:miter/>
                      </a:ln>
                    </wps:spPr>
                    <wps:txbx>
                      <w:txbxContent>
                        <w:p w14:paraId="747AE946">
                          <w:pPr>
                            <w:pStyle w:val="2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80</w:t>
                          </w:r>
                          <w:r>
                            <w:fldChar w:fldCharType="end"/>
                          </w:r>
                          <w:r>
                            <w:t xml:space="preserve"> 页</w:t>
                          </w:r>
                        </w:p>
                      </w:txbxContent>
                    </wps:txbx>
                    <wps:bodyPr wrap="none" lIns="0" tIns="0" rIns="0" bIns="0" upright="1">
                      <a:spAutoFit/>
                    </wps:bodyPr>
                  </wps:wsp>
                </a:graphicData>
              </a:graphic>
            </wp:anchor>
          </w:drawing>
        </mc:Choice>
        <mc:Fallback>
          <w:pict>
            <v:shape id="文本框 8" o:spid="_x0000_s1026" o:spt="202" type="#_x0000_t202" style="position:absolute;left:0pt;margin-top:0pt;height:10.35pt;width:4.55pt;mso-position-horizontal:center;mso-position-horizontal-relative:margin;mso-wrap-style:none;z-index:251663360;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4vdRNAAAAACAQAADwAAAAAAAAABACAA&#10;AAAiAAAAZHJzL2Rvd25yZXYueG1sUEsBAhQAFAAAAAgAh07iQIF4oNPcAQAArgMAAA4AAAAAAAAA&#10;AQAgAAAAHwEAAGRycy9lMm9Eb2MueG1sUEsFBgAAAAAGAAYAWQEAAG0FAAAAAA==&#10;">
              <v:fill on="f" focussize="0,0"/>
              <v:stroke on="f" joinstyle="miter"/>
              <v:imagedata o:title=""/>
              <o:lock v:ext="edit" aspectratio="f"/>
              <v:textbox inset="0mm,0mm,0mm,0mm" style="mso-fit-shape-to-text:t;">
                <w:txbxContent>
                  <w:p w14:paraId="747AE946">
                    <w:pPr>
                      <w:pStyle w:val="2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80</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23C16">
    <w:pPr>
      <w:pStyle w:val="27"/>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F946FC">
                          <w:r>
                            <w:t xml:space="preserve">第 </w:t>
                          </w:r>
                          <w:r>
                            <w:fldChar w:fldCharType="begin"/>
                          </w:r>
                          <w:r>
                            <w:instrText xml:space="preserve"> PAGE  \* MERGEFORMAT </w:instrText>
                          </w:r>
                          <w:r>
                            <w:fldChar w:fldCharType="separate"/>
                          </w:r>
                          <w:r>
                            <w:t>13</w:t>
                          </w:r>
                          <w:r>
                            <w:fldChar w:fldCharType="end"/>
                          </w:r>
                          <w:r>
                            <w:t xml:space="preserve"> 页 共 </w:t>
                          </w:r>
                          <w:r>
                            <w:fldChar w:fldCharType="begin"/>
                          </w:r>
                          <w:r>
                            <w:instrText xml:space="preserve"> NUMPAGES  \* MERGEFORMAT </w:instrText>
                          </w:r>
                          <w:r>
                            <w:fldChar w:fldCharType="separate"/>
                          </w:r>
                          <w:r>
                            <w:t>80</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ZIJ43AgAAYwQAAA4AAABkcnMvZTJvRG9jLnhtbK1UwW4TMRC9I/EP&#10;lu9001Kq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GSCeNwIAAGMEAAAOAAAAAAAAAAEAIAAAAB8BAABkcnMvZTJvRG9jLnht&#10;bFBLBQYAAAAABgAGAFkBAADIBQAAAAA=&#10;">
              <v:fill on="f" focussize="0,0"/>
              <v:stroke on="f" weight="0.5pt"/>
              <v:imagedata o:title=""/>
              <o:lock v:ext="edit" aspectratio="f"/>
              <v:textbox inset="0mm,0mm,0mm,0mm" style="mso-fit-shape-to-text:t;">
                <w:txbxContent>
                  <w:p w14:paraId="59F946FC">
                    <w:r>
                      <w:t xml:space="preserve">第 </w:t>
                    </w:r>
                    <w:r>
                      <w:fldChar w:fldCharType="begin"/>
                    </w:r>
                    <w:r>
                      <w:instrText xml:space="preserve"> PAGE  \* MERGEFORMAT </w:instrText>
                    </w:r>
                    <w:r>
                      <w:fldChar w:fldCharType="separate"/>
                    </w:r>
                    <w:r>
                      <w:t>13</w:t>
                    </w:r>
                    <w:r>
                      <w:fldChar w:fldCharType="end"/>
                    </w:r>
                    <w:r>
                      <w:t xml:space="preserve"> 页 共 </w:t>
                    </w:r>
                    <w:r>
                      <w:fldChar w:fldCharType="begin"/>
                    </w:r>
                    <w:r>
                      <w:instrText xml:space="preserve"> NUMPAGES  \* MERGEFORMAT </w:instrText>
                    </w:r>
                    <w:r>
                      <w:fldChar w:fldCharType="separate"/>
                    </w:r>
                    <w:r>
                      <w:t>80</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6D8B9">
    <w:pPr>
      <w:pStyle w:val="27"/>
      <w:jc w:val="both"/>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E822C5">
                          <w:pPr>
                            <w:pStyle w:val="27"/>
                            <w:jc w:val="center"/>
                          </w:pPr>
                          <w:r>
                            <w:t xml:space="preserve">第 </w:t>
                          </w:r>
                          <w:r>
                            <w:fldChar w:fldCharType="begin"/>
                          </w:r>
                          <w:r>
                            <w:instrText xml:space="preserve"> PAGE  \* MERGEFORMAT </w:instrText>
                          </w:r>
                          <w:r>
                            <w:fldChar w:fldCharType="separate"/>
                          </w:r>
                          <w:r>
                            <w:t>28</w:t>
                          </w:r>
                          <w:r>
                            <w:fldChar w:fldCharType="end"/>
                          </w:r>
                          <w:r>
                            <w:t xml:space="preserve"> 页 </w:t>
                          </w:r>
                          <w:r>
                            <w:rPr>
                              <w:rFonts w:hint="eastAsia"/>
                              <w:b/>
                              <w:bCs/>
                            </w:rPr>
                            <w:t>/</w:t>
                          </w:r>
                          <w:r>
                            <w:rPr>
                              <w:rFonts w:hint="eastAsia"/>
                            </w:rPr>
                            <w:t xml:space="preserve"> </w:t>
                          </w:r>
                          <w:r>
                            <w:t xml:space="preserve">共 </w:t>
                          </w:r>
                          <w:r>
                            <w:fldChar w:fldCharType="begin"/>
                          </w:r>
                          <w:r>
                            <w:instrText xml:space="preserve"> NUMPAGES  \* MERGEFORMAT </w:instrText>
                          </w:r>
                          <w:r>
                            <w:fldChar w:fldCharType="separate"/>
                          </w:r>
                          <w:r>
                            <w:t>80</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pHHPs3AgAAYwQAAA4AAABkcnMvZTJvRG9jLnhtbK1UwW4TMRC9I/EP&#10;lu9006KW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aRxz7NwIAAGMEAAAOAAAAAAAAAAEAIAAAAB8BAABkcnMvZTJvRG9jLnht&#10;bFBLBQYAAAAABgAGAFkBAADIBQAAAAA=&#10;">
              <v:fill on="f" focussize="0,0"/>
              <v:stroke on="f" weight="0.5pt"/>
              <v:imagedata o:title=""/>
              <o:lock v:ext="edit" aspectratio="f"/>
              <v:textbox inset="0mm,0mm,0mm,0mm" style="mso-fit-shape-to-text:t;">
                <w:txbxContent>
                  <w:p w14:paraId="53E822C5">
                    <w:pPr>
                      <w:pStyle w:val="27"/>
                      <w:jc w:val="center"/>
                    </w:pPr>
                    <w:r>
                      <w:t xml:space="preserve">第 </w:t>
                    </w:r>
                    <w:r>
                      <w:fldChar w:fldCharType="begin"/>
                    </w:r>
                    <w:r>
                      <w:instrText xml:space="preserve"> PAGE  \* MERGEFORMAT </w:instrText>
                    </w:r>
                    <w:r>
                      <w:fldChar w:fldCharType="separate"/>
                    </w:r>
                    <w:r>
                      <w:t>28</w:t>
                    </w:r>
                    <w:r>
                      <w:fldChar w:fldCharType="end"/>
                    </w:r>
                    <w:r>
                      <w:t xml:space="preserve"> 页 </w:t>
                    </w:r>
                    <w:r>
                      <w:rPr>
                        <w:rFonts w:hint="eastAsia"/>
                        <w:b/>
                        <w:bCs/>
                      </w:rPr>
                      <w:t>/</w:t>
                    </w:r>
                    <w:r>
                      <w:rPr>
                        <w:rFonts w:hint="eastAsia"/>
                      </w:rPr>
                      <w:t xml:space="preserve"> </w:t>
                    </w:r>
                    <w:r>
                      <w:t xml:space="preserve">共 </w:t>
                    </w:r>
                    <w:r>
                      <w:fldChar w:fldCharType="begin"/>
                    </w:r>
                    <w:r>
                      <w:instrText xml:space="preserve"> NUMPAGES  \* MERGEFORMAT </w:instrText>
                    </w:r>
                    <w:r>
                      <w:fldChar w:fldCharType="separate"/>
                    </w:r>
                    <w:r>
                      <w:t>80</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6EF676">
    <w:pPr>
      <w:pStyle w:val="29"/>
      <w:rPr>
        <w:rFonts w:hint="eastAsia" w:ascii="宋体" w:hAnsi="宋体" w:cs="宋体"/>
        <w:color w:val="000000"/>
        <w:sz w:val="22"/>
        <w:szCs w:val="22"/>
      </w:rPr>
    </w:pPr>
    <w:r>
      <w:drawing>
        <wp:anchor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icPr>
                <pic:blipFill>
                  <a:blip r:embed="rId1"/>
                  <a:stretch>
                    <a:fillRect/>
                  </a:stretch>
                </pic:blipFill>
                <pic:spPr>
                  <a:xfrm>
                    <a:off x="0" y="0"/>
                    <a:ext cx="515620" cy="561340"/>
                  </a:xfrm>
                  <a:prstGeom prst="rect">
                    <a:avLst/>
                  </a:prstGeom>
                  <a:noFill/>
                </pic:spPr>
              </pic:pic>
            </a:graphicData>
          </a:graphic>
        </wp:anchor>
      </w:drawing>
    </w:r>
    <w:r>
      <w:rPr>
        <w:rFonts w:hint="eastAsia" w:ascii="宋体" w:hAnsi="宋体" w:cs="宋体"/>
        <w:color w:val="000000"/>
        <w:sz w:val="22"/>
        <w:szCs w:val="22"/>
      </w:rPr>
      <w:t>江苏省招标中心有限公司招标文件</w:t>
    </w:r>
  </w:p>
  <w:p w14:paraId="3A8855EB">
    <w:pPr>
      <w:pStyle w:val="29"/>
    </w:pPr>
    <w:r>
      <w:rPr>
        <w:rFonts w:hint="eastAsia" w:ascii="宋体" w:hAnsi="宋体" w:cs="宋体"/>
        <w:color w:val="000000"/>
        <w:sz w:val="22"/>
        <w:szCs w:val="22"/>
      </w:rPr>
      <w:t>（南京鼓楼医院3D外视镜系统采购项目）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33003">
    <w:pPr>
      <w:pStyle w:val="29"/>
      <w:rPr>
        <w:rFonts w:hint="eastAsia" w:ascii="宋体" w:hAnsi="宋体" w:cs="宋体"/>
        <w:color w:val="000000"/>
        <w:sz w:val="22"/>
        <w:szCs w:val="22"/>
      </w:rPr>
    </w:pPr>
    <w:r>
      <w:drawing>
        <wp:anchor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5080" b="1016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icPr>
                <pic:blipFill>
                  <a:blip r:embed="rId1"/>
                  <a:stretch>
                    <a:fillRect/>
                  </a:stretch>
                </pic:blipFill>
                <pic:spPr>
                  <a:xfrm>
                    <a:off x="0" y="0"/>
                    <a:ext cx="515620" cy="561340"/>
                  </a:xfrm>
                  <a:prstGeom prst="rect">
                    <a:avLst/>
                  </a:prstGeom>
                  <a:noFill/>
                </pic:spPr>
              </pic:pic>
            </a:graphicData>
          </a:graphic>
        </wp:anchor>
      </w:drawing>
    </w:r>
    <w:r>
      <w:rPr>
        <w:rFonts w:hint="eastAsia" w:ascii="宋体" w:hAnsi="宋体" w:cs="宋体"/>
        <w:color w:val="000000"/>
        <w:sz w:val="22"/>
        <w:szCs w:val="22"/>
      </w:rPr>
      <w:t>江苏省招标中心有限公司招标文件</w:t>
    </w:r>
  </w:p>
  <w:p w14:paraId="2149FF45">
    <w:pPr>
      <w:pStyle w:val="29"/>
    </w:pPr>
    <w:r>
      <w:rPr>
        <w:rFonts w:hint="eastAsia" w:ascii="宋体" w:hAnsi="宋体" w:cs="宋体"/>
        <w:color w:val="000000"/>
        <w:sz w:val="22"/>
        <w:szCs w:val="22"/>
      </w:rPr>
      <w:t>（南京鼓楼医院3D外视镜系统采购项目）</w:t>
    </w:r>
  </w:p>
  <w:p w14:paraId="77188631">
    <w:pPr>
      <w:pStyle w:val="29"/>
      <w:spacing w:line="40" w:lineRule="exact"/>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1D5447"/>
    <w:multiLevelType w:val="multilevel"/>
    <w:tmpl w:val="C61D5447"/>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35DA9F90"/>
    <w:multiLevelType w:val="multilevel"/>
    <w:tmpl w:val="35DA9F90"/>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F9D1347"/>
    <w:multiLevelType w:val="multilevel"/>
    <w:tmpl w:val="5F9D1347"/>
    <w:lvl w:ilvl="0" w:tentative="0">
      <w:start w:val="1"/>
      <w:numFmt w:val="decimal"/>
      <w:suff w:val="nothing"/>
      <w:lvlText w:val="%1．"/>
      <w:lvlJc w:val="left"/>
      <w:pPr>
        <w:ind w:left="360" w:hanging="36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783BE709"/>
    <w:multiLevelType w:val="multilevel"/>
    <w:tmpl w:val="783BE709"/>
    <w:lvl w:ilvl="0" w:tentative="0">
      <w:start w:val="4"/>
      <w:numFmt w:val="decimal"/>
      <w:suff w:val="nothing"/>
      <w:lvlText w:val="（%1）"/>
      <w:lvlJc w:val="left"/>
    </w:lvl>
    <w:lvl w:ilvl="1" w:tentative="0">
      <w:start w:val="1"/>
      <w:numFmt w:val="bullet"/>
      <w:lvlText w:val="o"/>
      <w:lvlJc w:val="left"/>
      <w:pPr>
        <w:ind w:left="5834" w:hanging="360"/>
      </w:pPr>
      <w:rPr>
        <w:rFonts w:hint="default" w:ascii="Courier New" w:hAnsi="Courier New" w:eastAsia="Courier New" w:cs="Courier New"/>
      </w:rPr>
    </w:lvl>
    <w:lvl w:ilvl="2" w:tentative="0">
      <w:start w:val="1"/>
      <w:numFmt w:val="bullet"/>
      <w:lvlText w:val="§"/>
      <w:lvlJc w:val="left"/>
      <w:pPr>
        <w:ind w:left="6554" w:hanging="360"/>
      </w:pPr>
      <w:rPr>
        <w:rFonts w:hint="default" w:ascii="Wingdings" w:hAnsi="Wingdings" w:eastAsia="Wingdings" w:cs="Wingdings"/>
      </w:rPr>
    </w:lvl>
    <w:lvl w:ilvl="3" w:tentative="0">
      <w:start w:val="1"/>
      <w:numFmt w:val="bullet"/>
      <w:lvlText w:val="·"/>
      <w:lvlJc w:val="left"/>
      <w:pPr>
        <w:ind w:left="7274" w:hanging="360"/>
      </w:pPr>
      <w:rPr>
        <w:rFonts w:hint="default" w:ascii="Symbol" w:hAnsi="Symbol" w:eastAsia="Symbol" w:cs="Symbol"/>
      </w:rPr>
    </w:lvl>
    <w:lvl w:ilvl="4" w:tentative="0">
      <w:start w:val="1"/>
      <w:numFmt w:val="bullet"/>
      <w:lvlText w:val="o"/>
      <w:lvlJc w:val="left"/>
      <w:pPr>
        <w:ind w:left="7994" w:hanging="360"/>
      </w:pPr>
      <w:rPr>
        <w:rFonts w:hint="default" w:ascii="Courier New" w:hAnsi="Courier New" w:eastAsia="Courier New" w:cs="Courier New"/>
      </w:rPr>
    </w:lvl>
    <w:lvl w:ilvl="5" w:tentative="0">
      <w:start w:val="1"/>
      <w:numFmt w:val="bullet"/>
      <w:lvlText w:val="§"/>
      <w:lvlJc w:val="left"/>
      <w:pPr>
        <w:ind w:left="8714" w:hanging="360"/>
      </w:pPr>
      <w:rPr>
        <w:rFonts w:hint="default" w:ascii="Wingdings" w:hAnsi="Wingdings" w:eastAsia="Wingdings" w:cs="Wingdings"/>
      </w:rPr>
    </w:lvl>
    <w:lvl w:ilvl="6" w:tentative="0">
      <w:start w:val="1"/>
      <w:numFmt w:val="bullet"/>
      <w:lvlText w:val="·"/>
      <w:lvlJc w:val="left"/>
      <w:pPr>
        <w:ind w:left="9434" w:hanging="360"/>
      </w:pPr>
      <w:rPr>
        <w:rFonts w:hint="default" w:ascii="Symbol" w:hAnsi="Symbol" w:eastAsia="Symbol" w:cs="Symbol"/>
      </w:rPr>
    </w:lvl>
    <w:lvl w:ilvl="7" w:tentative="0">
      <w:start w:val="1"/>
      <w:numFmt w:val="bullet"/>
      <w:lvlText w:val="o"/>
      <w:lvlJc w:val="left"/>
      <w:pPr>
        <w:ind w:left="10154" w:hanging="360"/>
      </w:pPr>
      <w:rPr>
        <w:rFonts w:hint="default" w:ascii="Courier New" w:hAnsi="Courier New" w:eastAsia="Courier New" w:cs="Courier New"/>
      </w:rPr>
    </w:lvl>
    <w:lvl w:ilvl="8" w:tentative="0">
      <w:start w:val="1"/>
      <w:numFmt w:val="bullet"/>
      <w:lvlText w:val="§"/>
      <w:lvlJc w:val="left"/>
      <w:pPr>
        <w:ind w:left="10874"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001"/>
    <w:rsid w:val="0040291A"/>
    <w:rsid w:val="00485A0D"/>
    <w:rsid w:val="008062B9"/>
    <w:rsid w:val="00BE5FCC"/>
    <w:rsid w:val="00D373A9"/>
    <w:rsid w:val="00E606E8"/>
    <w:rsid w:val="00EB0BA3"/>
    <w:rsid w:val="00F40001"/>
    <w:rsid w:val="028060B5"/>
    <w:rsid w:val="08FA62FB"/>
    <w:rsid w:val="098C538A"/>
    <w:rsid w:val="0C071BF4"/>
    <w:rsid w:val="0C18421A"/>
    <w:rsid w:val="0D9509BF"/>
    <w:rsid w:val="10091F7D"/>
    <w:rsid w:val="10AD3456"/>
    <w:rsid w:val="11A82212"/>
    <w:rsid w:val="132910AB"/>
    <w:rsid w:val="13927D68"/>
    <w:rsid w:val="152769AB"/>
    <w:rsid w:val="15D8697B"/>
    <w:rsid w:val="16573FAF"/>
    <w:rsid w:val="166B06F5"/>
    <w:rsid w:val="16C34DB9"/>
    <w:rsid w:val="16F65AEF"/>
    <w:rsid w:val="18883FB0"/>
    <w:rsid w:val="189E7194"/>
    <w:rsid w:val="19D955E3"/>
    <w:rsid w:val="1C091814"/>
    <w:rsid w:val="1ED03BF7"/>
    <w:rsid w:val="2063580D"/>
    <w:rsid w:val="20F62C82"/>
    <w:rsid w:val="25CD2188"/>
    <w:rsid w:val="285E3C7E"/>
    <w:rsid w:val="2AC4044D"/>
    <w:rsid w:val="2BCA20FB"/>
    <w:rsid w:val="2BD71D8D"/>
    <w:rsid w:val="2C4E1B74"/>
    <w:rsid w:val="2D0F15C3"/>
    <w:rsid w:val="2E222864"/>
    <w:rsid w:val="2E7C01BD"/>
    <w:rsid w:val="2ED150DD"/>
    <w:rsid w:val="302B68DA"/>
    <w:rsid w:val="32463F4C"/>
    <w:rsid w:val="32DA2808"/>
    <w:rsid w:val="347630D4"/>
    <w:rsid w:val="36E23E6F"/>
    <w:rsid w:val="380C4062"/>
    <w:rsid w:val="395411AF"/>
    <w:rsid w:val="3A126201"/>
    <w:rsid w:val="3A241DE1"/>
    <w:rsid w:val="3AF25027"/>
    <w:rsid w:val="3B18733A"/>
    <w:rsid w:val="404F7620"/>
    <w:rsid w:val="40BB646C"/>
    <w:rsid w:val="418A46C4"/>
    <w:rsid w:val="425B2152"/>
    <w:rsid w:val="427313FE"/>
    <w:rsid w:val="451B276B"/>
    <w:rsid w:val="4695798A"/>
    <w:rsid w:val="47D50FBC"/>
    <w:rsid w:val="48AC0C67"/>
    <w:rsid w:val="49340105"/>
    <w:rsid w:val="4F475B55"/>
    <w:rsid w:val="4FD42BF3"/>
    <w:rsid w:val="50204ED5"/>
    <w:rsid w:val="52BC29D7"/>
    <w:rsid w:val="542A3CA5"/>
    <w:rsid w:val="556C55C2"/>
    <w:rsid w:val="578100CE"/>
    <w:rsid w:val="578A6B8F"/>
    <w:rsid w:val="57C52CFE"/>
    <w:rsid w:val="58817280"/>
    <w:rsid w:val="59011144"/>
    <w:rsid w:val="59065F88"/>
    <w:rsid w:val="59504E81"/>
    <w:rsid w:val="598A6CE4"/>
    <w:rsid w:val="5B797FEB"/>
    <w:rsid w:val="5BB00754"/>
    <w:rsid w:val="5D84546F"/>
    <w:rsid w:val="61A7573B"/>
    <w:rsid w:val="62306134"/>
    <w:rsid w:val="62AC43DB"/>
    <w:rsid w:val="65205844"/>
    <w:rsid w:val="67316FC1"/>
    <w:rsid w:val="6893286A"/>
    <w:rsid w:val="68B22C94"/>
    <w:rsid w:val="69600F0A"/>
    <w:rsid w:val="6B0B6A71"/>
    <w:rsid w:val="6C7D31DD"/>
    <w:rsid w:val="6C864095"/>
    <w:rsid w:val="6C946E3A"/>
    <w:rsid w:val="6D88011F"/>
    <w:rsid w:val="711361A6"/>
    <w:rsid w:val="73482CC4"/>
    <w:rsid w:val="757C3E1F"/>
    <w:rsid w:val="7CB523AD"/>
    <w:rsid w:val="7D660319"/>
    <w:rsid w:val="7E1C3938"/>
    <w:rsid w:val="7E485C3F"/>
    <w:rsid w:val="7E711776"/>
    <w:rsid w:val="7E752F97"/>
    <w:rsid w:val="F7D7DB3E"/>
    <w:rsid w:val="FBBFE5AD"/>
    <w:rsid w:val="FBFC8A0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9" w:semiHidden="0" w:name="heading 5"/>
    <w:lsdException w:qFormat="1" w:unhideWhenUsed="0" w:uiPriority="0" w:semiHidden="0" w:name="heading 6"/>
    <w:lsdException w:qFormat="1" w:uiPriority="9" w:semiHidden="0" w:name="heading 7"/>
    <w:lsdException w:qFormat="1" w:unhideWhenUsed="0" w:uiPriority="0"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99"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iPriority="99"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19"/>
    <w:qFormat/>
    <w:uiPriority w:val="0"/>
    <w:pPr>
      <w:keepNext/>
      <w:keepLines/>
      <w:spacing w:before="120" w:after="120"/>
      <w:ind w:left="100" w:right="100"/>
      <w:outlineLvl w:val="0"/>
    </w:pPr>
    <w:rPr>
      <w:b/>
      <w:bCs/>
      <w:szCs w:val="44"/>
    </w:rPr>
  </w:style>
  <w:style w:type="paragraph" w:styleId="3">
    <w:name w:val="heading 2"/>
    <w:basedOn w:val="1"/>
    <w:next w:val="1"/>
    <w:link w:val="74"/>
    <w:qFormat/>
    <w:uiPriority w:val="0"/>
    <w:pPr>
      <w:keepNext/>
      <w:keepLines/>
      <w:spacing w:before="260" w:after="260" w:line="416" w:lineRule="auto"/>
      <w:outlineLvl w:val="1"/>
    </w:pPr>
    <w:rPr>
      <w:rFonts w:ascii="等线 Light" w:hAnsi="等线 Light" w:eastAsia="等线 Light"/>
      <w:b/>
      <w:bCs/>
      <w:sz w:val="32"/>
      <w:szCs w:val="32"/>
    </w:rPr>
  </w:style>
  <w:style w:type="paragraph" w:styleId="4">
    <w:name w:val="heading 3"/>
    <w:basedOn w:val="1"/>
    <w:next w:val="1"/>
    <w:link w:val="73"/>
    <w:qFormat/>
    <w:uiPriority w:val="9"/>
    <w:pPr>
      <w:keepNext/>
      <w:keepLines/>
      <w:spacing w:before="260" w:after="260" w:line="416" w:lineRule="auto"/>
      <w:outlineLvl w:val="2"/>
    </w:pPr>
    <w:rPr>
      <w:b/>
      <w:bCs/>
      <w:sz w:val="32"/>
      <w:szCs w:val="32"/>
    </w:rPr>
  </w:style>
  <w:style w:type="paragraph" w:styleId="5">
    <w:name w:val="heading 4"/>
    <w:basedOn w:val="1"/>
    <w:next w:val="1"/>
    <w:link w:val="87"/>
    <w:qFormat/>
    <w:uiPriority w:val="0"/>
    <w:pPr>
      <w:keepNext/>
      <w:keepLines/>
      <w:spacing w:before="280" w:after="290" w:line="376" w:lineRule="auto"/>
      <w:outlineLvl w:val="3"/>
    </w:pPr>
    <w:rPr>
      <w:rFonts w:ascii="等线 Light" w:hAnsi="等线 Light" w:eastAsia="等线 Light"/>
      <w:b/>
      <w:bCs/>
      <w:sz w:val="28"/>
      <w:szCs w:val="28"/>
    </w:rPr>
  </w:style>
  <w:style w:type="paragraph" w:styleId="6">
    <w:name w:val="heading 5"/>
    <w:basedOn w:val="1"/>
    <w:next w:val="1"/>
    <w:link w:val="95"/>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220"/>
    <w:qFormat/>
    <w:uiPriority w:val="0"/>
    <w:pPr>
      <w:keepNext/>
      <w:keepLines/>
      <w:spacing w:before="240" w:after="64" w:line="320" w:lineRule="auto"/>
      <w:outlineLvl w:val="5"/>
    </w:pPr>
    <w:rPr>
      <w:rFonts w:ascii="等线 Light" w:hAnsi="等线 Light" w:eastAsia="等线 Light"/>
      <w:b/>
      <w:bCs/>
      <w:sz w:val="24"/>
    </w:rPr>
  </w:style>
  <w:style w:type="paragraph" w:styleId="8">
    <w:name w:val="heading 7"/>
    <w:basedOn w:val="1"/>
    <w:next w:val="1"/>
    <w:link w:val="9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221"/>
    <w:qFormat/>
    <w:uiPriority w:val="0"/>
    <w:pPr>
      <w:keepNext/>
      <w:keepLines/>
      <w:spacing w:before="240" w:after="64" w:line="320" w:lineRule="auto"/>
      <w:outlineLvl w:val="7"/>
    </w:pPr>
    <w:rPr>
      <w:rFonts w:ascii="等线 Light" w:hAnsi="等线 Light" w:eastAsia="等线 Light"/>
      <w:sz w:val="24"/>
    </w:rPr>
  </w:style>
  <w:style w:type="paragraph" w:styleId="10">
    <w:name w:val="heading 9"/>
    <w:basedOn w:val="1"/>
    <w:next w:val="1"/>
    <w:link w:val="99"/>
    <w:unhideWhenUsed/>
    <w:qFormat/>
    <w:uiPriority w:val="9"/>
    <w:pPr>
      <w:keepNext/>
      <w:keepLines/>
      <w:spacing w:before="320" w:after="200"/>
      <w:outlineLvl w:val="8"/>
    </w:pPr>
    <w:rPr>
      <w:rFonts w:ascii="Arial" w:hAnsi="Arial" w:eastAsia="Arial" w:cs="Arial"/>
      <w:i/>
      <w:iCs/>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widowControl/>
      <w:ind w:left="100" w:hanging="200"/>
      <w:contextualSpacing/>
      <w:jc w:val="left"/>
    </w:pPr>
    <w:rPr>
      <w:sz w:val="20"/>
      <w:szCs w:val="20"/>
    </w:rPr>
  </w:style>
  <w:style w:type="paragraph" w:styleId="12">
    <w:name w:val="toc 7"/>
    <w:basedOn w:val="1"/>
    <w:next w:val="1"/>
    <w:unhideWhenUsed/>
    <w:qFormat/>
    <w:uiPriority w:val="39"/>
    <w:pPr>
      <w:spacing w:after="57"/>
      <w:ind w:left="1701"/>
    </w:pPr>
  </w:style>
  <w:style w:type="paragraph" w:styleId="13">
    <w:name w:val="Normal Indent"/>
    <w:basedOn w:val="1"/>
    <w:link w:val="223"/>
    <w:qFormat/>
    <w:uiPriority w:val="99"/>
    <w:pPr>
      <w:ind w:firstLine="420"/>
    </w:pPr>
    <w:rPr>
      <w:szCs w:val="20"/>
    </w:rPr>
  </w:style>
  <w:style w:type="paragraph" w:styleId="14">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5">
    <w:name w:val="Document Map"/>
    <w:basedOn w:val="1"/>
    <w:link w:val="224"/>
    <w:qFormat/>
    <w:uiPriority w:val="0"/>
    <w:pPr>
      <w:shd w:val="clear" w:color="auto" w:fill="000080"/>
    </w:pPr>
  </w:style>
  <w:style w:type="paragraph" w:styleId="16">
    <w:name w:val="annotation text"/>
    <w:basedOn w:val="1"/>
    <w:link w:val="225"/>
    <w:qFormat/>
    <w:uiPriority w:val="0"/>
    <w:pPr>
      <w:jc w:val="left"/>
    </w:pPr>
  </w:style>
  <w:style w:type="paragraph" w:styleId="17">
    <w:name w:val="Body Text"/>
    <w:basedOn w:val="1"/>
    <w:next w:val="1"/>
    <w:link w:val="226"/>
    <w:qFormat/>
    <w:uiPriority w:val="1"/>
    <w:pPr>
      <w:spacing w:after="120"/>
    </w:pPr>
  </w:style>
  <w:style w:type="paragraph" w:styleId="18">
    <w:name w:val="Body Text Indent"/>
    <w:basedOn w:val="1"/>
    <w:qFormat/>
    <w:uiPriority w:val="0"/>
    <w:pPr>
      <w:spacing w:after="120"/>
      <w:ind w:left="420"/>
    </w:pPr>
  </w:style>
  <w:style w:type="paragraph" w:styleId="19">
    <w:name w:val="index 4"/>
    <w:basedOn w:val="1"/>
    <w:next w:val="1"/>
    <w:unhideWhenUsed/>
    <w:qFormat/>
    <w:uiPriority w:val="99"/>
    <w:pPr>
      <w:ind w:left="600"/>
    </w:pPr>
    <w:rPr>
      <w:rFonts w:ascii="宋体"/>
      <w:b/>
      <w:position w:val="-10"/>
      <w:sz w:val="24"/>
      <w:szCs w:val="20"/>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link w:val="229"/>
    <w:qFormat/>
    <w:uiPriority w:val="0"/>
    <w:rPr>
      <w:rFonts w:ascii="宋体" w:hAnsi="Courier New" w:cs="Courier New"/>
      <w:szCs w:val="21"/>
    </w:rPr>
  </w:style>
  <w:style w:type="paragraph" w:styleId="23">
    <w:name w:val="toc 8"/>
    <w:basedOn w:val="1"/>
    <w:next w:val="1"/>
    <w:unhideWhenUsed/>
    <w:qFormat/>
    <w:uiPriority w:val="39"/>
    <w:pPr>
      <w:spacing w:after="57"/>
      <w:ind w:left="1984"/>
    </w:pPr>
  </w:style>
  <w:style w:type="paragraph" w:styleId="24">
    <w:name w:val="Date"/>
    <w:basedOn w:val="1"/>
    <w:next w:val="1"/>
    <w:link w:val="231"/>
    <w:qFormat/>
    <w:uiPriority w:val="0"/>
    <w:rPr>
      <w:sz w:val="24"/>
      <w:szCs w:val="20"/>
    </w:rPr>
  </w:style>
  <w:style w:type="paragraph" w:styleId="25">
    <w:name w:val="endnote text"/>
    <w:basedOn w:val="1"/>
    <w:link w:val="216"/>
    <w:semiHidden/>
    <w:unhideWhenUsed/>
    <w:qFormat/>
    <w:uiPriority w:val="99"/>
    <w:rPr>
      <w:sz w:val="20"/>
    </w:rPr>
  </w:style>
  <w:style w:type="paragraph" w:styleId="26">
    <w:name w:val="Balloon Text"/>
    <w:basedOn w:val="1"/>
    <w:link w:val="232"/>
    <w:qFormat/>
    <w:uiPriority w:val="0"/>
    <w:rPr>
      <w:sz w:val="18"/>
      <w:szCs w:val="18"/>
    </w:rPr>
  </w:style>
  <w:style w:type="paragraph" w:styleId="27">
    <w:name w:val="footer"/>
    <w:basedOn w:val="1"/>
    <w:link w:val="233"/>
    <w:qFormat/>
    <w:uiPriority w:val="99"/>
    <w:pPr>
      <w:tabs>
        <w:tab w:val="center" w:pos="4153"/>
        <w:tab w:val="right" w:pos="8306"/>
      </w:tabs>
      <w:jc w:val="left"/>
    </w:pPr>
    <w:rPr>
      <w:sz w:val="18"/>
      <w:szCs w:val="18"/>
    </w:rPr>
  </w:style>
  <w:style w:type="paragraph" w:styleId="28">
    <w:name w:val="envelope return"/>
    <w:basedOn w:val="1"/>
    <w:qFormat/>
    <w:uiPriority w:val="0"/>
    <w:rPr>
      <w:rFonts w:ascii="Arial" w:hAnsi="Arial"/>
    </w:rPr>
  </w:style>
  <w:style w:type="paragraph" w:styleId="29">
    <w:name w:val="header"/>
    <w:basedOn w:val="1"/>
    <w:link w:val="234"/>
    <w:qFormat/>
    <w:uiPriority w:val="99"/>
    <w:pPr>
      <w:pBdr>
        <w:bottom w:val="single" w:color="auto" w:sz="6" w:space="1"/>
      </w:pBdr>
      <w:tabs>
        <w:tab w:val="center" w:pos="4153"/>
        <w:tab w:val="right" w:pos="8306"/>
      </w:tabs>
      <w:jc w:val="center"/>
    </w:pPr>
    <w:rPr>
      <w:sz w:val="18"/>
      <w:szCs w:val="18"/>
    </w:r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101"/>
    <w:qFormat/>
    <w:uiPriority w:val="11"/>
    <w:pPr>
      <w:spacing w:before="200" w:after="200"/>
    </w:pPr>
    <w:rPr>
      <w:sz w:val="24"/>
    </w:rPr>
  </w:style>
  <w:style w:type="paragraph" w:styleId="33">
    <w:name w:val="footnote text"/>
    <w:basedOn w:val="1"/>
    <w:link w:val="215"/>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semiHidden/>
    <w:qFormat/>
    <w:uiPriority w:val="99"/>
    <w:pPr>
      <w:ind w:left="420"/>
    </w:pPr>
    <w:rPr>
      <w:rFonts w:eastAsia="楷体_GB2312"/>
      <w:sz w:val="26"/>
      <w:szCs w:val="26"/>
    </w:rPr>
  </w:style>
  <w:style w:type="paragraph" w:styleId="37">
    <w:name w:val="toc 9"/>
    <w:basedOn w:val="1"/>
    <w:next w:val="1"/>
    <w:unhideWhenUsed/>
    <w:qFormat/>
    <w:uiPriority w:val="39"/>
    <w:pPr>
      <w:spacing w:after="57"/>
      <w:ind w:left="2268"/>
    </w:pPr>
  </w:style>
  <w:style w:type="paragraph" w:styleId="38">
    <w:name w:val="Body Text 2"/>
    <w:basedOn w:val="1"/>
    <w:link w:val="240"/>
    <w:qFormat/>
    <w:uiPriority w:val="0"/>
    <w:pPr>
      <w:spacing w:after="120" w:line="480" w:lineRule="auto"/>
    </w:pPr>
    <w:rPr>
      <w:rFonts w:ascii="Calibri" w:hAnsi="Calibri"/>
    </w:rPr>
  </w:style>
  <w:style w:type="paragraph" w:styleId="39">
    <w:name w:val="Normal (Web)"/>
    <w:basedOn w:val="1"/>
    <w:qFormat/>
    <w:uiPriority w:val="99"/>
    <w:pPr>
      <w:widowControl/>
      <w:spacing w:before="100" w:beforeAutospacing="1" w:after="100" w:afterAutospacing="1"/>
      <w:jc w:val="left"/>
    </w:pPr>
    <w:rPr>
      <w:sz w:val="24"/>
    </w:rPr>
  </w:style>
  <w:style w:type="paragraph" w:styleId="40">
    <w:name w:val="Title"/>
    <w:basedOn w:val="1"/>
    <w:next w:val="1"/>
    <w:link w:val="241"/>
    <w:qFormat/>
    <w:uiPriority w:val="0"/>
    <w:pPr>
      <w:spacing w:before="240" w:after="60" w:line="360" w:lineRule="auto"/>
      <w:jc w:val="center"/>
      <w:outlineLvl w:val="0"/>
    </w:pPr>
    <w:rPr>
      <w:rFonts w:ascii="等线 Light" w:hAnsi="等线 Light"/>
      <w:b/>
      <w:bCs/>
      <w:sz w:val="32"/>
      <w:szCs w:val="32"/>
    </w:rPr>
  </w:style>
  <w:style w:type="paragraph" w:styleId="41">
    <w:name w:val="annotation subject"/>
    <w:basedOn w:val="16"/>
    <w:next w:val="16"/>
    <w:link w:val="242"/>
    <w:qFormat/>
    <w:uiPriority w:val="0"/>
    <w:rPr>
      <w:b/>
      <w:bCs/>
    </w:rPr>
  </w:style>
  <w:style w:type="paragraph" w:styleId="42">
    <w:name w:val="Body Text First Indent"/>
    <w:basedOn w:val="17"/>
    <w:qFormat/>
    <w:uiPriority w:val="0"/>
    <w:pPr>
      <w:spacing w:line="360" w:lineRule="auto"/>
      <w:ind w:firstLine="420"/>
    </w:pPr>
    <w:rPr>
      <w:szCs w:val="21"/>
    </w:rPr>
  </w:style>
  <w:style w:type="table" w:styleId="44">
    <w:name w:val="Table Grid"/>
    <w:basedOn w:val="4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6">
    <w:name w:val="Strong"/>
    <w:qFormat/>
    <w:uiPriority w:val="0"/>
    <w:rPr>
      <w:b/>
      <w:bCs/>
    </w:rPr>
  </w:style>
  <w:style w:type="character" w:styleId="47">
    <w:name w:val="endnote reference"/>
    <w:basedOn w:val="45"/>
    <w:semiHidden/>
    <w:unhideWhenUsed/>
    <w:qFormat/>
    <w:uiPriority w:val="99"/>
    <w:rPr>
      <w:vertAlign w:val="superscript"/>
    </w:rPr>
  </w:style>
  <w:style w:type="character" w:styleId="48">
    <w:name w:val="page number"/>
    <w:basedOn w:val="45"/>
    <w:qFormat/>
    <w:uiPriority w:val="0"/>
  </w:style>
  <w:style w:type="character" w:styleId="49">
    <w:name w:val="Emphasis"/>
    <w:qFormat/>
    <w:uiPriority w:val="0"/>
    <w:rPr>
      <w:i/>
      <w:iCs/>
    </w:rPr>
  </w:style>
  <w:style w:type="character" w:styleId="50">
    <w:name w:val="Hyperlink"/>
    <w:qFormat/>
    <w:uiPriority w:val="99"/>
    <w:rPr>
      <w:color w:val="auto"/>
      <w:u w:val="none"/>
    </w:rPr>
  </w:style>
  <w:style w:type="character" w:styleId="51">
    <w:name w:val="annotation reference"/>
    <w:qFormat/>
    <w:uiPriority w:val="0"/>
    <w:rPr>
      <w:sz w:val="21"/>
      <w:szCs w:val="21"/>
    </w:rPr>
  </w:style>
  <w:style w:type="character" w:styleId="52">
    <w:name w:val="footnote reference"/>
    <w:basedOn w:val="45"/>
    <w:unhideWhenUsed/>
    <w:qFormat/>
    <w:uiPriority w:val="99"/>
    <w:rPr>
      <w:vertAlign w:val="superscript"/>
    </w:rPr>
  </w:style>
  <w:style w:type="table" w:customStyle="1" w:styleId="53">
    <w:name w:val="无格式表格 11"/>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无格式表格 21"/>
    <w:basedOn w:val="4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无格式表格 31"/>
    <w:basedOn w:val="4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无格式表格 41"/>
    <w:basedOn w:val="4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无格式表格 51"/>
    <w:basedOn w:val="4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网格表 1 浅色1"/>
    <w:basedOn w:val="4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网格表 2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网格表 3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网格表 41"/>
    <w:basedOn w:val="4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网格表 5 深色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网格表 6 彩色1"/>
    <w:basedOn w:val="4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网格表 7 彩色1"/>
    <w:basedOn w:val="4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清单表 1 浅色1"/>
    <w:basedOn w:val="4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6">
    <w:name w:val="清单表 21"/>
    <w:basedOn w:val="4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清单表 3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8">
    <w:name w:val="清单表 4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清单表 5 深色1"/>
    <w:basedOn w:val="4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0">
    <w:name w:val="清单表 6 彩色1"/>
    <w:basedOn w:val="4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1">
    <w:name w:val="清单表 7 彩色1"/>
    <w:basedOn w:val="4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2">
    <w:name w:val="TOC 标题1"/>
    <w:unhideWhenUsed/>
    <w:qFormat/>
    <w:uiPriority w:val="39"/>
    <w:rPr>
      <w:rFonts w:ascii="Times New Roman" w:hAnsi="Times New Roman" w:eastAsia="宋体" w:cs="Times New Roman"/>
      <w:lang w:val="en-US" w:eastAsia="zh-CN" w:bidi="ar-SA"/>
    </w:rPr>
  </w:style>
  <w:style w:type="character" w:customStyle="1" w:styleId="73">
    <w:name w:val="标题 3 字符"/>
    <w:link w:val="4"/>
    <w:qFormat/>
    <w:uiPriority w:val="9"/>
    <w:rPr>
      <w:rFonts w:eastAsia="宋体"/>
      <w:b/>
      <w:bCs/>
      <w:sz w:val="32"/>
      <w:szCs w:val="32"/>
      <w:lang w:val="en-US" w:eastAsia="zh-CN" w:bidi="ar-SA"/>
    </w:rPr>
  </w:style>
  <w:style w:type="character" w:customStyle="1" w:styleId="74">
    <w:name w:val="标题 2 字符"/>
    <w:link w:val="3"/>
    <w:semiHidden/>
    <w:qFormat/>
    <w:uiPriority w:val="0"/>
    <w:rPr>
      <w:rFonts w:ascii="等线 Light" w:hAnsi="等线 Light" w:eastAsia="等线 Light" w:cs="Times New Roman"/>
      <w:b/>
      <w:bCs/>
      <w:sz w:val="32"/>
      <w:szCs w:val="32"/>
    </w:rPr>
  </w:style>
  <w:style w:type="paragraph" w:customStyle="1" w:styleId="75">
    <w:name w:val="正文首行缩进 211"/>
    <w:basedOn w:val="76"/>
    <w:next w:val="1"/>
    <w:qFormat/>
    <w:uiPriority w:val="0"/>
    <w:pPr>
      <w:spacing w:after="0" w:line="360" w:lineRule="auto"/>
      <w:ind w:left="0" w:firstLine="420"/>
    </w:pPr>
    <w:rPr>
      <w:rFonts w:ascii="宋体" w:hAnsi="宋体"/>
      <w:szCs w:val="20"/>
    </w:rPr>
  </w:style>
  <w:style w:type="paragraph" w:customStyle="1" w:styleId="76">
    <w:name w:val="正文文本缩进11"/>
    <w:basedOn w:val="1"/>
    <w:next w:val="77"/>
    <w:unhideWhenUsed/>
    <w:qFormat/>
    <w:uiPriority w:val="0"/>
    <w:pPr>
      <w:spacing w:after="120"/>
      <w:ind w:left="420"/>
    </w:pPr>
  </w:style>
  <w:style w:type="paragraph" w:customStyle="1" w:styleId="77">
    <w:name w:val="寄信人地址1"/>
    <w:basedOn w:val="1"/>
    <w:qFormat/>
    <w:uiPriority w:val="0"/>
    <w:rPr>
      <w:rFonts w:ascii="Arial" w:hAnsi="Arial" w:cs="宋体"/>
    </w:rPr>
  </w:style>
  <w:style w:type="character" w:customStyle="1" w:styleId="78">
    <w:name w:val="Heading 5 Char"/>
    <w:basedOn w:val="45"/>
    <w:qFormat/>
    <w:uiPriority w:val="9"/>
    <w:rPr>
      <w:rFonts w:ascii="Arial" w:hAnsi="Arial" w:eastAsia="Arial" w:cs="Arial"/>
      <w:b/>
      <w:bCs/>
      <w:sz w:val="24"/>
      <w:szCs w:val="24"/>
    </w:rPr>
  </w:style>
  <w:style w:type="character" w:customStyle="1" w:styleId="79">
    <w:name w:val="Heading 7 Char"/>
    <w:basedOn w:val="45"/>
    <w:qFormat/>
    <w:uiPriority w:val="9"/>
    <w:rPr>
      <w:rFonts w:ascii="Arial" w:hAnsi="Arial" w:eastAsia="Arial" w:cs="Arial"/>
      <w:b/>
      <w:bCs/>
      <w:i/>
      <w:iCs/>
      <w:sz w:val="22"/>
      <w:szCs w:val="22"/>
    </w:rPr>
  </w:style>
  <w:style w:type="character" w:customStyle="1" w:styleId="80">
    <w:name w:val="Heading 9 Char"/>
    <w:basedOn w:val="45"/>
    <w:qFormat/>
    <w:uiPriority w:val="9"/>
    <w:rPr>
      <w:rFonts w:ascii="Arial" w:hAnsi="Arial" w:eastAsia="Arial" w:cs="Arial"/>
      <w:i/>
      <w:iCs/>
      <w:sz w:val="21"/>
      <w:szCs w:val="21"/>
    </w:rPr>
  </w:style>
  <w:style w:type="character" w:customStyle="1" w:styleId="81">
    <w:name w:val="Subtitle Char"/>
    <w:basedOn w:val="45"/>
    <w:qFormat/>
    <w:uiPriority w:val="11"/>
    <w:rPr>
      <w:sz w:val="24"/>
      <w:szCs w:val="24"/>
    </w:rPr>
  </w:style>
  <w:style w:type="character" w:customStyle="1" w:styleId="82">
    <w:name w:val="Quote Char"/>
    <w:qFormat/>
    <w:uiPriority w:val="29"/>
    <w:rPr>
      <w:i/>
    </w:rPr>
  </w:style>
  <w:style w:type="character" w:customStyle="1" w:styleId="83">
    <w:name w:val="Intense Quote Char"/>
    <w:qFormat/>
    <w:uiPriority w:val="30"/>
    <w:rPr>
      <w:i/>
    </w:rPr>
  </w:style>
  <w:style w:type="character" w:customStyle="1" w:styleId="84">
    <w:name w:val="Footnote Text Char"/>
    <w:qFormat/>
    <w:uiPriority w:val="99"/>
    <w:rPr>
      <w:sz w:val="18"/>
    </w:rPr>
  </w:style>
  <w:style w:type="character" w:customStyle="1" w:styleId="85">
    <w:name w:val="Endnote Text Char"/>
    <w:qFormat/>
    <w:uiPriority w:val="99"/>
    <w:rPr>
      <w:sz w:val="20"/>
    </w:rPr>
  </w:style>
  <w:style w:type="paragraph" w:customStyle="1" w:styleId="86">
    <w:name w:val="TOC 标题112"/>
    <w:unhideWhenUsed/>
    <w:qFormat/>
    <w:uiPriority w:val="39"/>
    <w:rPr>
      <w:rFonts w:ascii="Times New Roman" w:hAnsi="Times New Roman" w:eastAsia="宋体" w:cs="Times New Roman"/>
      <w:lang w:val="en-US" w:eastAsia="zh-CN" w:bidi="ar-SA"/>
    </w:rPr>
  </w:style>
  <w:style w:type="character" w:customStyle="1" w:styleId="87">
    <w:name w:val="标题 4 字符"/>
    <w:link w:val="5"/>
    <w:semiHidden/>
    <w:qFormat/>
    <w:uiPriority w:val="0"/>
    <w:rPr>
      <w:rFonts w:ascii="等线 Light" w:hAnsi="等线 Light" w:eastAsia="等线 Light" w:cs="Times New Roman"/>
      <w:b/>
      <w:bCs/>
      <w:sz w:val="28"/>
      <w:szCs w:val="28"/>
    </w:rPr>
  </w:style>
  <w:style w:type="paragraph" w:customStyle="1" w:styleId="88">
    <w:name w:val="首行缩进"/>
    <w:basedOn w:val="1"/>
    <w:qFormat/>
    <w:uiPriority w:val="0"/>
    <w:pPr>
      <w:spacing w:line="360" w:lineRule="auto"/>
    </w:pPr>
  </w:style>
  <w:style w:type="paragraph" w:customStyle="1" w:styleId="89">
    <w:name w:val="正文文本1"/>
    <w:basedOn w:val="90"/>
    <w:next w:val="1"/>
    <w:qFormat/>
    <w:uiPriority w:val="0"/>
    <w:pPr>
      <w:spacing w:after="120"/>
    </w:pPr>
    <w:rPr>
      <w:sz w:val="28"/>
    </w:rPr>
  </w:style>
  <w:style w:type="paragraph" w:customStyle="1" w:styleId="90">
    <w:name w:val="正文1"/>
    <w:qFormat/>
    <w:uiPriority w:val="0"/>
    <w:pPr>
      <w:widowControl w:val="0"/>
      <w:jc w:val="both"/>
    </w:pPr>
    <w:rPr>
      <w:rFonts w:ascii="Calibri" w:hAnsi="Calibri" w:eastAsia="宋体" w:cs="Times New Roman"/>
      <w:sz w:val="21"/>
      <w:szCs w:val="22"/>
      <w:lang w:val="en-US" w:eastAsia="zh-CN" w:bidi="ar-SA"/>
    </w:rPr>
  </w:style>
  <w:style w:type="character" w:customStyle="1" w:styleId="91">
    <w:name w:val="Heading 1 Char"/>
    <w:basedOn w:val="45"/>
    <w:qFormat/>
    <w:uiPriority w:val="9"/>
    <w:rPr>
      <w:rFonts w:ascii="Arial" w:hAnsi="Arial" w:eastAsia="Arial" w:cs="Arial"/>
      <w:sz w:val="40"/>
      <w:szCs w:val="40"/>
    </w:rPr>
  </w:style>
  <w:style w:type="character" w:customStyle="1" w:styleId="92">
    <w:name w:val="Heading 2 Char"/>
    <w:basedOn w:val="45"/>
    <w:qFormat/>
    <w:uiPriority w:val="9"/>
    <w:rPr>
      <w:rFonts w:ascii="Arial" w:hAnsi="Arial" w:eastAsia="Arial" w:cs="Arial"/>
      <w:sz w:val="34"/>
    </w:rPr>
  </w:style>
  <w:style w:type="character" w:customStyle="1" w:styleId="93">
    <w:name w:val="Heading 3 Char"/>
    <w:basedOn w:val="45"/>
    <w:qFormat/>
    <w:uiPriority w:val="9"/>
    <w:rPr>
      <w:rFonts w:ascii="Arial" w:hAnsi="Arial" w:eastAsia="Arial" w:cs="Arial"/>
      <w:sz w:val="30"/>
      <w:szCs w:val="30"/>
    </w:rPr>
  </w:style>
  <w:style w:type="character" w:customStyle="1" w:styleId="94">
    <w:name w:val="Heading 4 Char"/>
    <w:basedOn w:val="45"/>
    <w:qFormat/>
    <w:uiPriority w:val="9"/>
    <w:rPr>
      <w:rFonts w:ascii="Arial" w:hAnsi="Arial" w:eastAsia="Arial" w:cs="Arial"/>
      <w:b/>
      <w:bCs/>
      <w:sz w:val="26"/>
      <w:szCs w:val="26"/>
    </w:rPr>
  </w:style>
  <w:style w:type="character" w:customStyle="1" w:styleId="95">
    <w:name w:val="标题 5 字符"/>
    <w:basedOn w:val="45"/>
    <w:link w:val="6"/>
    <w:qFormat/>
    <w:uiPriority w:val="9"/>
    <w:rPr>
      <w:rFonts w:ascii="Arial" w:hAnsi="Arial" w:eastAsia="Arial" w:cs="Arial"/>
      <w:b/>
      <w:bCs/>
      <w:sz w:val="24"/>
      <w:szCs w:val="24"/>
    </w:rPr>
  </w:style>
  <w:style w:type="character" w:customStyle="1" w:styleId="96">
    <w:name w:val="Heading 6 Char"/>
    <w:basedOn w:val="45"/>
    <w:qFormat/>
    <w:uiPriority w:val="9"/>
    <w:rPr>
      <w:rFonts w:ascii="Arial" w:hAnsi="Arial" w:eastAsia="Arial" w:cs="Arial"/>
      <w:b/>
      <w:bCs/>
      <w:sz w:val="22"/>
      <w:szCs w:val="22"/>
    </w:rPr>
  </w:style>
  <w:style w:type="character" w:customStyle="1" w:styleId="97">
    <w:name w:val="标题 7 字符"/>
    <w:basedOn w:val="45"/>
    <w:link w:val="8"/>
    <w:qFormat/>
    <w:uiPriority w:val="9"/>
    <w:rPr>
      <w:rFonts w:ascii="Arial" w:hAnsi="Arial" w:eastAsia="Arial" w:cs="Arial"/>
      <w:b/>
      <w:bCs/>
      <w:i/>
      <w:iCs/>
      <w:sz w:val="22"/>
      <w:szCs w:val="22"/>
    </w:rPr>
  </w:style>
  <w:style w:type="character" w:customStyle="1" w:styleId="98">
    <w:name w:val="Heading 8 Char"/>
    <w:basedOn w:val="45"/>
    <w:qFormat/>
    <w:uiPriority w:val="9"/>
    <w:rPr>
      <w:rFonts w:ascii="Arial" w:hAnsi="Arial" w:eastAsia="Arial" w:cs="Arial"/>
      <w:i/>
      <w:iCs/>
      <w:sz w:val="22"/>
      <w:szCs w:val="22"/>
    </w:rPr>
  </w:style>
  <w:style w:type="character" w:customStyle="1" w:styleId="99">
    <w:name w:val="标题 9 字符"/>
    <w:basedOn w:val="45"/>
    <w:link w:val="10"/>
    <w:qFormat/>
    <w:uiPriority w:val="9"/>
    <w:rPr>
      <w:rFonts w:ascii="Arial" w:hAnsi="Arial" w:eastAsia="Arial" w:cs="Arial"/>
      <w:i/>
      <w:iCs/>
      <w:sz w:val="21"/>
      <w:szCs w:val="21"/>
    </w:rPr>
  </w:style>
  <w:style w:type="character" w:customStyle="1" w:styleId="100">
    <w:name w:val="Title Char"/>
    <w:basedOn w:val="45"/>
    <w:qFormat/>
    <w:uiPriority w:val="10"/>
    <w:rPr>
      <w:sz w:val="48"/>
      <w:szCs w:val="48"/>
    </w:rPr>
  </w:style>
  <w:style w:type="character" w:customStyle="1" w:styleId="101">
    <w:name w:val="副标题 字符"/>
    <w:basedOn w:val="45"/>
    <w:link w:val="32"/>
    <w:qFormat/>
    <w:uiPriority w:val="11"/>
    <w:rPr>
      <w:sz w:val="24"/>
      <w:szCs w:val="24"/>
    </w:rPr>
  </w:style>
  <w:style w:type="paragraph" w:styleId="102">
    <w:name w:val="Quote"/>
    <w:basedOn w:val="1"/>
    <w:next w:val="1"/>
    <w:link w:val="103"/>
    <w:qFormat/>
    <w:uiPriority w:val="29"/>
    <w:pPr>
      <w:ind w:left="720" w:right="720"/>
    </w:pPr>
    <w:rPr>
      <w:i/>
    </w:rPr>
  </w:style>
  <w:style w:type="character" w:customStyle="1" w:styleId="103">
    <w:name w:val="引用 字符"/>
    <w:link w:val="102"/>
    <w:qFormat/>
    <w:uiPriority w:val="29"/>
    <w:rPr>
      <w:i/>
    </w:rPr>
  </w:style>
  <w:style w:type="paragraph" w:styleId="104">
    <w:name w:val="Intense Quote"/>
    <w:basedOn w:val="1"/>
    <w:next w:val="1"/>
    <w:link w:val="10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5">
    <w:name w:val="明显引用 字符"/>
    <w:link w:val="104"/>
    <w:qFormat/>
    <w:uiPriority w:val="30"/>
    <w:rPr>
      <w:i/>
    </w:rPr>
  </w:style>
  <w:style w:type="character" w:customStyle="1" w:styleId="106">
    <w:name w:val="Header Char"/>
    <w:basedOn w:val="45"/>
    <w:qFormat/>
    <w:uiPriority w:val="99"/>
  </w:style>
  <w:style w:type="character" w:customStyle="1" w:styleId="107">
    <w:name w:val="Footer Char"/>
    <w:basedOn w:val="45"/>
    <w:qFormat/>
    <w:uiPriority w:val="99"/>
  </w:style>
  <w:style w:type="character" w:customStyle="1" w:styleId="108">
    <w:name w:val="Caption Char"/>
    <w:qFormat/>
    <w:uiPriority w:val="99"/>
  </w:style>
  <w:style w:type="table" w:customStyle="1" w:styleId="109">
    <w:name w:val="Table Grid Light"/>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0">
    <w:name w:val="Grid Table 1 Light - Accent 1"/>
    <w:basedOn w:val="4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11">
    <w:name w:val="Grid Table 1 Light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12">
    <w:name w:val="Grid Table 1 Light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13">
    <w:name w:val="Grid Table 1 Light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14">
    <w:name w:val="Grid Table 1 Light - Accent 5"/>
    <w:basedOn w:val="4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15">
    <w:name w:val="Grid Table 1 Light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16">
    <w:name w:val="Grid Table 2 - Accent 1"/>
    <w:basedOn w:val="4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17">
    <w:name w:val="Grid Table 2 - Accent 2"/>
    <w:basedOn w:val="4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8">
    <w:name w:val="Grid Table 2 - Accent 3"/>
    <w:basedOn w:val="4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9">
    <w:name w:val="Grid Table 2 - Accent 4"/>
    <w:basedOn w:val="4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0">
    <w:name w:val="Grid Table 2 - Accent 5"/>
    <w:basedOn w:val="43"/>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1">
    <w:name w:val="Grid Table 2 - Accent 6"/>
    <w:basedOn w:val="4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2">
    <w:name w:val="Grid Table 3 - Accent 1"/>
    <w:basedOn w:val="4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23">
    <w:name w:val="Grid Table 3 - Accent 2"/>
    <w:basedOn w:val="4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4">
    <w:name w:val="Grid Table 3 - Accent 3"/>
    <w:basedOn w:val="4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5">
    <w:name w:val="Grid Table 3 - Accent 4"/>
    <w:basedOn w:val="4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6">
    <w:name w:val="Grid Table 3 - Accent 5"/>
    <w:basedOn w:val="43"/>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7">
    <w:name w:val="Grid Table 3 - Accent 6"/>
    <w:basedOn w:val="4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8">
    <w:name w:val="Grid Table 4 - Accent 1"/>
    <w:basedOn w:val="43"/>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29">
    <w:name w:val="Grid Table 4 - Accent 2"/>
    <w:basedOn w:val="43"/>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0">
    <w:name w:val="Grid Table 4 - Accent 3"/>
    <w:basedOn w:val="4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1">
    <w:name w:val="Grid Table 4 - Accent 4"/>
    <w:basedOn w:val="43"/>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2">
    <w:name w:val="Grid Table 4 - Accent 5"/>
    <w:basedOn w:val="43"/>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3">
    <w:name w:val="Grid Table 4 - Accent 6"/>
    <w:basedOn w:val="43"/>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4">
    <w:name w:val="Grid Table 5 Dark- Accent 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35">
    <w:name w:val="Grid Table 5 Dark - Accent 2"/>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36">
    <w:name w:val="Grid Table 5 Dark - Accent 3"/>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7">
    <w:name w:val="Grid Table 5 Dark- Accent 4"/>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8">
    <w:name w:val="Grid Table 5 Dark - Accent 5"/>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39">
    <w:name w:val="Grid Table 5 Dark - Accent 6"/>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0">
    <w:name w:val="Grid Table 6 Colorful - Accent 1"/>
    <w:basedOn w:val="43"/>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41">
    <w:name w:val="Grid Table 6 Colorful - Accent 2"/>
    <w:basedOn w:val="4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2">
    <w:name w:val="Grid Table 6 Colorful - Accent 3"/>
    <w:basedOn w:val="4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43">
    <w:name w:val="Grid Table 6 Colorful - Accent 4"/>
    <w:basedOn w:val="4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4">
    <w:name w:val="Grid Table 6 Colorful - Accent 5"/>
    <w:basedOn w:val="43"/>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45">
    <w:name w:val="Grid Table 6 Colorful - Accent 6"/>
    <w:basedOn w:val="43"/>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46">
    <w:name w:val="Grid Table 7 Colorful - Accent 1"/>
    <w:basedOn w:val="43"/>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47">
    <w:name w:val="Grid Table 7 Colorful - Accent 2"/>
    <w:basedOn w:val="43"/>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8">
    <w:name w:val="Grid Table 7 Colorful - Accent 3"/>
    <w:basedOn w:val="4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49">
    <w:name w:val="Grid Table 7 Colorful - Accent 4"/>
    <w:basedOn w:val="43"/>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0">
    <w:name w:val="Grid Table 7 Colorful - Accent 5"/>
    <w:basedOn w:val="43"/>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51">
    <w:name w:val="Grid Table 7 Colorful - Accent 6"/>
    <w:basedOn w:val="43"/>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52">
    <w:name w:val="List Table 1 Light - Accent 1"/>
    <w:basedOn w:val="43"/>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53">
    <w:name w:val="List Table 1 Light - Accent 2"/>
    <w:basedOn w:val="43"/>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4">
    <w:name w:val="List Table 1 Light - Accent 3"/>
    <w:basedOn w:val="43"/>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5">
    <w:name w:val="List Table 1 Light - Accent 4"/>
    <w:basedOn w:val="43"/>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56">
    <w:name w:val="List Table 1 Light - Accent 5"/>
    <w:basedOn w:val="43"/>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57">
    <w:name w:val="List Table 1 Light - Accent 6"/>
    <w:basedOn w:val="43"/>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58">
    <w:name w:val="List Table 2 - Accent 1"/>
    <w:basedOn w:val="43"/>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59">
    <w:name w:val="List Table 2 - Accent 2"/>
    <w:basedOn w:val="43"/>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0">
    <w:name w:val="List Table 2 - Accent 3"/>
    <w:basedOn w:val="4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1">
    <w:name w:val="List Table 2 - Accent 4"/>
    <w:basedOn w:val="43"/>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2">
    <w:name w:val="List Table 2 - Accent 5"/>
    <w:basedOn w:val="43"/>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63">
    <w:name w:val="List Table 2 - Accent 6"/>
    <w:basedOn w:val="43"/>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4">
    <w:name w:val="List Table 3 - Accent 1"/>
    <w:basedOn w:val="43"/>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65">
    <w:name w:val="List Table 3 - Accent 2"/>
    <w:basedOn w:val="4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66">
    <w:name w:val="List Table 3 - Accent 3"/>
    <w:basedOn w:val="4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67">
    <w:name w:val="List Table 3 - Accent 4"/>
    <w:basedOn w:val="4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68">
    <w:name w:val="List Table 3 - Accent 5"/>
    <w:basedOn w:val="43"/>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69">
    <w:name w:val="List Table 3 - Accent 6"/>
    <w:basedOn w:val="43"/>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70">
    <w:name w:val="List Table 4 - Accent 1"/>
    <w:basedOn w:val="43"/>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1">
    <w:name w:val="List Table 4 - Accent 2"/>
    <w:basedOn w:val="43"/>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2">
    <w:name w:val="List Table 4 - Accent 3"/>
    <w:basedOn w:val="4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3">
    <w:name w:val="List Table 4 - Accent 4"/>
    <w:basedOn w:val="43"/>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4">
    <w:name w:val="List Table 4 - Accent 5"/>
    <w:basedOn w:val="43"/>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5">
    <w:name w:val="List Table 4 - Accent 6"/>
    <w:basedOn w:val="43"/>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6">
    <w:name w:val="List Table 5 Dark - Accent 1"/>
    <w:basedOn w:val="43"/>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77">
    <w:name w:val="List Table 5 Dark - Accent 2"/>
    <w:basedOn w:val="43"/>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78">
    <w:name w:val="List Table 5 Dark - Accent 3"/>
    <w:basedOn w:val="4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79">
    <w:name w:val="List Table 5 Dark - Accent 4"/>
    <w:basedOn w:val="43"/>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0">
    <w:name w:val="List Table 5 Dark - Accent 5"/>
    <w:basedOn w:val="43"/>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81">
    <w:name w:val="List Table 5 Dark - Accent 6"/>
    <w:basedOn w:val="43"/>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82">
    <w:name w:val="List Table 6 Colorful - Accent 1"/>
    <w:basedOn w:val="43"/>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83">
    <w:name w:val="List Table 6 Colorful - Accent 2"/>
    <w:basedOn w:val="43"/>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4">
    <w:name w:val="List Table 6 Colorful - Accent 3"/>
    <w:basedOn w:val="43"/>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5">
    <w:name w:val="List Table 6 Colorful - Accent 4"/>
    <w:basedOn w:val="43"/>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6">
    <w:name w:val="List Table 6 Colorful - Accent 5"/>
    <w:basedOn w:val="43"/>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87">
    <w:name w:val="List Table 6 Colorful - Accent 6"/>
    <w:basedOn w:val="43"/>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8">
    <w:name w:val="List Table 7 Colorful - Accent 1"/>
    <w:basedOn w:val="43"/>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89">
    <w:name w:val="List Table 7 Colorful - Accent 2"/>
    <w:basedOn w:val="43"/>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0">
    <w:name w:val="List Table 7 Colorful - Accent 3"/>
    <w:basedOn w:val="43"/>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1">
    <w:name w:val="List Table 7 Colorful - Accent 4"/>
    <w:basedOn w:val="43"/>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2">
    <w:name w:val="List Table 7 Colorful - Accent 5"/>
    <w:basedOn w:val="43"/>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93">
    <w:name w:val="List Table 7 Colorful - Accent 6"/>
    <w:basedOn w:val="43"/>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4">
    <w:name w:val="Lined - Accent"/>
    <w:basedOn w:val="4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5">
    <w:name w:val="Lined - Accent 1"/>
    <w:basedOn w:val="43"/>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96">
    <w:name w:val="Lined - Accent 2"/>
    <w:basedOn w:val="43"/>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7">
    <w:name w:val="Lined - Accent 3"/>
    <w:basedOn w:val="43"/>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8">
    <w:name w:val="Lined - Accent 4"/>
    <w:basedOn w:val="43"/>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9">
    <w:name w:val="Lined - Accent 5"/>
    <w:basedOn w:val="43"/>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00">
    <w:name w:val="Lined - Accent 6"/>
    <w:basedOn w:val="43"/>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1">
    <w:name w:val="Bordered &amp; Lined - Accent"/>
    <w:basedOn w:val="4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2">
    <w:name w:val="Bordered &amp; Lined - Accent 1"/>
    <w:basedOn w:val="43"/>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03">
    <w:name w:val="Bordered &amp; Lined - Accent 2"/>
    <w:basedOn w:val="43"/>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4">
    <w:name w:val="Bordered &amp; Lined - Accent 3"/>
    <w:basedOn w:val="4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5">
    <w:name w:val="Bordered &amp; Lined - Accent 4"/>
    <w:basedOn w:val="43"/>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6">
    <w:name w:val="Bordered &amp; Lined - Accent 5"/>
    <w:basedOn w:val="43"/>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07">
    <w:name w:val="Bordered &amp; Lined - Accent 6"/>
    <w:basedOn w:val="43"/>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8">
    <w:name w:val="Bordered"/>
    <w:basedOn w:val="4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9">
    <w:name w:val="Bordered - Accent 1"/>
    <w:basedOn w:val="4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10">
    <w:name w:val="Bordered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11">
    <w:name w:val="Bordered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12">
    <w:name w:val="Bordered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13">
    <w:name w:val="Bordered - Accent 5"/>
    <w:basedOn w:val="4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14">
    <w:name w:val="Bordered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15">
    <w:name w:val="脚注文本 字符"/>
    <w:link w:val="33"/>
    <w:qFormat/>
    <w:uiPriority w:val="99"/>
    <w:rPr>
      <w:sz w:val="18"/>
    </w:rPr>
  </w:style>
  <w:style w:type="character" w:customStyle="1" w:styleId="216">
    <w:name w:val="尾注文本 字符"/>
    <w:link w:val="25"/>
    <w:qFormat/>
    <w:uiPriority w:val="99"/>
    <w:rPr>
      <w:sz w:val="20"/>
    </w:rPr>
  </w:style>
  <w:style w:type="paragraph" w:customStyle="1" w:styleId="217">
    <w:name w:val="TOC 标题111"/>
    <w:unhideWhenUsed/>
    <w:qFormat/>
    <w:uiPriority w:val="39"/>
    <w:rPr>
      <w:rFonts w:ascii="Times New Roman" w:hAnsi="Times New Roman" w:eastAsia="宋体" w:cs="Times New Roman"/>
      <w:lang w:val="en-US" w:eastAsia="zh-CN" w:bidi="ar-SA"/>
    </w:rPr>
  </w:style>
  <w:style w:type="paragraph" w:customStyle="1" w:styleId="218">
    <w:name w:val="正文文本11"/>
    <w:basedOn w:val="1"/>
    <w:qFormat/>
    <w:uiPriority w:val="99"/>
    <w:rPr>
      <w:rFonts w:ascii="楷体_GB2312" w:hAnsi="宋体" w:eastAsia="楷体_GB2312"/>
      <w:sz w:val="28"/>
      <w:szCs w:val="28"/>
    </w:rPr>
  </w:style>
  <w:style w:type="character" w:customStyle="1" w:styleId="219">
    <w:name w:val="标题 1 字符"/>
    <w:link w:val="2"/>
    <w:qFormat/>
    <w:uiPriority w:val="0"/>
    <w:rPr>
      <w:b/>
      <w:bCs/>
      <w:sz w:val="21"/>
      <w:szCs w:val="44"/>
    </w:rPr>
  </w:style>
  <w:style w:type="character" w:customStyle="1" w:styleId="220">
    <w:name w:val="标题 6 字符"/>
    <w:link w:val="7"/>
    <w:qFormat/>
    <w:uiPriority w:val="0"/>
    <w:rPr>
      <w:rFonts w:ascii="等线 Light" w:hAnsi="等线 Light" w:eastAsia="等线 Light" w:cs="Times New Roman"/>
      <w:b/>
      <w:bCs/>
      <w:sz w:val="24"/>
      <w:szCs w:val="24"/>
    </w:rPr>
  </w:style>
  <w:style w:type="character" w:customStyle="1" w:styleId="221">
    <w:name w:val="标题 8 字符"/>
    <w:link w:val="9"/>
    <w:semiHidden/>
    <w:qFormat/>
    <w:uiPriority w:val="0"/>
    <w:rPr>
      <w:rFonts w:ascii="等线 Light" w:hAnsi="等线 Light" w:eastAsia="等线 Light" w:cs="Times New Roman"/>
      <w:sz w:val="24"/>
      <w:szCs w:val="24"/>
    </w:rPr>
  </w:style>
  <w:style w:type="paragraph" w:customStyle="1" w:styleId="222">
    <w:name w:val="目录 71"/>
    <w:basedOn w:val="1"/>
    <w:next w:val="1"/>
    <w:unhideWhenUsed/>
    <w:qFormat/>
    <w:uiPriority w:val="39"/>
    <w:pPr>
      <w:ind w:left="2520"/>
    </w:pPr>
    <w:rPr>
      <w:rFonts w:ascii="等线" w:hAnsi="等线" w:eastAsia="等线"/>
      <w:szCs w:val="22"/>
    </w:rPr>
  </w:style>
  <w:style w:type="character" w:customStyle="1" w:styleId="223">
    <w:name w:val="正文缩进 字符"/>
    <w:link w:val="13"/>
    <w:qFormat/>
    <w:uiPriority w:val="0"/>
    <w:rPr>
      <w:sz w:val="21"/>
    </w:rPr>
  </w:style>
  <w:style w:type="character" w:customStyle="1" w:styleId="224">
    <w:name w:val="文档结构图 字符"/>
    <w:link w:val="15"/>
    <w:qFormat/>
    <w:uiPriority w:val="0"/>
    <w:rPr>
      <w:sz w:val="21"/>
      <w:szCs w:val="24"/>
      <w:shd w:val="clear" w:color="auto" w:fill="000080"/>
    </w:rPr>
  </w:style>
  <w:style w:type="character" w:customStyle="1" w:styleId="225">
    <w:name w:val="批注文字 字符"/>
    <w:link w:val="16"/>
    <w:qFormat/>
    <w:uiPriority w:val="0"/>
    <w:rPr>
      <w:sz w:val="21"/>
      <w:szCs w:val="24"/>
    </w:rPr>
  </w:style>
  <w:style w:type="character" w:customStyle="1" w:styleId="226">
    <w:name w:val="正文文本 字符"/>
    <w:link w:val="17"/>
    <w:qFormat/>
    <w:uiPriority w:val="1"/>
    <w:rPr>
      <w:sz w:val="21"/>
      <w:szCs w:val="24"/>
    </w:rPr>
  </w:style>
  <w:style w:type="paragraph" w:customStyle="1" w:styleId="227">
    <w:name w:val="目录 51"/>
    <w:basedOn w:val="1"/>
    <w:next w:val="1"/>
    <w:unhideWhenUsed/>
    <w:qFormat/>
    <w:uiPriority w:val="39"/>
    <w:pPr>
      <w:ind w:left="1680"/>
    </w:pPr>
    <w:rPr>
      <w:rFonts w:ascii="等线" w:hAnsi="等线" w:eastAsia="等线"/>
      <w:szCs w:val="22"/>
    </w:rPr>
  </w:style>
  <w:style w:type="paragraph" w:customStyle="1" w:styleId="228">
    <w:name w:val="目录 31"/>
    <w:basedOn w:val="1"/>
    <w:next w:val="1"/>
    <w:unhideWhenUsed/>
    <w:qFormat/>
    <w:uiPriority w:val="39"/>
    <w:pPr>
      <w:widowControl/>
      <w:spacing w:after="100" w:line="259" w:lineRule="auto"/>
      <w:ind w:left="440"/>
      <w:jc w:val="left"/>
    </w:pPr>
    <w:rPr>
      <w:rFonts w:ascii="等线" w:hAnsi="等线" w:eastAsia="等线"/>
      <w:sz w:val="22"/>
      <w:szCs w:val="22"/>
    </w:rPr>
  </w:style>
  <w:style w:type="character" w:customStyle="1" w:styleId="229">
    <w:name w:val="纯文本 字符"/>
    <w:link w:val="22"/>
    <w:qFormat/>
    <w:uiPriority w:val="0"/>
    <w:rPr>
      <w:rFonts w:ascii="宋体" w:hAnsi="Courier New" w:cs="Courier New"/>
      <w:sz w:val="21"/>
      <w:szCs w:val="21"/>
    </w:rPr>
  </w:style>
  <w:style w:type="paragraph" w:customStyle="1" w:styleId="230">
    <w:name w:val="目录 81"/>
    <w:basedOn w:val="1"/>
    <w:next w:val="1"/>
    <w:unhideWhenUsed/>
    <w:qFormat/>
    <w:uiPriority w:val="39"/>
    <w:pPr>
      <w:ind w:left="2940"/>
    </w:pPr>
    <w:rPr>
      <w:rFonts w:ascii="等线" w:hAnsi="等线" w:eastAsia="等线"/>
      <w:szCs w:val="22"/>
    </w:rPr>
  </w:style>
  <w:style w:type="character" w:customStyle="1" w:styleId="231">
    <w:name w:val="日期 字符"/>
    <w:link w:val="24"/>
    <w:qFormat/>
    <w:uiPriority w:val="0"/>
    <w:rPr>
      <w:sz w:val="24"/>
    </w:rPr>
  </w:style>
  <w:style w:type="character" w:customStyle="1" w:styleId="232">
    <w:name w:val="批注框文本 字符"/>
    <w:link w:val="26"/>
    <w:qFormat/>
    <w:uiPriority w:val="0"/>
    <w:rPr>
      <w:sz w:val="18"/>
      <w:szCs w:val="18"/>
    </w:rPr>
  </w:style>
  <w:style w:type="character" w:customStyle="1" w:styleId="233">
    <w:name w:val="页脚 字符"/>
    <w:link w:val="27"/>
    <w:qFormat/>
    <w:uiPriority w:val="99"/>
    <w:rPr>
      <w:sz w:val="18"/>
      <w:szCs w:val="18"/>
    </w:rPr>
  </w:style>
  <w:style w:type="character" w:customStyle="1" w:styleId="234">
    <w:name w:val="页眉 字符"/>
    <w:link w:val="29"/>
    <w:qFormat/>
    <w:uiPriority w:val="99"/>
    <w:rPr>
      <w:sz w:val="18"/>
      <w:szCs w:val="18"/>
    </w:rPr>
  </w:style>
  <w:style w:type="paragraph" w:customStyle="1" w:styleId="235">
    <w:name w:val="目录 11"/>
    <w:basedOn w:val="1"/>
    <w:next w:val="1"/>
    <w:qFormat/>
    <w:uiPriority w:val="39"/>
    <w:rPr>
      <w:rFonts w:ascii="仿宋_GB2312" w:eastAsia="仿宋_GB2312"/>
      <w:sz w:val="24"/>
    </w:rPr>
  </w:style>
  <w:style w:type="paragraph" w:customStyle="1" w:styleId="236">
    <w:name w:val="目录 41"/>
    <w:basedOn w:val="1"/>
    <w:next w:val="1"/>
    <w:unhideWhenUsed/>
    <w:qFormat/>
    <w:uiPriority w:val="39"/>
    <w:pPr>
      <w:ind w:left="1260"/>
    </w:pPr>
    <w:rPr>
      <w:rFonts w:ascii="等线" w:hAnsi="等线" w:eastAsia="等线"/>
      <w:szCs w:val="22"/>
    </w:rPr>
  </w:style>
  <w:style w:type="paragraph" w:customStyle="1" w:styleId="237">
    <w:name w:val="目录 61"/>
    <w:basedOn w:val="1"/>
    <w:next w:val="1"/>
    <w:unhideWhenUsed/>
    <w:qFormat/>
    <w:uiPriority w:val="39"/>
    <w:pPr>
      <w:ind w:left="2100"/>
    </w:pPr>
    <w:rPr>
      <w:rFonts w:ascii="等线" w:hAnsi="等线" w:eastAsia="等线"/>
      <w:szCs w:val="22"/>
    </w:rPr>
  </w:style>
  <w:style w:type="paragraph" w:customStyle="1" w:styleId="238">
    <w:name w:val="目录 21"/>
    <w:basedOn w:val="1"/>
    <w:next w:val="1"/>
    <w:unhideWhenUsed/>
    <w:qFormat/>
    <w:uiPriority w:val="39"/>
    <w:pPr>
      <w:widowControl/>
      <w:spacing w:after="100" w:line="259" w:lineRule="auto"/>
      <w:ind w:left="220"/>
      <w:jc w:val="left"/>
    </w:pPr>
    <w:rPr>
      <w:rFonts w:ascii="等线" w:hAnsi="等线" w:eastAsia="等线"/>
      <w:sz w:val="22"/>
      <w:szCs w:val="22"/>
    </w:rPr>
  </w:style>
  <w:style w:type="paragraph" w:customStyle="1" w:styleId="239">
    <w:name w:val="目录 91"/>
    <w:basedOn w:val="1"/>
    <w:next w:val="1"/>
    <w:unhideWhenUsed/>
    <w:qFormat/>
    <w:uiPriority w:val="39"/>
    <w:pPr>
      <w:ind w:left="3360"/>
    </w:pPr>
    <w:rPr>
      <w:rFonts w:ascii="等线" w:hAnsi="等线" w:eastAsia="等线"/>
      <w:szCs w:val="22"/>
    </w:rPr>
  </w:style>
  <w:style w:type="character" w:customStyle="1" w:styleId="240">
    <w:name w:val="正文文本 2 字符"/>
    <w:link w:val="38"/>
    <w:qFormat/>
    <w:uiPriority w:val="0"/>
    <w:rPr>
      <w:rFonts w:ascii="Calibri" w:hAnsi="Calibri"/>
      <w:sz w:val="21"/>
      <w:szCs w:val="24"/>
    </w:rPr>
  </w:style>
  <w:style w:type="character" w:customStyle="1" w:styleId="241">
    <w:name w:val="标题 字符"/>
    <w:link w:val="40"/>
    <w:qFormat/>
    <w:uiPriority w:val="0"/>
    <w:rPr>
      <w:rFonts w:ascii="等线 Light" w:hAnsi="等线 Light" w:eastAsia="宋体" w:cs="Times New Roman"/>
      <w:b/>
      <w:bCs/>
      <w:sz w:val="32"/>
      <w:szCs w:val="32"/>
    </w:rPr>
  </w:style>
  <w:style w:type="character" w:customStyle="1" w:styleId="242">
    <w:name w:val="批注主题 字符"/>
    <w:link w:val="41"/>
    <w:qFormat/>
    <w:uiPriority w:val="0"/>
    <w:rPr>
      <w:b/>
      <w:bCs/>
      <w:sz w:val="21"/>
      <w:szCs w:val="24"/>
    </w:rPr>
  </w:style>
  <w:style w:type="character" w:customStyle="1" w:styleId="243">
    <w:name w:val="p0 Char"/>
    <w:link w:val="244"/>
    <w:qFormat/>
    <w:uiPriority w:val="0"/>
    <w:rPr>
      <w:rFonts w:eastAsia="宋体"/>
      <w:sz w:val="21"/>
      <w:szCs w:val="21"/>
      <w:lang w:val="en-US" w:eastAsia="zh-CN" w:bidi="ar-SA"/>
    </w:rPr>
  </w:style>
  <w:style w:type="paragraph" w:customStyle="1" w:styleId="244">
    <w:name w:val="p0"/>
    <w:basedOn w:val="1"/>
    <w:link w:val="243"/>
    <w:qFormat/>
    <w:uiPriority w:val="0"/>
    <w:pPr>
      <w:widowControl/>
    </w:pPr>
    <w:rPr>
      <w:szCs w:val="21"/>
    </w:rPr>
  </w:style>
  <w:style w:type="character" w:customStyle="1" w:styleId="245">
    <w:name w:val="标题 2 Char Char Char"/>
    <w:qFormat/>
    <w:uiPriority w:val="0"/>
    <w:rPr>
      <w:rFonts w:ascii="Arial" w:hAnsi="Arial" w:eastAsia="黑体"/>
      <w:b/>
      <w:bCs/>
      <w:sz w:val="32"/>
      <w:szCs w:val="32"/>
      <w:lang w:val="en-US" w:eastAsia="zh-CN" w:bidi="ar-SA"/>
    </w:rPr>
  </w:style>
  <w:style w:type="character" w:customStyle="1" w:styleId="246">
    <w:name w:val="NormalCharacter"/>
    <w:semiHidden/>
    <w:qFormat/>
    <w:uiPriority w:val="0"/>
  </w:style>
  <w:style w:type="paragraph" w:customStyle="1" w:styleId="247">
    <w:name w:val="标题 21"/>
    <w:basedOn w:val="1"/>
    <w:next w:val="1"/>
    <w:qFormat/>
    <w:uiPriority w:val="0"/>
    <w:pPr>
      <w:keepNext/>
      <w:widowControl/>
      <w:jc w:val="center"/>
    </w:pPr>
    <w:rPr>
      <w:rFonts w:ascii="楷体_GB2312" w:eastAsia="楷体_GB2312"/>
      <w:sz w:val="18"/>
      <w:szCs w:val="20"/>
    </w:rPr>
  </w:style>
  <w:style w:type="paragraph" w:customStyle="1" w:styleId="248">
    <w:name w:val="TOC 标题11"/>
    <w:basedOn w:val="2"/>
    <w:next w:val="1"/>
    <w:qFormat/>
    <w:uiPriority w:val="39"/>
    <w:pPr>
      <w:widowControl/>
      <w:spacing w:before="240" w:after="0" w:line="259" w:lineRule="auto"/>
      <w:jc w:val="left"/>
      <w:outlineLvl w:val="9"/>
    </w:pPr>
    <w:rPr>
      <w:rFonts w:ascii="等线 Light" w:hAnsi="等线 Light" w:eastAsia="等线 Light"/>
      <w:b w:val="0"/>
      <w:bCs w:val="0"/>
      <w:color w:val="2E74B5"/>
      <w:sz w:val="32"/>
      <w:szCs w:val="32"/>
    </w:rPr>
  </w:style>
  <w:style w:type="paragraph" w:styleId="249">
    <w:name w:val="No Spacing"/>
    <w:qFormat/>
    <w:uiPriority w:val="1"/>
    <w:pPr>
      <w:widowControl w:val="0"/>
      <w:jc w:val="both"/>
    </w:pPr>
    <w:rPr>
      <w:rFonts w:ascii="Times New Roman" w:hAnsi="Times New Roman" w:eastAsia="宋体" w:cs="Times New Roman"/>
      <w:sz w:val="21"/>
      <w:szCs w:val="24"/>
      <w:lang w:val="en-US" w:eastAsia="zh-CN" w:bidi="ar-SA"/>
    </w:rPr>
  </w:style>
  <w:style w:type="paragraph" w:customStyle="1" w:styleId="250">
    <w:name w:val="样式1"/>
    <w:basedOn w:val="2"/>
    <w:link w:val="251"/>
    <w:qFormat/>
    <w:uiPriority w:val="0"/>
    <w:pPr>
      <w:ind w:left="210" w:right="210"/>
    </w:pPr>
  </w:style>
  <w:style w:type="character" w:customStyle="1" w:styleId="251">
    <w:name w:val="样式1 字符"/>
    <w:link w:val="250"/>
    <w:qFormat/>
    <w:uiPriority w:val="0"/>
  </w:style>
  <w:style w:type="paragraph" w:customStyle="1" w:styleId="252">
    <w:name w:val="标题 211"/>
    <w:basedOn w:val="1"/>
    <w:qFormat/>
    <w:uiPriority w:val="1"/>
    <w:pPr>
      <w:ind w:left="801" w:hanging="401"/>
      <w:jc w:val="left"/>
      <w:outlineLvl w:val="2"/>
    </w:pPr>
    <w:rPr>
      <w:rFonts w:ascii="Microsoft JhengHei" w:hAnsi="Microsoft JhengHei" w:eastAsia="Microsoft JhengHei" w:cs="Microsoft JhengHei"/>
      <w:b/>
      <w:bCs/>
      <w:sz w:val="32"/>
      <w:szCs w:val="32"/>
      <w:lang w:val="zh-CN" w:bidi="zh-CN"/>
    </w:rPr>
  </w:style>
  <w:style w:type="paragraph" w:customStyle="1" w:styleId="253">
    <w:name w:val="列出段落1"/>
    <w:basedOn w:val="1"/>
    <w:qFormat/>
    <w:uiPriority w:val="1"/>
    <w:pPr>
      <w:ind w:left="400" w:firstLine="420"/>
      <w:jc w:val="left"/>
    </w:pPr>
    <w:rPr>
      <w:rFonts w:ascii="宋体" w:hAnsi="宋体" w:cs="宋体"/>
      <w:sz w:val="22"/>
      <w:szCs w:val="22"/>
      <w:lang w:val="zh-CN" w:bidi="zh-CN"/>
    </w:rPr>
  </w:style>
  <w:style w:type="paragraph" w:customStyle="1" w:styleId="254">
    <w:name w:val="Table Paragraph"/>
    <w:basedOn w:val="1"/>
    <w:qFormat/>
    <w:uiPriority w:val="1"/>
    <w:pPr>
      <w:jc w:val="left"/>
    </w:pPr>
    <w:rPr>
      <w:rFonts w:ascii="宋体" w:hAnsi="宋体" w:cs="宋体"/>
      <w:sz w:val="22"/>
      <w:szCs w:val="22"/>
      <w:lang w:val="zh-CN" w:bidi="zh-CN"/>
    </w:rPr>
  </w:style>
  <w:style w:type="character" w:customStyle="1" w:styleId="255">
    <w:name w:val="ask-title2"/>
    <w:qFormat/>
    <w:uiPriority w:val="0"/>
  </w:style>
  <w:style w:type="paragraph" w:customStyle="1" w:styleId="256">
    <w:name w:val="列出段落2"/>
    <w:basedOn w:val="1"/>
    <w:unhideWhenUsed/>
    <w:qFormat/>
    <w:uiPriority w:val="99"/>
    <w:pPr>
      <w:ind w:firstLine="420"/>
      <w:jc w:val="left"/>
    </w:pPr>
    <w:rPr>
      <w:rFonts w:ascii="宋体"/>
      <w:sz w:val="20"/>
      <w:szCs w:val="20"/>
    </w:rPr>
  </w:style>
  <w:style w:type="paragraph" w:customStyle="1" w:styleId="257">
    <w:name w:val="纯文本1"/>
    <w:basedOn w:val="1"/>
    <w:qFormat/>
    <w:uiPriority w:val="0"/>
    <w:rPr>
      <w:rFonts w:ascii="宋体" w:hAnsi="Courier New"/>
      <w:sz w:val="20"/>
      <w:szCs w:val="21"/>
    </w:rPr>
  </w:style>
  <w:style w:type="character" w:customStyle="1" w:styleId="258">
    <w:name w:val="纯文本 Char2"/>
    <w:qFormat/>
    <w:uiPriority w:val="0"/>
    <w:rPr>
      <w:rFonts w:ascii="宋体" w:hAnsi="Courier New"/>
      <w:sz w:val="21"/>
    </w:rPr>
  </w:style>
  <w:style w:type="paragraph" w:customStyle="1" w:styleId="259">
    <w:name w:val="列出段落11"/>
    <w:basedOn w:val="1"/>
    <w:qFormat/>
    <w:uiPriority w:val="0"/>
    <w:pPr>
      <w:spacing w:line="0" w:lineRule="atLeast"/>
      <w:ind w:firstLine="420"/>
    </w:pPr>
    <w:rPr>
      <w:rFonts w:eastAsia="微软雅黑"/>
      <w:sz w:val="20"/>
      <w:szCs w:val="20"/>
    </w:rPr>
  </w:style>
  <w:style w:type="character" w:customStyle="1" w:styleId="260">
    <w:name w:val="纯文本 Char"/>
    <w:link w:val="261"/>
    <w:qFormat/>
    <w:uiPriority w:val="0"/>
    <w:rPr>
      <w:rFonts w:ascii="宋体" w:hAnsi="Courier New"/>
    </w:rPr>
  </w:style>
  <w:style w:type="paragraph" w:customStyle="1" w:styleId="261">
    <w:name w:val="纯文本2"/>
    <w:basedOn w:val="1"/>
    <w:link w:val="260"/>
    <w:qFormat/>
    <w:uiPriority w:val="0"/>
    <w:pPr>
      <w:spacing w:line="360" w:lineRule="auto"/>
      <w:ind w:firstLine="200"/>
    </w:pPr>
    <w:rPr>
      <w:rFonts w:ascii="宋体" w:hAnsi="Courier New"/>
      <w:sz w:val="20"/>
      <w:szCs w:val="20"/>
    </w:rPr>
  </w:style>
  <w:style w:type="character" w:customStyle="1" w:styleId="262">
    <w:name w:val="页脚 Char"/>
    <w:qFormat/>
    <w:uiPriority w:val="0"/>
    <w:rPr>
      <w:sz w:val="18"/>
      <w:szCs w:val="18"/>
    </w:rPr>
  </w:style>
  <w:style w:type="paragraph" w:customStyle="1" w:styleId="263">
    <w:name w:val="_Style 83"/>
    <w:basedOn w:val="1"/>
    <w:next w:val="253"/>
    <w:qFormat/>
    <w:uiPriority w:val="99"/>
    <w:pPr>
      <w:ind w:firstLine="420"/>
    </w:pPr>
  </w:style>
  <w:style w:type="character" w:styleId="264">
    <w:name w:val="Placeholder Text"/>
    <w:basedOn w:val="45"/>
    <w:unhideWhenUsed/>
    <w:qFormat/>
    <w:uiPriority w:val="99"/>
    <w:rPr>
      <w:color w:val="808080"/>
    </w:rPr>
  </w:style>
  <w:style w:type="paragraph" w:customStyle="1" w:styleId="265">
    <w:name w:val="pf0"/>
    <w:basedOn w:val="1"/>
    <w:qFormat/>
    <w:uiPriority w:val="0"/>
    <w:pPr>
      <w:widowControl/>
      <w:spacing w:before="100" w:beforeAutospacing="1" w:after="100" w:afterAutospacing="1"/>
      <w:jc w:val="left"/>
    </w:pPr>
    <w:rPr>
      <w:rFonts w:ascii="宋体" w:hAnsi="宋体" w:cs="宋体"/>
      <w:sz w:val="24"/>
    </w:rPr>
  </w:style>
  <w:style w:type="character" w:customStyle="1" w:styleId="266">
    <w:name w:val="cf01"/>
    <w:basedOn w:val="45"/>
    <w:qFormat/>
    <w:uiPriority w:val="0"/>
    <w:rPr>
      <w:rFonts w:hint="eastAsia" w:ascii="Microsoft YaHei UI" w:hAnsi="Microsoft YaHei UI" w:eastAsia="Microsoft YaHei UI"/>
      <w:sz w:val="18"/>
      <w:szCs w:val="18"/>
    </w:rPr>
  </w:style>
  <w:style w:type="character" w:customStyle="1" w:styleId="267">
    <w:name w:val="cf11"/>
    <w:basedOn w:val="45"/>
    <w:qFormat/>
    <w:uiPriority w:val="0"/>
    <w:rPr>
      <w:rFonts w:hint="eastAsia" w:ascii="Microsoft YaHei UI" w:hAnsi="Microsoft YaHei UI" w:eastAsia="Microsoft YaHei UI"/>
      <w:sz w:val="18"/>
      <w:szCs w:val="18"/>
    </w:rPr>
  </w:style>
  <w:style w:type="paragraph" w:styleId="268">
    <w:name w:val="List Paragraph"/>
    <w:basedOn w:val="1"/>
    <w:qFormat/>
    <w:uiPriority w:val="1"/>
    <w:pPr>
      <w:ind w:firstLine="420"/>
    </w:pPr>
  </w:style>
  <w:style w:type="paragraph" w:customStyle="1" w:styleId="269">
    <w:name w:val="标题1，章节第一层"/>
    <w:basedOn w:val="1"/>
    <w:next w:val="1"/>
    <w:qFormat/>
    <w:uiPriority w:val="0"/>
    <w:pPr>
      <w:widowControl/>
      <w:tabs>
        <w:tab w:val="left" w:pos="693"/>
      </w:tabs>
      <w:spacing w:line="360" w:lineRule="auto"/>
      <w:ind w:left="482" w:right="44" w:hanging="178"/>
      <w:jc w:val="left"/>
      <w:outlineLvl w:val="0"/>
    </w:pPr>
    <w:rPr>
      <w:rFonts w:ascii="宋体" w:hAnsi="宋体" w:eastAsia="Calibri" w:cs="宋体"/>
      <w:bCs/>
      <w:color w:val="000000"/>
      <w:sz w:val="24"/>
      <w:lang w:val="zh-CN"/>
    </w:rPr>
  </w:style>
  <w:style w:type="paragraph" w:customStyle="1" w:styleId="270">
    <w:name w:val="标准文本"/>
    <w:basedOn w:val="1"/>
    <w:qFormat/>
    <w:uiPriority w:val="0"/>
    <w:pPr>
      <w:spacing w:line="360" w:lineRule="auto"/>
      <w:ind w:firstLine="480"/>
    </w:pPr>
    <w:rPr>
      <w:rFonts w:ascii="Calibri" w:hAnsi="Calibri" w:eastAsia="Calibri" w:cs="宋体"/>
      <w:sz w:val="24"/>
      <w:lang w:val="zh-CN"/>
    </w:rPr>
  </w:style>
  <w:style w:type="character" w:customStyle="1" w:styleId="271">
    <w:name w:val="标准文本 Char Char"/>
    <w:qFormat/>
    <w:uiPriority w:val="0"/>
    <w:rPr>
      <w:rFonts w:eastAsia="宋体" w:cs="宋体"/>
      <w:sz w:val="24"/>
      <w:szCs w:val="24"/>
      <w:lang w:val="en-US" w:eastAsia="zh-CN" w:bidi="ar-SA"/>
    </w:rPr>
  </w:style>
  <w:style w:type="character" w:customStyle="1" w:styleId="272">
    <w:name w:val="标准小四 Char Char"/>
    <w:qFormat/>
    <w:uiPriority w:val="0"/>
    <w:rPr>
      <w:rFonts w:ascii="Arial" w:hAnsi="Arial" w:eastAsia="宋体"/>
      <w:sz w:val="24"/>
      <w:szCs w:val="21"/>
      <w:lang w:val="en-US" w:eastAsia="zh-CN" w:bidi="ar-SA"/>
    </w:rPr>
  </w:style>
  <w:style w:type="character" w:customStyle="1" w:styleId="273">
    <w:name w:val="标准文本 Char"/>
    <w:qFormat/>
    <w:uiPriority w:val="0"/>
    <w:rPr>
      <w:rFonts w:eastAsia="宋体" w:cs="宋体"/>
      <w:sz w:val="24"/>
      <w:szCs w:val="24"/>
      <w:lang w:val="en-US" w:eastAsia="zh-CN" w:bidi="ar-SA"/>
    </w:rPr>
  </w:style>
  <w:style w:type="character" w:customStyle="1" w:styleId="274">
    <w:name w:val="未处理的提及1"/>
    <w:basedOn w:val="45"/>
    <w:semiHidden/>
    <w:unhideWhenUsed/>
    <w:qFormat/>
    <w:uiPriority w:val="99"/>
    <w:rPr>
      <w:color w:val="605E5C"/>
      <w:shd w:val="clear" w:color="auto" w:fill="E1DFDD"/>
    </w:rPr>
  </w:style>
  <w:style w:type="paragraph" w:customStyle="1" w:styleId="275">
    <w:name w:val="列出段落3"/>
    <w:basedOn w:val="1"/>
    <w:qFormat/>
    <w:uiPriority w:val="99"/>
    <w:pPr>
      <w:ind w:firstLine="420"/>
    </w:pPr>
  </w:style>
  <w:style w:type="paragraph" w:customStyle="1" w:styleId="276">
    <w:name w:val="Normal_8_0"/>
    <w:qFormat/>
    <w:uiPriority w:val="0"/>
    <w:rPr>
      <w:rFonts w:ascii="Times New Roman" w:hAnsi="Times New Roman" w:eastAsia="Times New Roman" w:cs="Times New Roman"/>
      <w:sz w:val="24"/>
      <w:szCs w:val="24"/>
      <w:lang w:val="en-US" w:eastAsia="zh-CN" w:bidi="ar-SA"/>
    </w:rPr>
  </w:style>
  <w:style w:type="character" w:customStyle="1" w:styleId="277">
    <w:name w:val="默认段落字体12"/>
    <w:unhideWhenUsed/>
    <w:qFormat/>
    <w:uiPriority w:val="1"/>
    <w:rPr>
      <w:rFonts w:ascii="Times New Roman" w:hAnsi="Times New Roman" w:eastAsia="宋体" w:cs="Times New Roman"/>
      <w:sz w:val="21"/>
      <w:szCs w:val="24"/>
      <w:lang w:val="en-US" w:eastAsia="zh-CN" w:bidi="ar-SA"/>
    </w:rPr>
  </w:style>
  <w:style w:type="character" w:customStyle="1" w:styleId="278">
    <w:name w:val="font41"/>
    <w:basedOn w:val="45"/>
    <w:qFormat/>
    <w:uiPriority w:val="0"/>
    <w:rPr>
      <w:rFonts w:hint="default" w:ascii="方正仿宋_GBK" w:hAnsi="方正仿宋_GBK" w:eastAsia="方正仿宋_GBK" w:cs="方正仿宋_GBK"/>
      <w:b/>
      <w:bCs/>
      <w:color w:val="000000"/>
      <w:sz w:val="22"/>
      <w:szCs w:val="22"/>
      <w:u w:val="none"/>
    </w:rPr>
  </w:style>
  <w:style w:type="character" w:customStyle="1" w:styleId="279">
    <w:name w:val="font31"/>
    <w:basedOn w:val="45"/>
    <w:qFormat/>
    <w:uiPriority w:val="0"/>
    <w:rPr>
      <w:rFonts w:hint="default" w:ascii="方正仿宋_GBK" w:hAnsi="方正仿宋_GBK" w:eastAsia="方正仿宋_GBK" w:cs="方正仿宋_GBK"/>
      <w:color w:val="000000"/>
      <w:sz w:val="22"/>
      <w:szCs w:val="22"/>
      <w:u w:val="none"/>
    </w:rPr>
  </w:style>
  <w:style w:type="character" w:customStyle="1" w:styleId="280">
    <w:name w:val="不明显参考1"/>
    <w:qFormat/>
    <w:uiPriority w:val="31"/>
    <w:rPr>
      <w:smallCaps/>
    </w:rPr>
  </w:style>
  <w:style w:type="paragraph" w:customStyle="1" w:styleId="281">
    <w:name w:val="Normal_5_0"/>
    <w:qFormat/>
    <w:uiPriority w:val="0"/>
    <w:rPr>
      <w:rFonts w:ascii="Times New Roman" w:hAnsi="Times New Roman" w:eastAsia="Times New Roman" w:cs="Times New Roman"/>
      <w:sz w:val="24"/>
      <w:szCs w:val="24"/>
      <w:lang w:val="en-US" w:eastAsia="zh-CN" w:bidi="ar-SA"/>
    </w:rPr>
  </w:style>
  <w:style w:type="character" w:customStyle="1" w:styleId="282">
    <w:name w:val="默认段落字体11"/>
    <w:unhideWhenUsed/>
    <w:qFormat/>
    <w:uiPriority w:val="1"/>
  </w:style>
  <w:style w:type="paragraph" w:customStyle="1" w:styleId="283">
    <w:name w:val="Normal_17"/>
    <w:qFormat/>
    <w:uiPriority w:val="0"/>
    <w:rPr>
      <w:rFonts w:ascii="Times New Roman" w:hAnsi="Times New Roman" w:eastAsia="Times New Roman" w:cs="Times New Roman"/>
      <w:sz w:val="24"/>
      <w:szCs w:val="24"/>
      <w:lang w:val="en-US" w:eastAsia="zh-CN" w:bidi="ar-SA"/>
    </w:rPr>
  </w:style>
  <w:style w:type="paragraph" w:customStyle="1" w:styleId="284">
    <w:name w:val="Normal_0_3"/>
    <w:qFormat/>
    <w:uiPriority w:val="0"/>
    <w:rPr>
      <w:rFonts w:ascii="Times New Roman" w:hAnsi="Times New Roman" w:eastAsia="Times New Roman" w:cs="Times New Roman"/>
      <w:sz w:val="24"/>
      <w:szCs w:val="24"/>
      <w:lang w:val="en-US" w:eastAsia="zh-CN" w:bidi="ar-SA"/>
    </w:rPr>
  </w:style>
  <w:style w:type="paragraph" w:customStyle="1" w:styleId="285">
    <w:name w:val="Normal_23"/>
    <w:qFormat/>
    <w:uiPriority w:val="0"/>
    <w:rPr>
      <w:rFonts w:ascii="Times New Roman" w:hAnsi="Times New Roman" w:eastAsia="Times New Roman" w:cs="Times New Roman"/>
      <w:sz w:val="24"/>
      <w:szCs w:val="24"/>
      <w:lang w:val="en-US" w:eastAsia="zh-CN" w:bidi="ar-SA"/>
    </w:rPr>
  </w:style>
  <w:style w:type="paragraph" w:customStyle="1" w:styleId="286">
    <w:name w:val="修订1"/>
    <w:hidden/>
    <w:unhideWhenUsed/>
    <w:qFormat/>
    <w:uiPriority w:val="99"/>
    <w:rPr>
      <w:rFonts w:ascii="Times New Roman" w:hAnsi="Times New Roman" w:eastAsia="宋体" w:cs="Times New Roman"/>
      <w:sz w:val="21"/>
      <w:szCs w:val="24"/>
      <w:lang w:val="en-US" w:eastAsia="zh-CN" w:bidi="ar-SA"/>
    </w:rPr>
  </w:style>
  <w:style w:type="paragraph" w:customStyle="1" w:styleId="287">
    <w:name w:val="列表段落1"/>
    <w:basedOn w:val="1"/>
    <w:qFormat/>
    <w:uiPriority w:val="99"/>
    <w:pPr>
      <w:ind w:firstLine="420"/>
    </w:pPr>
  </w:style>
  <w:style w:type="character" w:customStyle="1" w:styleId="288">
    <w:name w:val="font21"/>
    <w:basedOn w:val="45"/>
    <w:qFormat/>
    <w:uiPriority w:val="0"/>
    <w:rPr>
      <w:rFonts w:hint="eastAsia" w:ascii="等线" w:hAnsi="等线" w:eastAsia="等线" w:cs="等线"/>
      <w:color w:val="000000"/>
      <w:sz w:val="21"/>
      <w:szCs w:val="21"/>
      <w:u w:val="none"/>
    </w:rPr>
  </w:style>
  <w:style w:type="character" w:customStyle="1" w:styleId="289">
    <w:name w:val="font11"/>
    <w:basedOn w:val="45"/>
    <w:qFormat/>
    <w:uiPriority w:val="0"/>
    <w:rPr>
      <w:rFonts w:hint="eastAsia" w:ascii="宋体" w:hAnsi="宋体" w:eastAsia="宋体" w:cs="宋体"/>
      <w:color w:val="000000"/>
      <w:sz w:val="21"/>
      <w:szCs w:val="21"/>
      <w:u w:val="none"/>
    </w:rPr>
  </w:style>
  <w:style w:type="paragraph" w:customStyle="1" w:styleId="290">
    <w:name w:val="null3"/>
    <w:hidden/>
    <w:qFormat/>
    <w:uiPriority w:val="0"/>
    <w:rPr>
      <w:rFonts w:hint="eastAsia" w:asciiTheme="minorHAnsi" w:hAnsiTheme="minorHAnsi" w:eastAsiaTheme="minorEastAsia" w:cstheme="minorBidi"/>
      <w:lang w:val="en-US" w:eastAsia="zh-Hans" w:bidi="ar-SA"/>
    </w:rPr>
  </w:style>
  <w:style w:type="paragraph" w:customStyle="1" w:styleId="291">
    <w:name w:val="Plain Text1"/>
    <w:basedOn w:val="1"/>
    <w:qFormat/>
    <w:uiPriority w:val="0"/>
    <w:pPr>
      <w:widowControl/>
      <w:jc w:val="left"/>
    </w:pPr>
    <w:rPr>
      <w:rFonts w:ascii="宋体" w:hAnsi="Courier New" w:eastAsia="楷体_GB2312"/>
      <w:sz w:val="26"/>
      <w:szCs w:val="20"/>
    </w:rPr>
  </w:style>
  <w:style w:type="character" w:customStyle="1" w:styleId="292">
    <w:name w:val="ui-provider"/>
    <w:basedOn w:val="45"/>
    <w:qFormat/>
    <w:uiPriority w:val="0"/>
  </w:style>
  <w:style w:type="paragraph" w:customStyle="1" w:styleId="293">
    <w:name w:val="列表段落21"/>
    <w:basedOn w:val="1"/>
    <w:qFormat/>
    <w:uiPriority w:val="0"/>
    <w:pPr>
      <w:ind w:firstLine="420"/>
    </w:pPr>
    <w:rPr>
      <w:szCs w:val="20"/>
    </w:rPr>
  </w:style>
  <w:style w:type="table" w:customStyle="1" w:styleId="294">
    <w:name w:val="Table Normal"/>
    <w:basedOn w:val="43"/>
    <w:qFormat/>
    <w:uiPriority w:val="0"/>
    <w:tblPr>
      <w:tblCellMar>
        <w:left w:w="0" w:type="dxa"/>
        <w:right w:w="0" w:type="dxa"/>
      </w:tblCellMar>
    </w:tblPr>
  </w:style>
  <w:style w:type="paragraph" w:customStyle="1" w:styleId="295">
    <w:name w:val="修订2"/>
    <w:hidden/>
    <w:unhideWhenUsed/>
    <w:qFormat/>
    <w:uiPriority w:val="99"/>
    <w:rPr>
      <w:rFonts w:ascii="Times New Roman" w:hAnsi="Times New Roman" w:eastAsia="宋体" w:cs="Times New Roman"/>
      <w:sz w:val="21"/>
      <w:szCs w:val="24"/>
      <w:lang w:val="en-US" w:eastAsia="zh-CN" w:bidi="ar-SA"/>
    </w:rPr>
  </w:style>
  <w:style w:type="paragraph" w:customStyle="1" w:styleId="296">
    <w:name w:val="正文缩进11"/>
    <w:basedOn w:val="1"/>
    <w:qFormat/>
    <w:uiPriority w:val="0"/>
    <w:pPr>
      <w:ind w:firstLine="420"/>
    </w:pPr>
    <w:rPr>
      <w:b/>
      <w:sz w:val="24"/>
      <w:szCs w:val="20"/>
    </w:rPr>
  </w:style>
  <w:style w:type="paragraph" w:customStyle="1" w:styleId="297">
    <w:name w:val="Table Text"/>
    <w:basedOn w:val="1"/>
    <w:semiHidden/>
    <w:qFormat/>
    <w:uiPriority w:val="0"/>
    <w:rPr>
      <w:rFonts w:ascii="华文宋体" w:hAnsi="华文宋体" w:eastAsia="华文宋体" w:cs="华文宋体"/>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glossaryDocument" Target="glossary/document.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4acc093-f395-42b1-a03b-53ee95feafc7}"/>
        <w:style w:val=""/>
        <w:category>
          <w:name w:val="常规"/>
          <w:gallery w:val="placeholder"/>
        </w:category>
        <w:types>
          <w:type w:val="bbPlcHdr"/>
        </w:types>
        <w:behaviors>
          <w:behavior w:val="content"/>
        </w:behaviors>
        <w:description w:val=""/>
        <w:guid w:val="{A4ACC093-F395-42B1-A03B-53EE95FEAFC7}"/>
      </w:docPartPr>
      <w:docPartBody>
        <w:p w14:paraId="70BD7BE0">
          <w:pPr>
            <w:pStyle w:val="180"/>
            <w:rPr>
              <w:rFonts w:hint="eastAsia"/>
            </w:rPr>
          </w:pPr>
          <w:r>
            <w:rPr>
              <w:rStyle w:val="181"/>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454"/>
    <w:rsid w:val="004A30F6"/>
    <w:rsid w:val="00715454"/>
    <w:rsid w:val="00D373A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footnote text"/>
    <w:lsdException w:qFormat="1" w:uiPriority="99" w:semiHidden="0" w:name="header"/>
    <w:lsdException w:qFormat="1" w:uiPriority="99" w:semiHidden="0" w:name="footer"/>
    <w:lsdException w:qFormat="1" w:uiPriority="35" w:name="caption"/>
    <w:lsdException w:qFormat="1" w:uiPriority="99" w:semiHidden="0" w:name="table of figures"/>
    <w:lsdException w:qFormat="1" w:uiPriority="99" w:semiHidden="0" w:name="footnote reference"/>
    <w:lsdException w:qFormat="1" w:uiPriority="99" w:name="endnote reference"/>
    <w:lsdException w:qFormat="1" w:uiPriority="99" w:name="endnote text"/>
    <w:lsdException w:qFormat="1" w:unhideWhenUsed="0" w:uiPriority="10" w:semiHidden="0" w:name="Title"/>
    <w:lsdException w:qFormat="1" w:uiPriority="1" w:name="Default Paragraph Font"/>
    <w:lsdException w:qFormat="1" w:unhideWhenUsed="0" w:uiPriority="11" w:semiHidden="0" w:name="Subtitle"/>
    <w:lsdException w:qFormat="1" w:uiPriority="99" w:semiHidden="0" w:name="Hyperlink"/>
    <w:lsdException w:qFormat="1" w:uiPriority="99" w:name="Normal Table"/>
    <w:lsdException w:qFormat="1" w:unhideWhenUsed="0" w:uiPriority="59" w:semiHidden="0" w:name="Table Grid"/>
    <w:lsdException w:qFormat="1" w:uiPriority="99" w:semiHidden="0" w:name="Placeholder Text"/>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link w:val="32"/>
    <w:qFormat/>
    <w:uiPriority w:val="9"/>
    <w:pPr>
      <w:keepNext/>
      <w:keepLines/>
      <w:spacing w:before="480" w:after="200"/>
      <w:outlineLvl w:val="0"/>
    </w:pPr>
    <w:rPr>
      <w:rFonts w:ascii="Arial" w:hAnsi="Arial" w:eastAsia="Arial" w:cs="Arial"/>
      <w:sz w:val="40"/>
      <w:szCs w:val="40"/>
      <w:lang w:val="en-US" w:eastAsia="zh-CN" w:bidi="ar-SA"/>
    </w:rPr>
  </w:style>
  <w:style w:type="paragraph" w:styleId="3">
    <w:name w:val="heading 2"/>
    <w:link w:val="33"/>
    <w:unhideWhenUsed/>
    <w:qFormat/>
    <w:uiPriority w:val="9"/>
    <w:pPr>
      <w:keepNext/>
      <w:keepLines/>
      <w:spacing w:before="360" w:after="200"/>
      <w:outlineLvl w:val="1"/>
    </w:pPr>
    <w:rPr>
      <w:rFonts w:ascii="Arial" w:hAnsi="Arial" w:eastAsia="Arial" w:cs="Arial"/>
      <w:sz w:val="34"/>
      <w:lang w:val="en-US" w:eastAsia="zh-CN" w:bidi="ar-SA"/>
    </w:rPr>
  </w:style>
  <w:style w:type="paragraph" w:styleId="4">
    <w:name w:val="heading 3"/>
    <w:link w:val="34"/>
    <w:unhideWhenUsed/>
    <w:qFormat/>
    <w:uiPriority w:val="9"/>
    <w:pPr>
      <w:keepNext/>
      <w:keepLines/>
      <w:spacing w:before="320" w:after="200"/>
      <w:outlineLvl w:val="2"/>
    </w:pPr>
    <w:rPr>
      <w:rFonts w:ascii="Arial" w:hAnsi="Arial" w:eastAsia="Arial" w:cs="Arial"/>
      <w:sz w:val="30"/>
      <w:szCs w:val="30"/>
      <w:lang w:val="en-US" w:eastAsia="zh-CN" w:bidi="ar-SA"/>
    </w:rPr>
  </w:style>
  <w:style w:type="paragraph" w:styleId="5">
    <w:name w:val="heading 4"/>
    <w:link w:val="35"/>
    <w:unhideWhenUsed/>
    <w:qFormat/>
    <w:uiPriority w:val="9"/>
    <w:pPr>
      <w:keepNext/>
      <w:keepLines/>
      <w:spacing w:before="320" w:after="200"/>
      <w:outlineLvl w:val="3"/>
    </w:pPr>
    <w:rPr>
      <w:rFonts w:ascii="Arial" w:hAnsi="Arial" w:eastAsia="Arial" w:cs="Arial"/>
      <w:b/>
      <w:bCs/>
      <w:sz w:val="26"/>
      <w:szCs w:val="26"/>
      <w:lang w:val="en-US" w:eastAsia="zh-CN" w:bidi="ar-SA"/>
    </w:rPr>
  </w:style>
  <w:style w:type="paragraph" w:styleId="6">
    <w:name w:val="heading 5"/>
    <w:link w:val="36"/>
    <w:unhideWhenUsed/>
    <w:qFormat/>
    <w:uiPriority w:val="9"/>
    <w:pPr>
      <w:keepNext/>
      <w:keepLines/>
      <w:spacing w:before="320" w:after="200"/>
      <w:outlineLvl w:val="4"/>
    </w:pPr>
    <w:rPr>
      <w:rFonts w:ascii="Arial" w:hAnsi="Arial" w:eastAsia="Arial" w:cs="Arial"/>
      <w:b/>
      <w:bCs/>
      <w:sz w:val="24"/>
      <w:szCs w:val="24"/>
      <w:lang w:val="en-US" w:eastAsia="zh-CN" w:bidi="ar-SA"/>
    </w:rPr>
  </w:style>
  <w:style w:type="paragraph" w:styleId="7">
    <w:name w:val="heading 6"/>
    <w:link w:val="37"/>
    <w:unhideWhenUsed/>
    <w:qFormat/>
    <w:uiPriority w:val="9"/>
    <w:pPr>
      <w:keepNext/>
      <w:keepLines/>
      <w:spacing w:before="320" w:after="200"/>
      <w:outlineLvl w:val="5"/>
    </w:pPr>
    <w:rPr>
      <w:rFonts w:ascii="Arial" w:hAnsi="Arial" w:eastAsia="Arial" w:cs="Arial"/>
      <w:b/>
      <w:bCs/>
      <w:sz w:val="22"/>
      <w:szCs w:val="22"/>
      <w:lang w:val="en-US" w:eastAsia="zh-CN" w:bidi="ar-SA"/>
    </w:rPr>
  </w:style>
  <w:style w:type="paragraph" w:styleId="8">
    <w:name w:val="heading 7"/>
    <w:link w:val="38"/>
    <w:unhideWhenUsed/>
    <w:qFormat/>
    <w:uiPriority w:val="9"/>
    <w:pPr>
      <w:keepNext/>
      <w:keepLines/>
      <w:spacing w:before="320" w:after="200"/>
      <w:outlineLvl w:val="6"/>
    </w:pPr>
    <w:rPr>
      <w:rFonts w:ascii="Arial" w:hAnsi="Arial" w:eastAsia="Arial" w:cs="Arial"/>
      <w:b/>
      <w:bCs/>
      <w:i/>
      <w:iCs/>
      <w:sz w:val="22"/>
      <w:szCs w:val="22"/>
      <w:lang w:val="en-US" w:eastAsia="zh-CN" w:bidi="ar-SA"/>
    </w:rPr>
  </w:style>
  <w:style w:type="paragraph" w:styleId="9">
    <w:name w:val="heading 8"/>
    <w:link w:val="39"/>
    <w:unhideWhenUsed/>
    <w:qFormat/>
    <w:uiPriority w:val="9"/>
    <w:pPr>
      <w:keepNext/>
      <w:keepLines/>
      <w:spacing w:before="320" w:after="200"/>
      <w:outlineLvl w:val="7"/>
    </w:pPr>
    <w:rPr>
      <w:rFonts w:ascii="Arial" w:hAnsi="Arial" w:eastAsia="Arial" w:cs="Arial"/>
      <w:i/>
      <w:iCs/>
      <w:sz w:val="22"/>
      <w:szCs w:val="22"/>
      <w:lang w:val="en-US" w:eastAsia="zh-CN" w:bidi="ar-SA"/>
    </w:rPr>
  </w:style>
  <w:style w:type="paragraph" w:styleId="10">
    <w:name w:val="heading 9"/>
    <w:link w:val="40"/>
    <w:unhideWhenUsed/>
    <w:qFormat/>
    <w:uiPriority w:val="9"/>
    <w:pPr>
      <w:keepNext/>
      <w:keepLines/>
      <w:spacing w:before="320" w:after="200"/>
      <w:outlineLvl w:val="8"/>
    </w:pPr>
    <w:rPr>
      <w:rFonts w:ascii="Arial" w:hAnsi="Arial" w:eastAsia="Arial" w:cs="Arial"/>
      <w:i/>
      <w:iCs/>
      <w:sz w:val="21"/>
      <w:szCs w:val="21"/>
      <w:lang w:val="en-US" w:eastAsia="zh-CN" w:bidi="ar-SA"/>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table" w:customStyle="1" w:styleId="13">
    <w:name w:val="无格式表格 11"/>
    <w:basedOn w:val="1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4">
    <w:name w:val="无格式表格 21"/>
    <w:basedOn w:val="1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5">
    <w:name w:val="无格式表格 31"/>
    <w:basedOn w:val="12"/>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6">
    <w:name w:val="无格式表格 41"/>
    <w:basedOn w:val="12"/>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7">
    <w:name w:val="无格式表格 51"/>
    <w:basedOn w:val="12"/>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8">
    <w:name w:val="网格表 1 浅色1"/>
    <w:basedOn w:val="1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9">
    <w:name w:val="网格表 21"/>
    <w:basedOn w:val="1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20">
    <w:name w:val="网格表 31"/>
    <w:basedOn w:val="1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21">
    <w:name w:val="网格表 41"/>
    <w:basedOn w:val="1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22">
    <w:name w:val="网格表 5 深色1"/>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23">
    <w:name w:val="网格表 6 彩色1"/>
    <w:basedOn w:val="1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4">
    <w:name w:val="网格表 7 彩色1"/>
    <w:basedOn w:val="1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5">
    <w:name w:val="清单表 1 浅色1"/>
    <w:basedOn w:val="12"/>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26">
    <w:name w:val="清单表 21"/>
    <w:basedOn w:val="1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7">
    <w:name w:val="清单表 31"/>
    <w:basedOn w:val="1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28">
    <w:name w:val="清单表 41"/>
    <w:basedOn w:val="1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9">
    <w:name w:val="清单表 5 深色1"/>
    <w:basedOn w:val="1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30">
    <w:name w:val="清单表 6 彩色1"/>
    <w:basedOn w:val="12"/>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31">
    <w:name w:val="清单表 7 彩色1"/>
    <w:basedOn w:val="12"/>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32">
    <w:name w:val="标题 1 字符"/>
    <w:basedOn w:val="11"/>
    <w:link w:val="2"/>
    <w:qFormat/>
    <w:uiPriority w:val="9"/>
    <w:rPr>
      <w:rFonts w:ascii="Arial" w:hAnsi="Arial" w:eastAsia="Arial" w:cs="Arial"/>
      <w:sz w:val="40"/>
      <w:szCs w:val="40"/>
    </w:rPr>
  </w:style>
  <w:style w:type="character" w:customStyle="1" w:styleId="33">
    <w:name w:val="标题 2 字符"/>
    <w:basedOn w:val="11"/>
    <w:link w:val="3"/>
    <w:qFormat/>
    <w:uiPriority w:val="9"/>
    <w:rPr>
      <w:rFonts w:ascii="Arial" w:hAnsi="Arial" w:eastAsia="Arial" w:cs="Arial"/>
      <w:sz w:val="34"/>
    </w:rPr>
  </w:style>
  <w:style w:type="character" w:customStyle="1" w:styleId="34">
    <w:name w:val="标题 3 字符"/>
    <w:basedOn w:val="11"/>
    <w:link w:val="4"/>
    <w:qFormat/>
    <w:uiPriority w:val="9"/>
    <w:rPr>
      <w:rFonts w:ascii="Arial" w:hAnsi="Arial" w:eastAsia="Arial" w:cs="Arial"/>
      <w:sz w:val="30"/>
      <w:szCs w:val="30"/>
    </w:rPr>
  </w:style>
  <w:style w:type="character" w:customStyle="1" w:styleId="35">
    <w:name w:val="标题 4 字符"/>
    <w:basedOn w:val="11"/>
    <w:link w:val="5"/>
    <w:qFormat/>
    <w:uiPriority w:val="9"/>
    <w:rPr>
      <w:rFonts w:ascii="Arial" w:hAnsi="Arial" w:eastAsia="Arial" w:cs="Arial"/>
      <w:b/>
      <w:bCs/>
      <w:sz w:val="26"/>
      <w:szCs w:val="26"/>
    </w:rPr>
  </w:style>
  <w:style w:type="character" w:customStyle="1" w:styleId="36">
    <w:name w:val="标题 5 字符"/>
    <w:basedOn w:val="11"/>
    <w:link w:val="6"/>
    <w:qFormat/>
    <w:uiPriority w:val="9"/>
    <w:rPr>
      <w:rFonts w:ascii="Arial" w:hAnsi="Arial" w:eastAsia="Arial" w:cs="Arial"/>
      <w:b/>
      <w:bCs/>
      <w:sz w:val="24"/>
      <w:szCs w:val="24"/>
    </w:rPr>
  </w:style>
  <w:style w:type="character" w:customStyle="1" w:styleId="37">
    <w:name w:val="标题 6 字符"/>
    <w:basedOn w:val="11"/>
    <w:link w:val="7"/>
    <w:qFormat/>
    <w:uiPriority w:val="9"/>
    <w:rPr>
      <w:rFonts w:ascii="Arial" w:hAnsi="Arial" w:eastAsia="Arial" w:cs="Arial"/>
      <w:b/>
      <w:bCs/>
      <w:sz w:val="22"/>
      <w:szCs w:val="22"/>
    </w:rPr>
  </w:style>
  <w:style w:type="character" w:customStyle="1" w:styleId="38">
    <w:name w:val="标题 7 字符"/>
    <w:basedOn w:val="11"/>
    <w:link w:val="8"/>
    <w:qFormat/>
    <w:uiPriority w:val="9"/>
    <w:rPr>
      <w:rFonts w:ascii="Arial" w:hAnsi="Arial" w:eastAsia="Arial" w:cs="Arial"/>
      <w:b/>
      <w:bCs/>
      <w:i/>
      <w:iCs/>
      <w:sz w:val="22"/>
      <w:szCs w:val="22"/>
    </w:rPr>
  </w:style>
  <w:style w:type="character" w:customStyle="1" w:styleId="39">
    <w:name w:val="标题 8 字符"/>
    <w:basedOn w:val="11"/>
    <w:link w:val="9"/>
    <w:qFormat/>
    <w:uiPriority w:val="9"/>
    <w:rPr>
      <w:rFonts w:ascii="Arial" w:hAnsi="Arial" w:eastAsia="Arial" w:cs="Arial"/>
      <w:i/>
      <w:iCs/>
      <w:sz w:val="22"/>
      <w:szCs w:val="22"/>
    </w:rPr>
  </w:style>
  <w:style w:type="character" w:customStyle="1" w:styleId="40">
    <w:name w:val="标题 9 字符"/>
    <w:basedOn w:val="11"/>
    <w:link w:val="10"/>
    <w:qFormat/>
    <w:uiPriority w:val="9"/>
    <w:rPr>
      <w:rFonts w:ascii="Arial" w:hAnsi="Arial" w:eastAsia="Arial" w:cs="Arial"/>
      <w:i/>
      <w:iCs/>
      <w:sz w:val="21"/>
      <w:szCs w:val="21"/>
    </w:rPr>
  </w:style>
  <w:style w:type="paragraph" w:styleId="41">
    <w:name w:val="List Paragraph"/>
    <w:qFormat/>
    <w:uiPriority w:val="34"/>
    <w:pPr>
      <w:ind w:left="720"/>
      <w:contextualSpacing/>
    </w:pPr>
    <w:rPr>
      <w:rFonts w:asciiTheme="minorHAnsi" w:hAnsiTheme="minorHAnsi" w:eastAsiaTheme="minorEastAsia" w:cstheme="minorBidi"/>
      <w:lang w:val="en-US" w:eastAsia="zh-CN" w:bidi="ar-SA"/>
    </w:rPr>
  </w:style>
  <w:style w:type="paragraph" w:styleId="42">
    <w:name w:val="No Spacing"/>
    <w:qFormat/>
    <w:uiPriority w:val="1"/>
    <w:rPr>
      <w:rFonts w:asciiTheme="minorHAnsi" w:hAnsiTheme="minorHAnsi" w:eastAsiaTheme="minorEastAsia" w:cstheme="minorBidi"/>
      <w:lang w:val="en-US" w:eastAsia="zh-CN" w:bidi="ar-SA"/>
    </w:rPr>
  </w:style>
  <w:style w:type="paragraph" w:styleId="43">
    <w:name w:val="Title"/>
    <w:link w:val="44"/>
    <w:qFormat/>
    <w:uiPriority w:val="10"/>
    <w:pPr>
      <w:spacing w:before="300" w:after="200"/>
      <w:contextualSpacing/>
    </w:pPr>
    <w:rPr>
      <w:rFonts w:asciiTheme="minorHAnsi" w:hAnsiTheme="minorHAnsi" w:eastAsiaTheme="minorEastAsia" w:cstheme="minorBidi"/>
      <w:sz w:val="48"/>
      <w:szCs w:val="48"/>
      <w:lang w:val="en-US" w:eastAsia="zh-CN" w:bidi="ar-SA"/>
    </w:rPr>
  </w:style>
  <w:style w:type="character" w:customStyle="1" w:styleId="44">
    <w:name w:val="标题 字符"/>
    <w:basedOn w:val="11"/>
    <w:link w:val="43"/>
    <w:qFormat/>
    <w:uiPriority w:val="10"/>
    <w:rPr>
      <w:sz w:val="48"/>
      <w:szCs w:val="48"/>
    </w:rPr>
  </w:style>
  <w:style w:type="paragraph" w:styleId="45">
    <w:name w:val="Subtitle"/>
    <w:link w:val="46"/>
    <w:qFormat/>
    <w:uiPriority w:val="11"/>
    <w:pPr>
      <w:spacing w:before="200" w:after="200"/>
    </w:pPr>
    <w:rPr>
      <w:rFonts w:asciiTheme="minorHAnsi" w:hAnsiTheme="minorHAnsi" w:eastAsiaTheme="minorEastAsia" w:cstheme="minorBidi"/>
      <w:sz w:val="24"/>
      <w:szCs w:val="24"/>
      <w:lang w:val="en-US" w:eastAsia="zh-CN" w:bidi="ar-SA"/>
    </w:rPr>
  </w:style>
  <w:style w:type="character" w:customStyle="1" w:styleId="46">
    <w:name w:val="副标题 字符"/>
    <w:basedOn w:val="11"/>
    <w:link w:val="45"/>
    <w:qFormat/>
    <w:uiPriority w:val="11"/>
    <w:rPr>
      <w:sz w:val="24"/>
      <w:szCs w:val="24"/>
    </w:rPr>
  </w:style>
  <w:style w:type="paragraph" w:styleId="47">
    <w:name w:val="Quote"/>
    <w:link w:val="48"/>
    <w:qFormat/>
    <w:uiPriority w:val="29"/>
    <w:pPr>
      <w:ind w:left="720" w:right="720"/>
    </w:pPr>
    <w:rPr>
      <w:rFonts w:asciiTheme="minorHAnsi" w:hAnsiTheme="minorHAnsi" w:eastAsiaTheme="minorEastAsia" w:cstheme="minorBidi"/>
      <w:i/>
      <w:lang w:val="en-US" w:eastAsia="zh-CN" w:bidi="ar-SA"/>
    </w:rPr>
  </w:style>
  <w:style w:type="character" w:customStyle="1" w:styleId="48">
    <w:name w:val="引用 字符"/>
    <w:link w:val="47"/>
    <w:qFormat/>
    <w:uiPriority w:val="29"/>
    <w:rPr>
      <w:i/>
    </w:rPr>
  </w:style>
  <w:style w:type="paragraph" w:styleId="49">
    <w:name w:val="Intense Quote"/>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heme="minorHAnsi" w:hAnsiTheme="minorHAnsi" w:eastAsiaTheme="minorEastAsia" w:cstheme="minorBidi"/>
      <w:i/>
      <w:lang w:val="en-US" w:eastAsia="zh-CN" w:bidi="ar-SA"/>
    </w:rPr>
  </w:style>
  <w:style w:type="character" w:customStyle="1" w:styleId="50">
    <w:name w:val="明显引用 字符"/>
    <w:link w:val="49"/>
    <w:qFormat/>
    <w:uiPriority w:val="30"/>
    <w:rPr>
      <w:i/>
    </w:rPr>
  </w:style>
  <w:style w:type="paragraph" w:styleId="51">
    <w:name w:val="header"/>
    <w:link w:val="52"/>
    <w:unhideWhenUsed/>
    <w:qFormat/>
    <w:uiPriority w:val="99"/>
    <w:pPr>
      <w:tabs>
        <w:tab w:val="center" w:pos="7143"/>
        <w:tab w:val="right" w:pos="14287"/>
      </w:tabs>
    </w:pPr>
    <w:rPr>
      <w:rFonts w:asciiTheme="minorHAnsi" w:hAnsiTheme="minorHAnsi" w:eastAsiaTheme="minorEastAsia" w:cstheme="minorBidi"/>
      <w:lang w:val="en-US" w:eastAsia="zh-CN" w:bidi="ar-SA"/>
    </w:rPr>
  </w:style>
  <w:style w:type="character" w:customStyle="1" w:styleId="52">
    <w:name w:val="页眉 字符"/>
    <w:basedOn w:val="11"/>
    <w:link w:val="51"/>
    <w:qFormat/>
    <w:uiPriority w:val="99"/>
  </w:style>
  <w:style w:type="paragraph" w:styleId="53">
    <w:name w:val="footer"/>
    <w:link w:val="55"/>
    <w:unhideWhenUsed/>
    <w:qFormat/>
    <w:uiPriority w:val="99"/>
    <w:pPr>
      <w:tabs>
        <w:tab w:val="center" w:pos="7143"/>
        <w:tab w:val="right" w:pos="14287"/>
      </w:tabs>
    </w:pPr>
    <w:rPr>
      <w:rFonts w:asciiTheme="minorHAnsi" w:hAnsiTheme="minorHAnsi" w:eastAsiaTheme="minorEastAsia" w:cstheme="minorBidi"/>
      <w:lang w:val="en-US" w:eastAsia="zh-CN" w:bidi="ar-SA"/>
    </w:rPr>
  </w:style>
  <w:style w:type="paragraph" w:styleId="54">
    <w:name w:val="caption"/>
    <w:semiHidden/>
    <w:unhideWhenUsed/>
    <w:qFormat/>
    <w:uiPriority w:val="35"/>
    <w:pPr>
      <w:spacing w:line="276" w:lineRule="auto"/>
    </w:pPr>
    <w:rPr>
      <w:rFonts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customStyle="1" w:styleId="55">
    <w:name w:val="页脚 字符"/>
    <w:link w:val="53"/>
    <w:qFormat/>
    <w:uiPriority w:val="99"/>
  </w:style>
  <w:style w:type="table" w:styleId="5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5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Grid Table 1 Light - Accent 1"/>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0" w:type="dxa"/>
        <w:bottom w:w="0" w:type="dxa"/>
        <w:right w:w="0" w:type="dxa"/>
      </w:tblCellMar>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59">
    <w:name w:val="Grid Table 1 Light - Accent 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0" w:type="dxa"/>
        <w:bottom w:w="0" w:type="dxa"/>
        <w:right w:w="0"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0">
    <w:name w:val="Grid Table 1 Light - Accent 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0" w:type="dxa"/>
        <w:bottom w:w="0" w:type="dxa"/>
        <w:right w:w="0"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61">
    <w:name w:val="Grid Table 1 Light - Accent 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0" w:type="dxa"/>
        <w:bottom w:w="0" w:type="dxa"/>
        <w:right w:w="0"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62">
    <w:name w:val="Grid Table 1 Light - Accent 5"/>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0" w:type="dxa"/>
        <w:bottom w:w="0" w:type="dxa"/>
        <w:right w:w="0" w:type="dxa"/>
      </w:tblCellMar>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63">
    <w:name w:val="Grid Table 1 Light - Accent 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0" w:type="dxa"/>
        <w:bottom w:w="0" w:type="dxa"/>
        <w:right w:w="0"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64">
    <w:name w:val="Grid Table 2 - Accent 1"/>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65">
    <w:name w:val="Grid Table 2 - Accent 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66">
    <w:name w:val="Grid Table 2 - Accent 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67">
    <w:name w:val="Grid Table 2 - Accent 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68">
    <w:name w:val="Grid Table 2 - Accent 5"/>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69">
    <w:name w:val="Grid Table 2 - Accent 6"/>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0">
    <w:name w:val="Grid Table 3 - Accent 1"/>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71">
    <w:name w:val="Grid Table 3 - Accent 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2">
    <w:name w:val="Grid Table 3 - Accent 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3">
    <w:name w:val="Grid Table 3 - Accent 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4">
    <w:name w:val="Grid Table 3 - Accent 5"/>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75">
    <w:name w:val="Grid Table 3 - Accent 6"/>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6">
    <w:name w:val="Grid Table 4 - Accent 1"/>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77">
    <w:name w:val="Grid Table 4 - Accent 2"/>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8">
    <w:name w:val="Grid Table 4 - Accent 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9">
    <w:name w:val="Grid Table 4 - Accent 4"/>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0">
    <w:name w:val="Grid Table 4 - Accent 5"/>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81">
    <w:name w:val="Grid Table 4 - Accent 6"/>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8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8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8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8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8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88">
    <w:name w:val="Grid Table 6 Colorful - Accent 1"/>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0" w:type="dxa"/>
        <w:bottom w:w="0" w:type="dxa"/>
        <w:right w:w="0" w:type="dxa"/>
      </w:tblCellMar>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89">
    <w:name w:val="Grid Table 6 Colorful - Accent 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0" w:type="dxa"/>
        <w:bottom w:w="0" w:type="dxa"/>
        <w:right w:w="0"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90">
    <w:name w:val="Grid Table 6 Colorful - Accent 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0" w:type="dxa"/>
        <w:bottom w:w="0" w:type="dxa"/>
        <w:right w:w="0"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91">
    <w:name w:val="Grid Table 6 Colorful - Accent 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0" w:type="dxa"/>
        <w:bottom w:w="0" w:type="dxa"/>
        <w:right w:w="0"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92">
    <w:name w:val="Grid Table 6 Colorful - Accent 5"/>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top w:w="0" w:type="dxa"/>
        <w:left w:w="0" w:type="dxa"/>
        <w:bottom w:w="0" w:type="dxa"/>
        <w:right w:w="0" w:type="dxa"/>
      </w:tblCellMar>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93">
    <w:name w:val="Grid Table 6 Colorful - Accent 6"/>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0" w:type="dxa"/>
        <w:bottom w:w="0" w:type="dxa"/>
        <w:right w:w="0" w:type="dxa"/>
      </w:tblCellMar>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94">
    <w:name w:val="Grid Table 7 Colorful - Accent 1"/>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0" w:type="dxa"/>
        <w:bottom w:w="0" w:type="dxa"/>
        <w:right w:w="0" w:type="dxa"/>
      </w:tblCellMar>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95">
    <w:name w:val="Grid Table 7 Colorful - Accent 2"/>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0" w:type="dxa"/>
        <w:bottom w:w="0" w:type="dxa"/>
        <w:right w:w="0"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96">
    <w:name w:val="Grid Table 7 Colorful - Accent 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0" w:type="dxa"/>
        <w:bottom w:w="0" w:type="dxa"/>
        <w:right w:w="0"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97">
    <w:name w:val="Grid Table 7 Colorful - Accent 4"/>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0" w:type="dxa"/>
        <w:bottom w:w="0" w:type="dxa"/>
        <w:right w:w="0"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98">
    <w:name w:val="Grid Table 7 Colorful - Accent 5"/>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0" w:type="dxa"/>
        <w:bottom w:w="0" w:type="dxa"/>
        <w:right w:w="0" w:type="dxa"/>
      </w:tblCellMar>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99">
    <w:name w:val="Grid Table 7 Colorful - Accent 6"/>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0" w:type="dxa"/>
        <w:bottom w:w="0" w:type="dxa"/>
        <w:right w:w="0"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0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0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0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0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0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0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06">
    <w:name w:val="List Table 2 - Accent 1"/>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07">
    <w:name w:val="List Table 2 - Accent 2"/>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08">
    <w:name w:val="List Table 2 - Accent 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09">
    <w:name w:val="List Table 2 - Accent 4"/>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10">
    <w:name w:val="List Table 2 - Accent 5"/>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11">
    <w:name w:val="List Table 2 - Accent 6"/>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12">
    <w:name w:val="List Table 3 - Accent 1"/>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13">
    <w:name w:val="List Table 3 - Accent 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14">
    <w:name w:val="List Table 3 - Accent 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15">
    <w:name w:val="List Table 3 - Accent 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16">
    <w:name w:val="List Table 3 - Accent 5"/>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17">
    <w:name w:val="List Table 3 - Accent 6"/>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18">
    <w:name w:val="List Table 4 - Accent 1"/>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19">
    <w:name w:val="List Table 4 - Accent 2"/>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0">
    <w:name w:val="List Table 4 - Accent 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1">
    <w:name w:val="List Table 4 - Accent 4"/>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2">
    <w:name w:val="List Table 4 - Accent 5"/>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23">
    <w:name w:val="List Table 4 - Accent 6"/>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4">
    <w:name w:val="List Table 5 Dark - Accent 1"/>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25">
    <w:name w:val="List Table 5 Dark - Accent 2"/>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26">
    <w:name w:val="List Table 5 Dark - Accent 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27">
    <w:name w:val="List Table 5 Dark - Accent 4"/>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28">
    <w:name w:val="List Table 5 Dark - Accent 5"/>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29">
    <w:name w:val="List Table 5 Dark - Accent 6"/>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30">
    <w:name w:val="List Table 6 Colorful - Accent 1"/>
    <w:qFormat/>
    <w:uiPriority w:val="99"/>
    <w:tblPr>
      <w:tblBorders>
        <w:top w:val="single" w:color="4472C4" w:themeColor="accent1" w:sz="4" w:space="0"/>
        <w:bottom w:val="single" w:color="4472C4" w:themeColor="accent1" w:sz="4" w:space="0"/>
      </w:tblBorders>
      <w:tblCellMar>
        <w:top w:w="0" w:type="dxa"/>
        <w:left w:w="0" w:type="dxa"/>
        <w:bottom w:w="0" w:type="dxa"/>
        <w:right w:w="0" w:type="dxa"/>
      </w:tblCellMar>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31">
    <w:name w:val="List Table 6 Colorful - Accent 2"/>
    <w:qFormat/>
    <w:uiPriority w:val="99"/>
    <w:tblPr>
      <w:tblBorders>
        <w:top w:val="single" w:color="F4B285" w:themeColor="accent2" w:themeTint="97" w:sz="4" w:space="0"/>
        <w:bottom w:val="single" w:color="F4B285" w:themeColor="accent2" w:themeTint="97" w:sz="4" w:space="0"/>
      </w:tblBorders>
      <w:tblCellMar>
        <w:top w:w="0" w:type="dxa"/>
        <w:left w:w="0" w:type="dxa"/>
        <w:bottom w:w="0" w:type="dxa"/>
        <w:right w:w="0"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2">
    <w:name w:val="List Table 6 Colorful - Accent 3"/>
    <w:qFormat/>
    <w:uiPriority w:val="99"/>
    <w:tblPr>
      <w:tblBorders>
        <w:top w:val="single" w:color="C9C9C9" w:themeColor="accent3" w:themeTint="98" w:sz="4" w:space="0"/>
        <w:bottom w:val="single" w:color="C9C9C9" w:themeColor="accent3" w:themeTint="98" w:sz="4" w:space="0"/>
      </w:tblBorders>
      <w:tblCellMar>
        <w:top w:w="0" w:type="dxa"/>
        <w:left w:w="0" w:type="dxa"/>
        <w:bottom w:w="0" w:type="dxa"/>
        <w:right w:w="0"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33">
    <w:name w:val="List Table 6 Colorful - Accent 4"/>
    <w:qFormat/>
    <w:uiPriority w:val="99"/>
    <w:tblPr>
      <w:tblBorders>
        <w:top w:val="single" w:color="FFD864" w:themeColor="accent4" w:themeTint="9A" w:sz="4" w:space="0"/>
        <w:bottom w:val="single" w:color="FFD864" w:themeColor="accent4" w:themeTint="9A" w:sz="4" w:space="0"/>
      </w:tblBorders>
      <w:tblCellMar>
        <w:top w:w="0" w:type="dxa"/>
        <w:left w:w="0" w:type="dxa"/>
        <w:bottom w:w="0" w:type="dxa"/>
        <w:right w:w="0"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4">
    <w:name w:val="List Table 6 Colorful - Accent 5"/>
    <w:qFormat/>
    <w:uiPriority w:val="99"/>
    <w:tblPr>
      <w:tblBorders>
        <w:top w:val="single" w:color="9BC2E5" w:themeColor="accent5" w:themeTint="9A" w:sz="4" w:space="0"/>
        <w:bottom w:val="single" w:color="9BC2E5" w:themeColor="accent5" w:themeTint="9A" w:sz="4" w:space="0"/>
      </w:tblBorders>
      <w:tblCellMar>
        <w:top w:w="0" w:type="dxa"/>
        <w:left w:w="0" w:type="dxa"/>
        <w:bottom w:w="0" w:type="dxa"/>
        <w:right w:w="0" w:type="dxa"/>
      </w:tblCellMar>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35">
    <w:name w:val="List Table 6 Colorful - Accent 6"/>
    <w:qFormat/>
    <w:uiPriority w:val="99"/>
    <w:tblPr>
      <w:tblBorders>
        <w:top w:val="single" w:color="A9D08E" w:themeColor="accent6" w:themeTint="98" w:sz="4" w:space="0"/>
        <w:bottom w:val="single" w:color="A9D08E" w:themeColor="accent6" w:themeTint="98" w:sz="4" w:space="0"/>
      </w:tblBorders>
      <w:tblCellMar>
        <w:top w:w="0" w:type="dxa"/>
        <w:left w:w="0" w:type="dxa"/>
        <w:bottom w:w="0" w:type="dxa"/>
        <w:right w:w="0"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36">
    <w:name w:val="List Table 7 Colorful - Accent 1"/>
    <w:qFormat/>
    <w:uiPriority w:val="99"/>
    <w:tblPr>
      <w:tblBorders>
        <w:right w:val="single" w:color="4472C4" w:themeColor="accent1" w:sz="4" w:space="0"/>
      </w:tblBorders>
      <w:tblCellMar>
        <w:top w:w="0" w:type="dxa"/>
        <w:left w:w="0" w:type="dxa"/>
        <w:bottom w:w="0" w:type="dxa"/>
        <w:right w:w="0" w:type="dxa"/>
      </w:tblCellMar>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37">
    <w:name w:val="List Table 7 Colorful - Accent 2"/>
    <w:qFormat/>
    <w:uiPriority w:val="99"/>
    <w:tblPr>
      <w:tblBorders>
        <w:right w:val="single" w:color="F4B285" w:themeColor="accent2" w:themeTint="97" w:sz="4" w:space="0"/>
      </w:tblBorders>
      <w:tblCellMar>
        <w:top w:w="0" w:type="dxa"/>
        <w:left w:w="0" w:type="dxa"/>
        <w:bottom w:w="0" w:type="dxa"/>
        <w:right w:w="0"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8">
    <w:name w:val="List Table 7 Colorful - Accent 3"/>
    <w:qFormat/>
    <w:uiPriority w:val="99"/>
    <w:tblPr>
      <w:tblBorders>
        <w:right w:val="single" w:color="C9C9C9" w:themeColor="accent3" w:themeTint="98" w:sz="4" w:space="0"/>
      </w:tblBorders>
      <w:tblCellMar>
        <w:top w:w="0" w:type="dxa"/>
        <w:left w:w="0" w:type="dxa"/>
        <w:bottom w:w="0" w:type="dxa"/>
        <w:right w:w="0"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39">
    <w:name w:val="List Table 7 Colorful - Accent 4"/>
    <w:qFormat/>
    <w:uiPriority w:val="99"/>
    <w:tblPr>
      <w:tblBorders>
        <w:right w:val="single" w:color="FFD864" w:themeColor="accent4" w:themeTint="9A" w:sz="4" w:space="0"/>
      </w:tblBorders>
      <w:tblCellMar>
        <w:top w:w="0" w:type="dxa"/>
        <w:left w:w="0" w:type="dxa"/>
        <w:bottom w:w="0" w:type="dxa"/>
        <w:right w:w="0"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0">
    <w:name w:val="List Table 7 Colorful - Accent 5"/>
    <w:qFormat/>
    <w:uiPriority w:val="99"/>
    <w:tblPr>
      <w:tblBorders>
        <w:right w:val="single" w:color="9BC2E5" w:themeColor="accent5" w:themeTint="9A" w:sz="4" w:space="0"/>
      </w:tblBorders>
      <w:tblCellMar>
        <w:top w:w="0" w:type="dxa"/>
        <w:left w:w="0" w:type="dxa"/>
        <w:bottom w:w="0" w:type="dxa"/>
        <w:right w:w="0" w:type="dxa"/>
      </w:tblCellMar>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41">
    <w:name w:val="List Table 7 Colorful - Accent 6"/>
    <w:qFormat/>
    <w:uiPriority w:val="99"/>
    <w:tblPr>
      <w:tblBorders>
        <w:right w:val="single" w:color="A9D08E" w:themeColor="accent6" w:themeTint="98" w:sz="4" w:space="0"/>
      </w:tblBorders>
      <w:tblCellMar>
        <w:top w:w="0" w:type="dxa"/>
        <w:left w:w="0" w:type="dxa"/>
        <w:bottom w:w="0" w:type="dxa"/>
        <w:right w:w="0"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4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4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4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4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4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4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4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4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0">
    <w:name w:val="Bordered &amp; Lined - Accent 1"/>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51">
    <w:name w:val="Bordered &amp; Lined - Accent 2"/>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52">
    <w:name w:val="Bordered &amp; Lined - Accent 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53">
    <w:name w:val="Bordered &amp; Lined - Accent 4"/>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54">
    <w:name w:val="Bordered &amp; Lined - Accent 5"/>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55">
    <w:name w:val="Bordered &amp; Lined - Accent 6"/>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5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57">
    <w:name w:val="Bordered - Accent 1"/>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58">
    <w:name w:val="Bordered - Accent 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59">
    <w:name w:val="Bordered - Accent 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60">
    <w:name w:val="Bordered - Accent 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61">
    <w:name w:val="Bordered - Accent 5"/>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62">
    <w:name w:val="Bordered - Accent 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styleId="163">
    <w:name w:val="Hyperlink"/>
    <w:unhideWhenUsed/>
    <w:qFormat/>
    <w:uiPriority w:val="99"/>
    <w:rPr>
      <w:color w:val="0563C1" w:themeColor="hyperlink"/>
      <w:u w:val="single"/>
      <w14:textFill>
        <w14:solidFill>
          <w14:schemeClr w14:val="hlink"/>
        </w14:solidFill>
      </w14:textFill>
    </w:rPr>
  </w:style>
  <w:style w:type="paragraph" w:styleId="164">
    <w:name w:val="footnote text"/>
    <w:link w:val="165"/>
    <w:semiHidden/>
    <w:unhideWhenUsed/>
    <w:qFormat/>
    <w:uiPriority w:val="99"/>
    <w:pPr>
      <w:spacing w:after="40"/>
    </w:pPr>
    <w:rPr>
      <w:rFonts w:asciiTheme="minorHAnsi" w:hAnsiTheme="minorHAnsi" w:eastAsiaTheme="minorEastAsia" w:cstheme="minorBidi"/>
      <w:sz w:val="18"/>
      <w:lang w:val="en-US" w:eastAsia="zh-CN" w:bidi="ar-SA"/>
    </w:rPr>
  </w:style>
  <w:style w:type="character" w:customStyle="1" w:styleId="165">
    <w:name w:val="脚注文本 字符"/>
    <w:link w:val="164"/>
    <w:qFormat/>
    <w:uiPriority w:val="99"/>
    <w:rPr>
      <w:sz w:val="18"/>
    </w:rPr>
  </w:style>
  <w:style w:type="character" w:styleId="166">
    <w:name w:val="footnote reference"/>
    <w:basedOn w:val="11"/>
    <w:unhideWhenUsed/>
    <w:qFormat/>
    <w:uiPriority w:val="99"/>
    <w:rPr>
      <w:vertAlign w:val="superscript"/>
    </w:rPr>
  </w:style>
  <w:style w:type="paragraph" w:styleId="167">
    <w:name w:val="endnote text"/>
    <w:link w:val="168"/>
    <w:semiHidden/>
    <w:unhideWhenUsed/>
    <w:qFormat/>
    <w:uiPriority w:val="99"/>
    <w:rPr>
      <w:rFonts w:asciiTheme="minorHAnsi" w:hAnsiTheme="minorHAnsi" w:eastAsiaTheme="minorEastAsia" w:cstheme="minorBidi"/>
      <w:lang w:val="en-US" w:eastAsia="zh-CN" w:bidi="ar-SA"/>
    </w:rPr>
  </w:style>
  <w:style w:type="character" w:customStyle="1" w:styleId="168">
    <w:name w:val="尾注文本 字符"/>
    <w:link w:val="167"/>
    <w:qFormat/>
    <w:uiPriority w:val="99"/>
    <w:rPr>
      <w:sz w:val="20"/>
    </w:rPr>
  </w:style>
  <w:style w:type="character" w:styleId="169">
    <w:name w:val="endnote reference"/>
    <w:basedOn w:val="11"/>
    <w:semiHidden/>
    <w:unhideWhenUsed/>
    <w:qFormat/>
    <w:uiPriority w:val="99"/>
    <w:rPr>
      <w:vertAlign w:val="superscript"/>
    </w:rPr>
  </w:style>
  <w:style w:type="paragraph" w:styleId="170">
    <w:name w:val="toc 1"/>
    <w:unhideWhenUsed/>
    <w:qFormat/>
    <w:uiPriority w:val="39"/>
    <w:pPr>
      <w:spacing w:after="57"/>
    </w:pPr>
    <w:rPr>
      <w:rFonts w:asciiTheme="minorHAnsi" w:hAnsiTheme="minorHAnsi" w:eastAsiaTheme="minorEastAsia" w:cstheme="minorBidi"/>
      <w:lang w:val="en-US" w:eastAsia="zh-CN" w:bidi="ar-SA"/>
    </w:rPr>
  </w:style>
  <w:style w:type="paragraph" w:styleId="171">
    <w:name w:val="toc 2"/>
    <w:unhideWhenUsed/>
    <w:qFormat/>
    <w:uiPriority w:val="39"/>
    <w:pPr>
      <w:spacing w:after="57"/>
      <w:ind w:left="283"/>
    </w:pPr>
    <w:rPr>
      <w:rFonts w:asciiTheme="minorHAnsi" w:hAnsiTheme="minorHAnsi" w:eastAsiaTheme="minorEastAsia" w:cstheme="minorBidi"/>
      <w:lang w:val="en-US" w:eastAsia="zh-CN" w:bidi="ar-SA"/>
    </w:rPr>
  </w:style>
  <w:style w:type="paragraph" w:styleId="172">
    <w:name w:val="toc 3"/>
    <w:unhideWhenUsed/>
    <w:qFormat/>
    <w:uiPriority w:val="39"/>
    <w:pPr>
      <w:spacing w:after="57"/>
      <w:ind w:left="567"/>
    </w:pPr>
    <w:rPr>
      <w:rFonts w:asciiTheme="minorHAnsi" w:hAnsiTheme="minorHAnsi" w:eastAsiaTheme="minorEastAsia" w:cstheme="minorBidi"/>
      <w:lang w:val="en-US" w:eastAsia="zh-CN" w:bidi="ar-SA"/>
    </w:rPr>
  </w:style>
  <w:style w:type="paragraph" w:styleId="173">
    <w:name w:val="toc 4"/>
    <w:unhideWhenUsed/>
    <w:qFormat/>
    <w:uiPriority w:val="39"/>
    <w:pPr>
      <w:spacing w:after="57"/>
      <w:ind w:left="850"/>
    </w:pPr>
    <w:rPr>
      <w:rFonts w:asciiTheme="minorHAnsi" w:hAnsiTheme="minorHAnsi" w:eastAsiaTheme="minorEastAsia" w:cstheme="minorBidi"/>
      <w:lang w:val="en-US" w:eastAsia="zh-CN" w:bidi="ar-SA"/>
    </w:rPr>
  </w:style>
  <w:style w:type="paragraph" w:styleId="174">
    <w:name w:val="toc 5"/>
    <w:unhideWhenUsed/>
    <w:qFormat/>
    <w:uiPriority w:val="39"/>
    <w:pPr>
      <w:spacing w:after="57"/>
      <w:ind w:left="1134"/>
    </w:pPr>
    <w:rPr>
      <w:rFonts w:asciiTheme="minorHAnsi" w:hAnsiTheme="minorHAnsi" w:eastAsiaTheme="minorEastAsia" w:cstheme="minorBidi"/>
      <w:lang w:val="en-US" w:eastAsia="zh-CN" w:bidi="ar-SA"/>
    </w:rPr>
  </w:style>
  <w:style w:type="paragraph" w:styleId="175">
    <w:name w:val="toc 6"/>
    <w:unhideWhenUsed/>
    <w:qFormat/>
    <w:uiPriority w:val="39"/>
    <w:pPr>
      <w:spacing w:after="57"/>
      <w:ind w:left="1417"/>
    </w:pPr>
    <w:rPr>
      <w:rFonts w:asciiTheme="minorHAnsi" w:hAnsiTheme="minorHAnsi" w:eastAsiaTheme="minorEastAsia" w:cstheme="minorBidi"/>
      <w:lang w:val="en-US" w:eastAsia="zh-CN" w:bidi="ar-SA"/>
    </w:rPr>
  </w:style>
  <w:style w:type="paragraph" w:styleId="176">
    <w:name w:val="toc 7"/>
    <w:unhideWhenUsed/>
    <w:qFormat/>
    <w:uiPriority w:val="39"/>
    <w:pPr>
      <w:spacing w:after="57"/>
      <w:ind w:left="1701"/>
    </w:pPr>
    <w:rPr>
      <w:rFonts w:asciiTheme="minorHAnsi" w:hAnsiTheme="minorHAnsi" w:eastAsiaTheme="minorEastAsia" w:cstheme="minorBidi"/>
      <w:lang w:val="en-US" w:eastAsia="zh-CN" w:bidi="ar-SA"/>
    </w:rPr>
  </w:style>
  <w:style w:type="paragraph" w:styleId="177">
    <w:name w:val="toc 8"/>
    <w:unhideWhenUsed/>
    <w:qFormat/>
    <w:uiPriority w:val="39"/>
    <w:pPr>
      <w:spacing w:after="57"/>
      <w:ind w:left="1984"/>
    </w:pPr>
    <w:rPr>
      <w:rFonts w:asciiTheme="minorHAnsi" w:hAnsiTheme="minorHAnsi" w:eastAsiaTheme="minorEastAsia" w:cstheme="minorBidi"/>
      <w:lang w:val="en-US" w:eastAsia="zh-CN" w:bidi="ar-SA"/>
    </w:rPr>
  </w:style>
  <w:style w:type="paragraph" w:styleId="178">
    <w:name w:val="toc 9"/>
    <w:unhideWhenUsed/>
    <w:qFormat/>
    <w:uiPriority w:val="39"/>
    <w:pPr>
      <w:spacing w:after="57"/>
      <w:ind w:left="2268"/>
    </w:pPr>
    <w:rPr>
      <w:rFonts w:asciiTheme="minorHAnsi" w:hAnsiTheme="minorHAnsi" w:eastAsiaTheme="minorEastAsia" w:cstheme="minorBidi"/>
      <w:lang w:val="en-US" w:eastAsia="zh-CN" w:bidi="ar-SA"/>
    </w:rPr>
  </w:style>
  <w:style w:type="paragraph" w:styleId="179">
    <w:name w:val="table of figures"/>
    <w:unhideWhenUsed/>
    <w:qFormat/>
    <w:uiPriority w:val="99"/>
    <w:rPr>
      <w:rFonts w:asciiTheme="minorHAnsi" w:hAnsiTheme="minorHAnsi" w:eastAsiaTheme="minorEastAsia" w:cstheme="minorBidi"/>
      <w:lang w:val="en-US" w:eastAsia="zh-CN" w:bidi="ar-SA"/>
    </w:rPr>
  </w:style>
  <w:style w:type="paragraph" w:customStyle="1" w:styleId="180">
    <w:name w:val="40972909C00547EF89E6E87F19707554"/>
    <w:qFormat/>
    <w:uiPriority w:val="0"/>
    <w:pPr>
      <w:widowControl w:val="0"/>
      <w:spacing w:after="160" w:line="278" w:lineRule="auto"/>
      <w:jc w:val="both"/>
    </w:pPr>
    <w:rPr>
      <w:rFonts w:asciiTheme="minorHAnsi" w:hAnsiTheme="minorHAnsi" w:eastAsiaTheme="minorEastAsia" w:cstheme="minorBidi"/>
      <w:sz w:val="21"/>
      <w:szCs w:val="22"/>
      <w:lang w:val="en-US" w:eastAsia="zh-CN" w:bidi="ar-SA"/>
    </w:rPr>
  </w:style>
  <w:style w:type="character" w:styleId="181">
    <w:name w:val="Placeholder Text"/>
    <w:basedOn w:val="11"/>
    <w:unhideWhenUsed/>
    <w:qFormat/>
    <w:uiPriority w:val="99"/>
    <w:rPr>
      <w:color w:val="808080"/>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82</Pages>
  <Words>18067</Words>
  <Characters>19483</Characters>
  <Lines>1489</Lines>
  <Paragraphs>1409</Paragraphs>
  <TotalTime>1</TotalTime>
  <ScaleCrop>false</ScaleCrop>
  <LinksUpToDate>false</LinksUpToDate>
  <CharactersWithSpaces>19546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2023-10-19T02:18:00Z</dcterms:created>
  <dc:creator>island</dc:creator>
  <cp:lastModifiedBy>Wonder</cp:lastModifiedBy>
  <dcterms:modified xsi:type="dcterms:W3CDTF">2026-08-25T15:40:55Z</dcterms:modified>
  <dc:title>第五章 单一来源操作规程</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F068CBAAC816A8E8F72D7B6AB4010329_43</vt:lpwstr>
  </property>
  <property fmtid="{D5CDD505-2E9C-101B-9397-08002B2CF9AE}" pid="4" name="KSOTemplateDocerSaveRecord">
    <vt:lpwstr>eyJoZGlkIjoiMWYxYmUwODIzYzk0M2QzOTM3M2I1MzA0NjYxZWNjMTciLCJ1c2VySWQiOiI3MDY5OTM5NjQifQ==</vt:lpwstr>
  </property>
</Properties>
</file>