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FDB10">
      <w:pPr>
        <w:adjustRightInd w:val="0"/>
        <w:spacing w:before="120" w:after="120" w:line="360" w:lineRule="auto"/>
        <w:jc w:val="center"/>
        <w:textAlignment w:val="baseline"/>
        <w:rPr>
          <w:rFonts w:hint="eastAsia" w:ascii="宋体" w:hAnsi="宋体" w:eastAsia="宋体" w:cs="宋体"/>
          <w:b/>
          <w:bCs/>
          <w:color w:val="auto"/>
          <w:kern w:val="0"/>
          <w:sz w:val="84"/>
          <w:szCs w:val="24"/>
          <w:highlight w:val="none"/>
          <w:lang w:val="en-US" w:eastAsia="zh-CN"/>
        </w:rPr>
      </w:pPr>
      <w:bookmarkStart w:id="0" w:name="_Toc120614210"/>
      <w:bookmarkStart w:id="1" w:name="_Toc20823272"/>
      <w:bookmarkStart w:id="2" w:name="_Toc513029200"/>
      <w:bookmarkStart w:id="3" w:name="_Toc16938516"/>
      <w:bookmarkStart w:id="4" w:name="_Toc523127445"/>
      <w:bookmarkStart w:id="5" w:name="_Toc479757206"/>
    </w:p>
    <w:p w14:paraId="437921D6">
      <w:pPr>
        <w:adjustRightInd w:val="0"/>
        <w:spacing w:before="120" w:after="120" w:line="360" w:lineRule="auto"/>
        <w:jc w:val="center"/>
        <w:textAlignment w:val="baseline"/>
        <w:rPr>
          <w:rFonts w:hint="eastAsia" w:ascii="宋体" w:hAnsi="宋体" w:eastAsia="宋体" w:cs="宋体"/>
          <w:b/>
          <w:bCs/>
          <w:color w:val="auto"/>
          <w:kern w:val="0"/>
          <w:sz w:val="84"/>
          <w:szCs w:val="24"/>
          <w:highlight w:val="none"/>
        </w:rPr>
      </w:pPr>
      <w:r>
        <w:rPr>
          <w:rFonts w:hint="eastAsia" w:ascii="宋体" w:hAnsi="宋体" w:eastAsia="宋体" w:cs="宋体"/>
          <w:b/>
          <w:bCs/>
          <w:color w:val="auto"/>
          <w:kern w:val="0"/>
          <w:sz w:val="84"/>
          <w:szCs w:val="24"/>
          <w:highlight w:val="none"/>
          <w:lang w:val="en-US" w:eastAsia="zh-CN"/>
        </w:rPr>
        <w:t>招  标</w:t>
      </w:r>
      <w:r>
        <w:rPr>
          <w:rFonts w:hint="eastAsia" w:ascii="宋体" w:hAnsi="宋体" w:eastAsia="宋体" w:cs="宋体"/>
          <w:b/>
          <w:bCs/>
          <w:color w:val="auto"/>
          <w:kern w:val="0"/>
          <w:sz w:val="84"/>
          <w:szCs w:val="24"/>
          <w:highlight w:val="none"/>
        </w:rPr>
        <w:t>　文　件</w:t>
      </w:r>
    </w:p>
    <w:p w14:paraId="3252E869">
      <w:pPr>
        <w:adjustRightInd w:val="0"/>
        <w:spacing w:before="120" w:after="120" w:line="360" w:lineRule="auto"/>
        <w:ind w:firstLine="643" w:firstLineChars="200"/>
        <w:textAlignment w:val="baseline"/>
        <w:rPr>
          <w:rFonts w:hint="eastAsia" w:ascii="宋体" w:hAnsi="宋体" w:eastAsia="宋体" w:cs="宋体"/>
          <w:b/>
          <w:bCs/>
          <w:color w:val="auto"/>
          <w:kern w:val="0"/>
          <w:sz w:val="32"/>
          <w:szCs w:val="24"/>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2"/>
        <w:gridCol w:w="6526"/>
      </w:tblGrid>
      <w:tr w14:paraId="4C70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Borders>
              <w:top w:val="nil"/>
              <w:left w:val="nil"/>
              <w:bottom w:val="nil"/>
              <w:right w:val="nil"/>
            </w:tcBorders>
            <w:noWrap w:val="0"/>
            <w:vAlign w:val="center"/>
          </w:tcPr>
          <w:p w14:paraId="5995BDE2">
            <w:pPr>
              <w:keepNext w:val="0"/>
              <w:keepLines w:val="0"/>
              <w:pageBreakBefore w:val="0"/>
              <w:widowControl w:val="0"/>
              <w:kinsoku/>
              <w:wordWrap/>
              <w:overflowPunct/>
              <w:topLinePunct w:val="0"/>
              <w:autoSpaceDE/>
              <w:autoSpaceDN/>
              <w:bidi w:val="0"/>
              <w:adjustRightInd w:val="0"/>
              <w:snapToGrid w:val="0"/>
              <w:spacing w:line="360" w:lineRule="auto"/>
              <w:jc w:val="right"/>
              <w:textAlignment w:val="baseline"/>
              <w:rPr>
                <w:rFonts w:hint="eastAsia" w:ascii="宋体" w:hAnsi="宋体" w:eastAsia="宋体" w:cs="宋体"/>
                <w:b/>
                <w:bCs/>
                <w:color w:val="auto"/>
                <w:kern w:val="0"/>
                <w:sz w:val="32"/>
                <w:szCs w:val="24"/>
                <w:highlight w:val="none"/>
                <w:vertAlign w:val="baseline"/>
                <w:lang w:eastAsia="zh-CN"/>
              </w:rPr>
            </w:pPr>
            <w:r>
              <w:rPr>
                <w:rFonts w:hint="eastAsia" w:ascii="宋体" w:hAnsi="宋体" w:eastAsia="宋体" w:cs="宋体"/>
                <w:b/>
                <w:bCs/>
                <w:color w:val="auto"/>
                <w:kern w:val="0"/>
                <w:sz w:val="32"/>
                <w:szCs w:val="24"/>
                <w:highlight w:val="none"/>
              </w:rPr>
              <w:t>项目名称：</w:t>
            </w:r>
          </w:p>
        </w:tc>
        <w:tc>
          <w:tcPr>
            <w:tcW w:w="6526" w:type="dxa"/>
            <w:tcBorders>
              <w:top w:val="nil"/>
              <w:left w:val="nil"/>
              <w:bottom w:val="nil"/>
              <w:right w:val="nil"/>
            </w:tcBorders>
            <w:noWrap w:val="0"/>
            <w:vAlign w:val="center"/>
          </w:tcPr>
          <w:p w14:paraId="3D284A38">
            <w:pPr>
              <w:adjustRightInd w:val="0"/>
              <w:spacing w:before="120" w:after="120" w:line="360" w:lineRule="auto"/>
              <w:jc w:val="both"/>
              <w:textAlignment w:val="baseline"/>
              <w:rPr>
                <w:rFonts w:hint="eastAsia" w:ascii="宋体" w:hAnsi="宋体" w:eastAsia="宋体" w:cs="宋体"/>
                <w:b/>
                <w:bCs/>
                <w:color w:val="auto"/>
                <w:kern w:val="0"/>
                <w:sz w:val="32"/>
                <w:szCs w:val="24"/>
                <w:highlight w:val="none"/>
                <w:u w:val="single"/>
                <w:vertAlign w:val="baseline"/>
                <w:lang w:eastAsia="zh-CN"/>
              </w:rPr>
            </w:pPr>
            <w:r>
              <w:rPr>
                <w:rFonts w:hint="eastAsia" w:ascii="宋体" w:hAnsi="宋体" w:eastAsia="宋体" w:cs="宋体"/>
                <w:b/>
                <w:bCs/>
                <w:color w:val="auto"/>
                <w:kern w:val="0"/>
                <w:sz w:val="32"/>
                <w:szCs w:val="24"/>
                <w:highlight w:val="none"/>
                <w:u w:val="single"/>
                <w:lang w:eastAsia="zh-CN"/>
              </w:rPr>
              <w:t>新坝镇农村自来水提质升级工程-东片区水表采购项目（专门面向中小企业）</w:t>
            </w:r>
          </w:p>
        </w:tc>
      </w:tr>
      <w:tr w14:paraId="0EE1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Borders>
              <w:top w:val="nil"/>
              <w:left w:val="nil"/>
              <w:bottom w:val="nil"/>
              <w:right w:val="nil"/>
            </w:tcBorders>
            <w:noWrap w:val="0"/>
            <w:vAlign w:val="center"/>
          </w:tcPr>
          <w:p w14:paraId="390478F5">
            <w:pPr>
              <w:keepNext w:val="0"/>
              <w:keepLines w:val="0"/>
              <w:pageBreakBefore w:val="0"/>
              <w:widowControl w:val="0"/>
              <w:kinsoku/>
              <w:wordWrap/>
              <w:overflowPunct/>
              <w:topLinePunct w:val="0"/>
              <w:autoSpaceDE/>
              <w:autoSpaceDN/>
              <w:bidi w:val="0"/>
              <w:adjustRightInd w:val="0"/>
              <w:snapToGrid w:val="0"/>
              <w:spacing w:line="360" w:lineRule="auto"/>
              <w:jc w:val="right"/>
              <w:textAlignment w:val="baseline"/>
              <w:rPr>
                <w:rFonts w:hint="eastAsia" w:ascii="宋体" w:hAnsi="宋体" w:eastAsia="宋体" w:cs="宋体"/>
                <w:b/>
                <w:bCs/>
                <w:color w:val="auto"/>
                <w:kern w:val="0"/>
                <w:sz w:val="32"/>
                <w:szCs w:val="24"/>
                <w:highlight w:val="none"/>
                <w:vertAlign w:val="baseline"/>
                <w:lang w:eastAsia="zh-CN"/>
              </w:rPr>
            </w:pPr>
            <w:r>
              <w:rPr>
                <w:rFonts w:hint="eastAsia" w:ascii="宋体" w:hAnsi="宋体" w:eastAsia="宋体" w:cs="宋体"/>
                <w:b/>
                <w:bCs/>
                <w:color w:val="auto"/>
                <w:kern w:val="0"/>
                <w:sz w:val="32"/>
                <w:szCs w:val="24"/>
                <w:highlight w:val="none"/>
              </w:rPr>
              <w:t>项目编号：</w:t>
            </w:r>
          </w:p>
        </w:tc>
        <w:tc>
          <w:tcPr>
            <w:tcW w:w="6526" w:type="dxa"/>
            <w:tcBorders>
              <w:top w:val="nil"/>
              <w:left w:val="nil"/>
              <w:bottom w:val="nil"/>
              <w:right w:val="nil"/>
            </w:tcBorders>
            <w:noWrap w:val="0"/>
            <w:vAlign w:val="center"/>
          </w:tcPr>
          <w:p w14:paraId="2CEAF5C6">
            <w:pPr>
              <w:adjustRightInd w:val="0"/>
              <w:spacing w:before="120" w:after="120" w:line="360" w:lineRule="auto"/>
              <w:textAlignment w:val="baseline"/>
              <w:rPr>
                <w:rFonts w:hint="eastAsia" w:ascii="宋体" w:hAnsi="宋体" w:eastAsia="宋体" w:cs="宋体"/>
                <w:b/>
                <w:bCs/>
                <w:color w:val="auto"/>
                <w:kern w:val="0"/>
                <w:sz w:val="32"/>
                <w:szCs w:val="24"/>
                <w:highlight w:val="none"/>
                <w:u w:val="single"/>
                <w:vertAlign w:val="baseline"/>
                <w:lang w:eastAsia="zh-CN"/>
              </w:rPr>
            </w:pPr>
            <w:r>
              <w:rPr>
                <w:rFonts w:hint="eastAsia" w:ascii="宋体" w:hAnsi="宋体" w:eastAsia="宋体" w:cs="宋体"/>
                <w:b/>
                <w:bCs/>
                <w:color w:val="auto"/>
                <w:kern w:val="0"/>
                <w:sz w:val="32"/>
                <w:szCs w:val="24"/>
                <w:highlight w:val="none"/>
                <w:u w:val="single"/>
                <w:vertAlign w:val="baseline"/>
                <w:lang w:eastAsia="zh-CN"/>
              </w:rPr>
              <w:t>JSZC-320706-AJSL-G2026-000</w:t>
            </w:r>
            <w:r>
              <w:rPr>
                <w:rFonts w:hint="eastAsia" w:ascii="宋体" w:hAnsi="宋体" w:cs="宋体"/>
                <w:b/>
                <w:bCs/>
                <w:color w:val="auto"/>
                <w:kern w:val="0"/>
                <w:sz w:val="32"/>
                <w:szCs w:val="24"/>
                <w:highlight w:val="none"/>
                <w:u w:val="single"/>
                <w:vertAlign w:val="baseline"/>
                <w:lang w:val="en-US" w:eastAsia="zh-CN"/>
              </w:rPr>
              <w:t>3</w:t>
            </w:r>
          </w:p>
        </w:tc>
      </w:tr>
    </w:tbl>
    <w:p w14:paraId="5F55DCDE">
      <w:pPr>
        <w:adjustRightInd w:val="0"/>
        <w:spacing w:before="120" w:after="120" w:line="360" w:lineRule="auto"/>
        <w:ind w:firstLine="643" w:firstLineChars="200"/>
        <w:textAlignment w:val="baseline"/>
        <w:rPr>
          <w:rFonts w:hint="eastAsia" w:ascii="宋体" w:hAnsi="宋体" w:eastAsia="宋体" w:cs="宋体"/>
          <w:b/>
          <w:bCs/>
          <w:color w:val="auto"/>
          <w:kern w:val="0"/>
          <w:sz w:val="32"/>
          <w:szCs w:val="24"/>
          <w:highlight w:val="none"/>
          <w:lang w:eastAsia="zh-CN"/>
        </w:rPr>
      </w:pPr>
    </w:p>
    <w:p w14:paraId="437C798A">
      <w:pPr>
        <w:ind w:left="2800" w:hanging="2800" w:hangingChars="1000"/>
        <w:rPr>
          <w:rFonts w:hint="eastAsia" w:ascii="宋体" w:hAnsi="宋体" w:eastAsia="宋体" w:cs="宋体"/>
          <w:b/>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p>
    <w:p w14:paraId="512B7BC3">
      <w:pPr>
        <w:rPr>
          <w:rFonts w:hint="eastAsia" w:ascii="宋体" w:hAnsi="宋体" w:eastAsia="宋体" w:cs="宋体"/>
          <w:b/>
          <w:color w:val="auto"/>
          <w:sz w:val="24"/>
          <w:szCs w:val="24"/>
          <w:highlight w:val="none"/>
        </w:rPr>
      </w:pPr>
    </w:p>
    <w:p w14:paraId="72C36809">
      <w:pPr>
        <w:adjustRightInd w:val="0"/>
        <w:spacing w:line="360" w:lineRule="auto"/>
        <w:jc w:val="left"/>
        <w:textAlignment w:val="baseline"/>
        <w:rPr>
          <w:rFonts w:hint="eastAsia" w:ascii="宋体" w:hAnsi="宋体" w:eastAsia="宋体" w:cs="宋体"/>
          <w:color w:val="auto"/>
          <w:kern w:val="0"/>
          <w:sz w:val="24"/>
          <w:szCs w:val="24"/>
          <w:highlight w:val="none"/>
        </w:rPr>
      </w:pPr>
    </w:p>
    <w:p w14:paraId="073D56C5">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p>
    <w:p w14:paraId="4D2281B7">
      <w:pPr>
        <w:spacing w:line="360" w:lineRule="auto"/>
        <w:rPr>
          <w:rFonts w:hint="eastAsia" w:ascii="宋体" w:hAnsi="宋体" w:eastAsia="宋体" w:cs="宋体"/>
          <w:color w:val="auto"/>
          <w:szCs w:val="24"/>
          <w:highlight w:val="none"/>
        </w:rPr>
      </w:pPr>
    </w:p>
    <w:p w14:paraId="582A0694">
      <w:pPr>
        <w:spacing w:line="360" w:lineRule="auto"/>
        <w:rPr>
          <w:rFonts w:hint="eastAsia" w:ascii="宋体" w:hAnsi="宋体" w:eastAsia="宋体" w:cs="宋体"/>
          <w:color w:val="auto"/>
          <w:szCs w:val="24"/>
          <w:highlight w:val="none"/>
        </w:rPr>
      </w:pPr>
    </w:p>
    <w:tbl>
      <w:tblPr>
        <w:tblStyle w:val="36"/>
        <w:tblW w:w="855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88"/>
        <w:gridCol w:w="5971"/>
      </w:tblGrid>
      <w:tr w14:paraId="569ABD71">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2588" w:type="dxa"/>
            <w:noWrap w:val="0"/>
            <w:vAlign w:val="center"/>
          </w:tcPr>
          <w:p w14:paraId="4FE289DA">
            <w:pPr>
              <w:keepNext w:val="0"/>
              <w:keepLines w:val="0"/>
              <w:pageBreakBefore w:val="0"/>
              <w:widowControl w:val="0"/>
              <w:kinsoku/>
              <w:wordWrap w:val="0"/>
              <w:overflowPunct/>
              <w:topLinePunct w:val="0"/>
              <w:autoSpaceDE/>
              <w:autoSpaceDN/>
              <w:bidi w:val="0"/>
              <w:adjustRightInd w:val="0"/>
              <w:snapToGrid w:val="0"/>
              <w:spacing w:line="360" w:lineRule="auto"/>
              <w:jc w:val="right"/>
              <w:textAlignment w:val="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购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人：</w:t>
            </w:r>
          </w:p>
        </w:tc>
        <w:tc>
          <w:tcPr>
            <w:tcW w:w="5971" w:type="dxa"/>
            <w:noWrap w:val="0"/>
            <w:vAlign w:val="center"/>
          </w:tcPr>
          <w:p w14:paraId="073130E2">
            <w:pPr>
              <w:spacing w:line="360" w:lineRule="auto"/>
              <w:jc w:val="lef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连云港市海州区新坝镇人民政府</w:t>
            </w:r>
          </w:p>
        </w:tc>
      </w:tr>
      <w:tr w14:paraId="5D616974">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2588" w:type="dxa"/>
            <w:noWrap w:val="0"/>
            <w:vAlign w:val="center"/>
          </w:tcPr>
          <w:p w14:paraId="389D586D">
            <w:pPr>
              <w:keepNext w:val="0"/>
              <w:keepLines w:val="0"/>
              <w:pageBreakBefore w:val="0"/>
              <w:widowControl w:val="0"/>
              <w:kinsoku/>
              <w:wordWrap w:val="0"/>
              <w:overflowPunct/>
              <w:topLinePunct w:val="0"/>
              <w:autoSpaceDE/>
              <w:autoSpaceDN/>
              <w:bidi w:val="0"/>
              <w:adjustRightInd w:val="0"/>
              <w:snapToGrid w:val="0"/>
              <w:spacing w:line="360" w:lineRule="auto"/>
              <w:jc w:val="right"/>
              <w:textAlignment w:val="auto"/>
              <w:rPr>
                <w:rFonts w:hint="eastAsia" w:ascii="宋体" w:hAnsi="宋体" w:eastAsia="宋体" w:cs="宋体"/>
                <w:color w:val="auto"/>
                <w:szCs w:val="24"/>
                <w:highlight w:val="none"/>
              </w:rPr>
            </w:pPr>
            <w:r>
              <w:rPr>
                <w:rFonts w:hint="eastAsia" w:ascii="宋体" w:hAnsi="宋体" w:eastAsia="宋体" w:cs="宋体"/>
                <w:b/>
                <w:bCs/>
                <w:color w:val="auto"/>
                <w:sz w:val="32"/>
                <w:szCs w:val="24"/>
                <w:highlight w:val="none"/>
              </w:rPr>
              <w:t>采购代</w:t>
            </w:r>
            <w:r>
              <w:rPr>
                <w:rFonts w:hint="eastAsia" w:ascii="宋体" w:hAnsi="宋体" w:eastAsia="宋体" w:cs="宋体"/>
                <w:b/>
                <w:bCs/>
                <w:color w:val="auto"/>
                <w:sz w:val="32"/>
                <w:szCs w:val="24"/>
                <w:highlight w:val="none"/>
                <w:lang w:eastAsia="zh-CN"/>
              </w:rPr>
              <w:t>理机</w:t>
            </w:r>
            <w:r>
              <w:rPr>
                <w:rFonts w:hint="eastAsia" w:ascii="宋体" w:hAnsi="宋体" w:eastAsia="宋体" w:cs="宋体"/>
                <w:b/>
                <w:bCs/>
                <w:color w:val="auto"/>
                <w:sz w:val="32"/>
                <w:szCs w:val="24"/>
                <w:highlight w:val="none"/>
              </w:rPr>
              <w:t>构：</w:t>
            </w:r>
          </w:p>
        </w:tc>
        <w:tc>
          <w:tcPr>
            <w:tcW w:w="5971" w:type="dxa"/>
            <w:noWrap w:val="0"/>
            <w:vAlign w:val="center"/>
          </w:tcPr>
          <w:p w14:paraId="57E72B22">
            <w:pPr>
              <w:spacing w:line="360" w:lineRule="auto"/>
              <w:jc w:val="left"/>
              <w:rPr>
                <w:rFonts w:hint="eastAsia" w:ascii="宋体" w:hAnsi="宋体" w:eastAsia="宋体" w:cs="宋体"/>
                <w:b/>
                <w:bCs/>
                <w:color w:val="auto"/>
                <w:spacing w:val="20"/>
                <w:sz w:val="32"/>
                <w:szCs w:val="20"/>
                <w:highlight w:val="none"/>
                <w:lang w:eastAsia="zh-CN"/>
              </w:rPr>
            </w:pPr>
            <w:r>
              <w:rPr>
                <w:rFonts w:hint="eastAsia" w:ascii="宋体" w:hAnsi="宋体" w:eastAsia="宋体" w:cs="宋体"/>
                <w:b/>
                <w:bCs/>
                <w:color w:val="auto"/>
                <w:spacing w:val="20"/>
                <w:sz w:val="32"/>
                <w:szCs w:val="20"/>
                <w:highlight w:val="none"/>
                <w:lang w:eastAsia="zh-CN"/>
              </w:rPr>
              <w:t>江苏建审工程项目管理有限公司</w:t>
            </w:r>
          </w:p>
        </w:tc>
      </w:tr>
    </w:tbl>
    <w:p w14:paraId="782B1203">
      <w:pPr>
        <w:spacing w:line="360" w:lineRule="auto"/>
        <w:jc w:val="center"/>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2026年</w:t>
      </w:r>
      <w:r>
        <w:rPr>
          <w:rFonts w:hint="eastAsia" w:ascii="宋体" w:hAnsi="宋体" w:cs="宋体"/>
          <w:b/>
          <w:bCs/>
          <w:color w:val="auto"/>
          <w:sz w:val="32"/>
          <w:szCs w:val="24"/>
          <w:highlight w:val="none"/>
          <w:lang w:val="en-US" w:eastAsia="zh-CN"/>
        </w:rPr>
        <w:t>9</w:t>
      </w:r>
      <w:r>
        <w:rPr>
          <w:rFonts w:hint="eastAsia" w:ascii="宋体" w:hAnsi="宋体" w:eastAsia="宋体" w:cs="宋体"/>
          <w:b/>
          <w:bCs/>
          <w:color w:val="auto"/>
          <w:sz w:val="32"/>
          <w:szCs w:val="24"/>
          <w:highlight w:val="none"/>
        </w:rPr>
        <w:t>月</w:t>
      </w:r>
    </w:p>
    <w:p w14:paraId="2F1AF4B8">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p>
    <w:p w14:paraId="615A9F1B">
      <w:pPr>
        <w:rPr>
          <w:rFonts w:hint="eastAsia" w:ascii="宋体" w:hAnsi="宋体" w:eastAsia="宋体" w:cs="宋体"/>
          <w:color w:val="auto"/>
          <w:szCs w:val="21"/>
          <w:highlight w:val="none"/>
        </w:rPr>
      </w:pPr>
    </w:p>
    <w:p w14:paraId="0A940B4A">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"_Toc27555"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- 1 -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03E4A20">
      <w:pPr>
        <w:pStyle w:val="290"/>
        <w:tabs>
          <w:tab w:val="right" w:leader="dot" w:pos="8820"/>
        </w:tabs>
        <w:spacing w:line="360" w:lineRule="auto"/>
        <w:ind w:left="0"/>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"_Toc15404"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第二章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lang w:eastAsia="zh-CN"/>
        </w:rPr>
        <w:t>供应商</w:t>
      </w:r>
      <w:r>
        <w:rPr>
          <w:rFonts w:hint="eastAsia" w:ascii="宋体" w:hAnsi="宋体" w:eastAsia="宋体" w:cs="宋体"/>
          <w:bCs/>
          <w:color w:val="auto"/>
          <w:sz w:val="24"/>
          <w:highlight w:val="none"/>
        </w:rPr>
        <w:t>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_Toc15404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- 5 -</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59BCCDDC">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"_Toc7865"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_Toc7865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- 22 -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8C5C75A">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"_Toc15270"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第四章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- 27 -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CFE13C5">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"_Toc10199"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- 35 -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3B437B2">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"_Toc3350"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- 39 -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D2FA611">
      <w:pPr>
        <w:pStyle w:val="290"/>
        <w:tabs>
          <w:tab w:val="right" w:leader="dot" w:pos="8953"/>
        </w:tabs>
        <w:rPr>
          <w:rFonts w:hint="eastAsia" w:ascii="宋体" w:hAnsi="宋体" w:eastAsia="宋体" w:cs="宋体"/>
          <w:color w:val="auto"/>
          <w:sz w:val="24"/>
          <w:highlight w:val="none"/>
        </w:rPr>
      </w:pPr>
    </w:p>
    <w:p w14:paraId="5840100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p>
    <w:p w14:paraId="531981A5">
      <w:pPr>
        <w:rPr>
          <w:rFonts w:hint="eastAsia" w:ascii="宋体" w:hAnsi="宋体" w:eastAsia="宋体" w:cs="宋体"/>
          <w:color w:val="auto"/>
          <w:szCs w:val="21"/>
          <w:highlight w:val="none"/>
        </w:rPr>
      </w:pPr>
    </w:p>
    <w:p w14:paraId="2F54DAB3">
      <w:pPr>
        <w:rPr>
          <w:rFonts w:hint="eastAsia" w:ascii="宋体" w:hAnsi="宋体" w:eastAsia="宋体" w:cs="宋体"/>
          <w:color w:val="auto"/>
          <w:szCs w:val="21"/>
          <w:highlight w:val="none"/>
        </w:rPr>
      </w:pPr>
    </w:p>
    <w:p w14:paraId="79EF83F3">
      <w:pPr>
        <w:rPr>
          <w:rFonts w:hint="eastAsia" w:ascii="宋体" w:hAnsi="宋体" w:eastAsia="宋体" w:cs="宋体"/>
          <w:color w:val="auto"/>
          <w:szCs w:val="21"/>
          <w:highlight w:val="none"/>
        </w:rPr>
      </w:pPr>
    </w:p>
    <w:p w14:paraId="3EA14248">
      <w:pPr>
        <w:rPr>
          <w:rFonts w:hint="eastAsia" w:ascii="宋体" w:hAnsi="宋体" w:eastAsia="宋体" w:cs="宋体"/>
          <w:color w:val="auto"/>
          <w:szCs w:val="21"/>
          <w:highlight w:val="none"/>
        </w:rPr>
      </w:pPr>
    </w:p>
    <w:p w14:paraId="4A671231">
      <w:pPr>
        <w:rPr>
          <w:rFonts w:hint="eastAsia" w:ascii="宋体" w:hAnsi="宋体" w:eastAsia="宋体" w:cs="宋体"/>
          <w:color w:val="auto"/>
          <w:szCs w:val="21"/>
          <w:highlight w:val="none"/>
        </w:rPr>
      </w:pPr>
    </w:p>
    <w:p w14:paraId="1BA15718">
      <w:pPr>
        <w:rPr>
          <w:rFonts w:hint="eastAsia" w:ascii="宋体" w:hAnsi="宋体" w:eastAsia="宋体" w:cs="宋体"/>
          <w:color w:val="auto"/>
          <w:szCs w:val="21"/>
          <w:highlight w:val="none"/>
        </w:rPr>
      </w:pPr>
    </w:p>
    <w:p w14:paraId="79FFCE75">
      <w:pPr>
        <w:rPr>
          <w:rFonts w:hint="eastAsia" w:ascii="宋体" w:hAnsi="宋体" w:eastAsia="宋体" w:cs="宋体"/>
          <w:color w:val="auto"/>
          <w:szCs w:val="21"/>
          <w:highlight w:val="none"/>
        </w:rPr>
      </w:pPr>
    </w:p>
    <w:p w14:paraId="55FEFAF8">
      <w:pPr>
        <w:rPr>
          <w:rFonts w:hint="eastAsia" w:ascii="宋体" w:hAnsi="宋体" w:eastAsia="宋体" w:cs="宋体"/>
          <w:color w:val="auto"/>
          <w:szCs w:val="21"/>
          <w:highlight w:val="none"/>
        </w:rPr>
      </w:pPr>
    </w:p>
    <w:p w14:paraId="002AD8A7">
      <w:pPr>
        <w:rPr>
          <w:rFonts w:hint="eastAsia" w:ascii="宋体" w:hAnsi="宋体" w:eastAsia="宋体" w:cs="宋体"/>
          <w:color w:val="auto"/>
          <w:szCs w:val="21"/>
          <w:highlight w:val="none"/>
        </w:rPr>
      </w:pPr>
    </w:p>
    <w:p w14:paraId="34C43662">
      <w:pPr>
        <w:rPr>
          <w:rFonts w:hint="eastAsia" w:ascii="宋体" w:hAnsi="宋体" w:eastAsia="宋体" w:cs="宋体"/>
          <w:color w:val="auto"/>
          <w:szCs w:val="21"/>
          <w:highlight w:val="none"/>
        </w:rPr>
      </w:pPr>
    </w:p>
    <w:p w14:paraId="367529D3">
      <w:pPr>
        <w:rPr>
          <w:rFonts w:hint="eastAsia" w:ascii="宋体" w:hAnsi="宋体" w:eastAsia="宋体" w:cs="宋体"/>
          <w:color w:val="auto"/>
          <w:szCs w:val="21"/>
          <w:highlight w:val="none"/>
        </w:rPr>
      </w:pPr>
    </w:p>
    <w:p w14:paraId="326649D9">
      <w:pPr>
        <w:rPr>
          <w:rFonts w:hint="eastAsia" w:ascii="宋体" w:hAnsi="宋体" w:eastAsia="宋体" w:cs="宋体"/>
          <w:color w:val="auto"/>
          <w:szCs w:val="21"/>
          <w:highlight w:val="none"/>
        </w:rPr>
      </w:pPr>
    </w:p>
    <w:p w14:paraId="09BBBCAF">
      <w:pPr>
        <w:rPr>
          <w:rFonts w:hint="eastAsia" w:ascii="宋体" w:hAnsi="宋体" w:eastAsia="宋体" w:cs="宋体"/>
          <w:color w:val="auto"/>
          <w:szCs w:val="21"/>
          <w:highlight w:val="none"/>
        </w:rPr>
      </w:pPr>
    </w:p>
    <w:p w14:paraId="39E4B406">
      <w:pPr>
        <w:rPr>
          <w:rFonts w:hint="eastAsia" w:ascii="宋体" w:hAnsi="宋体" w:eastAsia="宋体" w:cs="宋体"/>
          <w:color w:val="auto"/>
          <w:szCs w:val="21"/>
          <w:highlight w:val="none"/>
        </w:rPr>
      </w:pPr>
    </w:p>
    <w:p w14:paraId="53070960">
      <w:pPr>
        <w:rPr>
          <w:rFonts w:hint="eastAsia" w:ascii="宋体" w:hAnsi="宋体" w:eastAsia="宋体" w:cs="宋体"/>
          <w:color w:val="auto"/>
          <w:szCs w:val="21"/>
          <w:highlight w:val="none"/>
        </w:rPr>
      </w:pPr>
    </w:p>
    <w:p w14:paraId="7674DB81">
      <w:pPr>
        <w:rPr>
          <w:rFonts w:hint="eastAsia" w:ascii="宋体" w:hAnsi="宋体" w:eastAsia="宋体" w:cs="宋体"/>
          <w:color w:val="auto"/>
          <w:szCs w:val="21"/>
          <w:highlight w:val="none"/>
        </w:rPr>
      </w:pPr>
    </w:p>
    <w:p w14:paraId="42C2BE59">
      <w:pPr>
        <w:rPr>
          <w:rFonts w:hint="eastAsia" w:ascii="宋体" w:hAnsi="宋体" w:eastAsia="宋体" w:cs="宋体"/>
          <w:color w:val="auto"/>
          <w:szCs w:val="21"/>
          <w:highlight w:val="none"/>
        </w:rPr>
      </w:pPr>
    </w:p>
    <w:p w14:paraId="036DC125">
      <w:pPr>
        <w:rPr>
          <w:rFonts w:hint="eastAsia" w:ascii="宋体" w:hAnsi="宋体" w:eastAsia="宋体" w:cs="宋体"/>
          <w:color w:val="auto"/>
          <w:szCs w:val="21"/>
          <w:highlight w:val="none"/>
        </w:rPr>
      </w:pPr>
    </w:p>
    <w:p w14:paraId="1DD94C75">
      <w:pPr>
        <w:rPr>
          <w:rFonts w:hint="eastAsia" w:ascii="宋体" w:hAnsi="宋体" w:eastAsia="宋体" w:cs="宋体"/>
          <w:color w:val="auto"/>
          <w:szCs w:val="21"/>
          <w:highlight w:val="none"/>
        </w:rPr>
      </w:pPr>
    </w:p>
    <w:p w14:paraId="214DC6A0">
      <w:pPr>
        <w:rPr>
          <w:rFonts w:hint="eastAsia" w:ascii="宋体" w:hAnsi="宋体" w:eastAsia="宋体" w:cs="宋体"/>
          <w:color w:val="auto"/>
          <w:szCs w:val="21"/>
          <w:highlight w:val="none"/>
        </w:rPr>
      </w:pPr>
    </w:p>
    <w:p w14:paraId="0967EFD6">
      <w:pPr>
        <w:rPr>
          <w:rFonts w:hint="eastAsia" w:ascii="宋体" w:hAnsi="宋体" w:eastAsia="宋体" w:cs="宋体"/>
          <w:color w:val="auto"/>
          <w:szCs w:val="21"/>
          <w:highlight w:val="none"/>
        </w:rPr>
      </w:pPr>
    </w:p>
    <w:p w14:paraId="22E121EF">
      <w:pPr>
        <w:rPr>
          <w:rFonts w:hint="eastAsia" w:ascii="宋体" w:hAnsi="宋体" w:eastAsia="宋体" w:cs="宋体"/>
          <w:color w:val="auto"/>
          <w:szCs w:val="21"/>
          <w:highlight w:val="none"/>
        </w:rPr>
      </w:pPr>
    </w:p>
    <w:p w14:paraId="3BD6F765">
      <w:pPr>
        <w:rPr>
          <w:rFonts w:hint="eastAsia" w:ascii="宋体" w:hAnsi="宋体" w:eastAsia="宋体" w:cs="宋体"/>
          <w:color w:val="auto"/>
          <w:szCs w:val="21"/>
          <w:highlight w:val="none"/>
        </w:rPr>
      </w:pPr>
    </w:p>
    <w:p w14:paraId="3040AE2A">
      <w:pPr>
        <w:rPr>
          <w:rFonts w:hint="eastAsia" w:ascii="宋体" w:hAnsi="宋体" w:eastAsia="宋体" w:cs="宋体"/>
          <w:color w:val="auto"/>
          <w:szCs w:val="21"/>
          <w:highlight w:val="none"/>
        </w:rPr>
      </w:pPr>
    </w:p>
    <w:p w14:paraId="62F2A715">
      <w:pPr>
        <w:rPr>
          <w:rFonts w:hint="eastAsia" w:ascii="宋体" w:hAnsi="宋体" w:eastAsia="宋体" w:cs="宋体"/>
          <w:color w:val="auto"/>
          <w:szCs w:val="21"/>
          <w:highlight w:val="none"/>
        </w:rPr>
      </w:pPr>
    </w:p>
    <w:p w14:paraId="26E8996A">
      <w:pPr>
        <w:rPr>
          <w:rFonts w:hint="eastAsia" w:ascii="宋体" w:hAnsi="宋体" w:eastAsia="宋体" w:cs="宋体"/>
          <w:color w:val="auto"/>
          <w:szCs w:val="21"/>
          <w:highlight w:val="none"/>
        </w:rPr>
      </w:pPr>
    </w:p>
    <w:p w14:paraId="713D4FFD">
      <w:pPr>
        <w:rPr>
          <w:rFonts w:hint="eastAsia" w:ascii="宋体" w:hAnsi="宋体" w:eastAsia="宋体" w:cs="宋体"/>
          <w:color w:val="auto"/>
          <w:szCs w:val="21"/>
          <w:highlight w:val="none"/>
        </w:rPr>
      </w:pPr>
    </w:p>
    <w:p w14:paraId="07FE10D5">
      <w:pPr>
        <w:keepNext/>
        <w:jc w:val="center"/>
        <w:outlineLvl w:val="0"/>
        <w:rPr>
          <w:rStyle w:val="246"/>
          <w:rFonts w:hint="eastAsia" w:ascii="宋体" w:hAnsi="宋体" w:eastAsia="宋体" w:cs="宋体"/>
          <w:color w:val="auto"/>
          <w:highlight w:val="none"/>
        </w:rPr>
        <w:sectPr>
          <w:footerReference r:id="rId3" w:type="first"/>
          <w:pgSz w:w="11906" w:h="16838"/>
          <w:pgMar w:top="1418" w:right="1588" w:bottom="1418" w:left="1365" w:header="851" w:footer="907" w:gutter="0"/>
          <w:pgNumType w:start="1"/>
          <w:cols w:space="1701" w:num="1"/>
          <w:docGrid w:linePitch="360" w:charSpace="0"/>
        </w:sectPr>
      </w:pPr>
      <w:bookmarkStart w:id="6" w:name="_Toc8382"/>
      <w:bookmarkStart w:id="7" w:name="_Toc13393"/>
      <w:bookmarkStart w:id="8" w:name="_Toc28155"/>
      <w:bookmarkStart w:id="9" w:name="_Toc27555"/>
    </w:p>
    <w:p w14:paraId="2EBC3F20">
      <w:pPr>
        <w:keepNext/>
        <w:spacing w:line="360" w:lineRule="auto"/>
        <w:jc w:val="center"/>
        <w:outlineLvl w:val="0"/>
        <w:rPr>
          <w:rFonts w:hint="eastAsia" w:ascii="宋体" w:hAnsi="宋体" w:eastAsia="宋体" w:cs="宋体"/>
          <w:bCs/>
          <w:color w:val="auto"/>
          <w:sz w:val="44"/>
          <w:szCs w:val="44"/>
          <w:highlight w:val="none"/>
        </w:rPr>
      </w:pPr>
      <w:r>
        <w:rPr>
          <w:rStyle w:val="246"/>
          <w:rFonts w:hint="eastAsia" w:ascii="宋体" w:hAnsi="宋体" w:eastAsia="宋体" w:cs="宋体"/>
          <w:color w:val="auto"/>
          <w:highlight w:val="none"/>
        </w:rPr>
        <w:t xml:space="preserve">第一章  </w:t>
      </w:r>
      <w:bookmarkEnd w:id="0"/>
      <w:r>
        <w:rPr>
          <w:rStyle w:val="246"/>
          <w:rFonts w:hint="eastAsia" w:ascii="宋体" w:hAnsi="宋体" w:eastAsia="宋体" w:cs="宋体"/>
          <w:color w:val="auto"/>
          <w:highlight w:val="none"/>
        </w:rPr>
        <w:t>投标邀请</w:t>
      </w:r>
      <w:bookmarkEnd w:id="6"/>
      <w:bookmarkEnd w:id="7"/>
      <w:bookmarkEnd w:id="8"/>
      <w:bookmarkEnd w:id="9"/>
    </w:p>
    <w:p w14:paraId="3EA621D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连云港市海州区新坝镇人民政府</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江苏建审工程项目管理有限公司就</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新坝镇农村自来水提质升级工程-东片区水表采购项目（专门面向中小企业）</w:t>
      </w:r>
      <w:r>
        <w:rPr>
          <w:rFonts w:hint="eastAsia" w:ascii="宋体" w:hAnsi="宋体" w:eastAsia="宋体" w:cs="宋体"/>
          <w:color w:val="auto"/>
          <w:sz w:val="24"/>
          <w:szCs w:val="24"/>
          <w:highlight w:val="none"/>
        </w:rPr>
        <w:t>]项目进行公开招标采购，欢迎符合条件的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w:t>
      </w:r>
    </w:p>
    <w:p w14:paraId="31F148E0">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1A1EBD2">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新坝镇农村自来水提质升级工程-东片区水表采购项目（专门面向中小企业）</w:t>
      </w:r>
      <w:r>
        <w:rPr>
          <w:rFonts w:hint="eastAsia" w:ascii="宋体" w:hAnsi="宋体" w:eastAsia="宋体" w:cs="宋体"/>
          <w:color w:val="auto"/>
          <w:sz w:val="24"/>
          <w:szCs w:val="24"/>
          <w:highlight w:val="none"/>
        </w:rPr>
        <w:t>招标项目的潜在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16</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点00分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622E55A5">
      <w:pPr>
        <w:keepNext/>
        <w:keepLines/>
        <w:spacing w:line="360" w:lineRule="auto"/>
        <w:ind w:firstLine="498"/>
        <w:outlineLvl w:val="2"/>
        <w:rPr>
          <w:rFonts w:hint="eastAsia" w:ascii="宋体" w:hAnsi="宋体" w:eastAsia="宋体" w:cs="宋体"/>
          <w:b/>
          <w:bCs/>
          <w:color w:val="auto"/>
          <w:sz w:val="32"/>
          <w:szCs w:val="32"/>
          <w:highlight w:val="none"/>
        </w:rPr>
      </w:pPr>
      <w:bookmarkStart w:id="10" w:name="_Toc35393790"/>
      <w:bookmarkStart w:id="11" w:name="_Toc35393621"/>
      <w:bookmarkStart w:id="12" w:name="_Toc28359079"/>
      <w:bookmarkStart w:id="13" w:name="_Toc26126"/>
      <w:bookmarkStart w:id="14" w:name="_Toc32717"/>
      <w:bookmarkStart w:id="15" w:name="_Toc20316"/>
      <w:bookmarkStart w:id="16" w:name="_Toc7199"/>
      <w:bookmarkStart w:id="17" w:name="_Toc28359002"/>
      <w:bookmarkStart w:id="18" w:name="_Toc38985263"/>
      <w:bookmarkStart w:id="19" w:name="_Hlk24379207"/>
      <w:r>
        <w:rPr>
          <w:rFonts w:hint="eastAsia" w:ascii="宋体" w:hAnsi="宋体" w:eastAsia="宋体" w:cs="宋体"/>
          <w:b/>
          <w:bCs/>
          <w:color w:val="auto"/>
          <w:sz w:val="32"/>
          <w:szCs w:val="32"/>
          <w:highlight w:val="none"/>
        </w:rPr>
        <w:t>一、项目基本情况</w:t>
      </w:r>
      <w:bookmarkEnd w:id="10"/>
      <w:bookmarkEnd w:id="11"/>
      <w:bookmarkEnd w:id="12"/>
      <w:bookmarkEnd w:id="13"/>
      <w:bookmarkEnd w:id="14"/>
      <w:bookmarkEnd w:id="15"/>
      <w:bookmarkEnd w:id="16"/>
      <w:bookmarkEnd w:id="17"/>
      <w:bookmarkEnd w:id="18"/>
    </w:p>
    <w:p w14:paraId="3A4F3128">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JSZC-320706-AJSL-G2026-000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p>
    <w:p w14:paraId="5A0A699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bookmarkEnd w:id="19"/>
      <w:r>
        <w:rPr>
          <w:rFonts w:hint="eastAsia" w:ascii="宋体" w:hAnsi="宋体" w:eastAsia="宋体" w:cs="宋体"/>
          <w:color w:val="auto"/>
          <w:sz w:val="24"/>
          <w:szCs w:val="24"/>
          <w:highlight w:val="none"/>
          <w:lang w:eastAsia="zh-CN"/>
        </w:rPr>
        <w:t>新坝镇农村自来水提质升级工程-东片区水表采购项目（专门面向中小企业）</w:t>
      </w:r>
      <w:r>
        <w:rPr>
          <w:rFonts w:hint="eastAsia" w:ascii="宋体" w:hAnsi="宋体" w:cs="宋体"/>
          <w:color w:val="auto"/>
          <w:sz w:val="24"/>
          <w:szCs w:val="24"/>
          <w:highlight w:val="none"/>
          <w:lang w:eastAsia="zh-CN"/>
        </w:rPr>
        <w:t>；</w:t>
      </w:r>
    </w:p>
    <w:p w14:paraId="61E09B4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130</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eastAsia="zh-CN"/>
        </w:rPr>
        <w:t>；</w:t>
      </w:r>
    </w:p>
    <w:p w14:paraId="771E76D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最高限价(如有)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人民币1</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万元，投标报价超出最高限价的按无效响应处理</w:t>
      </w:r>
      <w:r>
        <w:rPr>
          <w:rFonts w:hint="eastAsia" w:ascii="宋体" w:hAnsi="宋体" w:cs="宋体"/>
          <w:color w:val="auto"/>
          <w:sz w:val="24"/>
          <w:szCs w:val="24"/>
          <w:highlight w:val="none"/>
          <w:lang w:eastAsia="zh-CN"/>
        </w:rPr>
        <w:t>；</w:t>
      </w:r>
    </w:p>
    <w:p w14:paraId="4BED94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highlight w:val="none"/>
          <w:lang w:eastAsia="zh-CN"/>
        </w:rPr>
        <w:t>物联网水表采购，预计采购DN15:4505个，DN32:8个，DN40:7个，DN50:8个，</w:t>
      </w:r>
      <w:r>
        <w:rPr>
          <w:rFonts w:hint="eastAsia" w:ascii="宋体" w:hAnsi="宋体" w:cs="宋体"/>
          <w:color w:val="auto"/>
          <w:sz w:val="24"/>
          <w:highlight w:val="none"/>
          <w:lang w:eastAsia="zh-CN"/>
        </w:rPr>
        <w:t>DN80</w:t>
      </w:r>
      <w:r>
        <w:rPr>
          <w:rFonts w:hint="eastAsia" w:ascii="宋体" w:hAnsi="宋体" w:eastAsia="宋体" w:cs="宋体"/>
          <w:color w:val="auto"/>
          <w:sz w:val="24"/>
          <w:highlight w:val="none"/>
          <w:lang w:eastAsia="zh-CN"/>
        </w:rPr>
        <w:t>:18个，DN100:18个，DN150:4个，DN200:4个，DN250:4个，DN300:2个，具体详见</w:t>
      </w:r>
      <w:r>
        <w:rPr>
          <w:rFonts w:hint="eastAsia" w:ascii="宋体" w:hAnsi="宋体" w:cs="宋体"/>
          <w:color w:val="auto"/>
          <w:sz w:val="24"/>
          <w:highlight w:val="none"/>
          <w:lang w:val="en-US" w:eastAsia="zh-CN"/>
        </w:rPr>
        <w:t>第四章</w:t>
      </w:r>
      <w:r>
        <w:rPr>
          <w:rFonts w:hint="eastAsia" w:ascii="宋体" w:hAnsi="宋体" w:eastAsia="宋体" w:cs="宋体"/>
          <w:color w:val="auto"/>
          <w:sz w:val="24"/>
          <w:highlight w:val="none"/>
          <w:lang w:eastAsia="zh-CN"/>
        </w:rPr>
        <w:t>采购需求</w:t>
      </w:r>
      <w:r>
        <w:rPr>
          <w:rFonts w:hint="eastAsia" w:ascii="宋体" w:hAnsi="宋体" w:cs="宋体"/>
          <w:color w:val="auto"/>
          <w:sz w:val="24"/>
          <w:highlight w:val="none"/>
          <w:lang w:eastAsia="zh-CN"/>
        </w:rPr>
        <w:t>；</w:t>
      </w:r>
    </w:p>
    <w:p w14:paraId="02F01691">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对项目需求、综合评分部分的询问、质疑请与采购人联系，由采购人负责答复</w:t>
      </w:r>
      <w:r>
        <w:rPr>
          <w:rFonts w:hint="eastAsia" w:ascii="宋体" w:hAnsi="宋体" w:cs="宋体"/>
          <w:b/>
          <w:bCs/>
          <w:color w:val="auto"/>
          <w:sz w:val="24"/>
          <w:szCs w:val="24"/>
          <w:highlight w:val="none"/>
          <w:lang w:eastAsia="zh-CN"/>
        </w:rPr>
        <w:t>；</w:t>
      </w:r>
    </w:p>
    <w:p w14:paraId="3FB60B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合同签订之日起30天内完成供货</w:t>
      </w:r>
      <w:r>
        <w:rPr>
          <w:rFonts w:hint="eastAsia" w:ascii="宋体" w:hAnsi="宋体" w:eastAsia="宋体" w:cs="宋体"/>
          <w:color w:val="auto"/>
          <w:sz w:val="24"/>
          <w:szCs w:val="24"/>
          <w:highlight w:val="none"/>
        </w:rPr>
        <w:t>。</w:t>
      </w:r>
    </w:p>
    <w:p w14:paraId="7FD1D8D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（是/否）</w:t>
      </w:r>
      <w:r>
        <w:rPr>
          <w:rFonts w:hint="eastAsia" w:ascii="宋体" w:hAnsi="宋体" w:eastAsia="宋体" w:cs="宋体"/>
          <w:color w:val="auto"/>
          <w:sz w:val="24"/>
          <w:szCs w:val="24"/>
          <w:highlight w:val="none"/>
          <w:lang w:val="en-US" w:eastAsia="zh-CN"/>
        </w:rPr>
        <w:t>接受联合体</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u w:val="none"/>
          <w:lang w:val="en-US" w:eastAsia="zh-CN"/>
        </w:rPr>
        <w:t>否</w:t>
      </w:r>
      <w:r>
        <w:rPr>
          <w:rFonts w:hint="eastAsia" w:ascii="宋体" w:hAnsi="宋体" w:eastAsia="宋体" w:cs="宋体"/>
          <w:color w:val="auto"/>
          <w:sz w:val="24"/>
          <w:szCs w:val="24"/>
          <w:highlight w:val="none"/>
        </w:rPr>
        <w:t>。</w:t>
      </w:r>
    </w:p>
    <w:p w14:paraId="7327F8ED">
      <w:pPr>
        <w:keepNext/>
        <w:keepLines/>
        <w:spacing w:line="360" w:lineRule="auto"/>
        <w:ind w:firstLine="498"/>
        <w:outlineLvl w:val="2"/>
        <w:rPr>
          <w:rFonts w:hint="eastAsia" w:ascii="宋体" w:hAnsi="宋体" w:eastAsia="宋体" w:cs="宋体"/>
          <w:b/>
          <w:bCs/>
          <w:color w:val="auto"/>
          <w:sz w:val="32"/>
          <w:szCs w:val="32"/>
          <w:highlight w:val="none"/>
        </w:rPr>
      </w:pPr>
      <w:bookmarkStart w:id="20" w:name="_Toc6997"/>
      <w:bookmarkStart w:id="21" w:name="_Toc28359003"/>
      <w:bookmarkStart w:id="22" w:name="_Toc35393622"/>
      <w:bookmarkStart w:id="23" w:name="_Toc16946"/>
      <w:bookmarkStart w:id="24" w:name="_Toc38985264"/>
      <w:bookmarkStart w:id="25" w:name="_Toc35393791"/>
      <w:bookmarkStart w:id="26" w:name="_Toc22779"/>
      <w:bookmarkStart w:id="27" w:name="_Toc16976"/>
      <w:bookmarkStart w:id="28" w:name="_Toc28359080"/>
      <w:r>
        <w:rPr>
          <w:rFonts w:hint="eastAsia" w:ascii="宋体" w:hAnsi="宋体" w:eastAsia="宋体" w:cs="宋体"/>
          <w:b/>
          <w:bCs/>
          <w:color w:val="auto"/>
          <w:sz w:val="32"/>
          <w:szCs w:val="32"/>
          <w:highlight w:val="none"/>
        </w:rPr>
        <w:t>二、申请人的资格要求：</w:t>
      </w:r>
      <w:bookmarkEnd w:id="20"/>
      <w:bookmarkEnd w:id="21"/>
      <w:bookmarkEnd w:id="22"/>
      <w:bookmarkEnd w:id="23"/>
      <w:bookmarkEnd w:id="24"/>
      <w:bookmarkEnd w:id="25"/>
      <w:bookmarkEnd w:id="26"/>
      <w:bookmarkEnd w:id="27"/>
      <w:bookmarkEnd w:id="28"/>
    </w:p>
    <w:p w14:paraId="62664860">
      <w:pPr>
        <w:spacing w:line="360" w:lineRule="auto"/>
        <w:ind w:firstLine="480"/>
        <w:rPr>
          <w:rFonts w:hint="eastAsia" w:ascii="宋体" w:hAnsi="宋体" w:eastAsia="宋体" w:cs="宋体"/>
          <w:color w:val="auto"/>
          <w:sz w:val="24"/>
          <w:szCs w:val="24"/>
          <w:highlight w:val="none"/>
        </w:rPr>
      </w:pPr>
      <w:bookmarkStart w:id="29" w:name="_Toc28359004"/>
      <w:bookmarkStart w:id="30" w:name="_Toc35393623"/>
      <w:bookmarkStart w:id="31" w:name="_Toc28359081"/>
      <w:bookmarkStart w:id="32" w:name="_Toc35393792"/>
      <w:bookmarkStart w:id="33" w:name="_Toc38985265"/>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满足《中华人民共和国政府采购法》第二十二条规定，并提供下列材料：</w:t>
      </w:r>
    </w:p>
    <w:p w14:paraId="06D1A2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法人或者其他组织的营业执照等证明文件，自然人的身份证明；</w:t>
      </w:r>
    </w:p>
    <w:p w14:paraId="6C7556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连财购〔2023〕4号文件要求，符合要求的</w:t>
      </w:r>
      <w:r>
        <w:rPr>
          <w:rFonts w:hint="eastAsia" w:ascii="宋体" w:hAnsi="宋体" w:eastAsia="宋体" w:cs="宋体"/>
          <w:color w:val="auto"/>
          <w:sz w:val="24"/>
          <w:szCs w:val="24"/>
          <w:highlight w:val="none"/>
          <w:lang w:val="en-US" w:eastAsia="zh-CN"/>
        </w:rPr>
        <w:t>申请人</w:t>
      </w:r>
      <w:r>
        <w:rPr>
          <w:rFonts w:hint="eastAsia" w:ascii="宋体" w:hAnsi="宋体" w:eastAsia="宋体" w:cs="宋体"/>
          <w:color w:val="auto"/>
          <w:sz w:val="24"/>
          <w:szCs w:val="24"/>
          <w:highlight w:val="none"/>
        </w:rPr>
        <w:t>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第六章格式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A9529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依法缴纳税收和社会保障资金的相关材料；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连财购〔2023〕4号文件要求，符合要求的</w:t>
      </w:r>
      <w:r>
        <w:rPr>
          <w:rFonts w:hint="eastAsia" w:ascii="宋体" w:hAnsi="宋体" w:eastAsia="宋体" w:cs="宋体"/>
          <w:color w:val="auto"/>
          <w:sz w:val="24"/>
          <w:szCs w:val="24"/>
          <w:highlight w:val="none"/>
          <w:lang w:val="en-US" w:eastAsia="zh-CN"/>
        </w:rPr>
        <w:t>申请人</w:t>
      </w:r>
      <w:r>
        <w:rPr>
          <w:rFonts w:hint="eastAsia" w:ascii="宋体" w:hAnsi="宋体" w:eastAsia="宋体" w:cs="宋体"/>
          <w:color w:val="auto"/>
          <w:sz w:val="24"/>
          <w:szCs w:val="24"/>
          <w:highlight w:val="none"/>
        </w:rPr>
        <w:t>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第六章格式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7DAEA2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具备履行合同所必需的设备和专业技术能力的书面声明及证明材料；</w:t>
      </w:r>
    </w:p>
    <w:p w14:paraId="37C5FB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参加政府采购活动前3年内在经营活动中没有重大违法记录的书面声明。</w:t>
      </w:r>
      <w:bookmarkStart w:id="34" w:name="_Hlk139531395"/>
      <w:bookmarkEnd w:id="34"/>
      <w:bookmarkStart w:id="35" w:name="_Hlk139531227"/>
      <w:bookmarkEnd w:id="35"/>
    </w:p>
    <w:p w14:paraId="3E8727A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2805CAE8">
      <w:pPr>
        <w:keepNext/>
        <w:keepLines w:val="0"/>
        <w:pageBreakBefore w:val="0"/>
        <w:widowControl w:val="0"/>
        <w:tabs>
          <w:tab w:val="left" w:pos="1021"/>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执行财政部、工业和信息化部关于印发《政府采购促进中小企业发展管理办法》的通知（财库〔2020〕46号）、苏财购〔2022〕45号，本项目专门面向中小企业采购，符合文件要求的供应商应提交《中小企业声明函》，并上传至电子响应文件中，详见采购文件。</w:t>
      </w:r>
    </w:p>
    <w:p w14:paraId="62076C73">
      <w:pPr>
        <w:keepNext/>
        <w:keepLines w:val="0"/>
        <w:pageBreakBefore w:val="0"/>
        <w:widowControl w:val="0"/>
        <w:tabs>
          <w:tab w:val="left" w:pos="1021"/>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bidi="ar-SA"/>
        </w:rPr>
        <w:t>（三）本项</w:t>
      </w:r>
      <w:r>
        <w:rPr>
          <w:rFonts w:hint="eastAsia" w:ascii="宋体" w:hAnsi="宋体" w:eastAsia="宋体" w:cs="宋体"/>
          <w:color w:val="auto"/>
          <w:sz w:val="24"/>
          <w:szCs w:val="24"/>
          <w:highlight w:val="none"/>
          <w:lang w:val="en-US" w:eastAsia="zh-CN"/>
        </w:rPr>
        <w:t>目的特定资格要求：</w:t>
      </w:r>
    </w:p>
    <w:p w14:paraId="2A7B114B">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递交截止时间前，被信用中国、中国政府采购网列入失信被执行人、税收违法黑名单、政府采购严重违法失信行为记录名单的供应商，以及具有其他不符合《中华人民共和国政府采购法》第二十二条规定情形的，拒绝其参与政府采购活动。     </w:t>
      </w:r>
    </w:p>
    <w:p w14:paraId="731CCBDE">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备注：采购人或采购代理机构通过信用中国网站(www.creditchina.gov.cn)、中国政府采购网(www.ccgp.gov.cn)，对供应商信用记录情况进行查询。</w:t>
      </w:r>
    </w:p>
    <w:p w14:paraId="22F5CCFE">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2.本项目不接受进口产品（进口产品是指通过中国海关报关验放进入中国境内且产自关境外的产品），中标后不允许分包或转包。</w:t>
      </w:r>
    </w:p>
    <w:p w14:paraId="5F9296B4">
      <w:pPr>
        <w:keepNext/>
        <w:keepLines/>
        <w:spacing w:line="360" w:lineRule="auto"/>
        <w:ind w:firstLine="498"/>
        <w:outlineLvl w:val="2"/>
        <w:rPr>
          <w:rFonts w:hint="eastAsia" w:ascii="宋体" w:hAnsi="宋体" w:eastAsia="宋体" w:cs="宋体"/>
          <w:b/>
          <w:bCs/>
          <w:color w:val="auto"/>
          <w:sz w:val="32"/>
          <w:szCs w:val="32"/>
          <w:highlight w:val="none"/>
        </w:rPr>
      </w:pPr>
      <w:bookmarkStart w:id="36" w:name="_Toc29835"/>
      <w:bookmarkStart w:id="37" w:name="_Toc28833"/>
      <w:bookmarkStart w:id="38" w:name="_Toc29828"/>
      <w:bookmarkStart w:id="39" w:name="_Toc16338"/>
      <w:r>
        <w:rPr>
          <w:rFonts w:hint="eastAsia" w:ascii="宋体" w:hAnsi="宋体" w:eastAsia="宋体" w:cs="宋体"/>
          <w:b/>
          <w:bCs/>
          <w:color w:val="auto"/>
          <w:sz w:val="32"/>
          <w:szCs w:val="32"/>
          <w:highlight w:val="none"/>
        </w:rPr>
        <w:t>三、获取招标文件</w:t>
      </w:r>
      <w:bookmarkEnd w:id="29"/>
      <w:bookmarkEnd w:id="30"/>
      <w:bookmarkEnd w:id="31"/>
      <w:bookmarkEnd w:id="32"/>
      <w:bookmarkEnd w:id="33"/>
      <w:bookmarkEnd w:id="36"/>
      <w:bookmarkEnd w:id="37"/>
      <w:bookmarkEnd w:id="38"/>
      <w:bookmarkEnd w:id="39"/>
      <w:bookmarkStart w:id="153" w:name="_GoBack"/>
      <w:bookmarkEnd w:id="153"/>
    </w:p>
    <w:p w14:paraId="3919ECF1">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bookmarkStart w:id="40" w:name="_Toc28359005"/>
      <w:bookmarkStart w:id="41" w:name="_Toc28359082"/>
      <w:bookmarkStart w:id="42" w:name="_Toc3576"/>
      <w:bookmarkStart w:id="43" w:name="_Toc21396"/>
      <w:bookmarkStart w:id="44" w:name="_Toc13422"/>
      <w:bookmarkStart w:id="45" w:name="_Toc38985266"/>
      <w:bookmarkStart w:id="46" w:name="_Toc35393793"/>
      <w:bookmarkStart w:id="47" w:name="_Toc2952"/>
      <w:bookmarkStart w:id="48" w:name="_Toc35393624"/>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日起至2026年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（北京时间）</w:t>
      </w:r>
      <w:r>
        <w:rPr>
          <w:rFonts w:hint="eastAsia" w:ascii="宋体" w:hAnsi="宋体" w:eastAsia="宋体" w:cs="宋体"/>
          <w:color w:val="auto"/>
          <w:sz w:val="24"/>
          <w:szCs w:val="24"/>
          <w:highlight w:val="none"/>
        </w:rPr>
        <w:t>。</w:t>
      </w:r>
    </w:p>
    <w:p w14:paraId="0E09A47E">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获取方式：</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办理江苏省政府采购交易系统CA数字证书，登录“苏采云”政府采购交易系统，自行下载。</w:t>
      </w:r>
    </w:p>
    <w:p w14:paraId="510C8124">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访问电子招标投标交易平台的网络地址和方法：</w:t>
      </w:r>
    </w:p>
    <w:p w14:paraId="03AAE394">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3C6609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（2）潜在供应商访问“苏采云”系统的网络地址和方法：</w:t>
      </w:r>
    </w:p>
    <w:p w14:paraId="0404295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“苏采云”系统的网址：http://jszfcg.jsczt.cn/。</w:t>
      </w:r>
    </w:p>
    <w:p w14:paraId="102D31A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（3）“CA数字证书”的获取：</w:t>
      </w:r>
    </w:p>
    <w:p w14:paraId="60B77A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供应商需办理CA锁，“苏采云”系统目前仅支持“苏采云”系统下的政务CA，省内各地区办理的“苏采云”系统下的政务CA全省通用。“CA数字证书”的办理材料详见“http://jsxcmm.com/help/gys.html”。</w:t>
      </w:r>
    </w:p>
    <w:p w14:paraId="021DBA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（4）采购文件（后缀名为“.kedt”）、供应商操作手册及政府采购客户端工具可通过“苏采云”系统--已报名项目--报名详情页面内相应链接进行下载。</w:t>
      </w:r>
    </w:p>
    <w:p w14:paraId="566C95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（5）招标代理机构（采购代理机构）将数据电文形式的采购文件加载至“苏采云”系统，供潜在供应商下载或者查阅。</w:t>
      </w:r>
    </w:p>
    <w:p w14:paraId="26F1E91D">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3.地点：江苏政府采购网</w:t>
      </w:r>
      <w:r>
        <w:rPr>
          <w:rFonts w:hint="eastAsia" w:ascii="宋体" w:hAnsi="宋体" w:cs="宋体"/>
          <w:color w:val="auto"/>
          <w:sz w:val="24"/>
          <w:szCs w:val="24"/>
          <w:highlight w:val="none"/>
          <w:lang w:eastAsia="zh-CN"/>
        </w:rPr>
        <w:t>。</w:t>
      </w:r>
    </w:p>
    <w:p w14:paraId="5A3FECA0">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4.售价：0.00元</w:t>
      </w:r>
      <w:r>
        <w:rPr>
          <w:rFonts w:hint="eastAsia" w:ascii="宋体" w:hAnsi="宋体" w:cs="宋体"/>
          <w:color w:val="auto"/>
          <w:sz w:val="24"/>
          <w:szCs w:val="24"/>
          <w:highlight w:val="none"/>
          <w:lang w:eastAsia="zh-CN"/>
        </w:rPr>
        <w:t>。</w:t>
      </w:r>
    </w:p>
    <w:p w14:paraId="27BC74F0">
      <w:pPr>
        <w:keepNext/>
        <w:keepLines/>
        <w:spacing w:line="360" w:lineRule="auto"/>
        <w:ind w:firstLine="498"/>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四、提交投标文件</w:t>
      </w:r>
      <w:bookmarkEnd w:id="40"/>
      <w:bookmarkEnd w:id="41"/>
      <w:r>
        <w:rPr>
          <w:rFonts w:hint="eastAsia" w:ascii="宋体" w:hAnsi="宋体" w:eastAsia="宋体" w:cs="宋体"/>
          <w:b/>
          <w:bCs/>
          <w:color w:val="auto"/>
          <w:sz w:val="32"/>
          <w:szCs w:val="32"/>
          <w:highlight w:val="none"/>
        </w:rPr>
        <w:t>截止时间、开标时间和地点</w:t>
      </w:r>
      <w:bookmarkEnd w:id="42"/>
      <w:bookmarkEnd w:id="43"/>
      <w:bookmarkEnd w:id="44"/>
      <w:bookmarkEnd w:id="45"/>
      <w:bookmarkEnd w:id="46"/>
      <w:bookmarkEnd w:id="47"/>
      <w:bookmarkEnd w:id="48"/>
    </w:p>
    <w:p w14:paraId="4E9E254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1.投标文件接收时间</w:t>
      </w:r>
    </w:p>
    <w:p w14:paraId="4E6E63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投标文件接收截止时间：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:00:00（北京时间）</w:t>
      </w:r>
    </w:p>
    <w:p w14:paraId="16EA2B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2.开标时间与地点</w:t>
      </w:r>
    </w:p>
    <w:p w14:paraId="6110AB8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:00:00（北京时间）</w:t>
      </w:r>
    </w:p>
    <w:p w14:paraId="4E77A05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 “开标大厅”</w:t>
      </w:r>
    </w:p>
    <w:p w14:paraId="71C4971D">
      <w:pPr>
        <w:spacing w:line="360" w:lineRule="auto"/>
        <w:ind w:firstLine="480"/>
        <w:jc w:val="lef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开标大厅网址：http://jszfcg.jsczt.cn/</w:t>
      </w:r>
    </w:p>
    <w:p w14:paraId="6E494871">
      <w:pPr>
        <w:keepNext/>
        <w:keepLines/>
        <w:spacing w:line="360" w:lineRule="auto"/>
        <w:ind w:firstLine="498"/>
        <w:outlineLvl w:val="2"/>
        <w:rPr>
          <w:rFonts w:hint="eastAsia" w:ascii="宋体" w:hAnsi="宋体" w:eastAsia="宋体" w:cs="宋体"/>
          <w:b/>
          <w:bCs/>
          <w:color w:val="auto"/>
          <w:sz w:val="32"/>
          <w:szCs w:val="32"/>
          <w:highlight w:val="none"/>
        </w:rPr>
      </w:pPr>
      <w:bookmarkStart w:id="49" w:name="_Toc28359084"/>
      <w:bookmarkStart w:id="50" w:name="_Toc38985267"/>
      <w:bookmarkStart w:id="51" w:name="_Toc30073"/>
      <w:bookmarkStart w:id="52" w:name="_Toc25214"/>
      <w:bookmarkStart w:id="53" w:name="_Toc12984"/>
      <w:bookmarkStart w:id="54" w:name="_Toc35393794"/>
      <w:bookmarkStart w:id="55" w:name="_Toc12839"/>
      <w:bookmarkStart w:id="56" w:name="_Toc35393625"/>
      <w:bookmarkStart w:id="57" w:name="_Toc28359007"/>
      <w:r>
        <w:rPr>
          <w:rFonts w:hint="eastAsia" w:ascii="宋体" w:hAnsi="宋体" w:eastAsia="宋体" w:cs="宋体"/>
          <w:b/>
          <w:bCs/>
          <w:color w:val="auto"/>
          <w:sz w:val="32"/>
          <w:szCs w:val="32"/>
          <w:highlight w:val="none"/>
        </w:rPr>
        <w:t>五、公告期限</w:t>
      </w:r>
      <w:bookmarkEnd w:id="49"/>
      <w:bookmarkEnd w:id="50"/>
      <w:bookmarkEnd w:id="51"/>
      <w:bookmarkEnd w:id="52"/>
      <w:bookmarkEnd w:id="53"/>
      <w:bookmarkEnd w:id="54"/>
      <w:bookmarkEnd w:id="55"/>
      <w:bookmarkEnd w:id="56"/>
      <w:bookmarkEnd w:id="57"/>
    </w:p>
    <w:p w14:paraId="62076391">
      <w:pPr>
        <w:spacing w:line="360" w:lineRule="auto"/>
        <w:ind w:firstLine="480"/>
        <w:rPr>
          <w:rFonts w:hint="eastAsia" w:ascii="宋体" w:hAnsi="宋体" w:eastAsia="宋体" w:cs="宋体"/>
          <w:color w:val="auto"/>
          <w:sz w:val="24"/>
          <w:szCs w:val="24"/>
          <w:highlight w:val="none"/>
        </w:rPr>
      </w:pPr>
      <w:bookmarkStart w:id="58" w:name="_Toc35393795"/>
      <w:bookmarkStart w:id="59" w:name="_Toc38985268"/>
      <w:bookmarkStart w:id="60" w:name="_Toc35393626"/>
      <w:r>
        <w:rPr>
          <w:rFonts w:hint="eastAsia" w:ascii="宋体" w:hAnsi="宋体" w:eastAsia="宋体" w:cs="宋体"/>
          <w:color w:val="auto"/>
          <w:sz w:val="24"/>
          <w:szCs w:val="24"/>
          <w:highlight w:val="none"/>
        </w:rPr>
        <w:t>自本公告发布之日起5个工作日。</w:t>
      </w:r>
    </w:p>
    <w:p w14:paraId="0E0E7095">
      <w:pPr>
        <w:keepNext/>
        <w:keepLines/>
        <w:spacing w:line="360" w:lineRule="auto"/>
        <w:ind w:firstLine="498"/>
        <w:outlineLvl w:val="2"/>
        <w:rPr>
          <w:rFonts w:hint="eastAsia" w:ascii="宋体" w:hAnsi="宋体" w:eastAsia="宋体" w:cs="宋体"/>
          <w:b/>
          <w:bCs/>
          <w:color w:val="auto"/>
          <w:sz w:val="32"/>
          <w:szCs w:val="32"/>
          <w:highlight w:val="none"/>
        </w:rPr>
      </w:pPr>
      <w:bookmarkStart w:id="61" w:name="_Toc17181"/>
      <w:bookmarkStart w:id="62" w:name="_Toc11944"/>
      <w:bookmarkStart w:id="63" w:name="_Toc11327"/>
      <w:bookmarkStart w:id="64" w:name="_Toc24149"/>
      <w:r>
        <w:rPr>
          <w:rFonts w:hint="eastAsia" w:ascii="宋体" w:hAnsi="宋体" w:eastAsia="宋体" w:cs="宋体"/>
          <w:b/>
          <w:bCs/>
          <w:color w:val="auto"/>
          <w:sz w:val="32"/>
          <w:szCs w:val="32"/>
          <w:highlight w:val="none"/>
        </w:rPr>
        <w:t>六、其他补充事宜</w:t>
      </w:r>
      <w:bookmarkEnd w:id="58"/>
      <w:bookmarkEnd w:id="59"/>
      <w:bookmarkEnd w:id="60"/>
      <w:bookmarkEnd w:id="61"/>
      <w:bookmarkEnd w:id="62"/>
      <w:bookmarkEnd w:id="63"/>
      <w:bookmarkEnd w:id="64"/>
    </w:p>
    <w:p w14:paraId="4F8E297F">
      <w:pPr>
        <w:spacing w:line="360" w:lineRule="auto"/>
        <w:ind w:firstLine="480"/>
        <w:jc w:val="left"/>
        <w:rPr>
          <w:rFonts w:hint="eastAsia" w:ascii="宋体" w:hAnsi="宋体" w:eastAsia="宋体" w:cs="宋体"/>
          <w:color w:val="auto"/>
          <w:sz w:val="24"/>
          <w:szCs w:val="24"/>
          <w:highlight w:val="none"/>
        </w:rPr>
      </w:pPr>
      <w:bookmarkStart w:id="65" w:name="_Toc11778"/>
      <w:bookmarkStart w:id="66" w:name="_Toc28359008"/>
      <w:bookmarkStart w:id="67" w:name="_Toc12090"/>
      <w:bookmarkStart w:id="68" w:name="_Toc35393627"/>
      <w:bookmarkStart w:id="69" w:name="_Toc35393796"/>
      <w:bookmarkStart w:id="70" w:name="_Toc38985269"/>
      <w:bookmarkStart w:id="71" w:name="_Toc10855"/>
      <w:bookmarkStart w:id="72" w:name="_Toc32552"/>
      <w:bookmarkStart w:id="73" w:name="_Toc28359085"/>
      <w:r>
        <w:rPr>
          <w:rFonts w:hint="eastAsia" w:ascii="宋体" w:hAnsi="宋体" w:eastAsia="宋体" w:cs="宋体"/>
          <w:color w:val="auto"/>
          <w:sz w:val="24"/>
          <w:szCs w:val="24"/>
          <w:highlight w:val="none"/>
        </w:rPr>
        <w:t>1.本次公开招标不收取投标保证金。</w:t>
      </w:r>
    </w:p>
    <w:p w14:paraId="0FB1A70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2.本招标文件中标注★的款项为实质性响应要求和条件，必须</w:t>
      </w:r>
      <w:r>
        <w:rPr>
          <w:rFonts w:hint="eastAsia" w:ascii="宋体" w:hAnsi="宋体" w:eastAsia="宋体" w:cs="宋体"/>
          <w:b/>
          <w:color w:val="auto"/>
          <w:sz w:val="24"/>
          <w:szCs w:val="24"/>
          <w:highlight w:val="none"/>
        </w:rPr>
        <w:t>逐条</w:t>
      </w:r>
      <w:r>
        <w:rPr>
          <w:rFonts w:hint="eastAsia" w:ascii="宋体" w:hAnsi="宋体" w:eastAsia="宋体" w:cs="宋体"/>
          <w:color w:val="auto"/>
          <w:sz w:val="24"/>
          <w:szCs w:val="24"/>
          <w:highlight w:val="none"/>
        </w:rPr>
        <w:t>做出满足要求和条件的响应，否则将按无效响应处理。</w:t>
      </w:r>
    </w:p>
    <w:p w14:paraId="4BB3ED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142BDD87">
      <w:pPr>
        <w:keepNext/>
        <w:keepLines/>
        <w:spacing w:line="360" w:lineRule="auto"/>
        <w:ind w:firstLine="498"/>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七、本次招标联系方式</w:t>
      </w:r>
      <w:bookmarkEnd w:id="65"/>
      <w:bookmarkEnd w:id="66"/>
      <w:bookmarkEnd w:id="67"/>
      <w:bookmarkEnd w:id="68"/>
      <w:bookmarkEnd w:id="69"/>
      <w:bookmarkEnd w:id="70"/>
      <w:bookmarkEnd w:id="71"/>
      <w:bookmarkEnd w:id="72"/>
      <w:bookmarkEnd w:id="73"/>
    </w:p>
    <w:p w14:paraId="5A49BFB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w:t>
      </w:r>
      <w:r>
        <w:rPr>
          <w:rFonts w:hint="eastAsia" w:ascii="宋体" w:hAnsi="宋体" w:eastAsia="宋体" w:cs="宋体"/>
          <w:color w:val="auto"/>
          <w:sz w:val="24"/>
          <w:szCs w:val="24"/>
          <w:highlight w:val="none"/>
        </w:rPr>
        <w:t>1.采购人信息</w:t>
      </w:r>
    </w:p>
    <w:p w14:paraId="6F72E58E">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连云港市海州区新坝镇人民政府</w:t>
      </w:r>
    </w:p>
    <w:p w14:paraId="1F2794C9">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海州区新坝镇</w:t>
      </w:r>
    </w:p>
    <w:p w14:paraId="5CEC92AD">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顾军</w:t>
      </w:r>
    </w:p>
    <w:p w14:paraId="4F2F52D3">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bookmarkStart w:id="74" w:name="_Toc28359086"/>
      <w:bookmarkStart w:id="75" w:name="_Toc28359009"/>
      <w:r>
        <w:rPr>
          <w:rFonts w:hint="eastAsia" w:ascii="宋体" w:hAnsi="宋体" w:eastAsia="宋体" w:cs="宋体"/>
          <w:color w:val="auto"/>
          <w:sz w:val="24"/>
          <w:szCs w:val="24"/>
          <w:highlight w:val="none"/>
          <w:lang w:val="en-US" w:eastAsia="zh-CN"/>
        </w:rPr>
        <w:t>13961397846</w:t>
      </w:r>
    </w:p>
    <w:p w14:paraId="444FC8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55004DB1">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bookmarkEnd w:id="74"/>
      <w:bookmarkEnd w:id="75"/>
      <w:r>
        <w:rPr>
          <w:rFonts w:hint="eastAsia" w:ascii="宋体" w:hAnsi="宋体" w:eastAsia="宋体" w:cs="宋体"/>
          <w:color w:val="auto"/>
          <w:sz w:val="24"/>
          <w:szCs w:val="24"/>
          <w:highlight w:val="none"/>
          <w:lang w:eastAsia="zh-CN"/>
        </w:rPr>
        <w:t>江苏建审工程项目管理有限公司</w:t>
      </w:r>
    </w:p>
    <w:p w14:paraId="334FA8B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连云港市海州区兴亿达大厦东侧20楼</w:t>
      </w:r>
    </w:p>
    <w:p w14:paraId="6B3C12D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孙工</w:t>
      </w:r>
    </w:p>
    <w:p w14:paraId="4B0C2D19">
      <w:pPr>
        <w:spacing w:line="360" w:lineRule="auto"/>
        <w:ind w:firstLine="48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联系方式：</w:t>
      </w:r>
      <w:bookmarkStart w:id="76" w:name="_Toc28359010"/>
      <w:bookmarkStart w:id="77" w:name="_Toc28359087"/>
      <w:r>
        <w:rPr>
          <w:rFonts w:hint="eastAsia" w:ascii="宋体" w:hAnsi="宋体" w:eastAsia="宋体" w:cs="宋体"/>
          <w:color w:val="auto"/>
          <w:sz w:val="24"/>
          <w:szCs w:val="24"/>
          <w:highlight w:val="none"/>
          <w:lang w:val="en-US" w:eastAsia="zh-CN"/>
        </w:rPr>
        <w:t>18652112802</w:t>
      </w:r>
    </w:p>
    <w:p w14:paraId="1C103EF5">
      <w:pPr>
        <w:pStyle w:val="26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667BF70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顾军</w:t>
      </w:r>
    </w:p>
    <w:p w14:paraId="51DD1B59">
      <w:pPr>
        <w:keepNext/>
        <w:keepLines/>
        <w:spacing w:line="360" w:lineRule="auto"/>
        <w:ind w:firstLine="498"/>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bookmarkEnd w:id="76"/>
      <w:bookmarkEnd w:id="77"/>
      <w:r>
        <w:rPr>
          <w:rFonts w:hint="eastAsia" w:ascii="宋体" w:hAnsi="宋体" w:eastAsia="宋体" w:cs="宋体"/>
          <w:color w:val="auto"/>
          <w:sz w:val="24"/>
          <w:szCs w:val="24"/>
          <w:highlight w:val="none"/>
          <w:lang w:val="en-US" w:eastAsia="zh-CN"/>
        </w:rPr>
        <w:t>13961397846</w:t>
      </w:r>
    </w:p>
    <w:p w14:paraId="3535DC3F">
      <w:pPr>
        <w:keepNext/>
        <w:keepLines/>
        <w:spacing w:line="360" w:lineRule="auto"/>
        <w:ind w:firstLine="498"/>
        <w:outlineLvl w:val="2"/>
        <w:rPr>
          <w:rFonts w:hint="eastAsia" w:ascii="宋体" w:hAnsi="宋体" w:eastAsia="宋体" w:cs="宋体"/>
          <w:b/>
          <w:bCs/>
          <w:color w:val="auto"/>
          <w:sz w:val="32"/>
          <w:szCs w:val="32"/>
          <w:highlight w:val="none"/>
        </w:rPr>
      </w:pPr>
      <w:bookmarkStart w:id="78" w:name="_Toc1060"/>
      <w:bookmarkStart w:id="79" w:name="_Toc17779"/>
      <w:bookmarkStart w:id="80" w:name="_Toc21087"/>
      <w:bookmarkStart w:id="81" w:name="_Toc30732"/>
      <w:r>
        <w:rPr>
          <w:rFonts w:hint="eastAsia" w:ascii="宋体" w:hAnsi="宋体" w:eastAsia="宋体" w:cs="宋体"/>
          <w:b/>
          <w:bCs/>
          <w:color w:val="auto"/>
          <w:sz w:val="32"/>
          <w:szCs w:val="32"/>
          <w:highlight w:val="none"/>
        </w:rPr>
        <w:t>八、其他</w:t>
      </w:r>
      <w:bookmarkEnd w:id="78"/>
      <w:bookmarkEnd w:id="79"/>
      <w:bookmarkEnd w:id="80"/>
      <w:bookmarkEnd w:id="81"/>
    </w:p>
    <w:p w14:paraId="33D0389E">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2"/>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1.</w:t>
      </w:r>
      <w:r>
        <w:rPr>
          <w:rFonts w:hint="eastAsia" w:ascii="宋体" w:hAnsi="宋体" w:eastAsia="宋体" w:cs="宋体"/>
          <w:bCs/>
          <w:color w:val="auto"/>
          <w:sz w:val="24"/>
          <w:szCs w:val="24"/>
          <w:highlight w:val="none"/>
        </w:rPr>
        <w:t>根据省财政厅《关于更换全省政府采购交易系统C A数字证书和电子签章的通知》（苏财购〔2023〕101号），</w:t>
      </w:r>
      <w:r>
        <w:rPr>
          <w:rFonts w:hint="eastAsia" w:ascii="宋体" w:hAnsi="宋体" w:eastAsia="宋体" w:cs="宋体"/>
          <w:color w:val="auto"/>
          <w:sz w:val="24"/>
          <w:szCs w:val="24"/>
          <w:highlight w:val="none"/>
        </w:rPr>
        <w:t>“苏采云”政府采购交易系统（以下简称苏采云系统）</w:t>
      </w:r>
      <w:r>
        <w:rPr>
          <w:rFonts w:hint="eastAsia" w:ascii="宋体" w:hAnsi="宋体" w:eastAsia="宋体" w:cs="宋体"/>
          <w:bCs/>
          <w:color w:val="auto"/>
          <w:sz w:val="24"/>
          <w:szCs w:val="24"/>
          <w:highlight w:val="none"/>
        </w:rPr>
        <w:t>的CA数字证书、电子签章已更换为江苏省电子政务证书认证中心C A和方正国际软件（北京）有限公司电子签章。如果</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rPr>
        <w:t>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参与政府采购项目，需要更换CA数字证书和电子签章。具体办理指南和操作手册见链接：http://www.ccgp-jiangsu.gov.cn/jiangsu/zlxz/ee/ee3a4bc5a3454aa2b0d9312230633ce9.html。</w:t>
      </w:r>
    </w:p>
    <w:p w14:paraId="271F76D1">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2.有关本次招标的事项若存在变动或修改，敬请及时关注</w:t>
      </w:r>
      <w:r>
        <w:rPr>
          <w:rFonts w:hint="eastAsia" w:ascii="宋体" w:hAnsi="宋体" w:eastAsia="宋体" w:cs="宋体"/>
          <w:bCs/>
          <w:color w:val="auto"/>
          <w:sz w:val="24"/>
          <w:szCs w:val="24"/>
          <w:highlight w:val="none"/>
          <w:lang w:eastAsia="zh-CN"/>
        </w:rPr>
        <w:t>江苏建审工程项目管理有限公司</w:t>
      </w:r>
      <w:r>
        <w:rPr>
          <w:rFonts w:hint="eastAsia" w:ascii="宋体" w:hAnsi="宋体" w:eastAsia="宋体" w:cs="宋体"/>
          <w:bCs/>
          <w:color w:val="auto"/>
          <w:sz w:val="24"/>
          <w:szCs w:val="24"/>
          <w:highlight w:val="none"/>
        </w:rPr>
        <w:t>在“江苏政府采购网”发布的更正公告。</w:t>
      </w:r>
    </w:p>
    <w:p w14:paraId="77BEBA1E">
      <w:pPr>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.本项目采用电子招标投标，请供应商严格按照招标文件的规定编制、提交投标文件，否则所造成的一切不利后果由供应商自行承担。</w:t>
      </w:r>
    </w:p>
    <w:p w14:paraId="4B9FEED2">
      <w:pPr>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4</w:t>
      </w: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应当通过“苏采云”系统提交数据电文形式的投标文件（即电子投标）。</w:t>
      </w:r>
    </w:p>
    <w:p w14:paraId="23DF68E7">
      <w:pPr>
        <w:keepNext/>
        <w:keepLines/>
        <w:spacing w:line="360" w:lineRule="auto"/>
        <w:ind w:firstLine="2429"/>
        <w:outlineLvl w:val="1"/>
        <w:rPr>
          <w:rStyle w:val="246"/>
          <w:rFonts w:hint="eastAsia" w:ascii="宋体" w:hAnsi="宋体" w:eastAsia="宋体" w:cs="宋体"/>
          <w:color w:val="auto"/>
          <w:highlight w:val="none"/>
        </w:rPr>
      </w:pPr>
      <w:bookmarkStart w:id="82" w:name="_Toc120614211"/>
      <w:r>
        <w:rPr>
          <w:rFonts w:hint="eastAsia" w:ascii="宋体" w:hAnsi="宋体" w:eastAsia="宋体" w:cs="宋体"/>
          <w:b/>
          <w:bCs/>
          <w:color w:val="auto"/>
          <w:sz w:val="44"/>
          <w:szCs w:val="44"/>
          <w:highlight w:val="none"/>
        </w:rPr>
        <w:br w:type="page" w:clear="all"/>
      </w:r>
      <w:bookmarkStart w:id="83" w:name="_Toc15404"/>
      <w:bookmarkStart w:id="84" w:name="_Toc22758"/>
      <w:bookmarkStart w:id="85" w:name="_Toc9737"/>
      <w:bookmarkStart w:id="86" w:name="_Toc5406"/>
      <w:r>
        <w:rPr>
          <w:rStyle w:val="246"/>
          <w:rFonts w:hint="eastAsia" w:ascii="宋体" w:hAnsi="宋体" w:eastAsia="宋体" w:cs="宋体"/>
          <w:color w:val="auto"/>
          <w:highlight w:val="none"/>
        </w:rPr>
        <w:t xml:space="preserve">第二章  </w:t>
      </w:r>
      <w:bookmarkEnd w:id="1"/>
      <w:bookmarkEnd w:id="2"/>
      <w:bookmarkEnd w:id="3"/>
      <w:bookmarkEnd w:id="4"/>
      <w:bookmarkEnd w:id="5"/>
      <w:bookmarkEnd w:id="82"/>
      <w:bookmarkStart w:id="87" w:name="_Toc513029202"/>
      <w:bookmarkStart w:id="88" w:name="_Toc16938518"/>
      <w:bookmarkStart w:id="89" w:name="_Toc20823274"/>
      <w:bookmarkStart w:id="90" w:name="_Toc120614213"/>
      <w:r>
        <w:rPr>
          <w:rStyle w:val="246"/>
          <w:rFonts w:hint="eastAsia" w:ascii="宋体" w:hAnsi="宋体" w:cs="宋体"/>
          <w:color w:val="auto"/>
          <w:highlight w:val="none"/>
          <w:lang w:eastAsia="zh-CN"/>
        </w:rPr>
        <w:t>供应商</w:t>
      </w:r>
      <w:r>
        <w:rPr>
          <w:rStyle w:val="246"/>
          <w:rFonts w:hint="eastAsia" w:ascii="宋体" w:hAnsi="宋体" w:eastAsia="宋体" w:cs="宋体"/>
          <w:color w:val="auto"/>
          <w:highlight w:val="none"/>
        </w:rPr>
        <w:t>须知</w:t>
      </w:r>
      <w:bookmarkEnd w:id="83"/>
      <w:bookmarkEnd w:id="84"/>
      <w:bookmarkEnd w:id="85"/>
      <w:bookmarkEnd w:id="86"/>
      <w:bookmarkEnd w:id="87"/>
      <w:bookmarkEnd w:id="88"/>
      <w:bookmarkEnd w:id="89"/>
      <w:bookmarkEnd w:id="90"/>
    </w:p>
    <w:p w14:paraId="3AF4F843">
      <w:pPr>
        <w:pStyle w:val="4"/>
        <w:numPr>
          <w:ilvl w:val="0"/>
          <w:numId w:val="0"/>
        </w:numPr>
        <w:rPr>
          <w:rFonts w:hint="eastAsia" w:ascii="宋体" w:hAnsi="宋体" w:eastAsia="宋体" w:cs="宋体"/>
          <w:b w:val="0"/>
          <w:color w:val="auto"/>
          <w:highlight w:val="none"/>
        </w:rPr>
      </w:pPr>
      <w:bookmarkStart w:id="91" w:name="_Toc513029242"/>
      <w:bookmarkStart w:id="92" w:name="_Toc20823314"/>
      <w:bookmarkStart w:id="93" w:name="_Toc479757207"/>
      <w:bookmarkStart w:id="94" w:name="_Toc120614221"/>
      <w:bookmarkStart w:id="95" w:name="_Toc16938558"/>
      <w:r>
        <w:rPr>
          <w:rFonts w:hint="eastAsia" w:ascii="宋体" w:hAnsi="宋体" w:eastAsia="宋体" w:cs="宋体"/>
          <w:color w:val="auto"/>
          <w:highlight w:val="none"/>
        </w:rPr>
        <w:t>一、总则</w:t>
      </w:r>
    </w:p>
    <w:p w14:paraId="46A267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采购人、项目（标段）名称及编号，详见第一章“投标邀请”。</w:t>
      </w:r>
    </w:p>
    <w:p w14:paraId="718F6E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采购预算</w:t>
      </w:r>
    </w:p>
    <w:p w14:paraId="7BAA72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本项目的采购预算，详见第一章“投标邀请”。</w:t>
      </w:r>
    </w:p>
    <w:p w14:paraId="14528A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资金来源</w:t>
      </w:r>
    </w:p>
    <w:p w14:paraId="0B3CBD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“投标邀请”中所述的采购人已获得一笔政府采购资金，用于采购第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章“项目需求”所列内容。</w:t>
      </w:r>
    </w:p>
    <w:p w14:paraId="7F32DA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采购方式</w:t>
      </w:r>
    </w:p>
    <w:p w14:paraId="0D30DD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本项目采用公开招标采购方式，招标、投标、开标、评标和中标结果发布全程电子化。</w:t>
      </w:r>
    </w:p>
    <w:p w14:paraId="3F5766E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 合格的</w:t>
      </w:r>
      <w:r>
        <w:rPr>
          <w:rFonts w:hint="eastAsia" w:ascii="宋体" w:hAnsi="宋体" w:cs="宋体"/>
          <w:color w:val="auto"/>
          <w:sz w:val="24"/>
          <w:szCs w:val="24"/>
          <w:highlight w:val="none"/>
          <w:lang w:eastAsia="zh-CN"/>
        </w:rPr>
        <w:t>供应商</w:t>
      </w:r>
    </w:p>
    <w:p w14:paraId="6BC592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应符合第一章“投标邀请”中规定的条件，</w:t>
      </w:r>
      <w:r>
        <w:rPr>
          <w:rFonts w:hint="eastAsia" w:ascii="宋体" w:hAnsi="宋体" w:eastAsia="宋体" w:cs="宋体"/>
          <w:b/>
          <w:bCs/>
          <w:color w:val="auto"/>
          <w:sz w:val="24"/>
          <w:szCs w:val="24"/>
          <w:highlight w:val="none"/>
        </w:rPr>
        <w:t>否则投标无效</w:t>
      </w:r>
      <w:r>
        <w:rPr>
          <w:rFonts w:hint="eastAsia" w:ascii="宋体" w:hAnsi="宋体" w:eastAsia="宋体" w:cs="宋体"/>
          <w:color w:val="auto"/>
          <w:sz w:val="24"/>
          <w:szCs w:val="24"/>
          <w:highlight w:val="none"/>
        </w:rPr>
        <w:t>。</w:t>
      </w:r>
    </w:p>
    <w:p w14:paraId="0D5C1B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不得直接或间接地与为本次采购的标的进行设计、编制规范和其他文件的咨询公司、采购（代理）机构或其附属机构有任何关联。 </w:t>
      </w:r>
    </w:p>
    <w:p w14:paraId="48DDAC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5E2B1A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符合上述条件的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应承担投标及履约过程应承担的全部责任与义务。</w:t>
      </w:r>
    </w:p>
    <w:p w14:paraId="336574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14:paraId="1B2CFC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不论投标结果如何，</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均应自行承担所有与编写和提交投标文件有关的全部费用。</w:t>
      </w:r>
    </w:p>
    <w:p w14:paraId="2346FC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1"/>
          <w:highlight w:val="none"/>
        </w:rPr>
        <w:t>本次招标采购代理</w:t>
      </w:r>
      <w:r>
        <w:rPr>
          <w:rFonts w:hint="eastAsia" w:ascii="宋体" w:hAnsi="宋体" w:eastAsia="宋体" w:cs="宋体"/>
          <w:color w:val="auto"/>
          <w:sz w:val="24"/>
          <w:szCs w:val="24"/>
          <w:highlight w:val="none"/>
        </w:rPr>
        <w:t>服务费及其他：</w:t>
      </w:r>
    </w:p>
    <w:p w14:paraId="54399F0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（1）按照苏招协[2022]002号文规定的</w:t>
      </w:r>
      <w:r>
        <w:rPr>
          <w:rFonts w:hint="eastAsia" w:ascii="宋体" w:hAnsi="宋体" w:cs="宋体"/>
          <w:color w:val="auto"/>
          <w:sz w:val="24"/>
          <w:szCs w:val="24"/>
          <w:highlight w:val="none"/>
          <w:lang w:val="en-US" w:eastAsia="zh-CN"/>
        </w:rPr>
        <w:t>70</w:t>
      </w:r>
      <w:r>
        <w:rPr>
          <w:rFonts w:hint="eastAsia" w:ascii="宋体" w:hAnsi="宋体" w:cs="宋体"/>
          <w:color w:val="auto"/>
          <w:sz w:val="24"/>
          <w:szCs w:val="24"/>
          <w:highlight w:val="none"/>
        </w:rPr>
        <w:t>%收取费用；</w:t>
      </w:r>
    </w:p>
    <w:p w14:paraId="0AC439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（2）涉及本采购项目的其他费用，按相关规定执行。</w:t>
      </w:r>
    </w:p>
    <w:p w14:paraId="28011D28">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以上费用最终</w:t>
      </w:r>
      <w:r>
        <w:rPr>
          <w:rFonts w:hint="eastAsia" w:ascii="宋体" w:hAnsi="宋体" w:cs="宋体"/>
          <w:color w:val="auto"/>
          <w:sz w:val="24"/>
          <w:szCs w:val="24"/>
          <w:highlight w:val="none"/>
          <w:lang w:val="en-US" w:eastAsia="zh-CN"/>
        </w:rPr>
        <w:t>中标通知书发出后30日内</w:t>
      </w:r>
      <w:r>
        <w:rPr>
          <w:rFonts w:hint="eastAsia" w:ascii="宋体" w:hAnsi="宋体" w:cs="宋体"/>
          <w:color w:val="auto"/>
          <w:sz w:val="24"/>
          <w:szCs w:val="24"/>
          <w:highlight w:val="none"/>
        </w:rPr>
        <w:t>由</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人支付</w:t>
      </w:r>
      <w:r>
        <w:rPr>
          <w:rFonts w:hint="eastAsia" w:ascii="宋体" w:hAnsi="宋体" w:eastAsia="宋体" w:cs="宋体"/>
          <w:color w:val="auto"/>
          <w:sz w:val="24"/>
          <w:szCs w:val="24"/>
          <w:highlight w:val="none"/>
        </w:rPr>
        <w:t>。</w:t>
      </w:r>
    </w:p>
    <w:p w14:paraId="3E1C00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质疑</w:t>
      </w:r>
    </w:p>
    <w:p w14:paraId="25070F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质疑的提出</w:t>
      </w:r>
    </w:p>
    <w:p w14:paraId="01A4A2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提出质疑的供应商应当是参与所质疑项目采购活动的供应商。</w:t>
      </w:r>
    </w:p>
    <w:p w14:paraId="46F109FC">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auto"/>
          <w:sz w:val="24"/>
          <w:szCs w:val="24"/>
          <w:highlight w:val="none"/>
          <w:lang w:eastAsia="zh-CN"/>
        </w:rPr>
        <w:t>江苏建审工程项目管理有限公司</w:t>
      </w:r>
      <w:r>
        <w:rPr>
          <w:rFonts w:hint="eastAsia" w:ascii="宋体" w:hAnsi="宋体" w:eastAsia="宋体" w:cs="宋体"/>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未依照采购公告要求获取招标文件的供应商，视为未参与该项目的采购活动，不具备对该招标文件提出质疑的法定权利。</w:t>
      </w:r>
    </w:p>
    <w:p w14:paraId="53BA9E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3DF250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质疑函的接收方式为供应商书面原件提交</w:t>
      </w:r>
      <w:r>
        <w:rPr>
          <w:rFonts w:hint="eastAsia" w:ascii="宋体" w:hAnsi="宋体" w:eastAsia="宋体" w:cs="宋体"/>
          <w:color w:val="auto"/>
          <w:sz w:val="24"/>
          <w:szCs w:val="24"/>
          <w:highlight w:val="none"/>
        </w:rPr>
        <w:t>。联系部门、联系电话和通讯地址详见第一章“投标邀请”。质疑实行实名制，不得进行虚假、恶意质疑。</w:t>
      </w:r>
    </w:p>
    <w:p w14:paraId="67CC89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7.1.5 质疑函应当使用范本（详见</w:t>
      </w:r>
      <w:r>
        <w:rPr>
          <w:rFonts w:hint="eastAsia" w:ascii="宋体" w:hAnsi="宋体" w:eastAsia="宋体" w:cs="宋体"/>
          <w:color w:val="auto"/>
          <w:sz w:val="24"/>
          <w:szCs w:val="24"/>
          <w:highlight w:val="none"/>
          <w:lang w:val="en-US" w:eastAsia="zh-CN"/>
        </w:rPr>
        <w:t>格式</w:t>
      </w:r>
      <w:r>
        <w:rPr>
          <w:rFonts w:hint="eastAsia" w:ascii="宋体" w:hAnsi="宋体" w:eastAsia="宋体" w:cs="宋体"/>
          <w:color w:val="auto"/>
          <w:sz w:val="24"/>
          <w:szCs w:val="24"/>
          <w:highlight w:val="none"/>
        </w:rPr>
        <w:t>）。</w:t>
      </w:r>
    </w:p>
    <w:p w14:paraId="165EA3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w:t>
      </w:r>
      <w:r>
        <w:rPr>
          <w:rFonts w:hint="eastAsia" w:ascii="宋体" w:hAnsi="宋体" w:eastAsia="宋体" w:cs="宋体"/>
          <w:b/>
          <w:color w:val="auto"/>
          <w:sz w:val="24"/>
          <w:szCs w:val="24"/>
          <w:highlight w:val="none"/>
        </w:rPr>
        <w:t>应当提交质疑函和必要的证明材料</w:t>
      </w:r>
      <w:r>
        <w:rPr>
          <w:rFonts w:hint="eastAsia" w:ascii="宋体" w:hAnsi="宋体" w:eastAsia="宋体" w:cs="宋体"/>
          <w:color w:val="auto"/>
          <w:sz w:val="24"/>
          <w:szCs w:val="24"/>
          <w:highlight w:val="none"/>
        </w:rPr>
        <w:t>，应当包括下列内容：</w:t>
      </w:r>
    </w:p>
    <w:p w14:paraId="14EC5D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76D221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022179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20ED2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129817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2A0B6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6DD2411E">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color w:val="auto"/>
          <w:sz w:val="24"/>
          <w:szCs w:val="24"/>
          <w:highlight w:val="none"/>
        </w:rPr>
        <w:t>必要的证明材料；</w:t>
      </w:r>
    </w:p>
    <w:p w14:paraId="5CBECBE4">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（8）招标文件(交易文件)下载回执函；</w:t>
      </w:r>
    </w:p>
    <w:p w14:paraId="13AD90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（9）营业执照复印件及法定代表人授权委托书、法定代表人身份证复印件、委托代理人身份证复印件。</w:t>
      </w:r>
    </w:p>
    <w:p w14:paraId="00F233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供应商为自然人的，应当由本人签字；供应商为法人或者其他组织的，应当由法定代表人、主要负责人，或者其授权代理人签字或者盖章，并加盖单位公章。</w:t>
      </w:r>
    </w:p>
    <w:p w14:paraId="15C57C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质疑函的受理和答复</w:t>
      </w:r>
    </w:p>
    <w:p w14:paraId="404C383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对不能提供必要的证明材料的、涉及商业秘密的、非书面原件形式的、匿名的质疑函将不予受理</w:t>
      </w:r>
      <w:r>
        <w:rPr>
          <w:rFonts w:hint="eastAsia" w:ascii="宋体" w:hAnsi="宋体" w:eastAsia="宋体" w:cs="宋体"/>
          <w:color w:val="auto"/>
          <w:sz w:val="24"/>
          <w:szCs w:val="24"/>
          <w:highlight w:val="none"/>
        </w:rPr>
        <w:t>。必要的证明材料要具备客观性、关联性、合法性，无法查实的（如宣传册、媒体报道、猜测、推理等）不能作为证明材料。采购人、采购代理机构不负责搜集必要的证明材料等工作。</w:t>
      </w:r>
    </w:p>
    <w:p w14:paraId="0FDBD9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55524F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7.2.3 对不符合质疑要求的，采购人、采购代理机构有权要求其补充必要的证明材料，质疑供应商未在法定的时间内提供补充必要的证明材料的，视同放弃质疑。</w:t>
      </w:r>
    </w:p>
    <w:p w14:paraId="2543C1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2DFF1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质疑处理</w:t>
      </w:r>
    </w:p>
    <w:p w14:paraId="3D97D0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质疑供应商未按照法定程序进行质疑投诉的，视为一般失信行为。</w:t>
      </w:r>
    </w:p>
    <w:p w14:paraId="28CDDF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质疑供应商不配合或者采用不正当手段干扰政府采购质疑、投诉处理工作的，视为一般失信行为。</w:t>
      </w:r>
    </w:p>
    <w:p w14:paraId="5887E3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质疑供应商投诉受理期间，就同一事项多头举报，干扰财政部门投诉处理的，视为一般失信行为。</w:t>
      </w:r>
    </w:p>
    <w:p w14:paraId="6E3FAE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 质疑供应商在全国范围12个月内三次以上质疑查无实据的，视为一般失信行为。</w:t>
      </w:r>
    </w:p>
    <w:p w14:paraId="721C747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652BD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7.3.6 质疑供应商在全国范围12个月内三次以上投诉查无实据的，视为严重失信行为。</w:t>
      </w:r>
    </w:p>
    <w:p w14:paraId="255261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未尽事宜，依照有关法律、法规执行。</w:t>
      </w:r>
    </w:p>
    <w:p w14:paraId="3EF7FD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投诉</w:t>
      </w:r>
    </w:p>
    <w:p w14:paraId="709063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8.1 投诉事项依照有关法律、法规执行。</w:t>
      </w:r>
    </w:p>
    <w:p w14:paraId="672EB250">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二、招标文件</w:t>
      </w:r>
    </w:p>
    <w:p w14:paraId="42B08B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招标文件构成</w:t>
      </w:r>
    </w:p>
    <w:p w14:paraId="67B6E1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要求提供的货物、招标过程及合同条款在招标文件中均有说明，招标文件分为</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章，各章的内容如下：</w:t>
      </w:r>
    </w:p>
    <w:p w14:paraId="70DD1D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74B708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p>
    <w:p w14:paraId="5579FB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政府采购合同格式</w:t>
      </w:r>
    </w:p>
    <w:p w14:paraId="653668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项目需求</w:t>
      </w:r>
    </w:p>
    <w:p w14:paraId="5E65CA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评标办法</w:t>
      </w:r>
    </w:p>
    <w:p w14:paraId="0B151F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  投标文件格式</w:t>
      </w:r>
    </w:p>
    <w:p w14:paraId="666371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招标文件的澄清或修改</w:t>
      </w:r>
    </w:p>
    <w:p w14:paraId="27C0241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4AD56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；不足15日的，采购人或者采购代理机构应当顺延提交投标文件的截止时间。</w:t>
      </w:r>
    </w:p>
    <w:p w14:paraId="079A36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；不足3日的，采购人或者采购代理机构应当顺延提交资格预审申请文件的截止时间。</w:t>
      </w:r>
    </w:p>
    <w:p w14:paraId="2A4249DB">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三、投标文件的编制</w:t>
      </w:r>
    </w:p>
    <w:p w14:paraId="743791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投标文件编写注意事项</w:t>
      </w:r>
    </w:p>
    <w:p w14:paraId="63EB0F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无效响应处理</w:t>
      </w:r>
      <w:r>
        <w:rPr>
          <w:rFonts w:hint="eastAsia" w:ascii="宋体" w:hAnsi="宋体" w:eastAsia="宋体" w:cs="宋体"/>
          <w:color w:val="auto"/>
          <w:sz w:val="24"/>
          <w:szCs w:val="24"/>
          <w:highlight w:val="none"/>
        </w:rPr>
        <w:t>。</w:t>
      </w:r>
    </w:p>
    <w:p w14:paraId="300BE9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对招标文件提出的实质性要求和条件作出响应是指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作出满足原要求和条件的响应</w:t>
      </w:r>
      <w:r>
        <w:rPr>
          <w:rFonts w:hint="eastAsia" w:ascii="宋体" w:hAnsi="宋体" w:eastAsia="宋体" w:cs="宋体"/>
          <w:color w:val="auto"/>
          <w:sz w:val="24"/>
          <w:szCs w:val="24"/>
          <w:highlight w:val="none"/>
        </w:rPr>
        <w:t>。</w:t>
      </w:r>
    </w:p>
    <w:p w14:paraId="3B4202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招标文件中标注★号的部分为实质性要求和条件</w:t>
      </w:r>
      <w:r>
        <w:rPr>
          <w:rFonts w:hint="eastAsia" w:ascii="宋体" w:hAnsi="宋体" w:eastAsia="宋体" w:cs="宋体"/>
          <w:color w:val="auto"/>
          <w:sz w:val="24"/>
          <w:szCs w:val="24"/>
          <w:highlight w:val="none"/>
        </w:rPr>
        <w:t>。</w:t>
      </w:r>
    </w:p>
    <w:p w14:paraId="7D5D52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投标的语言及计量单位</w:t>
      </w:r>
    </w:p>
    <w:p w14:paraId="1DD65A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的投标文件以及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与采购代理机构就有关投标的所有来往函电统一使用中文（特别规定除外），既有中文也有外文的，以中文意义为准。</w:t>
      </w:r>
    </w:p>
    <w:p w14:paraId="666EA2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投标文件中使用的计量单位除招标文件中有特殊规定外，一律使用中国法定计量单位。</w:t>
      </w:r>
    </w:p>
    <w:p w14:paraId="2C7083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投标报价</w:t>
      </w:r>
    </w:p>
    <w:p w14:paraId="5CFF82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7C9E8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（1）投标的货物总价；</w:t>
      </w:r>
    </w:p>
    <w:p w14:paraId="58BA2C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（2）货物的标准附件、备品备件、专用工具、运输、装卸等各种费用；</w:t>
      </w:r>
    </w:p>
    <w:p w14:paraId="70F597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（3）必要的保险费用和各项税金；</w:t>
      </w:r>
    </w:p>
    <w:p w14:paraId="7FE8C9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（4）投标总价要求包含</w:t>
      </w:r>
      <w:r>
        <w:rPr>
          <w:rFonts w:hint="eastAsia" w:ascii="宋体" w:hAnsi="宋体" w:eastAsia="宋体" w:cs="宋体"/>
          <w:color w:val="auto"/>
          <w:sz w:val="24"/>
          <w:szCs w:val="24"/>
          <w:highlight w:val="none"/>
          <w:lang w:val="en-US" w:eastAsia="zh-CN"/>
        </w:rPr>
        <w:t>配合指导</w:t>
      </w:r>
      <w:r>
        <w:rPr>
          <w:rFonts w:hint="eastAsia" w:ascii="宋体" w:hAnsi="宋体" w:eastAsia="宋体" w:cs="宋体"/>
          <w:color w:val="auto"/>
          <w:sz w:val="24"/>
          <w:szCs w:val="24"/>
          <w:highlight w:val="none"/>
        </w:rPr>
        <w:t>安装费用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主体安装由施工单位完成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1B1BE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可就第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章“项目需求”中的某个分标货物内容作完整唯一报价，也可就所有分标或某几个分标货物内容分别作完整唯一报价。</w:t>
      </w:r>
    </w:p>
    <w:p w14:paraId="2BC7D8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投标货币</w:t>
      </w:r>
    </w:p>
    <w:p w14:paraId="117D2A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投标应以人民币报价。</w:t>
      </w:r>
    </w:p>
    <w:p w14:paraId="5AF5FF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投标文件有效期</w:t>
      </w:r>
    </w:p>
    <w:p w14:paraId="1DF335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本项目投标文件有效期为：投标文件接收截止时间结束后60天内，投标文件有效期不符合招标文件要求的，该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投标无效。</w:t>
      </w:r>
    </w:p>
    <w:p w14:paraId="260FAEA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在特殊情况下，采购代理机构可与</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协商延长投标文件的有效期，这种要求与答复均应以书面形式提交。</w:t>
      </w:r>
    </w:p>
    <w:p w14:paraId="477072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投标保证金</w:t>
      </w:r>
    </w:p>
    <w:p w14:paraId="4AAFE6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本项目不收取投标保证金。</w:t>
      </w:r>
    </w:p>
    <w:p w14:paraId="6C7F82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投标文件制作工具</w:t>
      </w:r>
    </w:p>
    <w:p w14:paraId="7E8817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2D744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投标文件构成</w:t>
      </w:r>
    </w:p>
    <w:p w14:paraId="4021516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编制的投标文件应包括</w:t>
      </w:r>
      <w:r>
        <w:rPr>
          <w:rFonts w:hint="eastAsia" w:ascii="宋体" w:hAnsi="宋体" w:eastAsia="宋体" w:cs="宋体"/>
          <w:b/>
          <w:color w:val="auto"/>
          <w:sz w:val="24"/>
          <w:szCs w:val="24"/>
          <w:highlight w:val="none"/>
        </w:rPr>
        <w:t>商务文件、技术文件、评审因素所需材料和其他材料</w:t>
      </w:r>
      <w:r>
        <w:rPr>
          <w:rFonts w:hint="eastAsia" w:ascii="宋体" w:hAnsi="宋体" w:eastAsia="宋体" w:cs="宋体"/>
          <w:color w:val="auto"/>
          <w:sz w:val="24"/>
          <w:szCs w:val="24"/>
          <w:highlight w:val="none"/>
        </w:rPr>
        <w:t>等内容，相关文件的提交如未特别注明可提供扫描件。</w:t>
      </w:r>
    </w:p>
    <w:p w14:paraId="4F139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投标文件格式：</w:t>
      </w:r>
    </w:p>
    <w:p w14:paraId="61E4BEB5">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填写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地址、法定代表人、委托代理人、日期等内容。</w:t>
      </w:r>
    </w:p>
    <w:p w14:paraId="255877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商务文件：（政府采购政策有关材料可选提交；委托代理时必须提交法定代表人授权委托书，否则投标无效；其他文件必须提交，否则投标无效）</w:t>
      </w:r>
    </w:p>
    <w:p w14:paraId="1E45D8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（1）响应函：请按给定格式及要求填写。</w:t>
      </w:r>
    </w:p>
    <w:p w14:paraId="5C00E3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（2）开标一览表：请按给定格式及要求填写。</w:t>
      </w:r>
    </w:p>
    <w:p w14:paraId="791F24C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（3）投标产品配置及分项报价表：请按第</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章“投标文件格式”提供的“投标产品配置及分项报价表”格式及要求填写。</w:t>
      </w:r>
    </w:p>
    <w:p w14:paraId="77CE84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611FA6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（5）资格审查材料：</w:t>
      </w:r>
    </w:p>
    <w:p w14:paraId="2AB13B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225D74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（6）法定代表人授权委托书：请按给定格式及要求填写。</w:t>
      </w:r>
    </w:p>
    <w:p w14:paraId="722FDF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（7）商务条款偏离表：请按给定格式及要求，并根据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投标承诺的商务条件与“合同条款”“合同专用条款表”“项目需求”等的差异填写。</w:t>
      </w:r>
    </w:p>
    <w:p w14:paraId="44D820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技术文件：</w:t>
      </w:r>
    </w:p>
    <w:p w14:paraId="42D356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（1）技术标：可以但不限于技术方案、产品技术资料、招标文件规定的其他文件等，格式自定。</w:t>
      </w:r>
    </w:p>
    <w:p w14:paraId="228AA8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（2）技术规格偏离表：按第</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章“投标文件格式”提供的“技术规格偏离表”的格式及要求，根据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投标的货物与“项目需求”相关技术规格要求的差异填写。</w:t>
      </w:r>
    </w:p>
    <w:p w14:paraId="743E0F44">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18.4</w:t>
      </w:r>
      <w:r>
        <w:rPr>
          <w:rFonts w:hint="eastAsia" w:ascii="宋体" w:hAnsi="宋体" w:eastAsia="宋体" w:cs="宋体"/>
          <w:b/>
          <w:color w:val="auto"/>
          <w:sz w:val="24"/>
          <w:szCs w:val="24"/>
          <w:highlight w:val="none"/>
        </w:rPr>
        <w:t>评审因素所需材料：</w:t>
      </w:r>
    </w:p>
    <w:p w14:paraId="5F4877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7A27AF93">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其他材料：</w:t>
      </w:r>
    </w:p>
    <w:p w14:paraId="593C50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273360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生成投标文件</w:t>
      </w:r>
    </w:p>
    <w:p w14:paraId="74CC0F15">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19.1 投标文件应由</w:t>
      </w: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color w:val="auto"/>
          <w:sz w:val="24"/>
          <w:szCs w:val="24"/>
          <w:highlight w:val="none"/>
          <w:lang w:eastAsia="zh-CN"/>
        </w:rPr>
        <w:t>在</w:t>
      </w:r>
      <w:r>
        <w:rPr>
          <w:rFonts w:hint="eastAsia" w:ascii="宋体" w:hAnsi="宋体" w:eastAsia="宋体" w:cs="宋体"/>
          <w:b/>
          <w:bCs/>
          <w:color w:val="auto"/>
          <w:sz w:val="24"/>
          <w:szCs w:val="24"/>
          <w:highlight w:val="none"/>
        </w:rPr>
        <w:t>规定签章处逐一签字或盖章并加盖</w:t>
      </w:r>
      <w:r>
        <w:rPr>
          <w:rFonts w:hint="eastAsia" w:ascii="宋体" w:hAnsi="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公章（相关内容可以打印、签字、盖章后扫描电子件）或</w:t>
      </w:r>
      <w:r>
        <w:rPr>
          <w:rFonts w:hint="eastAsia" w:ascii="宋体" w:hAnsi="宋体" w:eastAsia="宋体" w:cs="宋体"/>
          <w:b/>
          <w:color w:val="auto"/>
          <w:sz w:val="24"/>
          <w:szCs w:val="24"/>
          <w:highlight w:val="none"/>
        </w:rPr>
        <w:t>使用电子签章</w:t>
      </w:r>
      <w:r>
        <w:rPr>
          <w:rFonts w:hint="eastAsia" w:ascii="宋体" w:hAnsi="宋体" w:eastAsia="宋体" w:cs="宋体"/>
          <w:color w:val="auto"/>
          <w:sz w:val="24"/>
          <w:szCs w:val="24"/>
          <w:highlight w:val="none"/>
        </w:rPr>
        <w:t>，本招标文件所表述的公章是指刻有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法定名称的印章，不包括合同、财务、税务、发票等形式的业务专用章。</w:t>
      </w:r>
    </w:p>
    <w:p w14:paraId="4DF310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电子投标文件不得涂改、行间插字或删除，如出现上述情况应重新编制。</w:t>
      </w:r>
    </w:p>
    <w:p w14:paraId="2FC128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投标文件制作工具生成内容相同、加密与未加密两个版本电子投标文件，加密版本用于提交上传，未加密版本用于特殊情况处理。</w:t>
      </w:r>
    </w:p>
    <w:p w14:paraId="4C7F343D">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四、投标文件及样品的提交</w:t>
      </w:r>
    </w:p>
    <w:p w14:paraId="3AC83B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 投标文件的上传、修改和撤回</w:t>
      </w:r>
    </w:p>
    <w:p w14:paraId="2E8D6A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不予接收</w:t>
      </w:r>
      <w:r>
        <w:rPr>
          <w:rFonts w:hint="eastAsia" w:ascii="宋体" w:hAnsi="宋体" w:eastAsia="宋体" w:cs="宋体"/>
          <w:color w:val="auto"/>
          <w:sz w:val="24"/>
          <w:szCs w:val="24"/>
          <w:highlight w:val="none"/>
        </w:rPr>
        <w:t>。</w:t>
      </w:r>
    </w:p>
    <w:p w14:paraId="1FE7BB1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在上传投标文件后可以对其修改或撤回，但这种修改或撤回，必须在规定的投标截止时</w:t>
      </w:r>
      <w:r>
        <w:rPr>
          <w:rFonts w:hint="eastAsia" w:ascii="宋体" w:hAnsi="宋体" w:eastAsia="宋体" w:cs="宋体"/>
          <w:color w:val="auto"/>
          <w:sz w:val="24"/>
          <w:szCs w:val="24"/>
          <w:highlight w:val="none"/>
          <w:lang w:eastAsia="zh-CN"/>
        </w:rPr>
        <w:t>间之</w:t>
      </w:r>
      <w:r>
        <w:rPr>
          <w:rFonts w:hint="eastAsia" w:ascii="宋体" w:hAnsi="宋体" w:eastAsia="宋体" w:cs="宋体"/>
          <w:color w:val="auto"/>
          <w:sz w:val="24"/>
          <w:szCs w:val="24"/>
          <w:highlight w:val="none"/>
        </w:rPr>
        <w:t>前。</w:t>
      </w:r>
    </w:p>
    <w:p w14:paraId="279EF8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对电子投标文件的修改，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可以在投标截止时间前登录电子交易平台撤回文件，并上传新的投标文件，投标文件以最终完成上传的为准。</w:t>
      </w:r>
    </w:p>
    <w:p w14:paraId="6F05BAB6">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20.4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不得在投标截止时间后修改投标文件，也不得在投标截止时间起至投标有效期满前撤回投标文件。</w:t>
      </w:r>
    </w:p>
    <w:p w14:paraId="1D4E95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提交投标样品截止时间和地点</w:t>
      </w:r>
    </w:p>
    <w:p w14:paraId="47B506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采购项目需要提交样品的，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应当于招标文件规定的样品接收截止</w:t>
      </w:r>
      <w:r>
        <w:rPr>
          <w:rFonts w:hint="eastAsia" w:ascii="宋体" w:hAnsi="宋体" w:eastAsia="宋体" w:cs="宋体"/>
          <w:bCs/>
          <w:color w:val="auto"/>
          <w:sz w:val="24"/>
          <w:szCs w:val="24"/>
          <w:highlight w:val="none"/>
        </w:rPr>
        <w:t>时间前将样品送达指定地点并登记完毕，</w:t>
      </w:r>
      <w:r>
        <w:rPr>
          <w:rFonts w:hint="eastAsia" w:ascii="宋体" w:hAnsi="宋体" w:eastAsia="宋体" w:cs="宋体"/>
          <w:b/>
          <w:bCs/>
          <w:color w:val="auto"/>
          <w:sz w:val="24"/>
          <w:szCs w:val="24"/>
          <w:highlight w:val="none"/>
        </w:rPr>
        <w:t>否则不予接收</w:t>
      </w:r>
      <w:r>
        <w:rPr>
          <w:rFonts w:hint="eastAsia" w:ascii="宋体" w:hAnsi="宋体" w:eastAsia="宋体" w:cs="宋体"/>
          <w:color w:val="auto"/>
          <w:sz w:val="24"/>
          <w:szCs w:val="24"/>
          <w:highlight w:val="none"/>
        </w:rPr>
        <w:t>。</w:t>
      </w:r>
    </w:p>
    <w:p w14:paraId="35E045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中标人提供的样品由采购人封存、保管，作为履约验收的参考。未中标人提供的样品，</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应在中标结果公布后两个工作日内领回，否则按无主物品处理。</w:t>
      </w:r>
    </w:p>
    <w:p w14:paraId="37C013F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21.3本项目无需提交样品。</w:t>
      </w:r>
    </w:p>
    <w:p w14:paraId="7B8FBA69">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五、开标与评标</w:t>
      </w:r>
    </w:p>
    <w:p w14:paraId="6FA5C10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开标</w:t>
      </w:r>
    </w:p>
    <w:p w14:paraId="454EA95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采购代理机构将在第一章“投标邀请”规定的时间和地点进行开标，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的法定代表人或其委托代理人应</w:t>
      </w:r>
      <w:r>
        <w:rPr>
          <w:rFonts w:hint="eastAsia" w:ascii="宋体" w:hAnsi="宋体" w:eastAsia="宋体" w:cs="宋体"/>
          <w:b/>
          <w:color w:val="auto"/>
          <w:sz w:val="24"/>
          <w:szCs w:val="24"/>
          <w:highlight w:val="none"/>
        </w:rPr>
        <w:t>准备身份证件和用于生成、加密和上传电子投标文件的CA数字证书参加开标会</w:t>
      </w:r>
      <w:r>
        <w:rPr>
          <w:rFonts w:hint="eastAsia" w:ascii="宋体" w:hAnsi="宋体" w:eastAsia="宋体" w:cs="宋体"/>
          <w:color w:val="auto"/>
          <w:sz w:val="24"/>
          <w:szCs w:val="24"/>
          <w:highlight w:val="none"/>
        </w:rPr>
        <w:t>。</w:t>
      </w:r>
    </w:p>
    <w:p w14:paraId="678E774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线下开标的，供应商必须按规定时间递交CA数字证书，</w:t>
      </w:r>
      <w:r>
        <w:rPr>
          <w:rFonts w:hint="eastAsia" w:ascii="宋体" w:hAnsi="宋体" w:eastAsia="宋体" w:cs="宋体"/>
          <w:b/>
          <w:color w:val="auto"/>
          <w:sz w:val="24"/>
          <w:szCs w:val="24"/>
          <w:highlight w:val="none"/>
        </w:rPr>
        <w:t>超过截止时间的采购代理机构有权拒收，视为放弃投标（响应）和放弃对开标（开启）全过程提出疑义的权利，并承担由此导致的一切后果。</w:t>
      </w:r>
    </w:p>
    <w:p w14:paraId="2CD7AA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不见面交易的，供应商必须提前登录不见面开标大厅并在投标文件递交截止时间之前完成签到，</w:t>
      </w:r>
      <w:r>
        <w:rPr>
          <w:rFonts w:hint="eastAsia" w:ascii="宋体" w:hAnsi="宋体" w:eastAsia="宋体" w:cs="宋体"/>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70AFD2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供应商未参加开标会的，视同认可开标结果。</w:t>
      </w:r>
    </w:p>
    <w:p w14:paraId="22335CD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开标程序：</w:t>
      </w:r>
    </w:p>
    <w:p w14:paraId="2E2589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14:paraId="5F2F4F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解密投标文件；</w:t>
      </w:r>
    </w:p>
    <w:p w14:paraId="258521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（3）唱标及勘误：唱标时将当众宣读每份电子投标文件中“开标一览表”的各项内容以及采购代理机构认为有必要宣读的其他内容，唱标顺序按开标系统</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先后顺序进行；</w:t>
      </w:r>
    </w:p>
    <w:p w14:paraId="70F2D2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（4）宣布评标期间的有关事项；</w:t>
      </w:r>
    </w:p>
    <w:p w14:paraId="2830A4C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（5）开标会议结束。</w:t>
      </w:r>
    </w:p>
    <w:p w14:paraId="73D7FE2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采购代理机构将做开标记录（包括</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名称、投标总报价、分标报价、交货期等）。</w:t>
      </w:r>
    </w:p>
    <w:p w14:paraId="23830D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开标结束后，采购人依法对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的资格进行审查。</w:t>
      </w:r>
    </w:p>
    <w:p w14:paraId="37B353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评标</w:t>
      </w:r>
    </w:p>
    <w:p w14:paraId="68EE360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成立评标委员会。评标委员会由采购人代表和评审专家组成。</w:t>
      </w:r>
    </w:p>
    <w:p w14:paraId="677ED00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评标的方式。本采购项目采用不公开方式评标，评标的依据为招标文件和投标文件。</w:t>
      </w:r>
    </w:p>
    <w:p w14:paraId="75E8937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评标工作程序</w:t>
      </w:r>
    </w:p>
    <w:p w14:paraId="622F99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（1）评标委员会负责具体评标事务，并独立履行下列职责：</w:t>
      </w:r>
    </w:p>
    <w:p w14:paraId="30EDF5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①审查、评价投标文件是否符合招标文件的商务、技术等实质性要求；</w:t>
      </w:r>
    </w:p>
    <w:p w14:paraId="1A8DB4C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对投标文件有关事项作出澄清或者说明；</w:t>
      </w:r>
    </w:p>
    <w:p w14:paraId="5F6B9D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③对投标文件进行比较和评价；</w:t>
      </w:r>
    </w:p>
    <w:p w14:paraId="399B6E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④确定中标候选人名单，以及根据采购人授权直接确定中标人；</w:t>
      </w:r>
    </w:p>
    <w:p w14:paraId="0A3238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⑤向采购人、采购代理机构或者有关部门报告评标中发现的违法行为；</w:t>
      </w:r>
    </w:p>
    <w:p w14:paraId="506702D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⑥编写评标报告。</w:t>
      </w:r>
    </w:p>
    <w:p w14:paraId="2A59BAF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（2）评标委员会对符合资格的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的投标文件进行符合性审查，以确定其是否满足招标文件的实质性要求。</w:t>
      </w:r>
    </w:p>
    <w:p w14:paraId="4510A9D3">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符合性检查</w:t>
      </w:r>
      <w:r>
        <w:rPr>
          <w:rFonts w:hint="eastAsia" w:ascii="宋体" w:hAnsi="宋体" w:eastAsia="宋体" w:cs="宋体"/>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23CA419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4E6C43BD">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所谓重大偏离或保留</w:t>
      </w:r>
      <w:r>
        <w:rPr>
          <w:rFonts w:hint="eastAsia" w:ascii="宋体" w:hAnsi="宋体" w:eastAsia="宋体" w:cs="宋体"/>
          <w:color w:val="auto"/>
          <w:sz w:val="24"/>
          <w:szCs w:val="24"/>
          <w:highlight w:val="none"/>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按照少数服从多数的原则作出结论。</w:t>
      </w:r>
    </w:p>
    <w:p w14:paraId="03BE613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评标委员会决定投标文件的响应性仅基于投标文件本身的内容，而不寻求外部证据。</w:t>
      </w:r>
    </w:p>
    <w:p w14:paraId="3F89BDE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评标委员会将拒绝被确定为非实质性响应的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不能通过修正或撤销不符之处而使其投标成为实质性响应的投标。</w:t>
      </w:r>
    </w:p>
    <w:p w14:paraId="77DAB82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（3）澄清有关问题。对于投标文件中含义不明确、同类问题表述不一致或者有明显文字和计算错误的内容，评标委员会通过“苏采云”系统要求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作出必要的澄清、说明或者补正，并规定回复时间。</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的澄清、说明或者补正采用书面形式，通过“苏采云”系统（使用“CA数字证书”,加盖电子签章）</w:t>
      </w:r>
      <w:r>
        <w:rPr>
          <w:rFonts w:hint="eastAsia" w:ascii="宋体" w:hAnsi="宋体" w:eastAsia="宋体" w:cs="宋体"/>
          <w:color w:val="auto"/>
          <w:sz w:val="24"/>
          <w:szCs w:val="24"/>
          <w:highlight w:val="none"/>
          <w:lang w:eastAsia="zh-CN"/>
        </w:rPr>
        <w:t>形式</w:t>
      </w:r>
      <w:r>
        <w:rPr>
          <w:rFonts w:hint="eastAsia" w:ascii="宋体" w:hAnsi="宋体" w:eastAsia="宋体" w:cs="宋体"/>
          <w:color w:val="auto"/>
          <w:sz w:val="24"/>
          <w:szCs w:val="24"/>
          <w:highlight w:val="none"/>
        </w:rPr>
        <w:t>提交，并不得超出投标文件的范围或者改变投标文件的实质性内容。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的澄清文件是投标文件的组成部分。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没有在规定的回复时间内作出必要的澄清、说明或者补正，评标委员会将认为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拒绝作出必要的澄清、说明或者补正，并承担相应的后果和法律责任。</w:t>
      </w:r>
    </w:p>
    <w:p w14:paraId="475A49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评标过程的保密</w:t>
      </w:r>
    </w:p>
    <w:p w14:paraId="58BC0E1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合同止，凡是属于审查、澄清、评审和比较的有关资料以及授标建议等均不得向</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在评标过程中，所进行的力图影响评标结果的不公正活动，可能导致其投标被拒绝。</w:t>
      </w:r>
    </w:p>
    <w:p w14:paraId="2FC227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投标文件报价出现前后不一致的，按照下列规定修正：</w:t>
      </w:r>
    </w:p>
    <w:p w14:paraId="019F43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5871384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56A3F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2CF5564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5D72B4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同时出现两种以上不一致的，按照前款规定的顺序修正。修正后的报价按照政府采购有关规定经</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确认后产生约束力，</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不确认的，其投标无效。</w:t>
      </w:r>
    </w:p>
    <w:p w14:paraId="277E7C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有下列情况之一的，投标无效：</w:t>
      </w:r>
    </w:p>
    <w:p w14:paraId="23D304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（1）未按照招标文件的规定提交投标保证金的；</w:t>
      </w:r>
    </w:p>
    <w:p w14:paraId="7DFF93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（2）投标文件未按招标文件要求编制、签署、盖章的；</w:t>
      </w:r>
    </w:p>
    <w:p w14:paraId="586EC93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766B7D5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4836793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308404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（6）未按招标文件要求提供电子投标文件或者电子投标文件未能解密（指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自身原因）且按照招标文件明确的投标文件解密失败后补救方案（仅现场开标适用）补救不成功的；</w:t>
      </w:r>
    </w:p>
    <w:p w14:paraId="633816F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提交的电子投标文件、投标文件备份U盘（仅现场开标适用）均因其自身原因出现问题导致无法电子评标的；</w:t>
      </w:r>
    </w:p>
    <w:p w14:paraId="74EDFB5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（8）法律、法规和招标文件规定的其他无效情形。</w:t>
      </w:r>
    </w:p>
    <w:p w14:paraId="13DC31A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无效投标条款和废标条款</w:t>
      </w:r>
    </w:p>
    <w:p w14:paraId="488CBE3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.1无效投标条款：</w:t>
      </w:r>
    </w:p>
    <w:p w14:paraId="7C09615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未按照招标文件要求递交（上传）电子投标文件的。</w:t>
      </w:r>
    </w:p>
    <w:p w14:paraId="28C2B6D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在“苏采云”系统规定的时间内未成功解密电子投标文件的。</w:t>
      </w:r>
    </w:p>
    <w:p w14:paraId="59DFFD3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不具备招标文件中规定的资格要求的。</w:t>
      </w:r>
    </w:p>
    <w:p w14:paraId="38A5C12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8B8A06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提交两个（含两个）以上不同的投标报价的。</w:t>
      </w:r>
    </w:p>
    <w:p w14:paraId="4E96DC8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的报价超过了采购预算或者最高限价的。</w:t>
      </w:r>
    </w:p>
    <w:p w14:paraId="67A8B87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w:t>
      </w:r>
    </w:p>
    <w:p w14:paraId="5F597FE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（8）不符合招标文件中规定的实质性要求和条件的（招标文件中标注★号的部分为实质性要求和条件）。</w:t>
      </w:r>
    </w:p>
    <w:p w14:paraId="728441E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、生态环境部等列入“节能产品品目清单”“环境标志产品品目清单”强制采购范围，而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所投标产品不在强制采购范围内或者未按要求提供国家确定的认证机构出具的、处于有效期之内的节能产品认证证书的。</w:t>
      </w:r>
    </w:p>
    <w:p w14:paraId="4FD10D3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未通过符合性审查的。</w:t>
      </w:r>
    </w:p>
    <w:p w14:paraId="418494B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26B84D7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78630F2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07BD644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有下列情形之一的，视为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串通投标，投标无效：</w:t>
      </w:r>
    </w:p>
    <w:p w14:paraId="79B7F95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的投标文件由同一单位或者个人编制。</w:t>
      </w:r>
    </w:p>
    <w:p w14:paraId="44F3763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7C92352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的投标文件载明的项目管理成员或者联系人员为同一人。</w:t>
      </w:r>
    </w:p>
    <w:p w14:paraId="288C1D1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的投标文件异常一致或者投标报价呈规律性差异。</w:t>
      </w:r>
    </w:p>
    <w:p w14:paraId="2FDFCA2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的投标文件相互混装。</w:t>
      </w:r>
    </w:p>
    <w:p w14:paraId="7891A39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.3废标条款：</w:t>
      </w:r>
    </w:p>
    <w:p w14:paraId="482BB2A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206B7DB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14:paraId="280F2B7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或者对招标文件做实质响应的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不足三家的。</w:t>
      </w:r>
    </w:p>
    <w:p w14:paraId="3638EA2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09BAA4C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6628A1D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.4出现投标截止时间结束后参加投标的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或者在评标期间对招标文件做出实质响应的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不足三家情况的，按照政府采购相关规定执行。</w:t>
      </w:r>
    </w:p>
    <w:p w14:paraId="693130C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26.5政府采购异常低价审查：</w:t>
      </w:r>
    </w:p>
    <w:p w14:paraId="57E4F61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强化政府采购异常低价审查</w:t>
      </w:r>
    </w:p>
    <w:p w14:paraId="6FDD53E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（一）采购人应当在采购文件中明确，政府采购评审中出现下列情形之一的，评审委员会应当启动异常低价投标（响应）审查程序：</w:t>
      </w:r>
    </w:p>
    <w:p w14:paraId="5F095E0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0FFF499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7A01560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08B9950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5538919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采购人可以结合具体项目实际情况，提高上述第1项至第3项中启动异常低价投标（响应）审查的数值标准，但是最高不得超过65%。</w:t>
      </w:r>
    </w:p>
    <w:p w14:paraId="70DF16B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469C93B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6571AB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1CAC7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26.6无效投标条款和废标条款</w:t>
      </w:r>
    </w:p>
    <w:p w14:paraId="3472F60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本项目遵照执行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关于落实解决政府采购异常低价问题相关措施的通知</w:t>
      </w:r>
      <w:r>
        <w:rPr>
          <w:rFonts w:hint="eastAsia" w:ascii="宋体" w:hAnsi="宋体" w:eastAsia="宋体" w:cs="宋体"/>
          <w:color w:val="auto"/>
          <w:sz w:val="24"/>
          <w:szCs w:val="24"/>
          <w:highlight w:val="none"/>
          <w:lang w:eastAsia="zh-CN"/>
        </w:rPr>
        <w:t>》（连财购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2025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24号）</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评标委员会认为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不能证明其报价合理性的，评标委员会应当将其作为无效投标处理。</w:t>
      </w:r>
    </w:p>
    <w:p w14:paraId="135B71BA">
      <w:pPr>
        <w:pStyle w:val="32"/>
        <w:widowControl w:val="0"/>
        <w:spacing w:before="0" w:beforeAutospacing="0" w:after="0" w:afterAutospacing="0" w:line="360" w:lineRule="auto"/>
        <w:ind w:firstLine="480"/>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en-US" w:eastAsia="zh-CN"/>
        </w:rPr>
        <w:t>26.7</w:t>
      </w:r>
      <w:r>
        <w:rPr>
          <w:rFonts w:hint="eastAsia" w:ascii="宋体" w:hAnsi="宋体" w:eastAsia="宋体" w:cs="宋体"/>
          <w:b/>
          <w:bCs/>
          <w:color w:val="auto"/>
          <w:highlight w:val="none"/>
        </w:rPr>
        <w:t>采用最低评标价法的采购项目，提供相同品牌产品的不同</w:t>
      </w:r>
      <w:r>
        <w:rPr>
          <w:rFonts w:hint="eastAsia" w:cs="宋体"/>
          <w:b/>
          <w:bCs/>
          <w:color w:val="auto"/>
          <w:highlight w:val="none"/>
          <w:lang w:eastAsia="zh-CN"/>
        </w:rPr>
        <w:t>供应商</w:t>
      </w:r>
      <w:r>
        <w:rPr>
          <w:rFonts w:hint="eastAsia" w:ascii="宋体" w:hAnsi="宋体" w:eastAsia="宋体" w:cs="宋体"/>
          <w:b/>
          <w:bCs/>
          <w:color w:val="auto"/>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cs="宋体"/>
          <w:b/>
          <w:bCs/>
          <w:color w:val="auto"/>
          <w:highlight w:val="none"/>
          <w:lang w:eastAsia="zh-CN"/>
        </w:rPr>
        <w:t>供应商</w:t>
      </w:r>
      <w:r>
        <w:rPr>
          <w:rFonts w:hint="eastAsia" w:ascii="宋体" w:hAnsi="宋体" w:eastAsia="宋体" w:cs="宋体"/>
          <w:b/>
          <w:bCs/>
          <w:color w:val="auto"/>
          <w:highlight w:val="none"/>
        </w:rPr>
        <w:t>，其他投标无效。</w:t>
      </w:r>
    </w:p>
    <w:p w14:paraId="122D3E2B">
      <w:pPr>
        <w:widowControl w:val="0"/>
        <w:spacing w:before="0" w:beforeAutospacing="0" w:after="0" w:afterAutospacing="0"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使用综合评分法的采购项目，提供相同品牌产品且通过资格审查、符合性审查的不同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参加同一合同项下投标的，按一家</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计算，评审后得分最高的同品牌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获得中标供应商推荐资格；评审得分相同的，由评标委员会根据招标文件规定的方式（招标文件未规定的采取随机抽取的方式）确定一个中标候选人，其他同品牌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不作为中标候选人。</w:t>
      </w:r>
    </w:p>
    <w:p w14:paraId="7876B083">
      <w:pPr>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32"/>
          <w:highlight w:val="none"/>
        </w:rPr>
        <w:t>非单一产品采购项目</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招标文件中将载明核心产品。多家</w:t>
      </w:r>
      <w:r>
        <w:rPr>
          <w:rFonts w:hint="eastAsia" w:ascii="宋体" w:hAnsi="宋体" w:cs="宋体"/>
          <w:b/>
          <w:bCs/>
          <w:color w:val="auto"/>
          <w:sz w:val="24"/>
          <w:szCs w:val="32"/>
          <w:highlight w:val="none"/>
          <w:lang w:eastAsia="zh-CN"/>
        </w:rPr>
        <w:t>供应商</w:t>
      </w:r>
      <w:r>
        <w:rPr>
          <w:rFonts w:hint="eastAsia" w:ascii="宋体" w:hAnsi="宋体" w:eastAsia="宋体" w:cs="宋体"/>
          <w:b/>
          <w:bCs/>
          <w:color w:val="auto"/>
          <w:sz w:val="24"/>
          <w:szCs w:val="32"/>
          <w:highlight w:val="none"/>
        </w:rPr>
        <w:t>提供的核心产品品牌相同的</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按前两款规定处理。</w:t>
      </w:r>
    </w:p>
    <w:p w14:paraId="73AB9A2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评标原则、评标办法和特殊情况处理</w:t>
      </w:r>
    </w:p>
    <w:p w14:paraId="6874D9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评标原则</w:t>
      </w:r>
    </w:p>
    <w:p w14:paraId="50037D4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635F882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评标办法</w:t>
      </w:r>
    </w:p>
    <w:p w14:paraId="68C8E25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第五章</w:t>
      </w:r>
      <w:r>
        <w:rPr>
          <w:rFonts w:hint="eastAsia" w:ascii="宋体" w:hAnsi="宋体" w:eastAsia="宋体" w:cs="宋体"/>
          <w:color w:val="auto"/>
          <w:sz w:val="24"/>
          <w:szCs w:val="24"/>
          <w:highlight w:val="none"/>
        </w:rPr>
        <w:t>“评标办法”。</w:t>
      </w:r>
    </w:p>
    <w:p w14:paraId="4B54FE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现场开标特殊情况处理（采用不见面交易方式招标的本条款不适用）</w:t>
      </w:r>
    </w:p>
    <w:p w14:paraId="3F40523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5E6DFEB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原因造成所有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电子投标文件均无法解密的情形，部分投标文件无法解密的，不适用本条款。</w:t>
      </w:r>
    </w:p>
    <w:p w14:paraId="6EFF410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3B0BB825">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六、中标结果</w:t>
      </w:r>
    </w:p>
    <w:p w14:paraId="29AC8B9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中标人的确定</w:t>
      </w:r>
    </w:p>
    <w:p w14:paraId="04A552C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评标委员会按照评审得分由高到低顺序推荐3名中标候选人。</w:t>
      </w:r>
    </w:p>
    <w:p w14:paraId="7055E6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根据采购人的授权，由评标委员会直接确定排名第一的中标候选人为中标人。</w:t>
      </w:r>
    </w:p>
    <w:p w14:paraId="3ACB4E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 中标通知书</w:t>
      </w:r>
    </w:p>
    <w:p w14:paraId="7ED467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 中标人确定后，中标结果由采购代理机构公告，中标公告期限为1个工作日。</w:t>
      </w:r>
    </w:p>
    <w:p w14:paraId="2197945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 在公告中标结果的同时，由采购代理机构向中标人发出中标通知书，</w:t>
      </w:r>
      <w:r>
        <w:rPr>
          <w:rFonts w:hint="eastAsia" w:ascii="宋体" w:hAnsi="宋体" w:eastAsia="宋体" w:cs="宋体"/>
          <w:b/>
          <w:color w:val="auto"/>
          <w:sz w:val="24"/>
          <w:szCs w:val="24"/>
          <w:highlight w:val="none"/>
        </w:rPr>
        <w:t>中标供应商在领取中标通知书时，需提供</w:t>
      </w:r>
      <w:r>
        <w:rPr>
          <w:rFonts w:hint="eastAsia" w:ascii="宋体" w:hAnsi="宋体" w:eastAsia="宋体" w:cs="宋体"/>
          <w:b/>
          <w:color w:val="auto"/>
          <w:sz w:val="24"/>
          <w:szCs w:val="24"/>
          <w:highlight w:val="none"/>
          <w:lang w:val="en-US" w:eastAsia="zh-CN"/>
        </w:rPr>
        <w:t>陆</w:t>
      </w:r>
      <w:r>
        <w:rPr>
          <w:rFonts w:hint="eastAsia" w:ascii="宋体" w:hAnsi="宋体" w:eastAsia="宋体" w:cs="宋体"/>
          <w:b/>
          <w:color w:val="auto"/>
          <w:sz w:val="24"/>
          <w:szCs w:val="24"/>
          <w:highlight w:val="none"/>
        </w:rPr>
        <w:t>份与电子投标文件一致的纸质打印投标文件</w:t>
      </w:r>
      <w:r>
        <w:rPr>
          <w:rFonts w:hint="eastAsia" w:ascii="宋体" w:hAnsi="宋体" w:eastAsia="宋体" w:cs="宋体"/>
          <w:color w:val="auto"/>
          <w:sz w:val="24"/>
          <w:szCs w:val="24"/>
          <w:highlight w:val="none"/>
        </w:rPr>
        <w:t>；对未通过资格审查的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，应当告知其未通过的原因；采用综合评分法评审的，还应当告知未中标人本人的评审得分与排序。</w:t>
      </w:r>
    </w:p>
    <w:p w14:paraId="4E89E2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.3 采购代理机构无义务向未中标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解释落标原因和退回投标文件。</w:t>
      </w:r>
    </w:p>
    <w:p w14:paraId="78EE7D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签订合同</w:t>
      </w:r>
    </w:p>
    <w:p w14:paraId="07B780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53626D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 中标人因不可抗力或者自身原因不能履行政府采购合同的，按政府采购有关法律法规执行。</w:t>
      </w:r>
    </w:p>
    <w:p w14:paraId="6B81440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履约保证金</w:t>
      </w:r>
    </w:p>
    <w:p w14:paraId="619A40F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1E77A66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 中标人违约的，采购人将按照合同约定扣除其全部或部分履约保证金。如中标人违约给采购人造成的损失超过履约保证金的，应当依法赔偿超过部分的损失。</w:t>
      </w:r>
    </w:p>
    <w:p w14:paraId="6D485E9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.3 履约保证金自合同生效之日起至合同约定的中标人主要义务履行完毕止，采购人应当按合同约定及时退还履约保证金。</w:t>
      </w:r>
    </w:p>
    <w:p w14:paraId="1C5800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.4 逾期退还履约保证金的采购人承担违约责任，按照中国人民银行同期贷款基准利率向中标人支付超期资金占用费。</w:t>
      </w:r>
    </w:p>
    <w:p w14:paraId="767D2B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本项目履约保证金要求详见招标文件第五章“合同专用条款表”。</w:t>
      </w:r>
    </w:p>
    <w:p w14:paraId="0762DCAD">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t>七、其他事项</w:t>
      </w:r>
    </w:p>
    <w:p w14:paraId="494E67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解释权</w:t>
      </w:r>
    </w:p>
    <w:p w14:paraId="60D477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5FA4389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有关事宜</w:t>
      </w:r>
    </w:p>
    <w:p w14:paraId="337A4E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所有与本招标文件有关的函电和通讯地址见第一章“投标邀请”。</w:t>
      </w:r>
    </w:p>
    <w:p w14:paraId="68F5C9C7">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八、政策功能</w:t>
      </w:r>
    </w:p>
    <w:p w14:paraId="0E3A1E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8083F4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.2 参加本项目政府采购活动的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应当提供的材料： </w:t>
      </w:r>
    </w:p>
    <w:p w14:paraId="6EA70C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为中型企业、小型企业、微型企业的，提供《中小企业声明函》（第六章 响应文件格式）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lang w:eastAsia="zh-CN"/>
        </w:rPr>
        <w:t>项目为货物采购，供应商提供的货物必须由中小企业制造。供应商提供的《中小企业声明函》须包含所投产品制造商为中小企业的相关内容，否则不享受中小企业扶持政策（或按无效投标处理）</w:t>
      </w:r>
      <w:r>
        <w:rPr>
          <w:rFonts w:hint="eastAsia" w:ascii="宋体" w:hAnsi="宋体" w:eastAsia="宋体" w:cs="宋体"/>
          <w:color w:val="auto"/>
          <w:sz w:val="24"/>
          <w:szCs w:val="24"/>
          <w:highlight w:val="none"/>
        </w:rPr>
        <w:t>。</w:t>
      </w:r>
    </w:p>
    <w:p w14:paraId="517BCD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（2）符合《关于促进残疾人就业政府采购政策的通知》（财库〔2017〕141号）规定的条件并提供《残疾人福利性单位声明函》（第六章 响应文件格式）的残疾人福利性单位视同小型、微型企业。</w:t>
      </w:r>
    </w:p>
    <w:p w14:paraId="46636E5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6DC6CD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.3 享受扶持政策获得政府采购合同的，小微型企业不得将合同分包给大中型企业，中型企业不得将合同分包给大型企业。</w:t>
      </w:r>
    </w:p>
    <w:p w14:paraId="1A67BF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、支持绿色发展</w:t>
      </w:r>
    </w:p>
    <w:p w14:paraId="1F29CE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须按招标文件要求提供相关产品认证证书。</w:t>
      </w:r>
    </w:p>
    <w:p w14:paraId="3FE49E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.2为助力打好污染防治攻坚战，推广使用绿色包装，政府采购货物、工程和服务项目中涉及商品包装和快递包装的，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提供产品及相关快递服务的具体包装要求要参考《商品包装政府采购需求标准（试行）》、《快递包装政府采购需求标准（试行）》。</w:t>
      </w:r>
    </w:p>
    <w:p w14:paraId="236D0454">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政府采购需求标准</w:t>
      </w:r>
    </w:p>
    <w:p w14:paraId="020DA3AE">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C0A727D">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37.采购本国产品的支持政策</w:t>
      </w:r>
    </w:p>
    <w:p w14:paraId="2B396033">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106ED5EB">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供应商需在“第</w:t>
      </w:r>
      <w:r>
        <w:rPr>
          <w:rFonts w:hint="eastAsia" w:ascii="宋体" w:hAnsi="宋体" w:cs="宋体"/>
          <w:b/>
          <w:bCs/>
          <w:color w:val="auto"/>
          <w:sz w:val="24"/>
          <w:szCs w:val="24"/>
          <w:highlight w:val="none"/>
          <w:lang w:val="en-US" w:eastAsia="zh-CN" w:bidi="ar-SA"/>
        </w:rPr>
        <w:t>六</w:t>
      </w:r>
      <w:r>
        <w:rPr>
          <w:rFonts w:hint="eastAsia" w:ascii="宋体" w:hAnsi="宋体" w:eastAsia="宋体" w:cs="宋体"/>
          <w:b/>
          <w:bCs/>
          <w:color w:val="auto"/>
          <w:sz w:val="24"/>
          <w:szCs w:val="24"/>
          <w:highlight w:val="none"/>
          <w:lang w:val="en-US" w:eastAsia="zh-CN" w:bidi="ar-SA"/>
        </w:rPr>
        <w:t>章 投标文件格式 投标分项报价表”中填写比例数值</w:t>
      </w:r>
      <w:r>
        <w:rPr>
          <w:rFonts w:hint="eastAsia" w:ascii="宋体" w:hAnsi="宋体" w:eastAsia="宋体" w:cs="宋体"/>
          <w:b w:val="0"/>
          <w:color w:val="auto"/>
          <w:sz w:val="24"/>
          <w:szCs w:val="24"/>
          <w:highlight w:val="none"/>
          <w:lang w:val="en-US" w:eastAsia="zh-CN" w:bidi="ar-SA"/>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BB2120C">
      <w:pPr>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66257D07">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FD3E872">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24A0873">
      <w:pPr>
        <w:numPr>
          <w:ilvl w:val="0"/>
          <w:numId w:val="0"/>
        </w:num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37.6政府采购中的本国产品标准及其他未尽事宜详见《国务院办公厅关于在政府采购中实施本国产品标准及相关政策的通知》（国办发〔2025〕34号）。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lang w:eastAsia="zh-CN"/>
        </w:rPr>
        <w:t>不</w:t>
      </w:r>
      <w:r>
        <w:rPr>
          <w:rFonts w:hint="eastAsia" w:ascii="宋体" w:hAnsi="宋体" w:eastAsia="宋体" w:cs="宋体"/>
          <w:b/>
          <w:color w:val="auto"/>
          <w:sz w:val="24"/>
          <w:szCs w:val="24"/>
          <w:highlight w:val="none"/>
        </w:rPr>
        <w:t>接受进口产品</w:t>
      </w:r>
      <w:r>
        <w:rPr>
          <w:rFonts w:hint="eastAsia" w:ascii="宋体" w:hAnsi="宋体" w:eastAsia="宋体" w:cs="宋体"/>
          <w:color w:val="auto"/>
          <w:sz w:val="24"/>
          <w:szCs w:val="24"/>
          <w:highlight w:val="none"/>
        </w:rPr>
        <w:t>（进口产品是指通过中国海关报关验放进入中国境内且产自关境外的产品），中标后不允许分包或转包。</w:t>
      </w:r>
    </w:p>
    <w:p w14:paraId="3AFA2BA8">
      <w:pPr>
        <w:keepNext/>
        <w:keepLines/>
        <w:spacing w:line="360" w:lineRule="auto"/>
        <w:ind w:firstLine="480"/>
        <w:outlineLvl w:val="3"/>
        <w:rPr>
          <w:rFonts w:hint="eastAsia" w:ascii="宋体" w:hAnsi="宋体" w:eastAsia="宋体" w:cs="宋体"/>
          <w:color w:val="auto"/>
          <w:sz w:val="24"/>
          <w:szCs w:val="24"/>
          <w:highlight w:val="none"/>
        </w:rPr>
      </w:pPr>
    </w:p>
    <w:p w14:paraId="6721038B">
      <w:pPr>
        <w:pStyle w:val="298"/>
        <w:ind w:firstLine="600"/>
        <w:rPr>
          <w:rFonts w:hint="eastAsia" w:ascii="宋体" w:hAnsi="宋体" w:eastAsia="宋体" w:cs="宋体"/>
          <w:color w:val="auto"/>
          <w:highlight w:val="none"/>
        </w:rPr>
      </w:pPr>
    </w:p>
    <w:p w14:paraId="2FE0A5E3">
      <w:pPr>
        <w:rPr>
          <w:rStyle w:val="246"/>
          <w:rFonts w:hint="eastAsia" w:ascii="宋体" w:hAnsi="宋体" w:eastAsia="宋体" w:cs="宋体"/>
          <w:color w:val="auto"/>
          <w:highlight w:val="none"/>
        </w:rPr>
      </w:pPr>
      <w:bookmarkStart w:id="96" w:name="_Toc32326"/>
      <w:bookmarkStart w:id="97" w:name="_Toc7865"/>
      <w:bookmarkStart w:id="98" w:name="_Toc28557"/>
      <w:bookmarkStart w:id="99" w:name="_Toc22233"/>
      <w:r>
        <w:rPr>
          <w:rStyle w:val="246"/>
          <w:rFonts w:hint="eastAsia" w:ascii="宋体" w:hAnsi="宋体" w:eastAsia="宋体" w:cs="宋体"/>
          <w:color w:val="auto"/>
          <w:highlight w:val="none"/>
        </w:rPr>
        <w:br w:type="page" w:clear="all"/>
      </w:r>
    </w:p>
    <w:p w14:paraId="616DCB3D">
      <w:pPr>
        <w:keepNext/>
        <w:spacing w:line="360" w:lineRule="auto"/>
        <w:jc w:val="center"/>
        <w:outlineLvl w:val="0"/>
        <w:rPr>
          <w:rStyle w:val="246"/>
          <w:rFonts w:hint="eastAsia" w:ascii="宋体" w:hAnsi="宋体" w:eastAsia="宋体" w:cs="宋体"/>
          <w:color w:val="auto"/>
          <w:highlight w:val="none"/>
        </w:rPr>
      </w:pPr>
      <w:r>
        <w:rPr>
          <w:rStyle w:val="246"/>
          <w:rFonts w:hint="eastAsia" w:ascii="宋体" w:hAnsi="宋体" w:eastAsia="宋体" w:cs="宋体"/>
          <w:color w:val="auto"/>
          <w:highlight w:val="none"/>
        </w:rPr>
        <w:t>第三章  合同</w:t>
      </w:r>
      <w:bookmarkEnd w:id="91"/>
      <w:bookmarkEnd w:id="92"/>
      <w:bookmarkEnd w:id="93"/>
      <w:bookmarkEnd w:id="94"/>
      <w:bookmarkEnd w:id="95"/>
      <w:r>
        <w:rPr>
          <w:rStyle w:val="246"/>
          <w:rFonts w:hint="eastAsia" w:ascii="宋体" w:hAnsi="宋体" w:eastAsia="宋体" w:cs="宋体"/>
          <w:color w:val="auto"/>
          <w:highlight w:val="none"/>
        </w:rPr>
        <w:t>文本</w:t>
      </w:r>
      <w:bookmarkEnd w:id="96"/>
      <w:bookmarkEnd w:id="97"/>
      <w:bookmarkEnd w:id="98"/>
      <w:bookmarkEnd w:id="99"/>
    </w:p>
    <w:p w14:paraId="2D60AEE3">
      <w:pPr>
        <w:tabs>
          <w:tab w:val="left" w:pos="6255"/>
        </w:tabs>
        <w:jc w:val="center"/>
        <w:rPr>
          <w:rFonts w:hint="eastAsia" w:ascii="宋体" w:hAnsi="宋体" w:eastAsia="宋体" w:cs="宋体"/>
          <w:b/>
          <w:bCs/>
          <w:color w:val="auto"/>
          <w:sz w:val="36"/>
          <w:szCs w:val="36"/>
          <w:highlight w:val="none"/>
        </w:rPr>
      </w:pPr>
      <w:bookmarkStart w:id="100" w:name="_Hlt16619350"/>
      <w:bookmarkStart w:id="101" w:name="_Toc16938590"/>
      <w:bookmarkStart w:id="102" w:name="_Toc20823346"/>
      <w:bookmarkStart w:id="103" w:name="_Toc120614244"/>
      <w:bookmarkStart w:id="104" w:name="_Toc462564139"/>
      <w:bookmarkStart w:id="105" w:name="_Toc479757211"/>
      <w:r>
        <w:rPr>
          <w:rFonts w:hint="eastAsia" w:ascii="宋体" w:hAnsi="宋体" w:eastAsia="宋体" w:cs="宋体"/>
          <w:b/>
          <w:bCs/>
          <w:color w:val="auto"/>
          <w:sz w:val="36"/>
          <w:szCs w:val="36"/>
          <w:highlight w:val="none"/>
        </w:rPr>
        <w:t>采购合同</w:t>
      </w:r>
    </w:p>
    <w:p w14:paraId="3A290949">
      <w:pPr>
        <w:tabs>
          <w:tab w:val="left" w:pos="6255"/>
        </w:tabs>
        <w:ind w:firstLine="482"/>
        <w:jc w:val="center"/>
        <w:rPr>
          <w:rFonts w:hint="eastAsia" w:ascii="宋体" w:hAnsi="宋体" w:eastAsia="宋体" w:cs="宋体"/>
          <w:b/>
          <w:bCs/>
          <w:color w:val="auto"/>
          <w:sz w:val="24"/>
          <w:szCs w:val="24"/>
          <w:highlight w:val="none"/>
        </w:rPr>
      </w:pPr>
    </w:p>
    <w:p w14:paraId="54E5B0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eastAsia="zh-CN"/>
        </w:rPr>
        <w:t>连云港市海州区新坝镇人民政府</w:t>
      </w:r>
    </w:p>
    <w:p w14:paraId="4E7788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r>
        <w:rPr>
          <w:rFonts w:hint="eastAsia" w:ascii="宋体" w:hAnsi="宋体" w:eastAsia="宋体" w:cs="宋体"/>
          <w:color w:val="auto"/>
          <w:sz w:val="24"/>
          <w:szCs w:val="24"/>
          <w:highlight w:val="none"/>
          <w:u w:val="single"/>
        </w:rPr>
        <w:t xml:space="preserve">                        </w:t>
      </w:r>
    </w:p>
    <w:p w14:paraId="50E3987B">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）的采购结果，签订本合同。</w:t>
      </w:r>
    </w:p>
    <w:p w14:paraId="34AF0506">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一、货物内容</w:t>
      </w:r>
    </w:p>
    <w:p w14:paraId="3D1868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w:t>
      </w:r>
    </w:p>
    <w:p w14:paraId="775671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型号规格：</w:t>
      </w:r>
    </w:p>
    <w:p w14:paraId="010B70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技术参数：</w:t>
      </w:r>
    </w:p>
    <w:p w14:paraId="0596E25A">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1.4 数量（单位）：</w:t>
      </w:r>
    </w:p>
    <w:p w14:paraId="7F3D41F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二、合同金额</w:t>
      </w:r>
    </w:p>
    <w:p w14:paraId="0C8196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本合同金额为（大写）：_______________元（¥_____________）人民币。</w:t>
      </w:r>
    </w:p>
    <w:p w14:paraId="4F0F4F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（详见投标报价表）</w:t>
      </w:r>
    </w:p>
    <w:p w14:paraId="08A64D08">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三、技术资料</w:t>
      </w:r>
    </w:p>
    <w:p w14:paraId="065A7F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乙方应按招标文件规定的时间向甲方提供使用货物的有关技术资料。</w:t>
      </w:r>
    </w:p>
    <w:p w14:paraId="78AA1D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252FFC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四、知识产权</w:t>
      </w:r>
    </w:p>
    <w:p w14:paraId="6E3286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4.1乙方应保证所提供的货物或其任何一部分均不会侵犯任何第三方的专利权、商标权或著作权</w:t>
      </w:r>
      <w:r>
        <w:rPr>
          <w:rFonts w:hint="eastAsia" w:ascii="宋体" w:hAnsi="宋体" w:eastAsia="宋体" w:cs="宋体"/>
          <w:b/>
          <w:bCs/>
          <w:color w:val="auto"/>
          <w:sz w:val="24"/>
          <w:szCs w:val="24"/>
          <w:highlight w:val="none"/>
        </w:rPr>
        <w:t>。</w:t>
      </w:r>
    </w:p>
    <w:p w14:paraId="3E50807B">
      <w:pPr>
        <w:spacing w:line="360" w:lineRule="auto"/>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五、无产权瑕疵条款</w:t>
      </w:r>
    </w:p>
    <w:p w14:paraId="3E6C71B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745FB1F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六、履约保证函</w:t>
      </w:r>
    </w:p>
    <w:p w14:paraId="357789CD">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6.1本项目成交通知书发出后、合同签订前，乙方须提交履约担保，担保金额为人民币______元（合同总金额 10%）。</w:t>
      </w:r>
    </w:p>
    <w:p w14:paraId="057A7F2D">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乙方可自主选择以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自选其中之一</w:t>
      </w:r>
      <w:r>
        <w:rPr>
          <w:rFonts w:hint="eastAsia" w:ascii="宋体" w:hAnsi="宋体" w:cs="宋体"/>
          <w:color w:val="auto"/>
          <w:sz w:val="24"/>
          <w:szCs w:val="24"/>
          <w:highlight w:val="none"/>
          <w:lang w:eastAsia="zh-CN"/>
        </w:rPr>
        <w:t>）：</w:t>
      </w:r>
    </w:p>
    <w:p w14:paraId="0C37E92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（1）资金划转类：银行电汇、网上银行转账；</w:t>
      </w:r>
    </w:p>
    <w:p w14:paraId="5FED24E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）担保凭证类：支票、汇票、本票，或银行、融资担保公司、保险公司出具的电子履约保函（保险）。</w:t>
      </w:r>
    </w:p>
    <w:p w14:paraId="40E2348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甲方不得无故拒收合规电子履约保函（保险），不得指定、限定乙方选择开立保函的第三方机构；办理渠道参照苏财购〔2023〕150 号执行。</w:t>
      </w:r>
    </w:p>
    <w:p w14:paraId="452FF5E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6.2若乙方以资金划转类（银行电汇、网银转账）形式缴纳履约保证金：待乙方全部合同义务履行完毕、项目最终验收合格且交付完整归档资料后，乙方提交书面退款申请，甲方在5 个工作日内，将保证金本金及缴存期间产生的银行同期活期存款利息，原路一次性退还至乙方缴款账户。</w:t>
      </w:r>
    </w:p>
    <w:p w14:paraId="0103D99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甲方不得以未结算项目款项为由扣押、延迟退还履约保证金</w:t>
      </w:r>
      <w:r>
        <w:rPr>
          <w:rFonts w:hint="eastAsia" w:ascii="宋体" w:hAnsi="宋体" w:cs="宋体"/>
          <w:color w:val="auto"/>
          <w:sz w:val="24"/>
          <w:szCs w:val="24"/>
          <w:highlight w:val="none"/>
          <w:lang w:eastAsia="zh-CN"/>
        </w:rPr>
        <w:t>。</w:t>
      </w:r>
    </w:p>
    <w:p w14:paraId="499F7AB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若乙方提交电子履约保函（保险）：保函 / 保险保证期限届满后自动失效，甲方无需办理保证金退还手续。</w:t>
      </w:r>
    </w:p>
    <w:p w14:paraId="1C519E05">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合同履行期间乙方出现违约情形的，甲方有权依据本合同违约责任相关条款，扣除全部或部分履约保证金用于弥补损失；若乙方违约给甲方造成的实际损失金额超出履约保证金总额的，甲方有权就超出部分向乙方另行追偿。</w:t>
      </w:r>
    </w:p>
    <w:p w14:paraId="28A062C7">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6.4因甲方自身原因逾期退还履约保证金的，甲方应承担相应违约责任，自逾期之日起，以未退还保证金为基数，按照全国银行间同业拆借中心公布的一年期贷款市场报价利率（LPR）向乙方支付资金占用费。</w:t>
      </w:r>
    </w:p>
    <w:p w14:paraId="4A67E8ED">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七、质保期</w:t>
      </w:r>
    </w:p>
    <w:p w14:paraId="5683D6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年（自验收合格之日起开始计算）质保期间，中标人免费承担维修、保养、安检、调换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系统维护</w:t>
      </w:r>
      <w:r>
        <w:rPr>
          <w:rFonts w:hint="eastAsia" w:ascii="宋体" w:hAnsi="宋体" w:eastAsia="宋体" w:cs="宋体"/>
          <w:color w:val="auto"/>
          <w:sz w:val="24"/>
          <w:szCs w:val="24"/>
          <w:highlight w:val="none"/>
        </w:rPr>
        <w:t>等；</w:t>
      </w:r>
      <w:r>
        <w:rPr>
          <w:rFonts w:hint="eastAsia" w:ascii="宋体" w:hAnsi="宋体" w:cs="宋体"/>
          <w:color w:val="auto"/>
          <w:sz w:val="24"/>
          <w:szCs w:val="24"/>
          <w:highlight w:val="none"/>
          <w:lang w:val="en-US" w:eastAsia="zh-CN"/>
        </w:rPr>
        <w:t>质保期内</w:t>
      </w:r>
      <w:r>
        <w:rPr>
          <w:rFonts w:hint="eastAsia" w:ascii="宋体" w:hAnsi="宋体" w:eastAsia="宋体" w:cs="宋体"/>
          <w:color w:val="auto"/>
          <w:sz w:val="24"/>
          <w:szCs w:val="24"/>
          <w:highlight w:val="none"/>
        </w:rPr>
        <w:t>对于采购方人为原因造成的故障，中标人只收取维保成本费用</w:t>
      </w:r>
      <w:r>
        <w:rPr>
          <w:rFonts w:hint="eastAsia" w:ascii="宋体" w:hAnsi="宋体" w:cs="宋体"/>
          <w:color w:val="auto"/>
          <w:sz w:val="24"/>
          <w:szCs w:val="24"/>
          <w:highlight w:val="none"/>
          <w:lang w:val="en-US" w:eastAsia="zh-CN"/>
        </w:rPr>
        <w:t>并在24小时内解决</w:t>
      </w:r>
      <w:r>
        <w:rPr>
          <w:rFonts w:hint="eastAsia" w:ascii="宋体" w:hAnsi="宋体" w:eastAsia="宋体" w:cs="宋体"/>
          <w:color w:val="auto"/>
          <w:sz w:val="24"/>
          <w:szCs w:val="24"/>
          <w:highlight w:val="none"/>
        </w:rPr>
        <w:t>。</w:t>
      </w:r>
    </w:p>
    <w:p w14:paraId="0398F91D">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w:t>
      </w:r>
      <w:r>
        <w:rPr>
          <w:rFonts w:hint="eastAsia" w:ascii="宋体" w:hAnsi="宋体" w:eastAsia="宋体" w:cs="宋体"/>
          <w:b/>
          <w:bCs/>
          <w:color w:val="auto"/>
          <w:sz w:val="24"/>
          <w:szCs w:val="24"/>
          <w:highlight w:val="none"/>
          <w:lang w:eastAsia="zh-CN"/>
        </w:rPr>
        <w:t>合同履行期限</w:t>
      </w:r>
      <w:r>
        <w:rPr>
          <w:rFonts w:hint="eastAsia" w:ascii="宋体" w:hAnsi="宋体" w:eastAsia="宋体" w:cs="宋体"/>
          <w:b/>
          <w:bCs/>
          <w:color w:val="auto"/>
          <w:sz w:val="24"/>
          <w:szCs w:val="24"/>
          <w:highlight w:val="none"/>
        </w:rPr>
        <w:t>、交货方式及交货地点</w:t>
      </w:r>
    </w:p>
    <w:p w14:paraId="19D771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CB11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交货方式：</w:t>
      </w:r>
      <w:r>
        <w:rPr>
          <w:rFonts w:hint="eastAsia" w:ascii="宋体" w:hAnsi="宋体" w:eastAsia="宋体" w:cs="宋体"/>
          <w:color w:val="auto"/>
          <w:sz w:val="24"/>
          <w:szCs w:val="24"/>
          <w:highlight w:val="none"/>
          <w:u w:val="single"/>
        </w:rPr>
        <w:t>甲方指定方式</w:t>
      </w:r>
      <w:r>
        <w:rPr>
          <w:rFonts w:hint="eastAsia" w:ascii="宋体" w:hAnsi="宋体" w:eastAsia="宋体" w:cs="宋体"/>
          <w:color w:val="auto"/>
          <w:sz w:val="24"/>
          <w:szCs w:val="24"/>
          <w:highlight w:val="none"/>
        </w:rPr>
        <w:t>。</w:t>
      </w:r>
    </w:p>
    <w:p w14:paraId="194714F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8.3 交货地点：</w:t>
      </w:r>
      <w:r>
        <w:rPr>
          <w:rFonts w:hint="eastAsia" w:ascii="宋体" w:hAnsi="宋体" w:eastAsia="宋体" w:cs="宋体"/>
          <w:color w:val="auto"/>
          <w:sz w:val="24"/>
          <w:szCs w:val="24"/>
          <w:highlight w:val="none"/>
          <w:u w:val="single"/>
        </w:rPr>
        <w:t>甲方指定地点</w:t>
      </w:r>
      <w:r>
        <w:rPr>
          <w:rFonts w:hint="eastAsia" w:ascii="宋体" w:hAnsi="宋体" w:eastAsia="宋体" w:cs="宋体"/>
          <w:color w:val="auto"/>
          <w:sz w:val="24"/>
          <w:szCs w:val="24"/>
          <w:highlight w:val="none"/>
        </w:rPr>
        <w:t>。</w:t>
      </w:r>
    </w:p>
    <w:p w14:paraId="7CB54E9F">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九、合同款支付</w:t>
      </w:r>
    </w:p>
    <w:p w14:paraId="3C95B3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付款方式：</w:t>
      </w:r>
    </w:p>
    <w:p w14:paraId="28CF169F">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供货完成且经采购人验收合格后</w:t>
      </w:r>
      <w:r>
        <w:rPr>
          <w:rFonts w:hint="eastAsia" w:ascii="宋体" w:hAnsi="宋体" w:cs="宋体"/>
          <w:b/>
          <w:color w:val="auto"/>
          <w:sz w:val="24"/>
          <w:szCs w:val="24"/>
          <w:highlight w:val="none"/>
          <w:u w:val="single"/>
          <w:lang w:val="en-US" w:eastAsia="zh-CN"/>
        </w:rPr>
        <w:t>15日内</w:t>
      </w:r>
      <w:r>
        <w:rPr>
          <w:rFonts w:hint="eastAsia" w:ascii="宋体" w:hAnsi="宋体" w:eastAsia="宋体" w:cs="宋体"/>
          <w:b/>
          <w:color w:val="auto"/>
          <w:sz w:val="24"/>
          <w:szCs w:val="24"/>
          <w:highlight w:val="none"/>
          <w:u w:val="single"/>
        </w:rPr>
        <w:t>付至供货价的</w:t>
      </w:r>
      <w:r>
        <w:rPr>
          <w:rFonts w:hint="eastAsia" w:ascii="宋体" w:hAnsi="宋体" w:cs="宋体"/>
          <w:b/>
          <w:color w:val="auto"/>
          <w:sz w:val="24"/>
          <w:szCs w:val="24"/>
          <w:highlight w:val="none"/>
          <w:u w:val="single"/>
          <w:lang w:val="en-US" w:eastAsia="zh-CN"/>
        </w:rPr>
        <w:t>100</w:t>
      </w:r>
      <w:r>
        <w:rPr>
          <w:rFonts w:hint="eastAsia" w:ascii="宋体" w:hAnsi="宋体" w:eastAsia="宋体" w:cs="宋体"/>
          <w:b/>
          <w:color w:val="auto"/>
          <w:sz w:val="24"/>
          <w:szCs w:val="24"/>
          <w:highlight w:val="none"/>
          <w:u w:val="single"/>
        </w:rPr>
        <w:t>％。</w:t>
      </w:r>
    </w:p>
    <w:p w14:paraId="7E95F759">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注：支付货款时，乙方必须提供合同约定的正规发票。</w:t>
      </w:r>
    </w:p>
    <w:p w14:paraId="53BEDA0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9.2 当采购数量与实际使用数量不一致时，乙方根据实际使用量提供产品和服务，合同的最终结算金额按实际使用量乘以中标单价进行计算。</w:t>
      </w:r>
    </w:p>
    <w:p w14:paraId="60DF2F5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十、质量保证及售后服务</w:t>
      </w:r>
    </w:p>
    <w:p w14:paraId="0421B7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6CE1E09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乙方提供的货物在质保期内因货物本身及货物配套的收费系统等的质量问题发生故障，乙方应负责免费更换。对达不到技术要求者，根据实际情况，经双方协商，可按以下办法处理：</w:t>
      </w:r>
    </w:p>
    <w:p w14:paraId="0F50F4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（1）更换：由乙方承担所发生的全部费用。</w:t>
      </w:r>
    </w:p>
    <w:p w14:paraId="503E41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（2）贬值处理：由甲乙双方合议定价。</w:t>
      </w:r>
    </w:p>
    <w:p w14:paraId="3C371D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（3）退货处理：乙方应退还甲方支付的合同款，同时应承担该货物的直接费用（运输、保险、检验、合同款利息及银行手续费等）。</w:t>
      </w:r>
    </w:p>
    <w:p w14:paraId="7A46C0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测试要求：乙方安装后现场测试，提供测试报告，甲方验收签字确认。</w:t>
      </w:r>
    </w:p>
    <w:p w14:paraId="323813B5">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十一、调试和验收</w:t>
      </w:r>
    </w:p>
    <w:p w14:paraId="44F810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p>
    <w:p w14:paraId="4AC459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乙方交货前应对产品作出全面检查和对验收文件进行整理，并列出清单，作为甲方收货验收和使用的技术条件依据，检验的结果应随货物交甲方。</w:t>
      </w:r>
    </w:p>
    <w:p w14:paraId="038F46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甲方对乙方提供的货物在使用前进行调试时，乙方需负责安装并培训甲方的使用操作人员，并协助甲方一起调试，直到符合技术要求</w:t>
      </w:r>
      <w:r>
        <w:rPr>
          <w:rFonts w:hint="eastAsia" w:ascii="宋体" w:hAnsi="宋体" w:cs="宋体"/>
          <w:color w:val="auto"/>
          <w:sz w:val="24"/>
          <w:szCs w:val="24"/>
          <w:highlight w:val="none"/>
          <w:lang w:val="en-US" w:eastAsia="zh-CN"/>
        </w:rPr>
        <w:t>及甲方操作人员能完全会使用操作方可</w:t>
      </w:r>
      <w:r>
        <w:rPr>
          <w:rFonts w:hint="eastAsia" w:ascii="宋体" w:hAnsi="宋体" w:eastAsia="宋体" w:cs="宋体"/>
          <w:color w:val="auto"/>
          <w:sz w:val="24"/>
          <w:szCs w:val="24"/>
          <w:highlight w:val="none"/>
        </w:rPr>
        <w:t>，甲方才做最终验收。</w:t>
      </w:r>
    </w:p>
    <w:p w14:paraId="335CD1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验收时乙方必须在现场，验收完毕后作出验收结果报告；安装调试费用由中标供应商负责。</w:t>
      </w:r>
    </w:p>
    <w:p w14:paraId="005786B7">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11.5 对技术复杂的项目，甲方可组织有关部门和专家进行验收，并出具验收报告，相关费用由甲乙双方协商解决。</w:t>
      </w:r>
    </w:p>
    <w:p w14:paraId="4C1AEE80">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十二、货物包装、发运及运输</w:t>
      </w:r>
    </w:p>
    <w:p w14:paraId="404651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w:t>
      </w:r>
    </w:p>
    <w:p w14:paraId="300434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7B2078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239776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12FA2597">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5DF92A8B">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十三、违约责任</w:t>
      </w:r>
    </w:p>
    <w:p w14:paraId="4D21FD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甲方无正当理由拒收货物的，甲方向乙方偿付拒收合同款总值的百分之五违约金。</w:t>
      </w:r>
    </w:p>
    <w:p w14:paraId="5EEA76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甲方无故逾期验收和办理合同款支付手续的，甲方应按逾期付款总额每日千分之五向乙方支付违约金。</w:t>
      </w:r>
    </w:p>
    <w:p w14:paraId="646BEE5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乙方逾期交付货物的，乙方应按逾期交货总额每日</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rPr>
        <w:t xml:space="preserve">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A9B76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D4F3992">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13.5</w:t>
      </w:r>
      <w:r>
        <w:rPr>
          <w:rFonts w:hint="eastAsia" w:ascii="宋体" w:hAnsi="宋体" w:eastAsia="宋体" w:cs="宋体"/>
          <w:color w:val="auto"/>
          <w:sz w:val="24"/>
          <w:szCs w:val="24"/>
          <w:highlight w:val="none"/>
        </w:rPr>
        <w:t>乙方标中、标后被发现存在借牌（挂靠）营业执照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违法分包</w:t>
      </w:r>
      <w:r>
        <w:rPr>
          <w:rFonts w:hint="eastAsia" w:ascii="宋体" w:hAnsi="宋体" w:eastAsia="宋体" w:cs="宋体"/>
          <w:color w:val="auto"/>
          <w:sz w:val="24"/>
          <w:szCs w:val="24"/>
          <w:highlight w:val="none"/>
        </w:rPr>
        <w:t>的行为，将被取消投标或中标（候选人）资格、履约保证金不予退还、合同解除及清除出场，一切损失自行承担。</w:t>
      </w:r>
    </w:p>
    <w:p w14:paraId="3B50EE61">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十四、不可抗力事件处理</w:t>
      </w:r>
    </w:p>
    <w:p w14:paraId="3E989A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35B219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6C051E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7B4117D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十五、争议解决</w:t>
      </w:r>
    </w:p>
    <w:p w14:paraId="0CDB27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15.1双方在执行合同中所发生的一切争议，应通过协商解决。如协商不成，可向合同签订地人民法院起诉，合同签订地在此约定为</w:t>
      </w:r>
      <w:r>
        <w:rPr>
          <w:rFonts w:hint="eastAsia" w:ascii="宋体" w:hAnsi="宋体" w:eastAsia="宋体" w:cs="宋体"/>
          <w:color w:val="auto"/>
          <w:sz w:val="24"/>
          <w:szCs w:val="24"/>
          <w:highlight w:val="none"/>
          <w:lang w:eastAsia="zh-CN"/>
        </w:rPr>
        <w:t>连云港市海州区新坝镇人民政府</w:t>
      </w:r>
      <w:r>
        <w:rPr>
          <w:rFonts w:hint="eastAsia" w:ascii="宋体" w:hAnsi="宋体" w:eastAsia="宋体" w:cs="宋体"/>
          <w:color w:val="auto"/>
          <w:sz w:val="24"/>
          <w:szCs w:val="24"/>
          <w:highlight w:val="none"/>
        </w:rPr>
        <w:t xml:space="preserve">  。</w:t>
      </w:r>
    </w:p>
    <w:p w14:paraId="047E957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十六、合同生效及其它</w:t>
      </w:r>
    </w:p>
    <w:p w14:paraId="7A86EE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合同经双方法定代表人或授权委托代理人签名并加盖单位公章后生效。</w:t>
      </w:r>
    </w:p>
    <w:p w14:paraId="6F5841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下述合同附件为本合同不可分割的部分并与本合同具有同等效力：</w:t>
      </w:r>
    </w:p>
    <w:p w14:paraId="450FA4A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（1）供货清单和分项价格表</w:t>
      </w:r>
    </w:p>
    <w:p w14:paraId="26DD4C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w:t>
      </w:r>
    </w:p>
    <w:p w14:paraId="0BB65A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（3）乙方报价函的内容及其澄清内容</w:t>
      </w:r>
    </w:p>
    <w:p w14:paraId="77694B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（4）其他与本合同相关的资料</w:t>
      </w:r>
    </w:p>
    <w:p w14:paraId="373F8C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（5）本合同适用的特殊条款</w:t>
      </w:r>
    </w:p>
    <w:p w14:paraId="4EF27E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本合同未尽事宜，遵照《中华人民共和国民法典》有关条文执行。</w:t>
      </w:r>
    </w:p>
    <w:p w14:paraId="2412A64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本合同正本一式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份，具有同等法律效力，甲方执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w:t>
      </w:r>
      <w:r>
        <w:rPr>
          <w:rFonts w:hint="eastAsia" w:ascii="宋体" w:hAnsi="宋体" w:eastAsia="宋体" w:cs="宋体"/>
          <w:color w:val="auto"/>
          <w:sz w:val="24"/>
          <w:szCs w:val="24"/>
          <w:highlight w:val="none"/>
        </w:rPr>
        <w:t>，采购人报一份至政府采购监督管理部门。</w:t>
      </w:r>
    </w:p>
    <w:p w14:paraId="0463C4B2">
      <w:pPr>
        <w:rPr>
          <w:rFonts w:hint="eastAsia" w:ascii="宋体" w:hAnsi="宋体" w:eastAsia="宋体" w:cs="宋体"/>
          <w:color w:val="auto"/>
          <w:highlight w:val="none"/>
        </w:rPr>
      </w:pPr>
    </w:p>
    <w:p w14:paraId="1D868CA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54F665F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521CEBF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7D3FFC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38AEFB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p>
    <w:p w14:paraId="4936682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p>
    <w:p w14:paraId="0095FD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43D49F76">
      <w:pPr>
        <w:spacing w:line="360" w:lineRule="auto"/>
        <w:rPr>
          <w:rFonts w:hint="eastAsia" w:ascii="宋体" w:hAnsi="宋体" w:eastAsia="宋体" w:cs="宋体"/>
          <w:color w:val="auto"/>
          <w:sz w:val="24"/>
          <w:szCs w:val="24"/>
          <w:highlight w:val="none"/>
        </w:rPr>
      </w:pPr>
    </w:p>
    <w:p w14:paraId="2A0C7545">
      <w:pPr>
        <w:spacing w:line="360" w:lineRule="auto"/>
        <w:jc w:val="center"/>
        <w:outlineLvl w:val="0"/>
        <w:rPr>
          <w:rStyle w:val="246"/>
          <w:rFonts w:hint="eastAsia" w:ascii="宋体" w:hAnsi="宋体" w:eastAsia="宋体" w:cs="宋体"/>
          <w:color w:val="auto"/>
          <w:highlight w:val="none"/>
        </w:rPr>
      </w:pPr>
      <w:r>
        <w:rPr>
          <w:rFonts w:hint="eastAsia" w:ascii="宋体" w:hAnsi="宋体" w:eastAsia="宋体" w:cs="宋体"/>
          <w:bCs/>
          <w:color w:val="auto"/>
          <w:sz w:val="44"/>
          <w:szCs w:val="21"/>
          <w:highlight w:val="none"/>
        </w:rPr>
        <w:br w:type="page" w:clear="all"/>
      </w:r>
      <w:bookmarkStart w:id="106" w:name="_Toc15270"/>
      <w:r>
        <w:rPr>
          <w:rStyle w:val="246"/>
          <w:rFonts w:hint="eastAsia" w:ascii="宋体" w:hAnsi="宋体" w:eastAsia="宋体" w:cs="宋体"/>
          <w:color w:val="auto"/>
          <w:highlight w:val="none"/>
        </w:rPr>
        <w:t>第</w:t>
      </w:r>
      <w:bookmarkEnd w:id="100"/>
      <w:r>
        <w:rPr>
          <w:rStyle w:val="246"/>
          <w:rFonts w:hint="eastAsia" w:ascii="宋体" w:hAnsi="宋体" w:eastAsia="宋体" w:cs="宋体"/>
          <w:color w:val="auto"/>
          <w:highlight w:val="none"/>
        </w:rPr>
        <w:t>四章 采购需求</w:t>
      </w:r>
      <w:bookmarkEnd w:id="101"/>
      <w:bookmarkEnd w:id="102"/>
      <w:bookmarkEnd w:id="103"/>
      <w:bookmarkEnd w:id="106"/>
    </w:p>
    <w:p w14:paraId="014DCE05">
      <w:pPr>
        <w:spacing w:line="360" w:lineRule="auto"/>
        <w:ind w:firstLine="480"/>
        <w:rPr>
          <w:rFonts w:hint="eastAsia" w:ascii="宋体" w:hAnsi="宋体" w:eastAsia="宋体" w:cs="宋体"/>
          <w:b/>
          <w:bCs w:val="0"/>
          <w:color w:val="auto"/>
          <w:sz w:val="24"/>
          <w:szCs w:val="24"/>
          <w:highlight w:val="none"/>
        </w:rPr>
      </w:pPr>
      <w:bookmarkStart w:id="107" w:name="_Toc26554093"/>
      <w:bookmarkStart w:id="108" w:name="_Toc49090575"/>
      <w:r>
        <w:rPr>
          <w:rFonts w:hint="eastAsia" w:ascii="宋体" w:hAnsi="宋体" w:eastAsia="宋体" w:cs="宋体"/>
          <w:b/>
          <w:bCs w:val="0"/>
          <w:color w:val="auto"/>
          <w:sz w:val="24"/>
          <w:szCs w:val="24"/>
          <w:highlight w:val="none"/>
        </w:rPr>
        <w:t>说明：本项目属性为货物，采购标的对应的中小企业划分标准所属行业为</w:t>
      </w:r>
      <w:r>
        <w:rPr>
          <w:rFonts w:hint="eastAsia" w:ascii="宋体" w:hAnsi="宋体" w:eastAsia="宋体" w:cs="宋体"/>
          <w:b/>
          <w:bCs w:val="0"/>
          <w:color w:val="auto"/>
          <w:sz w:val="24"/>
          <w:szCs w:val="24"/>
          <w:highlight w:val="none"/>
          <w:u w:val="single"/>
        </w:rPr>
        <w:t xml:space="preserve"> 工业 </w:t>
      </w:r>
      <w:r>
        <w:rPr>
          <w:rFonts w:hint="eastAsia" w:ascii="宋体" w:hAnsi="宋体" w:eastAsia="宋体" w:cs="宋体"/>
          <w:b/>
          <w:bCs w:val="0"/>
          <w:color w:val="auto"/>
          <w:sz w:val="24"/>
          <w:szCs w:val="24"/>
          <w:highlight w:val="none"/>
        </w:rPr>
        <w:t>。</w:t>
      </w:r>
    </w:p>
    <w:p w14:paraId="078BB856">
      <w:pPr>
        <w:pStyle w:val="308"/>
        <w:spacing w:before="0" w:line="360" w:lineRule="auto"/>
        <w:ind w:firstLine="482"/>
        <w:rPr>
          <w:rFonts w:hint="eastAsia" w:ascii="宋体" w:hAnsi="宋体" w:eastAsia="宋体" w:cs="宋体"/>
          <w:color w:val="auto"/>
          <w:highlight w:val="none"/>
        </w:rPr>
      </w:pPr>
      <w:r>
        <w:rPr>
          <w:rFonts w:hint="eastAsia" w:ascii="宋体" w:hAnsi="宋体" w:eastAsia="宋体" w:cs="宋体"/>
          <w:b/>
          <w:color w:val="auto"/>
          <w:sz w:val="24"/>
          <w:szCs w:val="24"/>
          <w:highlight w:val="none"/>
        </w:rPr>
        <w:t>1、本项目需求中标注★号的部分为实质性要求和条件（由采购人根据实际情况设置），</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必须作出满足或者优于原要求和条件的响应，否则投标无效。</w:t>
      </w:r>
    </w:p>
    <w:p w14:paraId="3FA2993A">
      <w:pPr>
        <w:spacing w:line="360" w:lineRule="auto"/>
        <w:ind w:firstLine="482"/>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2、说明：根据政府采购货物和服务招标投标管理办法（财政部令第87号）第31条规定：供应商提供相同品牌产品且通过资格审查、符合性审查的不同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参加同一合同项下投标的，按一家</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计算，评审后得分最高的同品牌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获得中标人推荐资格；评审得分相同的，由采购人或者采购人委托评标委员会按照招标文件规定的方式确定一个</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获得中标人推荐资格，招标文件未规定的采取随机抽取方式确定，其他同品牌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不作为中标候选人。非单一产品采购项目，多家</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提供的核心产品品牌相同的，按前款规定处理。</w:t>
      </w:r>
    </w:p>
    <w:p w14:paraId="7C1B70A6">
      <w:pPr>
        <w:spacing w:line="360" w:lineRule="auto"/>
        <w:ind w:firstLine="482"/>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本项目核心产品为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电子远传阀控水表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w:t>
      </w:r>
    </w:p>
    <w:p w14:paraId="71376962">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一、项目概况</w:t>
      </w:r>
    </w:p>
    <w:p w14:paraId="0D8ED1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新坝镇自来水提质升级工程</w:t>
      </w:r>
      <w:r>
        <w:rPr>
          <w:rFonts w:hint="eastAsia" w:ascii="宋体" w:hAnsi="宋体" w:eastAsia="宋体" w:cs="宋体"/>
          <w:color w:val="auto"/>
          <w:sz w:val="24"/>
          <w:szCs w:val="24"/>
          <w:highlight w:val="none"/>
          <w:lang w:val="en-US" w:eastAsia="zh-CN"/>
        </w:rPr>
        <w:t>施工已经招标人招标发包，现</w:t>
      </w:r>
      <w:r>
        <w:rPr>
          <w:rFonts w:hint="eastAsia" w:ascii="宋体" w:hAnsi="宋体" w:eastAsia="宋体" w:cs="宋体"/>
          <w:color w:val="auto"/>
          <w:sz w:val="24"/>
          <w:szCs w:val="24"/>
          <w:highlight w:val="none"/>
        </w:rPr>
        <w:t>拟采购一批水表</w:t>
      </w:r>
      <w:r>
        <w:rPr>
          <w:rFonts w:hint="eastAsia" w:ascii="宋体" w:hAnsi="宋体" w:eastAsia="宋体" w:cs="宋体"/>
          <w:color w:val="auto"/>
          <w:sz w:val="24"/>
          <w:szCs w:val="24"/>
          <w:highlight w:val="none"/>
          <w:lang w:val="en-US" w:eastAsia="zh-CN"/>
        </w:rPr>
        <w:t>配套工程施工使用</w:t>
      </w:r>
      <w:r>
        <w:rPr>
          <w:rFonts w:hint="eastAsia" w:ascii="宋体" w:hAnsi="宋体" w:eastAsia="宋体" w:cs="宋体"/>
          <w:color w:val="auto"/>
          <w:sz w:val="24"/>
          <w:szCs w:val="24"/>
          <w:highlight w:val="none"/>
        </w:rPr>
        <w:t>。</w:t>
      </w:r>
    </w:p>
    <w:p w14:paraId="32DA2232">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二、货物（标的）采购清单</w:t>
      </w:r>
    </w:p>
    <w:tbl>
      <w:tblPr>
        <w:tblStyle w:val="3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
        <w:gridCol w:w="1967"/>
        <w:gridCol w:w="953"/>
        <w:gridCol w:w="670"/>
        <w:gridCol w:w="545"/>
        <w:gridCol w:w="1240"/>
        <w:gridCol w:w="876"/>
        <w:gridCol w:w="2373"/>
      </w:tblGrid>
      <w:tr w14:paraId="7EA6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0" w:type="auto"/>
            <w:shd w:val="clear" w:color="auto" w:fill="auto"/>
            <w:noWrap w:val="0"/>
            <w:vAlign w:val="center"/>
          </w:tcPr>
          <w:p w14:paraId="10EBA1C7">
            <w:pPr>
              <w:widowControl/>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序号</w:t>
            </w:r>
          </w:p>
        </w:tc>
        <w:tc>
          <w:tcPr>
            <w:tcW w:w="1967" w:type="dxa"/>
            <w:shd w:val="clear" w:color="auto" w:fill="auto"/>
            <w:noWrap w:val="0"/>
            <w:vAlign w:val="center"/>
          </w:tcPr>
          <w:p w14:paraId="56EFE844">
            <w:pPr>
              <w:widowControl/>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货物名称</w:t>
            </w:r>
          </w:p>
        </w:tc>
        <w:tc>
          <w:tcPr>
            <w:tcW w:w="953" w:type="dxa"/>
            <w:shd w:val="clear" w:color="auto" w:fill="auto"/>
            <w:noWrap w:val="0"/>
            <w:vAlign w:val="center"/>
          </w:tcPr>
          <w:p w14:paraId="47AA37CC">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规格型号</w:t>
            </w:r>
          </w:p>
        </w:tc>
        <w:tc>
          <w:tcPr>
            <w:tcW w:w="0" w:type="auto"/>
            <w:shd w:val="clear" w:color="auto" w:fill="auto"/>
            <w:noWrap w:val="0"/>
            <w:vAlign w:val="center"/>
          </w:tcPr>
          <w:p w14:paraId="15854177">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数量</w:t>
            </w:r>
          </w:p>
        </w:tc>
        <w:tc>
          <w:tcPr>
            <w:tcW w:w="0" w:type="auto"/>
            <w:shd w:val="clear" w:color="auto" w:fill="auto"/>
            <w:noWrap w:val="0"/>
            <w:vAlign w:val="center"/>
          </w:tcPr>
          <w:p w14:paraId="3BA8B6EE">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单位</w:t>
            </w:r>
          </w:p>
        </w:tc>
        <w:tc>
          <w:tcPr>
            <w:tcW w:w="1240" w:type="dxa"/>
            <w:shd w:val="clear" w:color="auto" w:fill="auto"/>
            <w:noWrap w:val="0"/>
            <w:vAlign w:val="center"/>
          </w:tcPr>
          <w:p w14:paraId="72F363E2">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中小企业划分标准所属行业</w:t>
            </w:r>
          </w:p>
        </w:tc>
        <w:tc>
          <w:tcPr>
            <w:tcW w:w="0" w:type="auto"/>
            <w:shd w:val="clear" w:color="auto" w:fill="auto"/>
            <w:noWrap w:val="0"/>
            <w:vAlign w:val="center"/>
          </w:tcPr>
          <w:p w14:paraId="74342C6F">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安装环境</w:t>
            </w:r>
          </w:p>
        </w:tc>
        <w:tc>
          <w:tcPr>
            <w:tcW w:w="2373" w:type="dxa"/>
            <w:shd w:val="clear" w:color="auto" w:fill="auto"/>
            <w:noWrap w:val="0"/>
            <w:vAlign w:val="center"/>
          </w:tcPr>
          <w:p w14:paraId="78B5F69A">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备注</w:t>
            </w:r>
          </w:p>
        </w:tc>
      </w:tr>
      <w:tr w14:paraId="683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0" w:type="auto"/>
            <w:shd w:val="clear" w:color="auto" w:fill="auto"/>
            <w:noWrap w:val="0"/>
            <w:vAlign w:val="center"/>
          </w:tcPr>
          <w:p w14:paraId="072DFA85">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967" w:type="dxa"/>
            <w:shd w:val="clear" w:color="auto" w:fill="auto"/>
            <w:noWrap w:val="0"/>
            <w:vAlign w:val="center"/>
          </w:tcPr>
          <w:p w14:paraId="7C2F9294">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电子远传阀控水表</w:t>
            </w:r>
          </w:p>
        </w:tc>
        <w:tc>
          <w:tcPr>
            <w:tcW w:w="953" w:type="dxa"/>
            <w:shd w:val="clear" w:color="auto" w:fill="auto"/>
            <w:noWrap w:val="0"/>
            <w:vAlign w:val="center"/>
          </w:tcPr>
          <w:p w14:paraId="6A7946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DN15</w:t>
            </w:r>
          </w:p>
        </w:tc>
        <w:tc>
          <w:tcPr>
            <w:tcW w:w="0" w:type="auto"/>
            <w:shd w:val="clear" w:color="auto" w:fill="auto"/>
            <w:noWrap w:val="0"/>
            <w:vAlign w:val="center"/>
          </w:tcPr>
          <w:p w14:paraId="30C89F80">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4505</w:t>
            </w:r>
          </w:p>
        </w:tc>
        <w:tc>
          <w:tcPr>
            <w:tcW w:w="0" w:type="auto"/>
            <w:shd w:val="clear" w:color="auto" w:fill="auto"/>
            <w:noWrap w:val="0"/>
            <w:vAlign w:val="center"/>
          </w:tcPr>
          <w:p w14:paraId="28349DA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34A3491C">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139131CB">
            <w:pPr>
              <w:keepNext w:val="0"/>
              <w:keepLines w:val="0"/>
              <w:widowControl/>
              <w:suppressLineNumbers w:val="0"/>
              <w:ind w:left="0" w:leftChars="0" w:right="0" w:rightChars="0" w:firstLine="0" w:firstLineChars="0"/>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restart"/>
            <w:shd w:val="clear" w:color="auto" w:fill="auto"/>
            <w:noWrap w:val="0"/>
            <w:vAlign w:val="center"/>
          </w:tcPr>
          <w:p w14:paraId="4FE3D7C4">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电子</w:t>
            </w:r>
            <w:r>
              <w:rPr>
                <w:rFonts w:hint="eastAsia" w:ascii="宋体" w:hAnsi="宋体" w:cs="宋体"/>
                <w:color w:val="auto"/>
                <w:sz w:val="21"/>
                <w:szCs w:val="22"/>
                <w:highlight w:val="none"/>
                <w:lang w:val="en-US" w:eastAsia="zh-CN" w:bidi="ar-SA"/>
              </w:rPr>
              <w:t>/超声</w:t>
            </w:r>
            <w:r>
              <w:rPr>
                <w:rFonts w:hint="eastAsia" w:ascii="宋体" w:hAnsi="宋体" w:eastAsia="宋体" w:cs="宋体"/>
                <w:color w:val="auto"/>
                <w:sz w:val="21"/>
                <w:szCs w:val="22"/>
                <w:highlight w:val="none"/>
                <w:lang w:val="en-US" w:eastAsia="zh-CN" w:bidi="ar-SA"/>
              </w:rPr>
              <w:t>远传阀控水表含通讯模块、6 年通讯资费、</w:t>
            </w:r>
            <w:r>
              <w:rPr>
                <w:rFonts w:hint="eastAsia" w:ascii="宋体" w:hAnsi="宋体" w:cs="宋体"/>
                <w:color w:val="auto"/>
                <w:sz w:val="21"/>
                <w:szCs w:val="22"/>
                <w:highlight w:val="none"/>
                <w:lang w:val="en-US" w:eastAsia="zh-CN" w:bidi="ar-SA"/>
              </w:rPr>
              <w:t>软件</w:t>
            </w:r>
            <w:r>
              <w:rPr>
                <w:rFonts w:hint="eastAsia" w:ascii="宋体" w:hAnsi="宋体" w:eastAsia="宋体" w:cs="宋体"/>
                <w:color w:val="auto"/>
                <w:sz w:val="21"/>
                <w:szCs w:val="22"/>
                <w:highlight w:val="none"/>
                <w:lang w:val="en-US" w:eastAsia="zh-CN" w:bidi="ar-SA"/>
              </w:rPr>
              <w:t>平台服务等</w:t>
            </w:r>
          </w:p>
        </w:tc>
      </w:tr>
      <w:tr w14:paraId="7AE3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3F1BB023">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1967" w:type="dxa"/>
            <w:shd w:val="clear" w:color="auto" w:fill="auto"/>
            <w:noWrap w:val="0"/>
            <w:vAlign w:val="center"/>
          </w:tcPr>
          <w:p w14:paraId="284C6966">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5756F76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DN32</w:t>
            </w:r>
          </w:p>
        </w:tc>
        <w:tc>
          <w:tcPr>
            <w:tcW w:w="0" w:type="auto"/>
            <w:shd w:val="clear" w:color="auto" w:fill="auto"/>
            <w:noWrap w:val="0"/>
            <w:vAlign w:val="center"/>
          </w:tcPr>
          <w:p w14:paraId="3A7F94B3">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shd w:val="clear" w:color="auto" w:fill="auto"/>
            <w:noWrap w:val="0"/>
            <w:vAlign w:val="center"/>
          </w:tcPr>
          <w:p w14:paraId="5ABCBFC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7FF81961">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17B29D83">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36E85FB4">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5E8F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1B6161C9">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1967" w:type="dxa"/>
            <w:shd w:val="clear" w:color="auto" w:fill="auto"/>
            <w:noWrap w:val="0"/>
            <w:vAlign w:val="center"/>
          </w:tcPr>
          <w:p w14:paraId="20BFE249">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77B7227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DN40</w:t>
            </w:r>
          </w:p>
        </w:tc>
        <w:tc>
          <w:tcPr>
            <w:tcW w:w="0" w:type="auto"/>
            <w:shd w:val="clear" w:color="auto" w:fill="auto"/>
            <w:noWrap w:val="0"/>
            <w:vAlign w:val="center"/>
          </w:tcPr>
          <w:p w14:paraId="542BCF25">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0" w:type="auto"/>
            <w:shd w:val="clear" w:color="auto" w:fill="auto"/>
            <w:noWrap w:val="0"/>
            <w:vAlign w:val="center"/>
          </w:tcPr>
          <w:p w14:paraId="783EBCA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0863373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1C45F7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73598898">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169E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2E6306E9">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1967" w:type="dxa"/>
            <w:shd w:val="clear" w:color="auto" w:fill="auto"/>
            <w:noWrap w:val="0"/>
            <w:vAlign w:val="center"/>
          </w:tcPr>
          <w:p w14:paraId="3666CC5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154409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DN50</w:t>
            </w:r>
          </w:p>
        </w:tc>
        <w:tc>
          <w:tcPr>
            <w:tcW w:w="0" w:type="auto"/>
            <w:shd w:val="clear" w:color="auto" w:fill="auto"/>
            <w:noWrap w:val="0"/>
            <w:vAlign w:val="center"/>
          </w:tcPr>
          <w:p w14:paraId="7D2DC347">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shd w:val="clear" w:color="auto" w:fill="auto"/>
            <w:noWrap w:val="0"/>
            <w:vAlign w:val="center"/>
          </w:tcPr>
          <w:p w14:paraId="617E58E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7AB7A41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0B23D15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2E47A4FF">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40A6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21A2C63D">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1967" w:type="dxa"/>
            <w:shd w:val="clear" w:color="auto" w:fill="auto"/>
            <w:noWrap w:val="0"/>
            <w:vAlign w:val="center"/>
          </w:tcPr>
          <w:p w14:paraId="540A1BD7">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15A2C7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DN80</w:t>
            </w:r>
          </w:p>
        </w:tc>
        <w:tc>
          <w:tcPr>
            <w:tcW w:w="0" w:type="auto"/>
            <w:shd w:val="clear" w:color="auto" w:fill="auto"/>
            <w:noWrap w:val="0"/>
            <w:vAlign w:val="center"/>
          </w:tcPr>
          <w:p w14:paraId="7235DDB5">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0" w:type="auto"/>
            <w:shd w:val="clear" w:color="auto" w:fill="auto"/>
            <w:noWrap w:val="0"/>
            <w:vAlign w:val="center"/>
          </w:tcPr>
          <w:p w14:paraId="3C6E166A">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3EAA25D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71C9ADF6">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7364F83E">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2253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1F01514B">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1967" w:type="dxa"/>
            <w:shd w:val="clear" w:color="auto" w:fill="auto"/>
            <w:noWrap w:val="0"/>
            <w:vAlign w:val="center"/>
          </w:tcPr>
          <w:p w14:paraId="2E00BD8E">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0FB66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DN100</w:t>
            </w:r>
          </w:p>
        </w:tc>
        <w:tc>
          <w:tcPr>
            <w:tcW w:w="0" w:type="auto"/>
            <w:shd w:val="clear" w:color="auto" w:fill="auto"/>
            <w:noWrap w:val="0"/>
            <w:vAlign w:val="center"/>
          </w:tcPr>
          <w:p w14:paraId="41B36038">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0" w:type="auto"/>
            <w:shd w:val="clear" w:color="auto" w:fill="auto"/>
            <w:noWrap w:val="0"/>
            <w:vAlign w:val="center"/>
          </w:tcPr>
          <w:p w14:paraId="09BA56F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D4B2419">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46AAD67">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505221D4">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72FD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06F18A28">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w:t>
            </w:r>
          </w:p>
        </w:tc>
        <w:tc>
          <w:tcPr>
            <w:tcW w:w="1967" w:type="dxa"/>
            <w:shd w:val="clear" w:color="auto" w:fill="auto"/>
            <w:noWrap w:val="0"/>
            <w:vAlign w:val="center"/>
          </w:tcPr>
          <w:p w14:paraId="0AF81156">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015166A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DN150</w:t>
            </w:r>
          </w:p>
        </w:tc>
        <w:tc>
          <w:tcPr>
            <w:tcW w:w="0" w:type="auto"/>
            <w:shd w:val="clear" w:color="auto" w:fill="auto"/>
            <w:noWrap w:val="0"/>
            <w:vAlign w:val="center"/>
          </w:tcPr>
          <w:p w14:paraId="173D45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69817E5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5D5647E">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E455BC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378319E3">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3F68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4FE46967">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8</w:t>
            </w:r>
          </w:p>
        </w:tc>
        <w:tc>
          <w:tcPr>
            <w:tcW w:w="1967" w:type="dxa"/>
            <w:shd w:val="clear" w:color="auto" w:fill="auto"/>
            <w:noWrap w:val="0"/>
            <w:vAlign w:val="center"/>
          </w:tcPr>
          <w:p w14:paraId="60EC7F6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3E793D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DN200</w:t>
            </w:r>
          </w:p>
        </w:tc>
        <w:tc>
          <w:tcPr>
            <w:tcW w:w="0" w:type="auto"/>
            <w:shd w:val="clear" w:color="auto" w:fill="auto"/>
            <w:noWrap w:val="0"/>
            <w:vAlign w:val="center"/>
          </w:tcPr>
          <w:p w14:paraId="7E3E59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4635B8FD">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26A222F2">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5E5C8C9D">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0BAC8227">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0602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0" w:type="auto"/>
            <w:shd w:val="clear" w:color="auto" w:fill="auto"/>
            <w:noWrap w:val="0"/>
            <w:vAlign w:val="center"/>
          </w:tcPr>
          <w:p w14:paraId="6FFDEEF4">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9</w:t>
            </w:r>
          </w:p>
        </w:tc>
        <w:tc>
          <w:tcPr>
            <w:tcW w:w="1967" w:type="dxa"/>
            <w:shd w:val="clear" w:color="auto" w:fill="auto"/>
            <w:noWrap w:val="0"/>
            <w:vAlign w:val="center"/>
          </w:tcPr>
          <w:p w14:paraId="61D0300F">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1FF1A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DN250</w:t>
            </w:r>
          </w:p>
        </w:tc>
        <w:tc>
          <w:tcPr>
            <w:tcW w:w="0" w:type="auto"/>
            <w:shd w:val="clear" w:color="auto" w:fill="auto"/>
            <w:noWrap w:val="0"/>
            <w:vAlign w:val="center"/>
          </w:tcPr>
          <w:p w14:paraId="2ACB5F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0C214386">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8D8055F">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451A3A69">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04B5EC8E">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68EC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545" w:type="dxa"/>
            <w:shd w:val="clear" w:color="auto" w:fill="auto"/>
            <w:noWrap w:val="0"/>
            <w:vAlign w:val="center"/>
          </w:tcPr>
          <w:p w14:paraId="28B282CE">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c>
          <w:tcPr>
            <w:tcW w:w="1967" w:type="dxa"/>
            <w:shd w:val="clear" w:color="auto" w:fill="auto"/>
            <w:noWrap w:val="0"/>
            <w:vAlign w:val="center"/>
          </w:tcPr>
          <w:p w14:paraId="797DE93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06C657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DN300</w:t>
            </w:r>
          </w:p>
        </w:tc>
        <w:tc>
          <w:tcPr>
            <w:tcW w:w="670" w:type="dxa"/>
            <w:shd w:val="clear" w:color="auto" w:fill="auto"/>
            <w:noWrap w:val="0"/>
            <w:vAlign w:val="center"/>
          </w:tcPr>
          <w:p w14:paraId="63947B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545" w:type="dxa"/>
            <w:shd w:val="clear" w:color="auto" w:fill="auto"/>
            <w:noWrap w:val="0"/>
            <w:vAlign w:val="center"/>
          </w:tcPr>
          <w:p w14:paraId="0C2A5704">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4158F8D2">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876" w:type="dxa"/>
            <w:shd w:val="clear" w:color="auto" w:fill="auto"/>
            <w:noWrap w:val="0"/>
            <w:vAlign w:val="center"/>
          </w:tcPr>
          <w:p w14:paraId="4186EA91">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52CA89F3">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bl>
    <w:p w14:paraId="5B8DC50C">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三、货物（标的）技术参数及功能指标</w:t>
      </w:r>
    </w:p>
    <w:p w14:paraId="468C3F2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物联网</w:t>
      </w:r>
      <w:r>
        <w:rPr>
          <w:rFonts w:hint="eastAsia" w:ascii="宋体" w:hAnsi="宋体" w:eastAsia="宋体" w:cs="宋体"/>
          <w:b/>
          <w:color w:val="auto"/>
          <w:sz w:val="24"/>
          <w:szCs w:val="24"/>
          <w:highlight w:val="none"/>
        </w:rPr>
        <w:t>阀控水表</w:t>
      </w:r>
      <w:r>
        <w:rPr>
          <w:rFonts w:hint="eastAsia" w:ascii="宋体" w:hAnsi="宋体" w:eastAsia="宋体" w:cs="宋体"/>
          <w:b/>
          <w:color w:val="auto"/>
          <w:sz w:val="24"/>
          <w:szCs w:val="24"/>
          <w:highlight w:val="none"/>
          <w:lang w:val="en-US" w:eastAsia="zh-CN"/>
        </w:rPr>
        <w:t>、物联网远传超声水表</w:t>
      </w:r>
    </w:p>
    <w:p w14:paraId="6FD299B8">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一、技术标准</w:t>
      </w:r>
    </w:p>
    <w:p w14:paraId="628146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《饮用冷水水表和热水水表》(GB/T778-2018)</w:t>
      </w:r>
    </w:p>
    <w:p w14:paraId="1A12C7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《饮用冷水水表检定规程》JJG 162-2019</w:t>
      </w:r>
    </w:p>
    <w:p w14:paraId="3C668BA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《饮用水冷水水表安全规则》CJ266</w:t>
      </w:r>
    </w:p>
    <w:p w14:paraId="304979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《非螺纹密封的管螺纹》GB/T 7307</w:t>
      </w:r>
    </w:p>
    <w:p w14:paraId="313F4F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《外壳防护等级(IP代码)》(GB 4208-2008)中的IP68要求</w:t>
      </w:r>
    </w:p>
    <w:p w14:paraId="7EDB02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《电子远传水表》CJ/T 224-2012</w:t>
      </w:r>
    </w:p>
    <w:p w14:paraId="0FFF84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《住宅远传抄表系统数据专线传输》CJ/T 188-2018</w:t>
      </w:r>
    </w:p>
    <w:p w14:paraId="06E9F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《铸造铜及铜合金》GB/T 1176-2013</w:t>
      </w:r>
    </w:p>
    <w:p w14:paraId="4095B2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《小口径饮用水冷水表表壳技术规范》 CMA/WM778</w:t>
      </w:r>
    </w:p>
    <w:p w14:paraId="65AFF5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《NB-IoT 水表自动抄表系统现场安装、验收与使用技术指南》TCMA SB 040-2019</w:t>
      </w:r>
    </w:p>
    <w:p w14:paraId="68DBCB5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注：除上述标准外，本项目同时执行国家或行业最新标准或规范。</w:t>
      </w:r>
    </w:p>
    <w:p w14:paraId="5443DFD5">
      <w:pPr>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技术参数、特性、基本要求</w:t>
      </w:r>
    </w:p>
    <w:p w14:paraId="10FE73D4">
      <w:pPr>
        <w:keepNext/>
        <w:widowControl w:val="0"/>
        <w:spacing w:line="360" w:lineRule="auto"/>
        <w:jc w:val="both"/>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（一）电子远传阀控水表：</w:t>
      </w:r>
    </w:p>
    <w:p w14:paraId="6B21E67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基本要求：本次招标产品为电子远传阀控水表，各潜在供货商至少提供</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年通讯资费</w:t>
      </w:r>
      <w:r>
        <w:rPr>
          <w:rFonts w:hint="eastAsia" w:ascii="宋体" w:hAnsi="宋体" w:eastAsia="宋体" w:cs="宋体"/>
          <w:color w:val="auto"/>
          <w:sz w:val="24"/>
          <w:szCs w:val="24"/>
          <w:highlight w:val="none"/>
          <w:lang w:eastAsia="zh-CN"/>
        </w:rPr>
        <w:t>；</w:t>
      </w:r>
    </w:p>
    <w:p w14:paraId="4F71EC4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通过中华人民共和国工业和信息化部设备进网许可，</w:t>
      </w:r>
      <w:r>
        <w:rPr>
          <w:rFonts w:hint="eastAsia" w:ascii="宋体" w:hAnsi="宋体" w:eastAsia="宋体" w:cs="宋体"/>
          <w:b/>
          <w:color w:val="auto"/>
          <w:sz w:val="24"/>
          <w:szCs w:val="24"/>
          <w:highlight w:val="none"/>
        </w:rPr>
        <w:t>设备名称为NB-IoT无线数据终端</w:t>
      </w:r>
      <w:r>
        <w:rPr>
          <w:rFonts w:hint="eastAsia" w:ascii="宋体" w:hAnsi="宋体" w:eastAsia="宋体" w:cs="宋体"/>
          <w:color w:val="auto"/>
          <w:sz w:val="24"/>
          <w:szCs w:val="24"/>
          <w:highlight w:val="none"/>
          <w:lang w:eastAsia="zh-CN"/>
        </w:rPr>
        <w:t>；</w:t>
      </w:r>
    </w:p>
    <w:p w14:paraId="3F350BC4">
      <w:pPr>
        <w:spacing w:line="360" w:lineRule="auto"/>
        <w:ind w:firstLine="480"/>
        <w:rPr>
          <w:rFonts w:hint="eastAsia" w:ascii="宋体" w:hAnsi="宋体" w:eastAsia="宋体" w:cs="宋体"/>
          <w:strike w:val="0"/>
          <w:color w:val="auto"/>
          <w:sz w:val="24"/>
          <w:szCs w:val="24"/>
          <w:highlight w:val="none"/>
          <w:u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取得国家工业和信息化部无线电发射设备型号核准证书，设备型号应体现NB无线传输，调制方式为BPSK或QPSK</w:t>
      </w:r>
      <w:r>
        <w:rPr>
          <w:rFonts w:hint="eastAsia" w:ascii="宋体" w:hAnsi="宋体" w:eastAsia="宋体" w:cs="宋体"/>
          <w:strike w:val="0"/>
          <w:color w:val="auto"/>
          <w:sz w:val="24"/>
          <w:szCs w:val="24"/>
          <w:highlight w:val="none"/>
          <w:u w:val="none"/>
        </w:rPr>
        <w:t>；</w:t>
      </w:r>
    </w:p>
    <w:p w14:paraId="008636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2、基表</w:t>
      </w:r>
    </w:p>
    <w:p w14:paraId="7BEEAA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湿式、旋翼多流束阀控基表；</w:t>
      </w:r>
    </w:p>
    <w:p w14:paraId="356D76F5">
      <w:pPr>
        <w:spacing w:line="360" w:lineRule="auto"/>
        <w:ind w:firstLine="480"/>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▲2.2 表壳采用国标铜壳（ZcuZn40Pb2），</w:t>
      </w:r>
      <w:r>
        <w:rPr>
          <w:rFonts w:hint="eastAsia" w:ascii="宋体" w:hAnsi="宋体" w:eastAsia="宋体" w:cs="宋体"/>
          <w:color w:val="auto"/>
          <w:sz w:val="24"/>
          <w:szCs w:val="24"/>
          <w:highlight w:val="none"/>
          <w:lang w:eastAsia="zh-CN"/>
        </w:rPr>
        <w:t>阀体采用黄铜材质（铜含量≥58%），需提供</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检测报告</w:t>
      </w:r>
      <w:r>
        <w:rPr>
          <w:rFonts w:hint="eastAsia" w:ascii="宋体" w:hAnsi="宋体" w:eastAsia="宋体" w:cs="宋体"/>
          <w:color w:val="auto"/>
          <w:sz w:val="24"/>
          <w:szCs w:val="24"/>
          <w:highlight w:val="none"/>
          <w:lang w:eastAsia="zh-CN"/>
        </w:rPr>
        <w:t>。</w:t>
      </w:r>
    </w:p>
    <w:p w14:paraId="6F2ED795">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水表所选用零部件应能承受零下（-25℃）低温气候，在此条件下不影响其计量性能、功能（</w:t>
      </w:r>
      <w:r>
        <w:rPr>
          <w:rFonts w:hint="eastAsia" w:ascii="宋体" w:hAnsi="宋体" w:cs="宋体"/>
          <w:color w:val="auto"/>
          <w:sz w:val="24"/>
          <w:szCs w:val="24"/>
          <w:highlight w:val="none"/>
          <w:lang w:val="en-US" w:eastAsia="zh-CN"/>
        </w:rPr>
        <w:t>提供相关检测报告）。</w:t>
      </w:r>
    </w:p>
    <w:p w14:paraId="6F7B8B7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表壳及接管螺母为铜材质。且符合 CMA/WM778《小口径饮用水冷水表表壳技术规范》相关要求。 </w:t>
      </w:r>
    </w:p>
    <w:p w14:paraId="70E7DC7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 阀轴需采取结构防护措施，确保密封不渗水且不影响电机工作；阀门采用定时动作设计，避免阀球生锈、抱死和杂质堵塞。</w:t>
      </w:r>
    </w:p>
    <w:p w14:paraId="1C0E73A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 xml:space="preserve"> 表内所有接触水的零部件应采用无毒、无污染、无生物活性的材料。</w:t>
      </w:r>
    </w:p>
    <w:p w14:paraId="09C662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3、计量特性</w:t>
      </w:r>
    </w:p>
    <w:p w14:paraId="660252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水表的准确度等级为2级；</w:t>
      </w:r>
    </w:p>
    <w:p w14:paraId="1F56B9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温度等级</w:t>
      </w:r>
      <w:r>
        <w:rPr>
          <w:rFonts w:hint="eastAsia" w:ascii="宋体" w:hAnsi="宋体" w:eastAsia="宋体" w:cs="宋体"/>
          <w:strike w:val="0"/>
          <w:color w:val="auto"/>
          <w:sz w:val="24"/>
          <w:szCs w:val="24"/>
          <w:highlight w:val="none"/>
        </w:rPr>
        <w:t>T</w:t>
      </w:r>
      <w:r>
        <w:rPr>
          <w:rFonts w:hint="eastAsia" w:ascii="宋体" w:hAnsi="宋体" w:eastAsia="宋体" w:cs="宋体"/>
          <w:strike w:val="0"/>
          <w:color w:val="auto"/>
          <w:sz w:val="24"/>
          <w:szCs w:val="24"/>
          <w:highlight w:val="none"/>
          <w:lang w:val="en-US" w:eastAsia="zh-CN"/>
        </w:rPr>
        <w:t xml:space="preserve">50（T30) </w:t>
      </w:r>
      <w:r>
        <w:rPr>
          <w:rFonts w:hint="eastAsia" w:ascii="宋体" w:hAnsi="宋体" w:eastAsia="宋体" w:cs="宋体"/>
          <w:color w:val="auto"/>
          <w:sz w:val="24"/>
          <w:szCs w:val="24"/>
          <w:highlight w:val="none"/>
        </w:rPr>
        <w:t>；</w:t>
      </w:r>
    </w:p>
    <w:p w14:paraId="64D7E6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压力等级MAP16</w:t>
      </w:r>
      <w:r>
        <w:rPr>
          <w:rFonts w:hint="eastAsia" w:ascii="宋体" w:hAnsi="宋体" w:eastAsia="宋体" w:cs="宋体"/>
          <w:color w:val="auto"/>
          <w:sz w:val="24"/>
          <w:szCs w:val="24"/>
          <w:highlight w:val="none"/>
          <w:lang w:val="en-US" w:eastAsia="zh-CN"/>
        </w:rPr>
        <w:t>(MAP10)</w:t>
      </w:r>
      <w:r>
        <w:rPr>
          <w:rFonts w:hint="eastAsia" w:ascii="宋体" w:hAnsi="宋体" w:eastAsia="宋体" w:cs="宋体"/>
          <w:color w:val="auto"/>
          <w:sz w:val="24"/>
          <w:szCs w:val="24"/>
          <w:highlight w:val="none"/>
        </w:rPr>
        <w:t>；</w:t>
      </w:r>
    </w:p>
    <w:p w14:paraId="7E8DD5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压力损失等级△P63；</w:t>
      </w:r>
    </w:p>
    <w:p w14:paraId="5C908E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上游流场敏感度等级</w:t>
      </w:r>
      <w:r>
        <w:rPr>
          <w:rFonts w:hint="eastAsia" w:ascii="宋体" w:hAnsi="宋体" w:eastAsia="宋体" w:cs="宋体"/>
          <w:strike w:val="0"/>
          <w:color w:val="auto"/>
          <w:sz w:val="24"/>
          <w:szCs w:val="24"/>
          <w:highlight w:val="none"/>
          <w:lang w:val="en-US" w:eastAsia="zh-CN"/>
        </w:rPr>
        <w:t xml:space="preserve"> U5</w:t>
      </w:r>
      <w:r>
        <w:rPr>
          <w:rFonts w:hint="eastAsia" w:ascii="宋体" w:hAnsi="宋体" w:eastAsia="宋体" w:cs="宋体"/>
          <w:color w:val="auto"/>
          <w:sz w:val="24"/>
          <w:szCs w:val="24"/>
          <w:highlight w:val="none"/>
        </w:rPr>
        <w:t>，下游流场敏感度等级</w:t>
      </w:r>
      <w:r>
        <w:rPr>
          <w:rFonts w:hint="eastAsia" w:ascii="宋体" w:hAnsi="宋体" w:eastAsia="宋体" w:cs="宋体"/>
          <w:strike w:val="0"/>
          <w:color w:val="auto"/>
          <w:sz w:val="24"/>
          <w:szCs w:val="24"/>
          <w:highlight w:val="none"/>
          <w:lang w:val="en-US" w:eastAsia="zh-CN"/>
        </w:rPr>
        <w:t>D3</w:t>
      </w:r>
      <w:r>
        <w:rPr>
          <w:rFonts w:hint="eastAsia" w:ascii="宋体" w:hAnsi="宋体" w:eastAsia="宋体" w:cs="宋体"/>
          <w:color w:val="auto"/>
          <w:sz w:val="24"/>
          <w:szCs w:val="24"/>
          <w:highlight w:val="none"/>
        </w:rPr>
        <w:t>；</w:t>
      </w:r>
    </w:p>
    <w:p w14:paraId="20B0DD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环境严酷度等级：</w:t>
      </w:r>
      <w:r>
        <w:rPr>
          <w:rFonts w:hint="eastAsia" w:ascii="宋体" w:hAnsi="宋体" w:eastAsia="宋体" w:cs="宋体"/>
          <w:strike w:val="0"/>
          <w:color w:val="auto"/>
          <w:sz w:val="24"/>
          <w:szCs w:val="24"/>
          <w:highlight w:val="none"/>
          <w:lang w:val="en-US" w:eastAsia="zh-CN"/>
        </w:rPr>
        <w:t>B级</w:t>
      </w:r>
      <w:r>
        <w:rPr>
          <w:rFonts w:hint="eastAsia" w:ascii="宋体" w:hAnsi="宋体" w:eastAsia="宋体" w:cs="宋体"/>
          <w:color w:val="auto"/>
          <w:sz w:val="24"/>
          <w:szCs w:val="24"/>
          <w:highlight w:val="none"/>
        </w:rPr>
        <w:t>；</w:t>
      </w:r>
    </w:p>
    <w:p w14:paraId="4A9960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电磁环境等级：E</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p>
    <w:p w14:paraId="2C55397D">
      <w:pPr>
        <w:spacing w:line="360" w:lineRule="auto"/>
        <w:ind w:firstLine="480"/>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外壳防护等级：IP68（提供</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检测报告）</w:t>
      </w:r>
      <w:r>
        <w:rPr>
          <w:rFonts w:hint="eastAsia" w:ascii="宋体" w:hAnsi="宋体" w:eastAsia="宋体" w:cs="宋体"/>
          <w:color w:val="auto"/>
          <w:sz w:val="24"/>
          <w:szCs w:val="24"/>
          <w:highlight w:val="none"/>
          <w:lang w:eastAsia="zh-CN"/>
        </w:rPr>
        <w:t>。</w:t>
      </w:r>
    </w:p>
    <w:p w14:paraId="76E652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始动流量≤0.00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m³/h,且准确度满足国标要求（</w:t>
      </w:r>
      <w:r>
        <w:rPr>
          <w:rFonts w:hint="eastAsia" w:ascii="宋体" w:hAnsi="宋体" w:cs="宋体"/>
          <w:color w:val="auto"/>
          <w:sz w:val="24"/>
          <w:szCs w:val="24"/>
          <w:highlight w:val="none"/>
          <w:lang w:val="en-US" w:eastAsia="zh-CN"/>
        </w:rPr>
        <w:t>提供相关检测报告）。</w:t>
      </w:r>
    </w:p>
    <w:p w14:paraId="7B25869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动态功耗&lt;40mA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待机电流&lt;15μA（</w:t>
      </w:r>
      <w:r>
        <w:rPr>
          <w:rFonts w:hint="eastAsia" w:ascii="宋体" w:hAnsi="宋体" w:cs="宋体"/>
          <w:color w:val="auto"/>
          <w:sz w:val="24"/>
          <w:szCs w:val="24"/>
          <w:highlight w:val="none"/>
          <w:lang w:val="en-US" w:eastAsia="zh-CN"/>
        </w:rPr>
        <w:t>提供相关检测报告）。</w:t>
      </w:r>
    </w:p>
    <w:p w14:paraId="4AA1D7A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4、水表材料要求</w:t>
      </w:r>
    </w:p>
    <w:p w14:paraId="255AFEF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叶轮盒材质为ABS、叶轮材质为POM、叶轮轴材质为钨钢；表玻璃材质为钢化玻璃（CTG），厚度不低于6mm；</w:t>
      </w:r>
    </w:p>
    <w:p w14:paraId="130F2E7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钟罩材质为不锈钢304（SUS304）；</w:t>
      </w:r>
    </w:p>
    <w:p w14:paraId="5D5C97B7">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3根据《生活饮用水输配水设备及防护材料卫生安全评价规范》(2001)，对送检样品进行了卫生安全性检验。</w:t>
      </w:r>
    </w:p>
    <w:p w14:paraId="239E6E93">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检验方法采用《生活饮用水标准检验方法》 gb /t5750-2023，样品处理方法按照《生活饮用水输配水设备及防护材料卫生安全评价规范》(2001）附录 A 进行。样品浸泡水采用附录A1.3.1节配制。浸泡时间24h±1h，浸泡温度25℃±5℃。</w:t>
      </w:r>
    </w:p>
    <w:p w14:paraId="11A8B6E7">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结果表明：色度、浑浊度、臭和味、肉眼可见物、 pH 、溶解性总固体、锰酸盐指数（以O2计）、砷、镉、铬（六价）、铝、铅、汞、三氯甲烷、挥发酚类、铁、锰、铜、锌、钡、镍、锑、四氯化碳、锡指标均符合《生活饮用水输配水设备及防护材料卫生安全评价规范》(2001）对饮用水输配水设备的要求。</w:t>
      </w:r>
    </w:p>
    <w:p w14:paraId="2D36B8B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标志：在水表表盘上按招标人要求印制相关字样和条形码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同时按照招标人要求制作不锈钢铭牌</w:t>
      </w:r>
      <w:r>
        <w:rPr>
          <w:rFonts w:hint="eastAsia" w:ascii="宋体" w:hAnsi="宋体" w:eastAsia="宋体" w:cs="宋体"/>
          <w:color w:val="auto"/>
          <w:sz w:val="24"/>
          <w:szCs w:val="24"/>
          <w:highlight w:val="none"/>
        </w:rPr>
        <w:t>；</w:t>
      </w:r>
    </w:p>
    <w:p w14:paraId="27589C1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机械字轮位数：指示到 m</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的位数不小于 4 位，即满行度不小于9999m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w:t>
      </w:r>
    </w:p>
    <w:p w14:paraId="0D69223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5、电子部分要求</w:t>
      </w:r>
    </w:p>
    <w:p w14:paraId="1552FF49">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5.1电子部分和基表采用分体结构，实现基表与电子部分整体拆分、维修更换，更换电子部分不影响基表运行及最终读数，拆分快捷方便；</w:t>
      </w:r>
    </w:p>
    <w:p w14:paraId="2C1862C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5.2内置电池：电池可独立更换，在上报频次为1次/日时，保证使用6年，电子部分6年保修；</w:t>
      </w:r>
    </w:p>
    <w:p w14:paraId="3E92E654">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数据上报成功率：＞99.9% ，差错率：为0；数据采集精度：精确到10L 位。</w:t>
      </w:r>
    </w:p>
    <w:p w14:paraId="707DE95E">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抗干扰：输入端加载频率为850MHz，功率为-16 dBm至10 dBm的连续波干扰信号，通讯模组仍能够正常工作；</w:t>
      </w:r>
    </w:p>
    <w:p w14:paraId="037E99CB">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服务器连接采用透传机制；</w:t>
      </w:r>
    </w:p>
    <w:p w14:paraId="2ADEBB91">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可通过云控平台实现信息查询、阀门控制、指令下发等功能；</w:t>
      </w:r>
    </w:p>
    <w:p w14:paraId="3DCE73B5">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采用电容触摸触发作为外部输入的监测及实现数据的实时上报按钮，无需物理按键；</w:t>
      </w:r>
    </w:p>
    <w:p w14:paraId="3439ABEA">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投标产品应具有光电接口，可通过光电接口进行参数设置、读取表内数据、状态等；</w:t>
      </w:r>
    </w:p>
    <w:p w14:paraId="2384FC96">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投标产品应具有触发上线指示灯，附着网络和数据传输能用不同的灯光提示；</w:t>
      </w:r>
    </w:p>
    <w:p w14:paraId="48C6469B">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6、数据上传功能要求</w:t>
      </w:r>
    </w:p>
    <w:p w14:paraId="30080D9D">
      <w:pPr>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▲6.1 抄表成功率100%、准确率99.99%，且具有点数据冻结、日数据冻结、月数据冻结功能，远程可设；点数据冻结≥288个、日数据冻结≥96天、月数据冻结≥72个月（</w:t>
      </w:r>
      <w:r>
        <w:rPr>
          <w:rFonts w:hint="eastAsia" w:ascii="宋体" w:hAnsi="宋体" w:eastAsia="宋体" w:cs="宋体"/>
          <w:color w:val="auto"/>
          <w:sz w:val="24"/>
          <w:szCs w:val="24"/>
          <w:highlight w:val="none"/>
          <w:lang w:val="en-US" w:eastAsia="zh-CN"/>
        </w:rPr>
        <w:t>提供相关检测报告）。</w:t>
      </w:r>
    </w:p>
    <w:p w14:paraId="1152BF8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兼容现场通过容式触发按键触发主动上线、设置自动上线、平台系统读取抄表模式；</w:t>
      </w:r>
    </w:p>
    <w:p w14:paraId="2E8B2C9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自动上传数据时间可根据供水管理部门要求设定；</w:t>
      </w:r>
    </w:p>
    <w:p w14:paraId="2C3B32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数据上传内容至少包含：仪表通讯地址、累积流量、通讯时间、阀门状态、磁干扰、故障代码、脉冲当量、电池电压、信号强度、设备参数、IMSI值、SNR值、PCI值等信息；</w:t>
      </w:r>
    </w:p>
    <w:p w14:paraId="761A379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7、阀控要求</w:t>
      </w:r>
    </w:p>
    <w:p w14:paraId="66D3CC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单表阀门开关时间≤30s，阀门寿命≥100000次；</w:t>
      </w:r>
      <w:r>
        <w:rPr>
          <w:rFonts w:hint="eastAsia" w:ascii="宋体" w:hAnsi="宋体" w:eastAsia="宋体" w:cs="宋体"/>
          <w:b/>
          <w:color w:val="auto"/>
          <w:sz w:val="24"/>
          <w:szCs w:val="24"/>
          <w:highlight w:val="none"/>
        </w:rPr>
        <w:t>提供阀门</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10万次磨损检测报告。</w:t>
      </w:r>
    </w:p>
    <w:p w14:paraId="66494A3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金属执行器齿轮，减速比不小于2400:1、扭力不小于3.2Nm；</w:t>
      </w:r>
    </w:p>
    <w:p w14:paraId="24B14B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阀门控制采用五线制到位检测，且具有防水保护措施；</w:t>
      </w:r>
    </w:p>
    <w:p w14:paraId="40ACD1D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阀门在3.6V供电电压，1.0Mpa的水压下可以可靠开关；</w:t>
      </w:r>
    </w:p>
    <w:p w14:paraId="40FC037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阀体采用铸造铅黄铜材质，阀球必须为不锈钢材质；</w:t>
      </w:r>
    </w:p>
    <w:p w14:paraId="1F1DF9E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阀体的阀轴应采用必要的结构防护措施，确保阀轴密封，不渗水，不影响电机正常工作；</w:t>
      </w:r>
    </w:p>
    <w:p w14:paraId="5C0998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 远程可控制阀门开关，多次触发触摸按键后主动上线，执行阀门控制操作。</w:t>
      </w:r>
    </w:p>
    <w:p w14:paraId="773497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8、接管、螺母要求，满足国标</w:t>
      </w:r>
      <w:r>
        <w:rPr>
          <w:rFonts w:hint="eastAsia" w:ascii="宋体" w:hAnsi="宋体" w:eastAsia="宋体" w:cs="宋体"/>
          <w:color w:val="auto"/>
          <w:sz w:val="24"/>
          <w:szCs w:val="24"/>
          <w:highlight w:val="none"/>
          <w:lang w:eastAsia="zh-CN"/>
        </w:rPr>
        <w:t>；</w:t>
      </w:r>
    </w:p>
    <w:p w14:paraId="04893A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（二）、物联网远传超声水表：</w:t>
      </w:r>
    </w:p>
    <w:p w14:paraId="5548E492">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1.超声水表口径和总尺寸：DN50-DN300水表以法兰连接。每一种超声波水表口径均相应有一组固定的总尺寸（水表的尺寸应符合GB/T 778-2018《饮用冷水水表和热水水表》标准的规定）；</w:t>
      </w:r>
    </w:p>
    <w:p w14:paraId="72480E9E">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2.超声水表材质为球铁或不锈钢缩颈结构；</w:t>
      </w:r>
    </w:p>
    <w:p w14:paraId="48907461">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3.具有反向计量功能，反向准确度等级等同于正向；</w:t>
      </w:r>
    </w:p>
    <w:p w14:paraId="791B12E5">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.外形尺寸，应符合GB/T 778-2018 《饮用冷水水表和热水水表》国家标准要求；</w:t>
      </w:r>
    </w:p>
    <w:p w14:paraId="1D15A518">
      <w:pPr>
        <w:widowControl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.超声水表明示标识应采用激光刻录，保证永久不掉色、耐磨损；</w:t>
      </w:r>
    </w:p>
    <w:p w14:paraId="479C8231">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.超声波水表宜采用光敏传感器，完成显示菜单的切换，不接受磁棒或物理按键</w:t>
      </w:r>
      <w:r>
        <w:rPr>
          <w:rFonts w:hint="eastAsia" w:ascii="宋体" w:hAnsi="宋体" w:eastAsia="宋体" w:cs="宋体"/>
          <w:color w:val="auto"/>
          <w:sz w:val="24"/>
          <w:szCs w:val="24"/>
          <w:highlight w:val="none"/>
          <w:lang w:eastAsia="zh-CN"/>
        </w:rPr>
        <w:t>形式</w:t>
      </w:r>
      <w:r>
        <w:rPr>
          <w:rFonts w:hint="eastAsia" w:ascii="宋体" w:hAnsi="宋体" w:eastAsia="宋体" w:cs="宋体"/>
          <w:color w:val="auto"/>
          <w:sz w:val="24"/>
          <w:szCs w:val="24"/>
          <w:highlight w:val="none"/>
        </w:rPr>
        <w:t>；</w:t>
      </w:r>
    </w:p>
    <w:p w14:paraId="54D23AD1">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指示装置：水表应采用LCD液晶显示，分格显示，应具有明显的分格线，且用不同字母加数字方式显示不同的菜单项。用户菜单可显示累积流量、瞬时流量、电池电量、电压符号不足提醒及水表的工作状态、并且能在液晶屏上显示如电池电量不足、水表倒流、水表停走、用水量异常、水表空管等相应异常代码。正向累积流量显示最大值为99999999.9m³，反向流累积流量显示最大值为9999999.9m³最小值为0.1m³；</w:t>
      </w:r>
    </w:p>
    <w:p w14:paraId="2AB7F17E">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.数据存储：可自动存储最少24个月的相关记录数据。断电或电量耗尽保护，掉电（失电）时水表自动保存累计读数及设定参数保存不变，数据永久保存，方便现场及时维护或更换。</w:t>
      </w:r>
    </w:p>
    <w:p w14:paraId="6B4CA0E6">
      <w:pPr>
        <w:widowControl w:val="0"/>
        <w:spacing w:line="360" w:lineRule="auto"/>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、参数要求</w:t>
      </w:r>
    </w:p>
    <w:p w14:paraId="2CC39B47">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防护等级：IP68（</w:t>
      </w:r>
      <w:r>
        <w:rPr>
          <w:rFonts w:hint="eastAsia" w:ascii="宋体" w:hAnsi="宋体" w:cs="宋体"/>
          <w:color w:val="auto"/>
          <w:sz w:val="24"/>
          <w:szCs w:val="24"/>
          <w:highlight w:val="none"/>
          <w:lang w:val="en-US" w:eastAsia="zh-CN"/>
        </w:rPr>
        <w:t>提供相关检测报告）。</w:t>
      </w:r>
    </w:p>
    <w:p w14:paraId="5EDF836F">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.2压力损失：额定工作条件下的最大压力损失优于或等于0.04MPa；</w:t>
      </w:r>
    </w:p>
    <w:p w14:paraId="44021D3F">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.3准确度等级为2级以上：最大允许误差：在水温0.1℃至30℃范围内，水表的最大允许误差在高区(Q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≤Q≤Q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)为±2%，低区（Q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≤Q&lt;Q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）为±5%；</w:t>
      </w:r>
    </w:p>
    <w:p w14:paraId="0A91737C">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.4测量范围</w:t>
      </w:r>
    </w:p>
    <w:p w14:paraId="16B6E02A">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水表常用流量Q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 xml:space="preserve"> (m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/h)的数值应满足</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要求，Q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的比值</w:t>
      </w:r>
      <w:r>
        <w:rPr>
          <w:rFonts w:hint="eastAsia" w:ascii="宋体" w:hAnsi="宋体" w:eastAsia="宋体" w:cs="宋体"/>
          <w:color w:val="auto"/>
          <w:sz w:val="24"/>
          <w:szCs w:val="24"/>
          <w:highlight w:val="none"/>
          <w:lang w:val="en-US" w:eastAsia="zh-CN"/>
        </w:rPr>
        <w:t>为25</w:t>
      </w:r>
      <w:r>
        <w:rPr>
          <w:rFonts w:hint="eastAsia" w:ascii="宋体" w:hAnsi="宋体" w:eastAsia="宋体" w:cs="宋体"/>
          <w:color w:val="auto"/>
          <w:sz w:val="24"/>
          <w:szCs w:val="24"/>
          <w:highlight w:val="none"/>
        </w:rPr>
        <w:t>0；提供型式批准证书</w:t>
      </w:r>
      <w:r>
        <w:rPr>
          <w:rFonts w:hint="eastAsia" w:ascii="宋体" w:hAnsi="宋体" w:eastAsia="宋体" w:cs="宋体"/>
          <w:color w:val="auto"/>
          <w:sz w:val="24"/>
          <w:szCs w:val="24"/>
          <w:highlight w:val="none"/>
          <w:lang w:eastAsia="zh-CN"/>
        </w:rPr>
        <w:t>。</w:t>
      </w:r>
    </w:p>
    <w:p w14:paraId="66136BCD">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.4.2 常用流量(Q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)与过载流量(Q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)的关系：Q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=1.25；</w:t>
      </w:r>
    </w:p>
    <w:p w14:paraId="7AF32661">
      <w:pPr>
        <w:widowControl w:val="0"/>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.4.3 分解流量(Q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)与最小流量(Q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)的关系：Q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=1.6；提供型式批准证书</w:t>
      </w:r>
      <w:r>
        <w:rPr>
          <w:rFonts w:hint="eastAsia" w:ascii="宋体" w:hAnsi="宋体" w:eastAsia="宋体" w:cs="宋体"/>
          <w:color w:val="auto"/>
          <w:sz w:val="24"/>
          <w:szCs w:val="24"/>
          <w:highlight w:val="none"/>
          <w:lang w:eastAsia="zh-CN"/>
        </w:rPr>
        <w:t>。</w:t>
      </w:r>
    </w:p>
    <w:p w14:paraId="53BCC98E">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.5水表具备双向分别独立计量，并且单向和双向可互调的测流功能，独立存储、分屏显示；</w:t>
      </w:r>
    </w:p>
    <w:p w14:paraId="5536358F">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.6 水表的温度等级优于或等于T30；</w:t>
      </w:r>
    </w:p>
    <w:p w14:paraId="32782E62">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.7 压力等级：MAP16；</w:t>
      </w:r>
    </w:p>
    <w:p w14:paraId="5C9C7D75">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.8 气候环境等级：</w:t>
      </w: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级；</w:t>
      </w:r>
    </w:p>
    <w:p w14:paraId="31561E09">
      <w:pPr>
        <w:widowControl w:val="0"/>
        <w:tabs>
          <w:tab w:val="left" w:pos="2626"/>
        </w:tabs>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.9 流动剖面敏感度等级：水表上、下游流场敏感度等级应满足U10、D5或U5、D3；</w:t>
      </w:r>
    </w:p>
    <w:p w14:paraId="757DA7D9">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.10 超声水表在电磁干扰条件下,不应丢失数据，符合国家GB/T 778-2018要求，电磁环境等级应达到E2级以上；</w:t>
      </w:r>
    </w:p>
    <w:p w14:paraId="75E31C79">
      <w:pPr>
        <w:widowControl w:val="0"/>
        <w:tabs>
          <w:tab w:val="left" w:pos="2626"/>
        </w:tabs>
        <w:spacing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每5分钟数据冻结一次，每小时主动上传1次，此工况条件下，电池寿命不低于8年；</w:t>
      </w:r>
    </w:p>
    <w:p w14:paraId="044591B7">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三、软件平台功能</w:t>
      </w:r>
    </w:p>
    <w:p w14:paraId="5A93225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1、平台至少包含以下功能：</w:t>
      </w:r>
    </w:p>
    <w:p w14:paraId="1BEBA19A">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报装管理：区域划分管理、业主信息管理等，包括支持用户档案（户名、地址、表号）的批量导入/导出（Excel），支持更名/过户/销户，且必须保留完整的操作日志（提供软件截图或相关材料证明）</w:t>
      </w:r>
    </w:p>
    <w:p w14:paraId="5E343951">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数据监测：数据查询、离线仪表统计、数据监控、电子地图、磁干扰；（提供软件截图或相关材料证明）数据查询中应至少包含：地址全称、仪表地址、累积流量、仪表时间、通讯时间、电池电压、磁干扰、故障代码、脉冲当量、上传间隔、上传时间、净流量、仪表状态、信号强度、IMSI值和PCI值；</w:t>
      </w:r>
    </w:p>
    <w:p w14:paraId="64C6460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异常告警：至少包含流量异常、用水流量异常等；（提供软件截图或相关材料证明）</w:t>
      </w:r>
    </w:p>
    <w:p w14:paraId="6A906F65">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用水量统计功能，至少包含：流量统计、日用量统计、月用量统计、时段用量统计，并依据用水量生成曲线图、柱状图；（提供软件截图或相关材料证明）</w:t>
      </w:r>
    </w:p>
    <w:p w14:paraId="42888FE6">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系统应具有仪表日志、设备日志、指令查询功能；（提供软件截图或相关材料证明）</w:t>
      </w:r>
    </w:p>
    <w:p w14:paraId="2AB95925">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 系统应具有正向累积流量、反向累积流量，查询功能。（提供软件截图或相关材料证明）</w:t>
      </w:r>
    </w:p>
    <w:p w14:paraId="2231EE3B">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▲1.7产销差分析：能对比总表供水量与用户售水量，计算漏损率，并定位异常分区。</w:t>
      </w:r>
    </w:p>
    <w:p w14:paraId="2A9F183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★1.8阀控：支持欠费自动/手动关阀、远程阀门控制。</w:t>
      </w:r>
    </w:p>
    <w:p w14:paraId="0BDA45CA">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、缴费</w:t>
      </w:r>
    </w:p>
    <w:p w14:paraId="4CBD362D">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搭建PC端、微信服务号（公众号）等多渠道预付费/缴费场景，支持窗口现金、微信/支付宝扫码。用户可通过微信服务号（公众号）注册登录手机终端，查看用户使用相关信息（包含但不限于缴费、用量、余额等）（提供软件截图或相关材料证明）</w:t>
      </w:r>
    </w:p>
    <w:p w14:paraId="23426DC9">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计费模式：需同时支持单一水价和阶梯水价。</w:t>
      </w:r>
    </w:p>
    <w:p w14:paraId="2474CEFE">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欠费通知：欠费时，可以通过短信、微信等提醒。</w:t>
      </w:r>
    </w:p>
    <w:p w14:paraId="331A6034">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四、供货要求</w:t>
      </w:r>
    </w:p>
    <w:p w14:paraId="017AC0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p>
    <w:p w14:paraId="44E8314B">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五</w:t>
      </w:r>
      <w:r>
        <w:rPr>
          <w:rFonts w:hint="eastAsia" w:ascii="宋体" w:hAnsi="宋体" w:eastAsia="宋体" w:cs="宋体"/>
          <w:b/>
          <w:bCs/>
          <w:color w:val="auto"/>
          <w:sz w:val="28"/>
          <w:szCs w:val="28"/>
          <w:highlight w:val="none"/>
        </w:rPr>
        <w:t>、售后服务要求</w:t>
      </w:r>
    </w:p>
    <w:p w14:paraId="73D880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1、在质保期内，供应商应确保设备的正常使用。在接到用户服务要求后应立即做出回应，并在承诺的服务时间内实施服务。</w:t>
      </w:r>
    </w:p>
    <w:p w14:paraId="719696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、质保期：水表整机质保不少于 3 年，</w:t>
      </w:r>
      <w:r>
        <w:rPr>
          <w:rFonts w:hint="eastAsia" w:ascii="宋体" w:hAnsi="宋体" w:cs="宋体"/>
          <w:b/>
          <w:bCs/>
          <w:color w:val="auto"/>
          <w:sz w:val="24"/>
          <w:szCs w:val="24"/>
          <w:highlight w:val="none"/>
          <w:lang w:val="en-US" w:eastAsia="zh-CN"/>
        </w:rPr>
        <w:t>其中电池部分不少于6年</w:t>
      </w:r>
      <w:r>
        <w:rPr>
          <w:rFonts w:hint="eastAsia" w:ascii="宋体" w:hAnsi="宋体" w:eastAsia="宋体" w:cs="宋体"/>
          <w:b/>
          <w:bCs/>
          <w:color w:val="auto"/>
          <w:sz w:val="24"/>
          <w:szCs w:val="24"/>
          <w:highlight w:val="none"/>
        </w:rPr>
        <w:t>。</w:t>
      </w:r>
    </w:p>
    <w:p w14:paraId="4BE3B7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质保期间，中标人承担维修、保养、安检、调换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系统维护</w:t>
      </w:r>
      <w:r>
        <w:rPr>
          <w:rFonts w:hint="eastAsia" w:ascii="宋体" w:hAnsi="宋体" w:eastAsia="宋体" w:cs="宋体"/>
          <w:color w:val="auto"/>
          <w:sz w:val="24"/>
          <w:szCs w:val="24"/>
          <w:highlight w:val="none"/>
        </w:rPr>
        <w:t>等，相关费用包含在预算内，采购方不再支付任何费用；对于采购方人为原因造成的故障，中标人只收取维保成本费用。</w:t>
      </w:r>
    </w:p>
    <w:p w14:paraId="1559F7B5">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六</w:t>
      </w:r>
      <w:r>
        <w:rPr>
          <w:rFonts w:hint="eastAsia" w:ascii="宋体" w:hAnsi="宋体" w:eastAsia="宋体" w:cs="宋体"/>
          <w:b/>
          <w:bCs/>
          <w:color w:val="auto"/>
          <w:sz w:val="28"/>
          <w:szCs w:val="28"/>
          <w:highlight w:val="none"/>
        </w:rPr>
        <w:t>、商务要求</w:t>
      </w:r>
    </w:p>
    <w:p w14:paraId="6E79D8A1">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1、国家及行业相关规范标准：</w:t>
      </w:r>
      <w:r>
        <w:rPr>
          <w:rFonts w:hint="eastAsia" w:ascii="宋体" w:hAnsi="宋体" w:eastAsia="宋体" w:cs="宋体"/>
          <w:color w:val="auto"/>
          <w:sz w:val="24"/>
          <w:szCs w:val="24"/>
          <w:highlight w:val="none"/>
        </w:rPr>
        <w:t>本项目执行现行国家相关标准，无国家标准的执行行业标准；无行业标准的执行地方标准；无地方标准的执行企业标准。</w:t>
      </w:r>
    </w:p>
    <w:p w14:paraId="3EBA2AD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2、合同履行期限：</w:t>
      </w:r>
      <w:r>
        <w:rPr>
          <w:rFonts w:hint="eastAsia" w:ascii="宋体" w:hAnsi="宋体" w:cs="宋体"/>
          <w:color w:val="auto"/>
          <w:sz w:val="24"/>
          <w:szCs w:val="24"/>
          <w:highlight w:val="none"/>
          <w:lang w:eastAsia="zh-CN"/>
        </w:rPr>
        <w:t>合同签订之日起30天内完成供货。</w:t>
      </w:r>
    </w:p>
    <w:p w14:paraId="2227FF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3、交付方式：采购人指定方式。</w:t>
      </w:r>
    </w:p>
    <w:p w14:paraId="6E777C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4、交付地点：采购人指定地点。</w:t>
      </w:r>
    </w:p>
    <w:p w14:paraId="6DF55366">
      <w:pPr>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5、付款方式与履约保证金</w:t>
      </w:r>
      <w:r>
        <w:rPr>
          <w:rFonts w:hint="eastAsia" w:ascii="宋体" w:hAnsi="宋体" w:cs="宋体"/>
          <w:b/>
          <w:bCs/>
          <w:color w:val="auto"/>
          <w:sz w:val="24"/>
          <w:szCs w:val="24"/>
          <w:highlight w:val="none"/>
          <w:lang w:eastAsia="zh-CN"/>
        </w:rPr>
        <w:t>。</w:t>
      </w:r>
    </w:p>
    <w:p w14:paraId="06EA3C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★5.1付款方式：</w:t>
      </w:r>
    </w:p>
    <w:p w14:paraId="7380E374">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供货完成且经采购人验收合格后15日内付至供货价的100％。</w:t>
      </w:r>
    </w:p>
    <w:p w14:paraId="2E9CE2CE">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注：支付货款时，乙方必须提供合同约定的正规发票。</w:t>
      </w:r>
    </w:p>
    <w:p w14:paraId="34B398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5.2履约保证金：合同总金额 10%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详见第三章合同条款内容</w:t>
      </w:r>
      <w:r>
        <w:rPr>
          <w:rFonts w:hint="eastAsia" w:ascii="宋体" w:hAnsi="宋体" w:eastAsia="宋体" w:cs="宋体"/>
          <w:color w:val="auto"/>
          <w:sz w:val="24"/>
          <w:szCs w:val="24"/>
          <w:highlight w:val="none"/>
        </w:rPr>
        <w:t>。</w:t>
      </w:r>
    </w:p>
    <w:p w14:paraId="19FBD93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6、投标报价要求</w:t>
      </w:r>
    </w:p>
    <w:p w14:paraId="6F1BFC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投标报价须包含但不限于全部设备、材料备品备件、包装费、运杂费（运抵现场）、卸货费、现场保管费、运输保险费、售后服务、各项有关规费和政策性规定费用及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确认为需要的其它费用等，直至交付至采购人使用时所需要的各种费用。</w:t>
      </w:r>
    </w:p>
    <w:p w14:paraId="6053055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7、其他</w:t>
      </w:r>
    </w:p>
    <w:p w14:paraId="3D5188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工作中涉及的敏感资料、电子数据等相关信息，中标供应商应严格执行保密的相关规定，不得以任何方式向任何第三人披露、泄露或许可第三人使用，否则追究其相应法律责任。</w:t>
      </w:r>
    </w:p>
    <w:p w14:paraId="3A83DA9C">
      <w:pPr>
        <w:outlineLvl w:val="0"/>
        <w:rPr>
          <w:rStyle w:val="246"/>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031C9AF">
      <w:pPr>
        <w:spacing w:line="360" w:lineRule="auto"/>
        <w:jc w:val="center"/>
        <w:outlineLvl w:val="0"/>
        <w:rPr>
          <w:rFonts w:hint="eastAsia" w:ascii="宋体" w:hAnsi="宋体" w:eastAsia="宋体" w:cs="宋体"/>
          <w:color w:val="auto"/>
          <w:highlight w:val="none"/>
        </w:rPr>
      </w:pPr>
      <w:bookmarkStart w:id="109" w:name="_Toc26751"/>
      <w:bookmarkStart w:id="110" w:name="_Toc10199"/>
      <w:bookmarkStart w:id="111" w:name="_Toc7113"/>
      <w:bookmarkStart w:id="112" w:name="_Toc20969"/>
      <w:bookmarkStart w:id="113" w:name="_Toc120614281"/>
      <w:r>
        <w:rPr>
          <w:rStyle w:val="246"/>
          <w:rFonts w:hint="eastAsia" w:ascii="宋体" w:hAnsi="宋体" w:eastAsia="宋体" w:cs="宋体"/>
          <w:color w:val="auto"/>
          <w:highlight w:val="none"/>
        </w:rPr>
        <w:t>第五章  评标方法与评标标准</w:t>
      </w:r>
      <w:bookmarkEnd w:id="109"/>
      <w:bookmarkEnd w:id="110"/>
      <w:bookmarkEnd w:id="111"/>
      <w:bookmarkEnd w:id="112"/>
    </w:p>
    <w:p w14:paraId="0878561F">
      <w:pPr>
        <w:spacing w:line="360" w:lineRule="auto"/>
        <w:rPr>
          <w:rFonts w:hint="eastAsia" w:ascii="宋体" w:hAnsi="宋体" w:eastAsia="宋体" w:cs="宋体"/>
          <w:color w:val="auto"/>
          <w:szCs w:val="21"/>
          <w:highlight w:val="none"/>
        </w:rPr>
      </w:pPr>
    </w:p>
    <w:p w14:paraId="6D9574EB">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一、评标方法：综合评分法</w:t>
      </w:r>
    </w:p>
    <w:p w14:paraId="5AC046FE">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综合评分法，是指投标文件满足招标文件全部实质性要求，且按照评审因素的量化指标评审得分最高的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为中标候选人的评标办法。</w:t>
      </w:r>
    </w:p>
    <w:p w14:paraId="58E3B95C">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二、评标委员会构成：</w:t>
      </w:r>
    </w:p>
    <w:p w14:paraId="65562B8C">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本采购项目评标委员会的评委由采购人代表和评审专家组成。</w:t>
      </w:r>
    </w:p>
    <w:p w14:paraId="29709F09">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三、评标原则：</w:t>
      </w:r>
    </w:p>
    <w:p w14:paraId="6AE9C360">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接触。</w:t>
      </w:r>
    </w:p>
    <w:p w14:paraId="3D38CDA5">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四、评标标准</w:t>
      </w:r>
    </w:p>
    <w:p w14:paraId="2B0357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（一）评标时，评标委员会以招标文件为评标依据，评标委员会各成员独立对每个</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的投标文件进行评价，并汇总每个</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的得分。评标过程中，不得去掉报价中的最高报价和最低报价。</w:t>
      </w:r>
    </w:p>
    <w:p w14:paraId="0185CC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（二）本项目评分总分为100分，按四舍五入取至小数点后两位。</w:t>
      </w:r>
    </w:p>
    <w:p w14:paraId="721E3F1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（三）总得分=价格分+商务技术分。</w:t>
      </w:r>
    </w:p>
    <w:p w14:paraId="74FBDE07">
      <w:pPr>
        <w:spacing w:line="560" w:lineRule="exact"/>
        <w:ind w:firstLine="482"/>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综合评分法</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47"/>
        <w:gridCol w:w="7496"/>
      </w:tblGrid>
      <w:tr w14:paraId="506B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28B59838">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4190" w:type="pct"/>
            <w:noWrap w:val="0"/>
            <w:vAlign w:val="center"/>
          </w:tcPr>
          <w:p w14:paraId="0B49997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73195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0ADB5A4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价格分（</w:t>
            </w:r>
            <w:r>
              <w:rPr>
                <w:rFonts w:hint="eastAsia" w:ascii="宋体" w:hAnsi="宋体" w:eastAsia="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rPr>
              <w:t>分）</w:t>
            </w:r>
          </w:p>
        </w:tc>
        <w:tc>
          <w:tcPr>
            <w:tcW w:w="4190" w:type="pct"/>
            <w:noWrap w:val="0"/>
            <w:vAlign w:val="top"/>
          </w:tcPr>
          <w:p w14:paraId="6123E8D0">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w:t>
            </w:r>
            <w:r>
              <w:rPr>
                <w:rFonts w:ascii="宋体" w:hAnsi="宋体" w:eastAsia="宋体" w:cs="宋体"/>
                <w:color w:val="auto"/>
                <w:sz w:val="24"/>
                <w:szCs w:val="24"/>
                <w:highlight w:val="none"/>
              </w:rPr>
              <w:t>满足招标文件要求且投标总价最低的投标报价为评标基准价</w:t>
            </w:r>
            <w:r>
              <w:rPr>
                <w:rFonts w:hint="eastAsia" w:ascii="宋体" w:hAnsi="宋体" w:eastAsia="宋体" w:cs="宋体"/>
                <w:color w:val="auto"/>
                <w:sz w:val="24"/>
                <w:szCs w:val="24"/>
                <w:highlight w:val="none"/>
              </w:rPr>
              <w:t>，其价格分为满分。其他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的价格分统一按照下列公式计算：</w:t>
            </w:r>
          </w:p>
          <w:p w14:paraId="0C50CE63">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p w14:paraId="43D03F8A">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因落实政府采购政策进行价格调整的，以调整后的价格计算评标基准价和投标报价，小数点后保留两位。评标过程中，不得去掉报价中的最高报价和最低报价。</w:t>
            </w:r>
          </w:p>
        </w:tc>
      </w:tr>
      <w:tr w14:paraId="262DE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2524C98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技术参数</w:t>
            </w:r>
          </w:p>
          <w:p w14:paraId="4E6C1A0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lang w:eastAsia="zh-CN"/>
              </w:rPr>
              <w:t>分）</w:t>
            </w:r>
          </w:p>
        </w:tc>
        <w:tc>
          <w:tcPr>
            <w:tcW w:w="4190" w:type="pct"/>
            <w:noWrap w:val="0"/>
            <w:vAlign w:val="top"/>
          </w:tcPr>
          <w:p w14:paraId="5174DA9C">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技术参数响应评审基准分</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分；标注▲项技术参数每有一项负偏离扣</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分，扣完为止。</w:t>
            </w:r>
          </w:p>
          <w:p w14:paraId="53DEC87B">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注：1.标注“▲”项要求提供证明材料的未提供证明材料或所提供材料与招标文件要求不符的视为负偏离。2.功能相近，但名称、表述不完全一致的，由评委现场统一认定。</w:t>
            </w:r>
          </w:p>
        </w:tc>
      </w:tr>
      <w:tr w14:paraId="4611B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noWrap w:val="0"/>
            <w:vAlign w:val="center"/>
          </w:tcPr>
          <w:p w14:paraId="4FB75469">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企业认证</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noWrap w:val="0"/>
            <w:vAlign w:val="center"/>
          </w:tcPr>
          <w:p w14:paraId="5BCBF238">
            <w:pPr>
              <w:keepNext w:val="0"/>
              <w:keepLines w:val="0"/>
              <w:pageBreakBefore w:val="0"/>
              <w:widowControl w:val="0"/>
              <w:kinsoku/>
              <w:wordWrap w:val="0"/>
              <w:overflowPunct/>
              <w:topLinePunct/>
              <w:autoSpaceDE/>
              <w:autoSpaceDN/>
              <w:bidi w:val="0"/>
              <w:adjustRightInd w:val="0"/>
              <w:snapToGrid w:val="0"/>
              <w:spacing w:line="360" w:lineRule="auto"/>
              <w:ind w:firstLine="241"/>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持有有效期内 GB/T19022（ISO10012）测量管理体系认证证书，得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524B64AD">
            <w:pPr>
              <w:keepNext w:val="0"/>
              <w:keepLines w:val="0"/>
              <w:pageBreakBefore w:val="0"/>
              <w:widowControl w:val="0"/>
              <w:kinsoku/>
              <w:wordWrap w:val="0"/>
              <w:overflowPunct/>
              <w:topLinePunct/>
              <w:autoSpaceDE/>
              <w:autoSpaceDN/>
              <w:bidi w:val="0"/>
              <w:adjustRightInd w:val="0"/>
              <w:snapToGrid w:val="0"/>
              <w:spacing w:line="360" w:lineRule="auto"/>
              <w:ind w:firstLine="24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提供相关材料扫描件并加盖供应商公章，否则</w:t>
            </w:r>
            <w:r>
              <w:rPr>
                <w:rFonts w:hint="eastAsia" w:ascii="宋体" w:hAnsi="宋体" w:eastAsia="宋体" w:cs="宋体"/>
                <w:color w:val="auto"/>
                <w:sz w:val="24"/>
                <w:szCs w:val="24"/>
                <w:highlight w:val="none"/>
              </w:rPr>
              <w:t>不得分。</w:t>
            </w:r>
          </w:p>
        </w:tc>
      </w:tr>
      <w:tr w14:paraId="23E39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noWrap w:val="0"/>
            <w:vAlign w:val="center"/>
          </w:tcPr>
          <w:p w14:paraId="60C4FA8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防磁计量性能（</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tc>
        <w:tc>
          <w:tcPr>
            <w:tcW w:w="4190" w:type="pct"/>
            <w:noWrap w:val="0"/>
            <w:vAlign w:val="center"/>
          </w:tcPr>
          <w:p w14:paraId="531129BF">
            <w:pPr>
              <w:keepNext w:val="0"/>
              <w:keepLines w:val="0"/>
              <w:pageBreakBefore w:val="0"/>
              <w:widowControl w:val="0"/>
              <w:kinsoku/>
              <w:wordWrap w:val="0"/>
              <w:overflowPunct/>
              <w:topLinePunct/>
              <w:autoSpaceDE/>
              <w:autoSpaceDN/>
              <w:bidi w:val="0"/>
              <w:adjustRightInd w:val="0"/>
              <w:snapToGrid w:val="0"/>
              <w:spacing w:line="360" w:lineRule="auto"/>
              <w:ind w:firstLine="241"/>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产品具备防外部磁场干扰功能，</w:t>
            </w:r>
            <w:r>
              <w:rPr>
                <w:rFonts w:hint="eastAsia" w:ascii="宋体" w:hAnsi="宋体" w:cs="宋体"/>
                <w:color w:val="auto"/>
                <w:sz w:val="24"/>
                <w:szCs w:val="24"/>
                <w:highlight w:val="none"/>
                <w:lang w:val="en-US" w:eastAsia="zh-CN"/>
              </w:rPr>
              <w:t>提供相关证明</w:t>
            </w:r>
            <w:r>
              <w:rPr>
                <w:rFonts w:hint="eastAsia" w:ascii="宋体" w:hAnsi="宋体" w:eastAsia="宋体" w:cs="宋体"/>
                <w:color w:val="auto"/>
                <w:sz w:val="24"/>
                <w:szCs w:val="24"/>
                <w:highlight w:val="none"/>
              </w:rPr>
              <w:t>佐证得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分，未提供不得分。</w:t>
            </w:r>
          </w:p>
        </w:tc>
      </w:tr>
      <w:tr w14:paraId="08456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006CF25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业绩</w:t>
            </w:r>
          </w:p>
          <w:p w14:paraId="16F8FCB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17A0CC04">
            <w:pPr>
              <w:keepNext w:val="0"/>
              <w:keepLines w:val="0"/>
              <w:pageBreakBefore w:val="0"/>
              <w:widowControl w:val="0"/>
              <w:kinsoku/>
              <w:wordWrap w:val="0"/>
              <w:overflowPunct/>
              <w:topLinePunct/>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具有类似项目业绩的，每提供一个得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F7C3914">
            <w:pPr>
              <w:keepNext w:val="0"/>
              <w:keepLines w:val="0"/>
              <w:pageBreakBefore w:val="0"/>
              <w:widowControl w:val="0"/>
              <w:kinsoku/>
              <w:wordWrap w:val="0"/>
              <w:overflowPunct/>
              <w:topLinePunct/>
              <w:autoSpaceDE/>
              <w:autoSpaceDN/>
              <w:bidi w:val="0"/>
              <w:adjustRightInd w:val="0"/>
              <w:snapToGrid w:val="0"/>
              <w:spacing w:line="360" w:lineRule="auto"/>
              <w:ind w:firstLine="241"/>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提供中标通知书</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直接发包的提供相关证明材料并加盖该项目采购人公章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合同</w:t>
            </w:r>
            <w:r>
              <w:rPr>
                <w:rFonts w:hint="eastAsia" w:ascii="宋体" w:hAnsi="宋体" w:eastAsia="宋体" w:cs="宋体"/>
                <w:b/>
                <w:color w:val="auto"/>
                <w:sz w:val="24"/>
                <w:szCs w:val="24"/>
                <w:highlight w:val="none"/>
              </w:rPr>
              <w:t>扫描件并加盖</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公章，否则不得分。</w:t>
            </w:r>
          </w:p>
        </w:tc>
      </w:tr>
      <w:tr w14:paraId="4F161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6553AACE">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实施方案</w:t>
            </w:r>
          </w:p>
          <w:p w14:paraId="5B17A735">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72B653CC">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提供的实施方案，包括但不限于供货进度计划、质量管控措施、到货验收方案、</w:t>
            </w:r>
            <w:r>
              <w:rPr>
                <w:rFonts w:hint="eastAsia" w:ascii="宋体" w:hAnsi="宋体" w:eastAsia="宋体" w:cs="宋体"/>
                <w:color w:val="auto"/>
                <w:sz w:val="24"/>
                <w:szCs w:val="24"/>
                <w:highlight w:val="none"/>
                <w:lang w:val="en-US" w:eastAsia="zh-CN"/>
              </w:rPr>
              <w:t>指导</w:t>
            </w:r>
            <w:r>
              <w:rPr>
                <w:rFonts w:hint="eastAsia" w:ascii="宋体" w:hAnsi="宋体" w:eastAsia="宋体" w:cs="宋体"/>
                <w:color w:val="auto"/>
                <w:sz w:val="24"/>
                <w:szCs w:val="24"/>
                <w:highlight w:val="none"/>
              </w:rPr>
              <w:t>安装调试方案、项目交付保障等进行评分</w:t>
            </w:r>
            <w:r>
              <w:rPr>
                <w:rFonts w:hint="eastAsia" w:ascii="宋体" w:hAnsi="宋体" w:eastAsia="宋体" w:cs="宋体"/>
                <w:color w:val="auto"/>
                <w:sz w:val="24"/>
                <w:szCs w:val="24"/>
                <w:highlight w:val="none"/>
                <w:lang w:eastAsia="zh-CN"/>
              </w:rPr>
              <w:t>：</w:t>
            </w:r>
          </w:p>
          <w:p w14:paraId="4964D46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w:t>
            </w:r>
            <w:r>
              <w:rPr>
                <w:rFonts w:hint="eastAsia" w:ascii="宋体" w:hAnsi="宋体" w:eastAsia="宋体" w:cs="宋体"/>
                <w:color w:val="auto"/>
                <w:sz w:val="24"/>
                <w:szCs w:val="24"/>
                <w:highlight w:val="none"/>
              </w:rPr>
              <w:t>均完整、且</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符合</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总体方案</w:t>
            </w:r>
            <w:r>
              <w:rPr>
                <w:rFonts w:hint="eastAsia" w:ascii="宋体" w:hAnsi="宋体" w:eastAsia="宋体" w:cs="宋体"/>
                <w:color w:val="auto"/>
                <w:sz w:val="24"/>
                <w:szCs w:val="24"/>
                <w:highlight w:val="none"/>
              </w:rPr>
              <w:t>合理、保障措施</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切实可行，得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EB45ABD">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方案内容基本</w:t>
            </w:r>
            <w:r>
              <w:rPr>
                <w:rFonts w:hint="eastAsia" w:ascii="宋体" w:hAnsi="宋体" w:eastAsia="宋体" w:cs="宋体"/>
                <w:color w:val="auto"/>
                <w:sz w:val="24"/>
                <w:szCs w:val="24"/>
                <w:highlight w:val="none"/>
              </w:rPr>
              <w:t>完整、且</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基本符合</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总体方案</w:t>
            </w:r>
            <w:r>
              <w:rPr>
                <w:rFonts w:hint="eastAsia" w:ascii="宋体" w:hAnsi="宋体" w:eastAsia="宋体" w:cs="宋体"/>
                <w:color w:val="auto"/>
                <w:sz w:val="24"/>
                <w:szCs w:val="24"/>
                <w:highlight w:val="none"/>
              </w:rPr>
              <w:t>较合理、</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措施</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较可行，得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4E28941">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方案内容不</w:t>
            </w:r>
            <w:r>
              <w:rPr>
                <w:rFonts w:hint="eastAsia" w:ascii="宋体" w:hAnsi="宋体" w:eastAsia="宋体" w:cs="宋体"/>
                <w:color w:val="auto"/>
                <w:sz w:val="24"/>
                <w:szCs w:val="24"/>
                <w:highlight w:val="none"/>
              </w:rPr>
              <w:t>完整、且</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基本不符合</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总体方案</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措施</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一般，得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49663FD">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未提供的不得分。</w:t>
            </w:r>
          </w:p>
        </w:tc>
      </w:tr>
      <w:tr w14:paraId="0BB4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0F76FC0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培训方案</w:t>
            </w:r>
          </w:p>
          <w:p w14:paraId="68026C7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73DD44FD">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针对本项目特点，结合采购人的需求，制定包括但不限于培训内容、培训计划、培训方法、培训对象、培训团队配备等技术培训方案</w:t>
            </w:r>
            <w:r>
              <w:rPr>
                <w:rFonts w:hint="eastAsia" w:ascii="宋体" w:hAnsi="宋体" w:eastAsia="宋体" w:cs="宋体"/>
                <w:color w:val="auto"/>
                <w:sz w:val="24"/>
                <w:szCs w:val="24"/>
                <w:highlight w:val="none"/>
                <w:lang w:eastAsia="zh-CN"/>
              </w:rPr>
              <w:t>：</w:t>
            </w:r>
          </w:p>
          <w:p w14:paraId="73FCFA61">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培训对象</w:t>
            </w:r>
            <w:r>
              <w:rPr>
                <w:rFonts w:hint="eastAsia" w:ascii="宋体" w:hAnsi="宋体" w:eastAsia="宋体" w:cs="宋体"/>
                <w:color w:val="auto"/>
                <w:sz w:val="24"/>
                <w:szCs w:val="24"/>
                <w:highlight w:val="none"/>
                <w:lang w:val="en-US" w:eastAsia="zh-CN"/>
              </w:rPr>
              <w:t>科学合理执行性强并</w:t>
            </w:r>
            <w:r>
              <w:rPr>
                <w:rFonts w:hint="eastAsia" w:ascii="宋体" w:hAnsi="宋体" w:eastAsia="宋体" w:cs="宋体"/>
                <w:color w:val="auto"/>
                <w:sz w:val="24"/>
                <w:szCs w:val="24"/>
                <w:highlight w:val="none"/>
              </w:rPr>
              <w:t>区分运维人员、现场施工人员、管理人员制定课程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配备</w:t>
            </w:r>
            <w:r>
              <w:rPr>
                <w:rFonts w:hint="eastAsia" w:ascii="宋体" w:hAnsi="宋体" w:eastAsia="宋体" w:cs="宋体"/>
                <w:color w:val="auto"/>
                <w:sz w:val="24"/>
                <w:szCs w:val="24"/>
                <w:highlight w:val="none"/>
                <w:lang w:val="en-US" w:eastAsia="zh-CN"/>
              </w:rPr>
              <w:t>专业</w:t>
            </w:r>
            <w:r>
              <w:rPr>
                <w:rFonts w:hint="eastAsia" w:ascii="宋体" w:hAnsi="宋体" w:eastAsia="宋体" w:cs="宋体"/>
                <w:color w:val="auto"/>
                <w:sz w:val="24"/>
                <w:szCs w:val="24"/>
                <w:highlight w:val="none"/>
              </w:rPr>
              <w:t>培训讲师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培训内容</w:t>
            </w:r>
            <w:r>
              <w:rPr>
                <w:rFonts w:hint="eastAsia" w:ascii="宋体" w:hAnsi="宋体" w:eastAsia="宋体" w:cs="宋体"/>
                <w:color w:val="auto"/>
                <w:sz w:val="24"/>
                <w:szCs w:val="24"/>
                <w:highlight w:val="none"/>
                <w:lang w:val="en-US" w:eastAsia="zh-CN"/>
              </w:rPr>
              <w:t>丰富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设置实操上机考核、培训结业测试机制</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合理、详尽，能贴合用户使用需求，得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6E7C1169">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培训对象区分</w:t>
            </w:r>
            <w:r>
              <w:rPr>
                <w:rFonts w:hint="eastAsia" w:ascii="宋体" w:hAnsi="宋体" w:eastAsia="宋体" w:cs="宋体"/>
                <w:color w:val="auto"/>
                <w:sz w:val="24"/>
                <w:szCs w:val="24"/>
                <w:highlight w:val="none"/>
                <w:lang w:val="en-US" w:eastAsia="zh-CN"/>
              </w:rPr>
              <w:t>简易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培训内容</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方案较完整、较为详尽，</w:t>
            </w:r>
            <w:r>
              <w:rPr>
                <w:rFonts w:hint="eastAsia" w:ascii="宋体" w:hAnsi="宋体" w:eastAsia="宋体" w:cs="宋体"/>
                <w:color w:val="auto"/>
                <w:sz w:val="24"/>
                <w:szCs w:val="24"/>
                <w:highlight w:val="none"/>
                <w:lang w:val="en-US" w:eastAsia="zh-CN"/>
              </w:rPr>
              <w:t>符合</w:t>
            </w:r>
            <w:r>
              <w:rPr>
                <w:rFonts w:hint="eastAsia" w:ascii="宋体" w:hAnsi="宋体" w:eastAsia="宋体" w:cs="宋体"/>
                <w:color w:val="auto"/>
                <w:sz w:val="24"/>
                <w:szCs w:val="24"/>
                <w:highlight w:val="none"/>
              </w:rPr>
              <w:t>用户</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使用需求，得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A88A3E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培训</w:t>
            </w:r>
            <w:r>
              <w:rPr>
                <w:rFonts w:hint="eastAsia" w:ascii="宋体" w:hAnsi="宋体" w:eastAsia="宋体" w:cs="宋体"/>
                <w:color w:val="auto"/>
                <w:sz w:val="24"/>
                <w:szCs w:val="24"/>
                <w:highlight w:val="none"/>
              </w:rPr>
              <w:t>方案详尽程度有缺漏，</w:t>
            </w:r>
            <w:r>
              <w:rPr>
                <w:rFonts w:hint="eastAsia" w:ascii="宋体" w:hAnsi="宋体" w:eastAsia="宋体" w:cs="宋体"/>
                <w:color w:val="auto"/>
                <w:sz w:val="24"/>
                <w:szCs w:val="24"/>
                <w:highlight w:val="none"/>
                <w:lang w:val="en-US" w:eastAsia="zh-CN"/>
              </w:rPr>
              <w:t>内容不详尽</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5F01C23">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未提供的不得分。</w:t>
            </w:r>
          </w:p>
        </w:tc>
      </w:tr>
      <w:tr w14:paraId="6A00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7BA4FE9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备品备件（5分）</w:t>
            </w:r>
          </w:p>
        </w:tc>
        <w:tc>
          <w:tcPr>
            <w:tcW w:w="4190" w:type="pct"/>
            <w:shd w:val="clear" w:color="auto" w:fill="auto"/>
            <w:noWrap w:val="0"/>
            <w:vAlign w:val="center"/>
          </w:tcPr>
          <w:p w14:paraId="17BF1E11">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依据投标文件中备品备件是否齐全、供应是否及时、价格是否合理及后期使用、保养、维护成本等进行评价。</w:t>
            </w:r>
          </w:p>
          <w:p w14:paraId="29C84CF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完整提供本项目水表全部易损件（叶轮、阀球、执行器、通讯模块、电池等）清单及含税单价；</w:t>
            </w:r>
          </w:p>
          <w:p w14:paraId="56B8563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承诺核心备件现货库存，48 小时内送达项目现场；</w:t>
            </w:r>
          </w:p>
          <w:p w14:paraId="2C0EA8D3">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明确质保期内备件免费更换、质保期满后备件采购优惠比例、长期供货保障年限；</w:t>
            </w:r>
          </w:p>
          <w:p w14:paraId="5DE0D8F9">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内容齐全，清单完整无缺项，得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2C36D45">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提供备件清单报价，但缺失库存保障或长期供货承诺其中一项，得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BCE7ADB">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仅简单罗列备件名称，无价格、无库存及更换时效承诺，得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18F3DD88">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未提供备品备件清单及价格；无任何备件保障相关阐述</w:t>
            </w:r>
            <w:r>
              <w:rPr>
                <w:rFonts w:hint="eastAsia" w:ascii="宋体" w:hAnsi="宋体" w:eastAsia="宋体" w:cs="宋体"/>
                <w:color w:val="auto"/>
                <w:sz w:val="24"/>
                <w:szCs w:val="24"/>
                <w:highlight w:val="none"/>
                <w:lang w:val="en-US" w:eastAsia="zh-CN"/>
              </w:rPr>
              <w:t>不得分</w:t>
            </w:r>
            <w:r>
              <w:rPr>
                <w:rFonts w:hint="eastAsia" w:ascii="宋体" w:hAnsi="宋体" w:eastAsia="宋体" w:cs="宋体"/>
                <w:color w:val="auto"/>
                <w:sz w:val="24"/>
                <w:szCs w:val="24"/>
                <w:highlight w:val="none"/>
              </w:rPr>
              <w:t>。</w:t>
            </w:r>
          </w:p>
        </w:tc>
      </w:tr>
      <w:tr w14:paraId="460F1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noWrap w:val="0"/>
            <w:vAlign w:val="center"/>
          </w:tcPr>
          <w:p w14:paraId="3497D6B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售后服务能力（</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noWrap w:val="0"/>
            <w:vAlign w:val="top"/>
          </w:tcPr>
          <w:p w14:paraId="2E30D4BE">
            <w:pPr>
              <w:keepNext w:val="0"/>
              <w:keepLines w:val="0"/>
              <w:pageBreakBefore w:val="0"/>
              <w:widowControl w:val="0"/>
              <w:tabs>
                <w:tab w:val="left" w:pos="2472"/>
              </w:tabs>
              <w:kinsoku/>
              <w:wordWrap w:val="0"/>
              <w:overflowPunct/>
              <w:topLinePunct/>
              <w:autoSpaceDE/>
              <w:autoSpaceDN/>
              <w:bidi w:val="0"/>
              <w:adjustRightInd w:val="0"/>
              <w:snapToGrid w:val="0"/>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w:t>
            </w:r>
            <w:r>
              <w:rPr>
                <w:rFonts w:hint="eastAsia" w:ascii="宋体" w:hAnsi="宋体" w:cs="宋体"/>
                <w:color w:val="auto"/>
                <w:sz w:val="24"/>
                <w:szCs w:val="24"/>
                <w:highlight w:val="none"/>
                <w:lang w:val="en-US" w:eastAsia="zh-CN" w:bidi="ar-SA"/>
              </w:rPr>
              <w:t>供应商</w:t>
            </w:r>
            <w:r>
              <w:rPr>
                <w:rFonts w:hint="eastAsia" w:ascii="宋体" w:hAnsi="宋体" w:eastAsia="宋体" w:cs="宋体"/>
                <w:color w:val="auto"/>
                <w:sz w:val="24"/>
                <w:szCs w:val="24"/>
                <w:highlight w:val="none"/>
                <w:lang w:val="en-US" w:eastAsia="zh-CN" w:bidi="ar-SA"/>
              </w:rPr>
              <w:t>提供的售后服务方案</w:t>
            </w:r>
            <w:r>
              <w:rPr>
                <w:rFonts w:hint="eastAsia" w:ascii="宋体" w:hAnsi="宋体" w:cs="宋体"/>
                <w:color w:val="auto"/>
                <w:sz w:val="24"/>
                <w:szCs w:val="24"/>
                <w:highlight w:val="none"/>
                <w:lang w:val="en-US" w:eastAsia="zh-CN" w:bidi="ar-SA"/>
              </w:rPr>
              <w:t>是否完整</w:t>
            </w:r>
            <w:r>
              <w:rPr>
                <w:rFonts w:hint="eastAsia" w:ascii="宋体" w:hAnsi="宋体" w:eastAsia="宋体" w:cs="宋体"/>
                <w:color w:val="auto"/>
                <w:sz w:val="24"/>
                <w:szCs w:val="24"/>
                <w:highlight w:val="none"/>
                <w:lang w:val="en-US" w:eastAsia="zh-CN" w:bidi="ar-SA"/>
              </w:rPr>
              <w:t>，内容包括但不限于故障响应时效、运维团队配置、驻场 / 巡检服务、备件抢修、违约赔付机制等情况。</w:t>
            </w:r>
          </w:p>
          <w:p w14:paraId="1CDADBC6">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故障响应：接到采购人报修通知2 小时内远程响应、4 小时内现场到达处置，书面承诺；</w:t>
            </w:r>
          </w:p>
          <w:p w14:paraId="346C0E27">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运维人员：配备专职水务物联网运维人员，附人员资质、本项目驻场服务计划；</w:t>
            </w:r>
          </w:p>
          <w:p w14:paraId="4916E350">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定期巡检：承诺每年不少于 2 次全片区水表巡检、计量精度复测、通讯信号排查；</w:t>
            </w:r>
          </w:p>
          <w:p w14:paraId="20101F96">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抢修保障：配备专用检测、维修工具，故障水表 24 小时内完成更换维修；</w:t>
            </w:r>
          </w:p>
          <w:p w14:paraId="3FFE25C4">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⑤ 违约赔付：明确逾期响应、供货、维修对应的违约金计算标准（如每日按合同额千分之 0.5 赔付）；</w:t>
            </w:r>
          </w:p>
          <w:p w14:paraId="3FB77469">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项内容全部书面承诺完整，得5分。</w:t>
            </w:r>
          </w:p>
          <w:p w14:paraId="632D10AE">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 3-</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 xml:space="preserve"> 项核心服务条款，缺失 1-3 项内容，得 3 分。</w:t>
            </w:r>
          </w:p>
          <w:p w14:paraId="7A296751">
            <w:pPr>
              <w:keepNext w:val="0"/>
              <w:keepLines w:val="0"/>
              <w:pageBreakBefore w:val="0"/>
              <w:widowControl w:val="0"/>
              <w:numPr>
                <w:ilvl w:val="0"/>
                <w:numId w:val="0"/>
              </w:numPr>
              <w:tabs>
                <w:tab w:val="left" w:pos="2472"/>
              </w:tabs>
              <w:kinsoku/>
              <w:wordWrap w:val="0"/>
              <w:overflowPunct/>
              <w:topLinePunct/>
              <w:autoSpaceDE/>
              <w:autoSpaceDN/>
              <w:bidi w:val="0"/>
              <w:adjustRightInd w:val="0"/>
              <w:snapToGrid w:val="0"/>
              <w:spacing w:line="360" w:lineRule="auto"/>
              <w:ind w:left="0" w:firstLine="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仅满足 1-2 项服务条款，响应时效、巡检、赔付等关键内容缺失，得 1 分。</w:t>
            </w:r>
          </w:p>
          <w:p w14:paraId="4F7C459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未提供售后服务方案；无明确响应、质保、赔付书面承诺</w:t>
            </w:r>
            <w:r>
              <w:rPr>
                <w:rFonts w:hint="eastAsia" w:ascii="宋体" w:hAnsi="宋体" w:eastAsia="宋体" w:cs="宋体"/>
                <w:color w:val="auto"/>
                <w:sz w:val="24"/>
                <w:szCs w:val="24"/>
                <w:highlight w:val="none"/>
                <w:lang w:val="en-US" w:eastAsia="zh-CN"/>
              </w:rPr>
              <w:t>不得分</w:t>
            </w:r>
            <w:r>
              <w:rPr>
                <w:rFonts w:hint="eastAsia" w:ascii="宋体" w:hAnsi="宋体" w:eastAsia="宋体" w:cs="宋体"/>
                <w:color w:val="auto"/>
                <w:sz w:val="24"/>
                <w:szCs w:val="24"/>
                <w:highlight w:val="none"/>
              </w:rPr>
              <w:t>。</w:t>
            </w:r>
          </w:p>
        </w:tc>
      </w:tr>
    </w:tbl>
    <w:p w14:paraId="50F4A830">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五、中标标准：</w:t>
      </w:r>
    </w:p>
    <w:p w14:paraId="26FBF8B1">
      <w:pPr>
        <w:spacing w:line="360" w:lineRule="auto"/>
        <w:ind w:firstLine="480" w:firstLineChars="200"/>
        <w:jc w:val="left"/>
        <w:rPr>
          <w:rFonts w:hint="eastAsia" w:ascii="宋体" w:hAnsi="宋体" w:eastAsia="宋体" w:cs="宋体"/>
          <w:b/>
          <w:color w:val="auto"/>
          <w:sz w:val="36"/>
          <w:szCs w:val="36"/>
          <w:highlight w:val="none"/>
        </w:rPr>
      </w:pPr>
      <w:r>
        <w:rPr>
          <w:rFonts w:hint="eastAsia" w:ascii="宋体" w:hAnsi="宋体" w:eastAsia="宋体" w:cs="宋体"/>
          <w:color w:val="auto"/>
          <w:sz w:val="24"/>
          <w:szCs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p>
    <w:p w14:paraId="543BF0AB">
      <w:pPr>
        <w:pStyle w:val="307"/>
        <w:rPr>
          <w:rFonts w:hint="eastAsia" w:ascii="宋体" w:hAnsi="宋体" w:eastAsia="宋体" w:cs="宋体"/>
          <w:color w:val="auto"/>
          <w:highlight w:val="none"/>
        </w:rPr>
      </w:pPr>
    </w:p>
    <w:p w14:paraId="7FE66748">
      <w:pPr>
        <w:pStyle w:val="307"/>
        <w:rPr>
          <w:rFonts w:hint="eastAsia" w:ascii="宋体" w:hAnsi="宋体" w:eastAsia="宋体" w:cs="宋体"/>
          <w:color w:val="auto"/>
          <w:highlight w:val="none"/>
        </w:rPr>
      </w:pPr>
    </w:p>
    <w:p w14:paraId="0A869073">
      <w:pPr>
        <w:pStyle w:val="307"/>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4E8D332">
      <w:pPr>
        <w:keepNext/>
        <w:jc w:val="center"/>
        <w:outlineLvl w:val="0"/>
        <w:rPr>
          <w:rStyle w:val="246"/>
          <w:rFonts w:hint="eastAsia" w:ascii="宋体" w:hAnsi="宋体" w:eastAsia="宋体" w:cs="宋体"/>
          <w:color w:val="auto"/>
          <w:highlight w:val="none"/>
        </w:rPr>
      </w:pPr>
      <w:bookmarkStart w:id="114" w:name="_Toc18891"/>
      <w:bookmarkStart w:id="115" w:name="_Toc12204"/>
      <w:bookmarkStart w:id="116" w:name="_Toc3589"/>
      <w:bookmarkStart w:id="117" w:name="_Toc3350"/>
      <w:r>
        <w:rPr>
          <w:rStyle w:val="246"/>
          <w:rFonts w:hint="eastAsia" w:ascii="宋体" w:hAnsi="宋体" w:eastAsia="宋体" w:cs="宋体"/>
          <w:color w:val="auto"/>
          <w:highlight w:val="none"/>
        </w:rPr>
        <w:t>第六章  投标</w:t>
      </w:r>
      <w:bookmarkEnd w:id="107"/>
      <w:bookmarkEnd w:id="108"/>
      <w:bookmarkEnd w:id="113"/>
      <w:r>
        <w:rPr>
          <w:rStyle w:val="246"/>
          <w:rFonts w:hint="eastAsia" w:ascii="宋体" w:hAnsi="宋体" w:eastAsia="宋体" w:cs="宋体"/>
          <w:color w:val="auto"/>
          <w:highlight w:val="none"/>
        </w:rPr>
        <w:t>文件格式</w:t>
      </w:r>
      <w:bookmarkEnd w:id="114"/>
      <w:bookmarkEnd w:id="115"/>
      <w:bookmarkEnd w:id="116"/>
      <w:bookmarkEnd w:id="117"/>
      <w:r>
        <w:rPr>
          <w:rStyle w:val="246"/>
          <w:rFonts w:hint="eastAsia" w:ascii="宋体" w:hAnsi="宋体" w:eastAsia="宋体" w:cs="宋体"/>
          <w:color w:val="auto"/>
          <w:highlight w:val="none"/>
        </w:rPr>
        <w:t xml:space="preserve"> </w:t>
      </w:r>
    </w:p>
    <w:p w14:paraId="0CC11234">
      <w:pPr>
        <w:jc w:val="center"/>
        <w:rPr>
          <w:rFonts w:hint="eastAsia" w:ascii="宋体" w:hAnsi="宋体" w:eastAsia="宋体" w:cs="宋体"/>
          <w:b/>
          <w:color w:val="auto"/>
          <w:sz w:val="72"/>
          <w:szCs w:val="21"/>
          <w:highlight w:val="none"/>
        </w:rPr>
      </w:pPr>
      <w:bookmarkStart w:id="118" w:name="_Hlt26671244"/>
      <w:bookmarkEnd w:id="118"/>
      <w:bookmarkStart w:id="119" w:name="_Hlt26955039"/>
      <w:bookmarkEnd w:id="119"/>
      <w:bookmarkStart w:id="120" w:name="_Toc120614282"/>
      <w:bookmarkStart w:id="121" w:name="_Toc26554094"/>
      <w:bookmarkStart w:id="122" w:name="_Toc49090576"/>
    </w:p>
    <w:p w14:paraId="74A265E3">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6EAE37F8">
      <w:pPr>
        <w:jc w:val="center"/>
        <w:rPr>
          <w:rFonts w:hint="eastAsia" w:ascii="宋体" w:hAnsi="宋体" w:eastAsia="宋体" w:cs="宋体"/>
          <w:b/>
          <w:color w:val="auto"/>
          <w:sz w:val="72"/>
          <w:szCs w:val="21"/>
          <w:highlight w:val="none"/>
        </w:rPr>
      </w:pPr>
    </w:p>
    <w:p w14:paraId="225C3FC8">
      <w:pPr>
        <w:jc w:val="center"/>
        <w:rPr>
          <w:rFonts w:hint="eastAsia" w:ascii="宋体" w:hAnsi="宋体" w:eastAsia="宋体" w:cs="宋体"/>
          <w:b/>
          <w:color w:val="auto"/>
          <w:sz w:val="72"/>
          <w:szCs w:val="21"/>
          <w:highlight w:val="none"/>
        </w:rPr>
      </w:pPr>
    </w:p>
    <w:p w14:paraId="0C095954">
      <w:pPr>
        <w:jc w:val="center"/>
        <w:rPr>
          <w:rFonts w:hint="eastAsia" w:ascii="宋体" w:hAnsi="宋体" w:eastAsia="宋体" w:cs="宋体"/>
          <w:b/>
          <w:color w:val="auto"/>
          <w:sz w:val="36"/>
          <w:szCs w:val="21"/>
          <w:highlight w:val="none"/>
        </w:rPr>
      </w:pPr>
    </w:p>
    <w:p w14:paraId="0DAF1E20">
      <w:pPr>
        <w:jc w:val="center"/>
        <w:rPr>
          <w:rFonts w:hint="eastAsia" w:ascii="宋体" w:hAnsi="宋体" w:eastAsia="宋体" w:cs="宋体"/>
          <w:b/>
          <w:color w:val="auto"/>
          <w:sz w:val="36"/>
          <w:szCs w:val="21"/>
          <w:highlight w:val="none"/>
        </w:rPr>
      </w:pPr>
    </w:p>
    <w:p w14:paraId="089E8C83">
      <w:pPr>
        <w:jc w:val="center"/>
        <w:rPr>
          <w:rFonts w:hint="eastAsia" w:ascii="宋体" w:hAnsi="宋体" w:eastAsia="宋体" w:cs="宋体"/>
          <w:b/>
          <w:color w:val="auto"/>
          <w:sz w:val="36"/>
          <w:szCs w:val="21"/>
          <w:highlight w:val="none"/>
        </w:rPr>
      </w:pPr>
    </w:p>
    <w:p w14:paraId="636FF533">
      <w:pPr>
        <w:jc w:val="center"/>
        <w:rPr>
          <w:rFonts w:hint="eastAsia" w:ascii="宋体" w:hAnsi="宋体" w:eastAsia="宋体" w:cs="宋体"/>
          <w:b/>
          <w:color w:val="auto"/>
          <w:sz w:val="36"/>
          <w:szCs w:val="21"/>
          <w:highlight w:val="none"/>
        </w:rPr>
      </w:pPr>
    </w:p>
    <w:p w14:paraId="3C7CEC20">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55CBF141">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47418A4">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w:t>
      </w:r>
      <w:r>
        <w:rPr>
          <w:rFonts w:hint="eastAsia" w:ascii="宋体" w:hAnsi="宋体" w:cs="宋体"/>
          <w:b/>
          <w:color w:val="auto"/>
          <w:sz w:val="36"/>
          <w:szCs w:val="21"/>
          <w:highlight w:val="none"/>
          <w:lang w:eastAsia="zh-CN"/>
        </w:rPr>
        <w:t>供应商</w:t>
      </w:r>
      <w:r>
        <w:rPr>
          <w:rFonts w:hint="eastAsia" w:ascii="宋体" w:hAnsi="宋体" w:eastAsia="宋体" w:cs="宋体"/>
          <w:b/>
          <w:color w:val="auto"/>
          <w:sz w:val="36"/>
          <w:szCs w:val="21"/>
          <w:highlight w:val="none"/>
        </w:rPr>
        <w:t>名称 ：</w:t>
      </w:r>
      <w:r>
        <w:rPr>
          <w:rFonts w:hint="eastAsia" w:ascii="宋体" w:hAnsi="宋体" w:eastAsia="宋体" w:cs="宋体"/>
          <w:b/>
          <w:color w:val="auto"/>
          <w:sz w:val="36"/>
          <w:szCs w:val="21"/>
          <w:highlight w:val="none"/>
          <w:u w:val="single"/>
        </w:rPr>
        <w:t>（加盖CA电子公章）</w:t>
      </w:r>
    </w:p>
    <w:p w14:paraId="4109F35E">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4718F9F8">
      <w:pPr>
        <w:spacing w:line="440" w:lineRule="exact"/>
        <w:jc w:val="center"/>
        <w:rPr>
          <w:rFonts w:hint="eastAsia" w:ascii="宋体" w:hAnsi="宋体" w:eastAsia="宋体" w:cs="宋体"/>
          <w:b/>
          <w:bCs/>
          <w:color w:val="auto"/>
          <w:sz w:val="32"/>
          <w:szCs w:val="32"/>
          <w:highlight w:val="none"/>
        </w:rPr>
      </w:pPr>
    </w:p>
    <w:p w14:paraId="1AF24015">
      <w:pPr>
        <w:spacing w:line="440" w:lineRule="exact"/>
        <w:rPr>
          <w:rFonts w:hint="eastAsia" w:ascii="宋体" w:hAnsi="宋体" w:eastAsia="宋体" w:cs="宋体"/>
          <w:color w:val="auto"/>
          <w:szCs w:val="21"/>
          <w:highlight w:val="none"/>
        </w:rPr>
      </w:pPr>
    </w:p>
    <w:p w14:paraId="7FD896B2">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p>
    <w:p w14:paraId="031A48AA">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1335ECEC">
      <w:pPr>
        <w:spacing w:line="440" w:lineRule="exact"/>
        <w:jc w:val="center"/>
        <w:rPr>
          <w:rFonts w:hint="eastAsia" w:ascii="宋体" w:hAnsi="宋体" w:eastAsia="宋体" w:cs="宋体"/>
          <w:b/>
          <w:bCs/>
          <w:color w:val="auto"/>
          <w:sz w:val="32"/>
          <w:szCs w:val="32"/>
          <w:highlight w:val="none"/>
        </w:rPr>
      </w:pPr>
    </w:p>
    <w:p w14:paraId="2116319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一、法人或者其他组织的营业执照等证明文件，自然人的身份证明</w:t>
      </w:r>
    </w:p>
    <w:p w14:paraId="52329E60">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二、具有良好的商业信誉和健全的财务会计制度</w:t>
      </w:r>
    </w:p>
    <w:p w14:paraId="5665B85C">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三、依法缴纳税收和社会保障资金的相关材料</w:t>
      </w:r>
    </w:p>
    <w:p w14:paraId="42C7793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四、具备履行合同所必需的设备和专业技术能力的书面声明</w:t>
      </w:r>
    </w:p>
    <w:p w14:paraId="6CCBFC5E">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五、参加政府采购活动前 3 年内在经营活动中没有重大违法记录的书面声明</w:t>
      </w:r>
    </w:p>
    <w:p w14:paraId="7B0D2D0D">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六、法律、行政法规规定的其他条件的证明文件、落实政府采购政策需满足的资格要求的证明文件及特定资格要求的证明文件（如果本项目设置特定资格要求，则需要提供）</w:t>
      </w:r>
    </w:p>
    <w:p w14:paraId="2B4AC77F">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七、法人授权书</w:t>
      </w:r>
    </w:p>
    <w:p w14:paraId="100F4F92">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八、投标函</w:t>
      </w:r>
    </w:p>
    <w:p w14:paraId="019ED29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九、中小企业声明函</w:t>
      </w:r>
    </w:p>
    <w:p w14:paraId="36C5F349">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十、残疾人福利性单位声明函</w:t>
      </w:r>
    </w:p>
    <w:p w14:paraId="745804E3">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十一、投标分项报价表</w:t>
      </w:r>
    </w:p>
    <w:p w14:paraId="590EA7DE">
      <w:pPr>
        <w:spacing w:line="360" w:lineRule="auto"/>
        <w:ind w:left="630"/>
        <w:jc w:val="left"/>
        <w:rPr>
          <w:rFonts w:hint="eastAsia" w:ascii="宋体" w:hAnsi="宋体" w:cs="宋体"/>
          <w:iCs/>
          <w:color w:val="auto"/>
          <w:sz w:val="24"/>
          <w:szCs w:val="21"/>
          <w:highlight w:val="none"/>
          <w:lang w:val="en-US" w:eastAsia="zh-CN"/>
        </w:rPr>
      </w:pPr>
      <w:r>
        <w:rPr>
          <w:rFonts w:hint="eastAsia" w:ascii="宋体" w:hAnsi="宋体" w:eastAsia="宋体" w:cs="宋体"/>
          <w:iCs/>
          <w:color w:val="auto"/>
          <w:sz w:val="24"/>
          <w:szCs w:val="21"/>
          <w:highlight w:val="none"/>
        </w:rPr>
        <w:t>十二、</w:t>
      </w:r>
      <w:r>
        <w:rPr>
          <w:rFonts w:hint="eastAsia" w:ascii="宋体" w:hAnsi="宋体" w:cs="宋体"/>
          <w:iCs/>
          <w:color w:val="auto"/>
          <w:sz w:val="24"/>
          <w:szCs w:val="21"/>
          <w:highlight w:val="none"/>
          <w:lang w:val="en-US" w:eastAsia="zh-CN"/>
        </w:rPr>
        <w:t>本国产品申明函</w:t>
      </w:r>
    </w:p>
    <w:p w14:paraId="1C5C9601">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eastAsia="宋体" w:cs="宋体"/>
          <w:iCs/>
          <w:color w:val="auto"/>
          <w:sz w:val="24"/>
          <w:szCs w:val="21"/>
          <w:highlight w:val="none"/>
          <w:lang w:val="en-US" w:eastAsia="zh-CN"/>
        </w:rPr>
        <w:t>三</w:t>
      </w:r>
      <w:r>
        <w:rPr>
          <w:rFonts w:hint="eastAsia" w:ascii="宋体" w:hAnsi="宋体" w:eastAsia="宋体" w:cs="宋体"/>
          <w:iCs/>
          <w:color w:val="auto"/>
          <w:sz w:val="24"/>
          <w:szCs w:val="21"/>
          <w:highlight w:val="none"/>
        </w:rPr>
        <w:t>、技术要求响应及偏离表及证明文件</w:t>
      </w:r>
    </w:p>
    <w:p w14:paraId="5D0BDC8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四</w:t>
      </w:r>
      <w:r>
        <w:rPr>
          <w:rFonts w:hint="eastAsia" w:ascii="宋体" w:hAnsi="宋体" w:eastAsia="宋体" w:cs="宋体"/>
          <w:iCs/>
          <w:color w:val="auto"/>
          <w:sz w:val="24"/>
          <w:szCs w:val="21"/>
          <w:highlight w:val="none"/>
        </w:rPr>
        <w:t>、商务要求响应及偏离表</w:t>
      </w:r>
    </w:p>
    <w:p w14:paraId="26B2937E">
      <w:pPr>
        <w:spacing w:line="360" w:lineRule="auto"/>
        <w:ind w:left="630"/>
        <w:jc w:val="left"/>
        <w:rPr>
          <w:rFonts w:hint="default"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十五、</w:t>
      </w:r>
      <w:r>
        <w:rPr>
          <w:rFonts w:hint="eastAsia" w:ascii="宋体" w:hAnsi="宋体" w:eastAsia="宋体" w:cs="宋体"/>
          <w:iCs/>
          <w:color w:val="auto"/>
          <w:sz w:val="24"/>
          <w:szCs w:val="21"/>
          <w:highlight w:val="none"/>
          <w:lang w:val="en-US" w:eastAsia="zh-CN"/>
        </w:rPr>
        <w:t>类似业绩</w:t>
      </w:r>
    </w:p>
    <w:p w14:paraId="7480B208">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六</w:t>
      </w:r>
      <w:r>
        <w:rPr>
          <w:rFonts w:hint="eastAsia" w:ascii="宋体" w:hAnsi="宋体" w:eastAsia="宋体" w:cs="宋体"/>
          <w:iCs/>
          <w:color w:val="auto"/>
          <w:sz w:val="24"/>
          <w:szCs w:val="21"/>
          <w:highlight w:val="none"/>
        </w:rPr>
        <w:t>、开标一览表</w:t>
      </w:r>
    </w:p>
    <w:p w14:paraId="5CF9B30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七</w:t>
      </w:r>
      <w:r>
        <w:rPr>
          <w:rFonts w:hint="eastAsia" w:ascii="宋体" w:hAnsi="宋体" w:eastAsia="宋体" w:cs="宋体"/>
          <w:iCs/>
          <w:color w:val="auto"/>
          <w:sz w:val="24"/>
          <w:szCs w:val="21"/>
          <w:highlight w:val="none"/>
        </w:rPr>
        <w:t>、服务承诺、培训计划、人员安排及其他</w:t>
      </w:r>
    </w:p>
    <w:p w14:paraId="77E13B36">
      <w:pPr>
        <w:spacing w:line="360" w:lineRule="auto"/>
        <w:ind w:left="630"/>
        <w:jc w:val="left"/>
        <w:rPr>
          <w:rFonts w:hint="eastAsia" w:ascii="宋体" w:hAnsi="宋体" w:eastAsia="宋体" w:cs="宋体"/>
          <w:iCs/>
          <w:color w:val="auto"/>
          <w:sz w:val="24"/>
          <w:szCs w:val="21"/>
          <w:highlight w:val="none"/>
        </w:rPr>
      </w:pPr>
    </w:p>
    <w:p w14:paraId="60DED9E5">
      <w:pPr>
        <w:spacing w:line="360" w:lineRule="auto"/>
        <w:ind w:left="630"/>
        <w:jc w:val="left"/>
        <w:rPr>
          <w:rFonts w:hint="eastAsia" w:ascii="宋体" w:hAnsi="宋体" w:eastAsia="宋体" w:cs="宋体"/>
          <w:iCs/>
          <w:color w:val="auto"/>
          <w:sz w:val="24"/>
          <w:szCs w:val="21"/>
          <w:highlight w:val="none"/>
        </w:rPr>
      </w:pPr>
    </w:p>
    <w:p w14:paraId="0E78AEB1">
      <w:pPr>
        <w:spacing w:line="360" w:lineRule="auto"/>
        <w:ind w:left="630"/>
        <w:jc w:val="left"/>
        <w:rPr>
          <w:rFonts w:hint="eastAsia" w:ascii="宋体" w:hAnsi="宋体" w:eastAsia="宋体" w:cs="宋体"/>
          <w:iCs/>
          <w:color w:val="auto"/>
          <w:sz w:val="24"/>
          <w:szCs w:val="21"/>
          <w:highlight w:val="none"/>
        </w:rPr>
      </w:pPr>
    </w:p>
    <w:p w14:paraId="052C39D2">
      <w:pPr>
        <w:spacing w:line="360" w:lineRule="auto"/>
        <w:ind w:left="630"/>
        <w:jc w:val="left"/>
        <w:rPr>
          <w:rFonts w:hint="eastAsia" w:ascii="宋体" w:hAnsi="宋体" w:eastAsia="宋体" w:cs="宋体"/>
          <w:iCs/>
          <w:color w:val="auto"/>
          <w:sz w:val="24"/>
          <w:szCs w:val="21"/>
          <w:highlight w:val="none"/>
        </w:rPr>
      </w:pPr>
    </w:p>
    <w:p w14:paraId="2FB2A691">
      <w:pPr>
        <w:spacing w:line="360" w:lineRule="auto"/>
        <w:ind w:left="630"/>
        <w:jc w:val="left"/>
        <w:rPr>
          <w:rFonts w:hint="eastAsia" w:ascii="宋体" w:hAnsi="宋体" w:eastAsia="宋体" w:cs="宋体"/>
          <w:iCs/>
          <w:color w:val="auto"/>
          <w:sz w:val="24"/>
          <w:szCs w:val="21"/>
          <w:highlight w:val="none"/>
        </w:rPr>
      </w:pPr>
    </w:p>
    <w:p w14:paraId="0F6A7142">
      <w:pPr>
        <w:spacing w:line="360" w:lineRule="auto"/>
        <w:ind w:left="630"/>
        <w:jc w:val="left"/>
        <w:rPr>
          <w:rFonts w:hint="eastAsia" w:ascii="宋体" w:hAnsi="宋体" w:eastAsia="宋体" w:cs="宋体"/>
          <w:iCs/>
          <w:color w:val="auto"/>
          <w:sz w:val="24"/>
          <w:szCs w:val="21"/>
          <w:highlight w:val="none"/>
        </w:rPr>
      </w:pPr>
    </w:p>
    <w:p w14:paraId="2B91A08D">
      <w:pPr>
        <w:spacing w:line="440" w:lineRule="exact"/>
        <w:rPr>
          <w:rFonts w:hint="eastAsia" w:ascii="宋体" w:hAnsi="宋体" w:eastAsia="宋体" w:cs="宋体"/>
          <w:color w:val="auto"/>
          <w:sz w:val="24"/>
          <w:szCs w:val="21"/>
          <w:highlight w:val="none"/>
        </w:rPr>
      </w:pPr>
    </w:p>
    <w:p w14:paraId="4A9EC210">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p>
    <w:p w14:paraId="6D531F4C">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一、法人或者其他组织的营业执照等证明文件，自然人的身份证明</w:t>
      </w:r>
    </w:p>
    <w:p w14:paraId="0FD34543">
      <w:pPr>
        <w:spacing w:line="440" w:lineRule="exact"/>
        <w:ind w:firstLine="480"/>
        <w:rPr>
          <w:rFonts w:hint="eastAsia" w:ascii="宋体" w:hAnsi="宋体" w:eastAsia="宋体" w:cs="宋体"/>
          <w:color w:val="auto"/>
          <w:sz w:val="24"/>
          <w:szCs w:val="21"/>
          <w:highlight w:val="none"/>
        </w:rPr>
      </w:pPr>
    </w:p>
    <w:p w14:paraId="0056DB4A">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二、具有良好的商业信誉和健全的财务会计制度</w:t>
      </w:r>
    </w:p>
    <w:p w14:paraId="63576575">
      <w:pPr>
        <w:spacing w:line="360" w:lineRule="auto"/>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eastAsia="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5EE1A760">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181F347E">
      <w:pPr>
        <w:pStyle w:val="307"/>
        <w:rPr>
          <w:rFonts w:hint="eastAsia" w:ascii="宋体" w:hAnsi="宋体" w:eastAsia="宋体" w:cs="宋体"/>
          <w:color w:val="auto"/>
          <w:highlight w:val="none"/>
        </w:rPr>
      </w:pPr>
    </w:p>
    <w:p w14:paraId="7447285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7B0BF3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C787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3D1A5C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0E2D8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A6CC5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18187C35">
      <w:pPr>
        <w:spacing w:line="360" w:lineRule="auto"/>
        <w:ind w:firstLine="480"/>
        <w:rPr>
          <w:rFonts w:hint="eastAsia" w:ascii="宋体" w:hAnsi="宋体" w:eastAsia="宋体" w:cs="宋体"/>
          <w:color w:val="auto"/>
          <w:sz w:val="24"/>
          <w:highlight w:val="none"/>
        </w:rPr>
      </w:pPr>
    </w:p>
    <w:p w14:paraId="3042097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3A3AF11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327A7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1F1A04B3">
      <w:pPr>
        <w:spacing w:line="440" w:lineRule="exact"/>
        <w:ind w:firstLine="480"/>
        <w:rPr>
          <w:rFonts w:hint="eastAsia" w:ascii="宋体" w:hAnsi="宋体" w:eastAsia="宋体" w:cs="宋体"/>
          <w:bCs/>
          <w:color w:val="auto"/>
          <w:sz w:val="24"/>
          <w:szCs w:val="21"/>
          <w:highlight w:val="none"/>
        </w:rPr>
      </w:pPr>
    </w:p>
    <w:p w14:paraId="4E66976D">
      <w:pPr>
        <w:rPr>
          <w:rFonts w:hint="eastAsia" w:ascii="宋体" w:hAnsi="宋体" w:eastAsia="宋体" w:cs="宋体"/>
          <w:i/>
          <w:color w:val="auto"/>
          <w:sz w:val="32"/>
          <w:szCs w:val="32"/>
          <w:highlight w:val="none"/>
          <w:u w:val="single"/>
        </w:rPr>
      </w:pPr>
    </w:p>
    <w:p w14:paraId="0A262FEF">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三、依法缴纳税收和社会保障资金的相关材料</w:t>
      </w:r>
    </w:p>
    <w:p w14:paraId="0C9C47E8">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eastAsia="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45666E29">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48359B88">
      <w:pPr>
        <w:pStyle w:val="307"/>
        <w:rPr>
          <w:rFonts w:hint="eastAsia" w:ascii="宋体" w:hAnsi="宋体" w:eastAsia="宋体" w:cs="宋体"/>
          <w:color w:val="auto"/>
          <w:highlight w:val="none"/>
        </w:rPr>
      </w:pPr>
    </w:p>
    <w:p w14:paraId="6DD7756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7D1210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09205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417D14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86AA64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956A2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4E56FF14">
      <w:pPr>
        <w:spacing w:line="360" w:lineRule="auto"/>
        <w:ind w:firstLine="480"/>
        <w:rPr>
          <w:rFonts w:hint="eastAsia" w:ascii="宋体" w:hAnsi="宋体" w:eastAsia="宋体" w:cs="宋体"/>
          <w:color w:val="auto"/>
          <w:sz w:val="24"/>
          <w:highlight w:val="none"/>
        </w:rPr>
      </w:pPr>
    </w:p>
    <w:p w14:paraId="152F8C5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DF13E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73DAD72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55989A4F">
      <w:pPr>
        <w:rPr>
          <w:rFonts w:hint="eastAsia" w:ascii="宋体" w:hAnsi="宋体" w:eastAsia="宋体" w:cs="宋体"/>
          <w:i/>
          <w:color w:val="auto"/>
          <w:sz w:val="32"/>
          <w:szCs w:val="32"/>
          <w:highlight w:val="none"/>
          <w:u w:val="single"/>
        </w:rPr>
      </w:pPr>
    </w:p>
    <w:p w14:paraId="71E09965">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四、具备履行合同所必需的设备和专业技术能力的书面声明</w:t>
      </w:r>
    </w:p>
    <w:p w14:paraId="71D33069">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w:t>
      </w:r>
      <w:r>
        <w:rPr>
          <w:rFonts w:hint="eastAsia" w:ascii="宋体" w:hAnsi="宋体" w:cs="宋体"/>
          <w:bCs/>
          <w:color w:val="auto"/>
          <w:sz w:val="24"/>
          <w:szCs w:val="21"/>
          <w:highlight w:val="none"/>
          <w:u w:val="single"/>
          <w:lang w:eastAsia="zh-CN"/>
        </w:rPr>
        <w:t>供应商</w:t>
      </w:r>
      <w:r>
        <w:rPr>
          <w:rFonts w:hint="eastAsia" w:ascii="宋体" w:hAnsi="宋体" w:eastAsia="宋体" w:cs="宋体"/>
          <w:bCs/>
          <w:color w:val="auto"/>
          <w:sz w:val="24"/>
          <w:szCs w:val="21"/>
          <w:highlight w:val="none"/>
          <w:u w:val="single"/>
        </w:rPr>
        <w:t>名称）</w:t>
      </w:r>
      <w:r>
        <w:rPr>
          <w:rFonts w:hint="eastAsia" w:ascii="宋体" w:hAnsi="宋体" w:eastAsia="宋体" w:cs="宋体"/>
          <w:bCs/>
          <w:color w:val="auto"/>
          <w:sz w:val="24"/>
          <w:szCs w:val="21"/>
          <w:highlight w:val="none"/>
        </w:rPr>
        <w:t>郑重声明：我单位具备履行本项采购合同所必需的设备和专业技术能力，为履行本项采购合同我公司具备如下主要设备和主要专业技术能力：</w:t>
      </w:r>
    </w:p>
    <w:p w14:paraId="37A1386A">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529F0594">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4B4F10A8">
      <w:pPr>
        <w:spacing w:line="460" w:lineRule="exact"/>
        <w:rPr>
          <w:rFonts w:hint="eastAsia" w:ascii="宋体" w:hAnsi="宋体" w:eastAsia="宋体" w:cs="宋体"/>
          <w:bCs/>
          <w:color w:val="auto"/>
          <w:sz w:val="24"/>
          <w:szCs w:val="21"/>
          <w:highlight w:val="none"/>
        </w:rPr>
      </w:pPr>
    </w:p>
    <w:p w14:paraId="3C3B115E">
      <w:pPr>
        <w:spacing w:line="460" w:lineRule="exact"/>
        <w:ind w:firstLine="492"/>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（盖章）：</w:t>
      </w:r>
    </w:p>
    <w:p w14:paraId="77DE4672">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0D2011FF">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670CBEBF">
      <w:pPr>
        <w:spacing w:line="460" w:lineRule="exact"/>
        <w:ind w:firstLine="492"/>
        <w:rPr>
          <w:rFonts w:hint="eastAsia" w:ascii="宋体" w:hAnsi="宋体" w:eastAsia="宋体" w:cs="宋体"/>
          <w:bCs/>
          <w:color w:val="auto"/>
          <w:sz w:val="24"/>
          <w:szCs w:val="21"/>
          <w:highlight w:val="none"/>
        </w:rPr>
      </w:pPr>
    </w:p>
    <w:p w14:paraId="2244C831">
      <w:pPr>
        <w:spacing w:line="460" w:lineRule="exact"/>
        <w:ind w:firstLine="49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附主要设备和主要专业技术能力的证明材料如下：</w:t>
      </w:r>
    </w:p>
    <w:p w14:paraId="6E6B6B19">
      <w:pPr>
        <w:spacing w:line="460" w:lineRule="exact"/>
        <w:ind w:firstLine="492"/>
        <w:rPr>
          <w:rFonts w:hint="eastAsia" w:ascii="宋体" w:hAnsi="宋体" w:eastAsia="宋体" w:cs="宋体"/>
          <w:bCs/>
          <w:color w:val="auto"/>
          <w:sz w:val="24"/>
          <w:szCs w:val="21"/>
          <w:highlight w:val="none"/>
        </w:rPr>
      </w:pPr>
    </w:p>
    <w:p w14:paraId="089C0E0D">
      <w:pPr>
        <w:spacing w:line="460" w:lineRule="exact"/>
        <w:rPr>
          <w:rFonts w:hint="eastAsia" w:ascii="宋体" w:hAnsi="宋体" w:eastAsia="宋体" w:cs="宋体"/>
          <w:bCs/>
          <w:color w:val="auto"/>
          <w:sz w:val="24"/>
          <w:szCs w:val="21"/>
          <w:highlight w:val="none"/>
        </w:rPr>
      </w:pPr>
    </w:p>
    <w:p w14:paraId="27F2225B">
      <w:pPr>
        <w:spacing w:line="460" w:lineRule="exact"/>
        <w:rPr>
          <w:rFonts w:hint="eastAsia" w:ascii="宋体" w:hAnsi="宋体" w:eastAsia="宋体" w:cs="宋体"/>
          <w:bCs/>
          <w:color w:val="auto"/>
          <w:sz w:val="24"/>
          <w:szCs w:val="21"/>
          <w:highlight w:val="none"/>
        </w:rPr>
      </w:pPr>
    </w:p>
    <w:p w14:paraId="13174DFF">
      <w:pPr>
        <w:spacing w:line="460" w:lineRule="exact"/>
        <w:rPr>
          <w:rFonts w:hint="eastAsia" w:ascii="宋体" w:hAnsi="宋体" w:eastAsia="宋体" w:cs="宋体"/>
          <w:bCs/>
          <w:color w:val="auto"/>
          <w:sz w:val="24"/>
          <w:szCs w:val="21"/>
          <w:highlight w:val="none"/>
        </w:rPr>
      </w:pPr>
    </w:p>
    <w:p w14:paraId="2753330A">
      <w:pPr>
        <w:spacing w:line="460" w:lineRule="exact"/>
        <w:rPr>
          <w:rFonts w:hint="eastAsia" w:ascii="宋体" w:hAnsi="宋体" w:eastAsia="宋体" w:cs="宋体"/>
          <w:bCs/>
          <w:color w:val="auto"/>
          <w:sz w:val="24"/>
          <w:szCs w:val="21"/>
          <w:highlight w:val="none"/>
        </w:rPr>
      </w:pPr>
    </w:p>
    <w:p w14:paraId="3B54FB38">
      <w:pPr>
        <w:spacing w:line="460" w:lineRule="exact"/>
        <w:rPr>
          <w:rFonts w:hint="eastAsia" w:ascii="宋体" w:hAnsi="宋体" w:eastAsia="宋体" w:cs="宋体"/>
          <w:bCs/>
          <w:color w:val="auto"/>
          <w:sz w:val="24"/>
          <w:szCs w:val="21"/>
          <w:highlight w:val="none"/>
        </w:rPr>
      </w:pPr>
    </w:p>
    <w:p w14:paraId="3EE15DD9">
      <w:pPr>
        <w:spacing w:line="460" w:lineRule="exact"/>
        <w:rPr>
          <w:rFonts w:hint="eastAsia" w:ascii="宋体" w:hAnsi="宋体" w:eastAsia="宋体" w:cs="宋体"/>
          <w:bCs/>
          <w:color w:val="auto"/>
          <w:sz w:val="24"/>
          <w:szCs w:val="21"/>
          <w:highlight w:val="none"/>
        </w:rPr>
      </w:pPr>
    </w:p>
    <w:p w14:paraId="56A4507C">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78CEA8B5">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01D813E7">
      <w:pPr>
        <w:rPr>
          <w:rFonts w:hint="eastAsia" w:ascii="宋体" w:hAnsi="宋体" w:eastAsia="宋体" w:cs="宋体"/>
          <w:color w:val="auto"/>
          <w:szCs w:val="21"/>
          <w:highlight w:val="none"/>
        </w:rPr>
      </w:pPr>
    </w:p>
    <w:p w14:paraId="7CAEAAD1">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五、参加政府采购活动前 3 年内在经营活动中没有重大违法记录的书面声明</w:t>
      </w:r>
    </w:p>
    <w:p w14:paraId="66ACC558">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p>
    <w:p w14:paraId="3CFA89C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03010A93">
      <w:pPr>
        <w:spacing w:line="460" w:lineRule="exact"/>
        <w:ind w:firstLine="481"/>
        <w:rPr>
          <w:rFonts w:hint="eastAsia" w:ascii="宋体" w:hAnsi="宋体" w:eastAsia="宋体" w:cs="宋体"/>
          <w:bCs/>
          <w:color w:val="auto"/>
          <w:sz w:val="24"/>
          <w:szCs w:val="21"/>
          <w:highlight w:val="none"/>
        </w:rPr>
      </w:pPr>
    </w:p>
    <w:p w14:paraId="62B71701">
      <w:pPr>
        <w:spacing w:line="460" w:lineRule="exact"/>
        <w:ind w:firstLine="481"/>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（盖章）：</w:t>
      </w:r>
    </w:p>
    <w:p w14:paraId="5A84E9ED">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2C12C1AF">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2250C72C">
      <w:pPr>
        <w:spacing w:line="460" w:lineRule="exact"/>
        <w:rPr>
          <w:rFonts w:hint="eastAsia" w:ascii="宋体" w:hAnsi="宋体" w:eastAsia="宋体" w:cs="宋体"/>
          <w:bCs/>
          <w:color w:val="auto"/>
          <w:sz w:val="24"/>
          <w:szCs w:val="21"/>
          <w:highlight w:val="none"/>
        </w:rPr>
      </w:pPr>
    </w:p>
    <w:p w14:paraId="5BF0F846">
      <w:pPr>
        <w:rPr>
          <w:rFonts w:hint="eastAsia" w:ascii="宋体" w:hAnsi="宋体" w:eastAsia="宋体" w:cs="宋体"/>
          <w:i/>
          <w:color w:val="auto"/>
          <w:sz w:val="32"/>
          <w:szCs w:val="32"/>
          <w:highlight w:val="none"/>
          <w:u w:val="single"/>
        </w:rPr>
      </w:pPr>
    </w:p>
    <w:p w14:paraId="1ABD3345">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1"/>
          <w:highlight w:val="none"/>
        </w:rPr>
      </w:pPr>
      <w:r>
        <w:rPr>
          <w:rFonts w:hint="eastAsia" w:ascii="宋体" w:hAnsi="宋体" w:eastAsia="宋体" w:cs="宋体"/>
          <w:iCs/>
          <w:color w:val="auto"/>
          <w:sz w:val="32"/>
          <w:szCs w:val="32"/>
          <w:highlight w:val="none"/>
          <w:u w:val="single"/>
        </w:rPr>
        <w:t>六、法律、行政法规规定的其他条件的证明文件</w:t>
      </w:r>
      <w:r>
        <w:rPr>
          <w:rFonts w:hint="eastAsia" w:ascii="宋体" w:hAnsi="宋体" w:cs="宋体"/>
          <w:iCs/>
          <w:color w:val="auto"/>
          <w:sz w:val="32"/>
          <w:szCs w:val="32"/>
          <w:highlight w:val="none"/>
          <w:u w:val="single"/>
          <w:lang w:eastAsia="zh-CN"/>
        </w:rPr>
        <w:t>、落实政府采购政策需满足的资格要求的证明文件</w:t>
      </w:r>
      <w:r>
        <w:rPr>
          <w:rFonts w:hint="eastAsia" w:ascii="宋体" w:hAnsi="宋体" w:cs="宋体"/>
          <w:iCs/>
          <w:color w:val="auto"/>
          <w:sz w:val="32"/>
          <w:szCs w:val="32"/>
          <w:highlight w:val="none"/>
          <w:u w:val="single"/>
          <w:lang w:val="en-US" w:eastAsia="zh-CN"/>
        </w:rPr>
        <w:t>及</w:t>
      </w:r>
      <w:r>
        <w:rPr>
          <w:rFonts w:hint="eastAsia" w:ascii="宋体" w:hAnsi="宋体" w:eastAsia="宋体" w:cs="宋体"/>
          <w:iCs/>
          <w:color w:val="auto"/>
          <w:sz w:val="32"/>
          <w:szCs w:val="32"/>
          <w:highlight w:val="none"/>
          <w:u w:val="single"/>
        </w:rPr>
        <w:t>特定资格要求的证明文件</w:t>
      </w:r>
      <w:bookmarkEnd w:id="120"/>
      <w:bookmarkEnd w:id="121"/>
      <w:bookmarkEnd w:id="122"/>
      <w:r>
        <w:rPr>
          <w:rFonts w:hint="eastAsia" w:ascii="宋体" w:hAnsi="宋体" w:eastAsia="宋体" w:cs="宋体"/>
          <w:color w:val="auto"/>
          <w:sz w:val="24"/>
          <w:szCs w:val="21"/>
          <w:highlight w:val="none"/>
        </w:rPr>
        <w:t>（如有，请按要求提供）</w:t>
      </w:r>
    </w:p>
    <w:p w14:paraId="177CFCC7">
      <w:pPr>
        <w:spacing w:line="460" w:lineRule="exact"/>
        <w:rPr>
          <w:rFonts w:hint="eastAsia" w:ascii="宋体" w:hAnsi="宋体" w:eastAsia="宋体" w:cs="宋体"/>
          <w:color w:val="auto"/>
          <w:sz w:val="24"/>
          <w:szCs w:val="21"/>
          <w:highlight w:val="none"/>
        </w:rPr>
      </w:pPr>
    </w:p>
    <w:p w14:paraId="47641497">
      <w:pPr>
        <w:spacing w:line="460" w:lineRule="exact"/>
        <w:rPr>
          <w:rFonts w:hint="eastAsia" w:ascii="宋体" w:hAnsi="宋体" w:eastAsia="宋体" w:cs="宋体"/>
          <w:color w:val="auto"/>
          <w:sz w:val="24"/>
          <w:szCs w:val="21"/>
          <w:highlight w:val="none"/>
        </w:rPr>
      </w:pPr>
    </w:p>
    <w:p w14:paraId="15256034">
      <w:pPr>
        <w:spacing w:line="460" w:lineRule="exact"/>
        <w:rPr>
          <w:rFonts w:hint="eastAsia" w:ascii="宋体" w:hAnsi="宋体" w:eastAsia="宋体" w:cs="宋体"/>
          <w:bCs/>
          <w:color w:val="auto"/>
          <w:sz w:val="24"/>
          <w:szCs w:val="21"/>
          <w:highlight w:val="none"/>
        </w:rPr>
      </w:pPr>
      <w:bookmarkStart w:id="123" w:name="_Toc120614284"/>
    </w:p>
    <w:p w14:paraId="2C723F70">
      <w:pPr>
        <w:jc w:val="center"/>
        <w:rPr>
          <w:rFonts w:hint="eastAsia" w:ascii="宋体" w:hAnsi="宋体" w:eastAsia="宋体" w:cs="宋体"/>
          <w:i/>
          <w:color w:val="auto"/>
          <w:sz w:val="32"/>
          <w:szCs w:val="32"/>
          <w:highlight w:val="none"/>
          <w:u w:val="single"/>
        </w:rPr>
      </w:pPr>
    </w:p>
    <w:p w14:paraId="5580F836">
      <w:pPr>
        <w:jc w:val="center"/>
        <w:rPr>
          <w:rFonts w:hint="eastAsia" w:ascii="宋体" w:hAnsi="宋体" w:eastAsia="宋体" w:cs="宋体"/>
          <w:i/>
          <w:color w:val="auto"/>
          <w:sz w:val="32"/>
          <w:szCs w:val="32"/>
          <w:highlight w:val="none"/>
          <w:u w:val="single"/>
        </w:rPr>
      </w:pPr>
    </w:p>
    <w:p w14:paraId="024E41DF">
      <w:pPr>
        <w:jc w:val="center"/>
        <w:rPr>
          <w:rFonts w:hint="eastAsia" w:ascii="宋体" w:hAnsi="宋体" w:eastAsia="宋体" w:cs="宋体"/>
          <w:i/>
          <w:color w:val="auto"/>
          <w:sz w:val="32"/>
          <w:szCs w:val="32"/>
          <w:highlight w:val="none"/>
          <w:u w:val="single"/>
        </w:rPr>
      </w:pPr>
    </w:p>
    <w:p w14:paraId="28991AE7">
      <w:pPr>
        <w:jc w:val="center"/>
        <w:rPr>
          <w:rFonts w:hint="eastAsia" w:ascii="宋体" w:hAnsi="宋体" w:eastAsia="宋体" w:cs="宋体"/>
          <w:i/>
          <w:color w:val="auto"/>
          <w:sz w:val="32"/>
          <w:szCs w:val="32"/>
          <w:highlight w:val="none"/>
          <w:u w:val="single"/>
        </w:rPr>
      </w:pPr>
    </w:p>
    <w:p w14:paraId="71378462">
      <w:pPr>
        <w:jc w:val="center"/>
        <w:rPr>
          <w:rFonts w:hint="eastAsia" w:ascii="宋体" w:hAnsi="宋体" w:eastAsia="宋体" w:cs="宋体"/>
          <w:i/>
          <w:color w:val="auto"/>
          <w:sz w:val="32"/>
          <w:szCs w:val="32"/>
          <w:highlight w:val="none"/>
          <w:u w:val="single"/>
        </w:rPr>
      </w:pPr>
    </w:p>
    <w:p w14:paraId="00419CBB">
      <w:pPr>
        <w:jc w:val="center"/>
        <w:rPr>
          <w:rFonts w:hint="eastAsia" w:ascii="宋体" w:hAnsi="宋体" w:eastAsia="宋体" w:cs="宋体"/>
          <w:i/>
          <w:color w:val="auto"/>
          <w:sz w:val="32"/>
          <w:szCs w:val="32"/>
          <w:highlight w:val="none"/>
          <w:u w:val="single"/>
        </w:rPr>
      </w:pPr>
    </w:p>
    <w:p w14:paraId="64E08CD9">
      <w:pPr>
        <w:jc w:val="center"/>
        <w:rPr>
          <w:rFonts w:hint="eastAsia" w:ascii="宋体" w:hAnsi="宋体" w:eastAsia="宋体" w:cs="宋体"/>
          <w:i/>
          <w:color w:val="auto"/>
          <w:sz w:val="32"/>
          <w:szCs w:val="32"/>
          <w:highlight w:val="none"/>
          <w:u w:val="single"/>
        </w:rPr>
      </w:pPr>
    </w:p>
    <w:p w14:paraId="7BB9E25E">
      <w:pPr>
        <w:jc w:val="center"/>
        <w:rPr>
          <w:rFonts w:hint="eastAsia" w:ascii="宋体" w:hAnsi="宋体" w:eastAsia="宋体" w:cs="宋体"/>
          <w:i/>
          <w:color w:val="auto"/>
          <w:sz w:val="32"/>
          <w:szCs w:val="32"/>
          <w:highlight w:val="none"/>
          <w:u w:val="single"/>
        </w:rPr>
      </w:pPr>
    </w:p>
    <w:p w14:paraId="2D2470C7">
      <w:pPr>
        <w:jc w:val="center"/>
        <w:rPr>
          <w:rFonts w:hint="eastAsia" w:ascii="宋体" w:hAnsi="宋体" w:eastAsia="宋体" w:cs="宋体"/>
          <w:i/>
          <w:color w:val="auto"/>
          <w:sz w:val="32"/>
          <w:szCs w:val="32"/>
          <w:highlight w:val="none"/>
          <w:u w:val="single"/>
        </w:rPr>
      </w:pPr>
    </w:p>
    <w:p w14:paraId="7CDE8201">
      <w:pPr>
        <w:jc w:val="center"/>
        <w:rPr>
          <w:rFonts w:hint="eastAsia" w:ascii="宋体" w:hAnsi="宋体" w:eastAsia="宋体" w:cs="宋体"/>
          <w:i/>
          <w:color w:val="auto"/>
          <w:sz w:val="32"/>
          <w:szCs w:val="32"/>
          <w:highlight w:val="none"/>
          <w:u w:val="single"/>
        </w:rPr>
      </w:pPr>
    </w:p>
    <w:p w14:paraId="00F4AB88">
      <w:pPr>
        <w:jc w:val="center"/>
        <w:rPr>
          <w:rFonts w:hint="eastAsia" w:ascii="宋体" w:hAnsi="宋体" w:eastAsia="宋体" w:cs="宋体"/>
          <w:i/>
          <w:color w:val="auto"/>
          <w:sz w:val="32"/>
          <w:szCs w:val="32"/>
          <w:highlight w:val="none"/>
          <w:u w:val="single"/>
        </w:rPr>
      </w:pPr>
    </w:p>
    <w:p w14:paraId="76160F73">
      <w:pPr>
        <w:jc w:val="center"/>
        <w:rPr>
          <w:rFonts w:hint="eastAsia" w:ascii="宋体" w:hAnsi="宋体" w:eastAsia="宋体" w:cs="宋体"/>
          <w:i/>
          <w:color w:val="auto"/>
          <w:sz w:val="32"/>
          <w:szCs w:val="32"/>
          <w:highlight w:val="none"/>
          <w:u w:val="single"/>
        </w:rPr>
      </w:pPr>
    </w:p>
    <w:p w14:paraId="122CD44B">
      <w:pPr>
        <w:jc w:val="center"/>
        <w:rPr>
          <w:rFonts w:hint="eastAsia" w:ascii="宋体" w:hAnsi="宋体" w:eastAsia="宋体" w:cs="宋体"/>
          <w:i/>
          <w:color w:val="auto"/>
          <w:sz w:val="32"/>
          <w:szCs w:val="32"/>
          <w:highlight w:val="none"/>
          <w:u w:val="single"/>
        </w:rPr>
      </w:pPr>
    </w:p>
    <w:p w14:paraId="0FA54537">
      <w:pPr>
        <w:jc w:val="center"/>
        <w:rPr>
          <w:rFonts w:hint="eastAsia" w:ascii="宋体" w:hAnsi="宋体" w:eastAsia="宋体" w:cs="宋体"/>
          <w:i/>
          <w:color w:val="auto"/>
          <w:sz w:val="32"/>
          <w:szCs w:val="32"/>
          <w:highlight w:val="none"/>
          <w:u w:val="single"/>
        </w:rPr>
      </w:pPr>
    </w:p>
    <w:p w14:paraId="2F4C064A">
      <w:pPr>
        <w:pStyle w:val="307"/>
        <w:rPr>
          <w:rFonts w:hint="eastAsia" w:ascii="宋体" w:hAnsi="宋体" w:eastAsia="宋体" w:cs="宋体"/>
          <w:i/>
          <w:color w:val="auto"/>
          <w:sz w:val="32"/>
          <w:szCs w:val="32"/>
          <w:highlight w:val="none"/>
          <w:u w:val="single"/>
        </w:rPr>
      </w:pPr>
    </w:p>
    <w:p w14:paraId="4CBDAAC4">
      <w:pPr>
        <w:pStyle w:val="307"/>
        <w:rPr>
          <w:rFonts w:hint="eastAsia" w:ascii="宋体" w:hAnsi="宋体" w:eastAsia="宋体" w:cs="宋体"/>
          <w:i/>
          <w:color w:val="auto"/>
          <w:sz w:val="32"/>
          <w:szCs w:val="32"/>
          <w:highlight w:val="none"/>
          <w:u w:val="single"/>
        </w:rPr>
      </w:pPr>
    </w:p>
    <w:p w14:paraId="5F7F4A3E">
      <w:pPr>
        <w:jc w:val="both"/>
        <w:rPr>
          <w:rFonts w:hint="eastAsia" w:ascii="宋体" w:hAnsi="宋体" w:eastAsia="宋体" w:cs="宋体"/>
          <w:i/>
          <w:color w:val="auto"/>
          <w:sz w:val="32"/>
          <w:szCs w:val="32"/>
          <w:highlight w:val="none"/>
          <w:u w:val="single"/>
        </w:rPr>
      </w:pPr>
    </w:p>
    <w:p w14:paraId="62D04104">
      <w:pPr>
        <w:rPr>
          <w:rFonts w:hint="eastAsia" w:ascii="宋体" w:hAnsi="宋体" w:eastAsia="宋体" w:cs="宋体"/>
          <w:i/>
          <w:color w:val="auto"/>
          <w:sz w:val="32"/>
          <w:szCs w:val="32"/>
          <w:highlight w:val="none"/>
          <w:u w:val="single"/>
        </w:rPr>
      </w:pPr>
    </w:p>
    <w:p w14:paraId="14CC585A">
      <w:pPr>
        <w:keepNext w:val="0"/>
        <w:keepLines w:val="0"/>
        <w:pageBreakBefore/>
        <w:widowControl w:val="0"/>
        <w:kinsoku/>
        <w:wordWrap/>
        <w:overflowPunct/>
        <w:topLinePunct w:val="0"/>
        <w:autoSpaceDE/>
        <w:autoSpaceDN/>
        <w:bidi w:val="0"/>
        <w:adjustRightInd/>
        <w:snapToGrid/>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七、法人授权书</w:t>
      </w:r>
    </w:p>
    <w:p w14:paraId="73D3412F">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41DA169D">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）投标文件和处理有关事宜，其法律后果由我方承担。</w:t>
      </w:r>
    </w:p>
    <w:p w14:paraId="738D4E5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委托期限：自本授权委托书签署之日起至投标有效期届满之日止。</w:t>
      </w:r>
    </w:p>
    <w:p w14:paraId="4CDBB74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代理人无转委托权。</w:t>
      </w:r>
    </w:p>
    <w:p w14:paraId="0B1E753E">
      <w:pPr>
        <w:spacing w:line="460" w:lineRule="exact"/>
        <w:ind w:firstLine="481"/>
        <w:rPr>
          <w:rFonts w:hint="eastAsia" w:ascii="宋体" w:hAnsi="宋体" w:eastAsia="宋体" w:cs="宋体"/>
          <w:bCs/>
          <w:color w:val="auto"/>
          <w:sz w:val="24"/>
          <w:szCs w:val="21"/>
          <w:highlight w:val="none"/>
        </w:rPr>
      </w:pPr>
    </w:p>
    <w:p w14:paraId="3993F5FF">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42174618">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3D4E44C7">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p>
    <w:p w14:paraId="2A5F7905">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058D6AA2">
      <w:pPr>
        <w:spacing w:line="460" w:lineRule="exact"/>
        <w:ind w:firstLine="481"/>
        <w:rPr>
          <w:rFonts w:hint="eastAsia" w:ascii="宋体" w:hAnsi="宋体" w:eastAsia="宋体" w:cs="宋体"/>
          <w:bCs/>
          <w:color w:val="auto"/>
          <w:sz w:val="24"/>
          <w:szCs w:val="21"/>
          <w:highlight w:val="none"/>
        </w:rPr>
      </w:pPr>
    </w:p>
    <w:p w14:paraId="12CED17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法定代表人（单位负责人）有效期内的身份证正反面电子件：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62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B2A7255">
            <w:pPr>
              <w:spacing w:line="460" w:lineRule="exact"/>
              <w:ind w:firstLine="481"/>
              <w:rPr>
                <w:rFonts w:hint="eastAsia" w:ascii="宋体" w:hAnsi="宋体" w:eastAsia="宋体" w:cs="宋体"/>
                <w:bCs/>
                <w:color w:val="auto"/>
                <w:sz w:val="24"/>
                <w:szCs w:val="21"/>
                <w:highlight w:val="none"/>
              </w:rPr>
            </w:pPr>
          </w:p>
          <w:p w14:paraId="6C2017F3">
            <w:pPr>
              <w:spacing w:line="460" w:lineRule="exact"/>
              <w:ind w:firstLine="481"/>
              <w:rPr>
                <w:rFonts w:hint="eastAsia" w:ascii="宋体" w:hAnsi="宋体" w:eastAsia="宋体" w:cs="宋体"/>
                <w:bCs/>
                <w:color w:val="auto"/>
                <w:sz w:val="24"/>
                <w:szCs w:val="21"/>
                <w:highlight w:val="none"/>
              </w:rPr>
            </w:pPr>
          </w:p>
          <w:p w14:paraId="2F353A18">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6E8CE775">
            <w:pPr>
              <w:spacing w:line="460" w:lineRule="exact"/>
              <w:ind w:firstLine="481"/>
              <w:rPr>
                <w:rFonts w:hint="eastAsia" w:ascii="宋体" w:hAnsi="宋体" w:eastAsia="宋体" w:cs="宋体"/>
                <w:bCs/>
                <w:color w:val="auto"/>
                <w:sz w:val="24"/>
                <w:szCs w:val="21"/>
                <w:highlight w:val="none"/>
              </w:rPr>
            </w:pPr>
          </w:p>
          <w:p w14:paraId="7957B922">
            <w:pPr>
              <w:spacing w:line="460" w:lineRule="exact"/>
              <w:ind w:firstLine="481"/>
              <w:rPr>
                <w:rFonts w:hint="eastAsia" w:ascii="宋体" w:hAnsi="宋体" w:eastAsia="宋体" w:cs="宋体"/>
                <w:bCs/>
                <w:color w:val="auto"/>
                <w:sz w:val="24"/>
                <w:szCs w:val="21"/>
                <w:highlight w:val="none"/>
              </w:rPr>
            </w:pPr>
          </w:p>
          <w:p w14:paraId="49114FE8">
            <w:pPr>
              <w:spacing w:line="460" w:lineRule="exact"/>
              <w:ind w:firstLine="481"/>
              <w:rPr>
                <w:rFonts w:hint="eastAsia" w:ascii="宋体" w:hAnsi="宋体" w:eastAsia="宋体" w:cs="宋体"/>
                <w:bCs/>
                <w:color w:val="auto"/>
                <w:sz w:val="24"/>
                <w:szCs w:val="21"/>
                <w:highlight w:val="none"/>
              </w:rPr>
            </w:pPr>
          </w:p>
        </w:tc>
      </w:tr>
    </w:tbl>
    <w:p w14:paraId="7E284E21">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委托代理人有效期内的身份证正反面电子件：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367E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CC66BF6">
            <w:pPr>
              <w:spacing w:line="460" w:lineRule="exact"/>
              <w:ind w:firstLine="481"/>
              <w:rPr>
                <w:rFonts w:hint="eastAsia" w:ascii="宋体" w:hAnsi="宋体" w:eastAsia="宋体" w:cs="宋体"/>
                <w:bCs/>
                <w:color w:val="auto"/>
                <w:sz w:val="24"/>
                <w:szCs w:val="21"/>
                <w:highlight w:val="none"/>
              </w:rPr>
            </w:pPr>
          </w:p>
          <w:p w14:paraId="74645857">
            <w:pPr>
              <w:spacing w:line="460" w:lineRule="exact"/>
              <w:ind w:firstLine="481"/>
              <w:rPr>
                <w:rFonts w:hint="eastAsia" w:ascii="宋体" w:hAnsi="宋体" w:eastAsia="宋体" w:cs="宋体"/>
                <w:bCs/>
                <w:color w:val="auto"/>
                <w:sz w:val="24"/>
                <w:szCs w:val="21"/>
                <w:highlight w:val="none"/>
              </w:rPr>
            </w:pPr>
          </w:p>
          <w:p w14:paraId="6B8577C7">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1494E1D9">
            <w:pPr>
              <w:spacing w:line="460" w:lineRule="exact"/>
              <w:ind w:firstLine="481"/>
              <w:rPr>
                <w:rFonts w:hint="eastAsia" w:ascii="宋体" w:hAnsi="宋体" w:eastAsia="宋体" w:cs="宋体"/>
                <w:bCs/>
                <w:color w:val="auto"/>
                <w:sz w:val="24"/>
                <w:szCs w:val="21"/>
                <w:highlight w:val="none"/>
              </w:rPr>
            </w:pPr>
          </w:p>
          <w:p w14:paraId="50061347">
            <w:pPr>
              <w:spacing w:line="460" w:lineRule="exact"/>
              <w:ind w:firstLine="481"/>
              <w:rPr>
                <w:rFonts w:hint="eastAsia" w:ascii="宋体" w:hAnsi="宋体" w:eastAsia="宋体" w:cs="宋体"/>
                <w:bCs/>
                <w:color w:val="auto"/>
                <w:sz w:val="24"/>
                <w:szCs w:val="21"/>
                <w:highlight w:val="none"/>
              </w:rPr>
            </w:pPr>
          </w:p>
          <w:p w14:paraId="3FD71A9F">
            <w:pPr>
              <w:spacing w:line="460" w:lineRule="exact"/>
              <w:ind w:firstLine="481"/>
              <w:rPr>
                <w:rFonts w:hint="eastAsia" w:ascii="宋体" w:hAnsi="宋体" w:eastAsia="宋体" w:cs="宋体"/>
                <w:bCs/>
                <w:color w:val="auto"/>
                <w:sz w:val="24"/>
                <w:szCs w:val="21"/>
                <w:highlight w:val="none"/>
              </w:rPr>
            </w:pPr>
          </w:p>
        </w:tc>
      </w:tr>
    </w:tbl>
    <w:p w14:paraId="0FE8B483">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填报说明：</w:t>
      </w:r>
    </w:p>
    <w:p w14:paraId="3A04E65F">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1、若</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为事业单位或其他组织或分支机构（仅当招标文件注明允许分支机构投标的），则法定代表人（单位负责人）处的签署人可为单位负责人。</w:t>
      </w:r>
    </w:p>
    <w:p w14:paraId="71F21D45">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2、若投标文件中全部签字之处均为法定代表人（单位负责人）本人签署，则可不提供本《授权委托书》，但须提供《法定代表人（单位负责人）身份证明》。</w:t>
      </w:r>
    </w:p>
    <w:p w14:paraId="22A0B8B5">
      <w:pPr>
        <w:spacing w:line="3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为自然人的情形，可不提供本《授权委托书》。</w:t>
      </w:r>
    </w:p>
    <w:p w14:paraId="5B73D170">
      <w:pPr>
        <w:spacing w:line="360" w:lineRule="exact"/>
        <w:ind w:firstLine="480"/>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4、请供应商如实填写联系方式并在评审过程中保持联系方式畅通，评审过程中如联系不上，由供应商承担一切不利后果。</w:t>
      </w:r>
      <w:r>
        <w:rPr>
          <w:rFonts w:hint="eastAsia" w:ascii="宋体" w:hAnsi="宋体" w:eastAsia="宋体" w:cs="宋体"/>
          <w:bCs/>
          <w:color w:val="auto"/>
          <w:sz w:val="24"/>
          <w:szCs w:val="21"/>
          <w:highlight w:val="none"/>
        </w:rPr>
        <w:br w:type="page" w:clear="all"/>
      </w:r>
    </w:p>
    <w:p w14:paraId="0336C7AC">
      <w:pPr>
        <w:spacing w:line="360" w:lineRule="exact"/>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法定代表人（单位负责人）身份证明</w:t>
      </w:r>
    </w:p>
    <w:p w14:paraId="1C675F9E">
      <w:pPr>
        <w:spacing w:line="200" w:lineRule="exact"/>
        <w:rPr>
          <w:rFonts w:hint="eastAsia" w:ascii="宋体" w:hAnsi="宋体" w:eastAsia="宋体" w:cs="宋体"/>
          <w:color w:val="auto"/>
          <w:sz w:val="20"/>
          <w:szCs w:val="20"/>
          <w:highlight w:val="none"/>
        </w:rPr>
      </w:pPr>
    </w:p>
    <w:p w14:paraId="3750B5B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3D6D88E4">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兹证明，</w:t>
      </w:r>
    </w:p>
    <w:p w14:paraId="303E64AD">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职务：</w:t>
      </w:r>
      <w:r>
        <w:rPr>
          <w:rFonts w:hint="eastAsia" w:ascii="宋体" w:hAnsi="宋体" w:eastAsia="宋体" w:cs="宋体"/>
          <w:bCs/>
          <w:color w:val="auto"/>
          <w:sz w:val="24"/>
          <w:szCs w:val="21"/>
          <w:highlight w:val="none"/>
          <w:u w:val="single"/>
        </w:rPr>
        <w:t xml:space="preserve">          </w:t>
      </w:r>
    </w:p>
    <w:p w14:paraId="3531CF30">
      <w:pPr>
        <w:spacing w:line="460" w:lineRule="exact"/>
        <w:ind w:firstLine="481"/>
        <w:rPr>
          <w:rFonts w:hint="eastAsia" w:ascii="宋体" w:hAnsi="宋体" w:eastAsia="宋体" w:cs="宋体"/>
          <w:bCs/>
          <w:color w:val="auto"/>
          <w:sz w:val="24"/>
          <w:szCs w:val="21"/>
          <w:highlight w:val="none"/>
        </w:rPr>
      </w:pPr>
    </w:p>
    <w:p w14:paraId="7B21EB2A">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名称）的法定代表人（单位负责人）。</w:t>
      </w:r>
    </w:p>
    <w:p w14:paraId="7EBC0B24">
      <w:pPr>
        <w:spacing w:line="460" w:lineRule="exact"/>
        <w:ind w:firstLine="481"/>
        <w:rPr>
          <w:rFonts w:hint="eastAsia" w:ascii="宋体" w:hAnsi="宋体" w:eastAsia="宋体" w:cs="宋体"/>
          <w:bCs/>
          <w:color w:val="auto"/>
          <w:sz w:val="24"/>
          <w:szCs w:val="21"/>
          <w:highlight w:val="none"/>
        </w:rPr>
      </w:pPr>
    </w:p>
    <w:p w14:paraId="2AE37CD0">
      <w:pPr>
        <w:spacing w:line="460" w:lineRule="exact"/>
        <w:ind w:firstLine="481"/>
        <w:rPr>
          <w:rFonts w:hint="eastAsia" w:ascii="宋体" w:hAnsi="宋体" w:eastAsia="宋体" w:cs="宋体"/>
          <w:bCs/>
          <w:color w:val="auto"/>
          <w:sz w:val="24"/>
          <w:szCs w:val="21"/>
          <w:highlight w:val="none"/>
        </w:rPr>
      </w:pPr>
    </w:p>
    <w:p w14:paraId="040592BE">
      <w:pPr>
        <w:spacing w:line="460" w:lineRule="exact"/>
        <w:ind w:firstLine="481"/>
        <w:rPr>
          <w:rFonts w:hint="eastAsia" w:ascii="宋体" w:hAnsi="宋体" w:eastAsia="宋体" w:cs="宋体"/>
          <w:bCs/>
          <w:color w:val="auto"/>
          <w:sz w:val="24"/>
          <w:szCs w:val="21"/>
          <w:highlight w:val="none"/>
        </w:rPr>
      </w:pPr>
    </w:p>
    <w:p w14:paraId="2F07FB13">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附：法定代表人（单位负责人）有效期内的身份证正反面电子件。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DE64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AA5F150">
            <w:pPr>
              <w:spacing w:line="460" w:lineRule="exact"/>
              <w:ind w:firstLine="481"/>
              <w:rPr>
                <w:rFonts w:hint="eastAsia" w:ascii="宋体" w:hAnsi="宋体" w:eastAsia="宋体" w:cs="宋体"/>
                <w:bCs/>
                <w:color w:val="auto"/>
                <w:sz w:val="24"/>
                <w:szCs w:val="21"/>
                <w:highlight w:val="none"/>
              </w:rPr>
            </w:pPr>
          </w:p>
          <w:p w14:paraId="57ED4BB9">
            <w:pPr>
              <w:spacing w:line="460" w:lineRule="exact"/>
              <w:ind w:firstLine="481"/>
              <w:rPr>
                <w:rFonts w:hint="eastAsia" w:ascii="宋体" w:hAnsi="宋体" w:eastAsia="宋体" w:cs="宋体"/>
                <w:bCs/>
                <w:color w:val="auto"/>
                <w:sz w:val="24"/>
                <w:szCs w:val="21"/>
                <w:highlight w:val="none"/>
              </w:rPr>
            </w:pPr>
          </w:p>
          <w:p w14:paraId="0860BB39">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10F0669A">
            <w:pPr>
              <w:spacing w:line="460" w:lineRule="exact"/>
              <w:ind w:firstLine="481"/>
              <w:rPr>
                <w:rFonts w:hint="eastAsia" w:ascii="宋体" w:hAnsi="宋体" w:eastAsia="宋体" w:cs="宋体"/>
                <w:bCs/>
                <w:color w:val="auto"/>
                <w:sz w:val="24"/>
                <w:szCs w:val="21"/>
                <w:highlight w:val="none"/>
              </w:rPr>
            </w:pPr>
          </w:p>
          <w:p w14:paraId="4A3AA9B4">
            <w:pPr>
              <w:spacing w:line="460" w:lineRule="exact"/>
              <w:ind w:firstLine="481"/>
              <w:rPr>
                <w:rFonts w:hint="eastAsia" w:ascii="宋体" w:hAnsi="宋体" w:eastAsia="宋体" w:cs="宋体"/>
                <w:bCs/>
                <w:color w:val="auto"/>
                <w:sz w:val="24"/>
                <w:szCs w:val="21"/>
                <w:highlight w:val="none"/>
              </w:rPr>
            </w:pPr>
          </w:p>
          <w:p w14:paraId="15652E87">
            <w:pPr>
              <w:spacing w:line="460" w:lineRule="exact"/>
              <w:ind w:firstLine="481"/>
              <w:rPr>
                <w:rFonts w:hint="eastAsia" w:ascii="宋体" w:hAnsi="宋体" w:eastAsia="宋体" w:cs="宋体"/>
                <w:bCs/>
                <w:color w:val="auto"/>
                <w:sz w:val="24"/>
                <w:szCs w:val="21"/>
                <w:highlight w:val="none"/>
              </w:rPr>
            </w:pPr>
          </w:p>
        </w:tc>
      </w:tr>
    </w:tbl>
    <w:p w14:paraId="04720DD6">
      <w:pPr>
        <w:spacing w:line="460" w:lineRule="exact"/>
        <w:ind w:firstLine="481"/>
        <w:rPr>
          <w:rFonts w:hint="eastAsia" w:ascii="宋体" w:hAnsi="宋体" w:eastAsia="宋体" w:cs="宋体"/>
          <w:bCs/>
          <w:color w:val="auto"/>
          <w:sz w:val="24"/>
          <w:szCs w:val="21"/>
          <w:highlight w:val="none"/>
        </w:rPr>
      </w:pPr>
    </w:p>
    <w:p w14:paraId="5BB4D9D0">
      <w:pPr>
        <w:spacing w:line="460" w:lineRule="exact"/>
        <w:ind w:firstLine="481"/>
        <w:rPr>
          <w:rFonts w:hint="eastAsia" w:ascii="宋体" w:hAnsi="宋体" w:eastAsia="宋体" w:cs="宋体"/>
          <w:bCs/>
          <w:color w:val="auto"/>
          <w:sz w:val="24"/>
          <w:szCs w:val="21"/>
          <w:highlight w:val="none"/>
        </w:rPr>
      </w:pPr>
    </w:p>
    <w:p w14:paraId="4FE10866">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3A66244E">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4A266489">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法定代表人（单位负责人）联系方式</w:t>
      </w:r>
      <w:r>
        <w:rPr>
          <w:rFonts w:hint="eastAsia" w:ascii="宋体" w:hAnsi="宋体" w:eastAsia="宋体" w:cs="宋体"/>
          <w:bCs/>
          <w:color w:val="auto"/>
          <w:sz w:val="24"/>
          <w:szCs w:val="21"/>
          <w:highlight w:val="none"/>
          <w:lang w:eastAsia="zh-CN"/>
        </w:rPr>
        <w:t>：</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p>
    <w:p w14:paraId="4CBABB0C">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7CB1575F">
      <w:pPr>
        <w:spacing w:line="460" w:lineRule="exact"/>
        <w:ind w:firstLine="481"/>
        <w:rPr>
          <w:rFonts w:hint="eastAsia" w:ascii="宋体" w:hAnsi="宋体" w:eastAsia="宋体" w:cs="宋体"/>
          <w:bCs/>
          <w:color w:val="auto"/>
          <w:sz w:val="24"/>
          <w:szCs w:val="21"/>
          <w:highlight w:val="none"/>
        </w:rPr>
      </w:pPr>
    </w:p>
    <w:p w14:paraId="7D19ABB0">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注：</w:t>
      </w:r>
      <w:r>
        <w:rPr>
          <w:rFonts w:hint="eastAsia" w:ascii="宋体" w:hAnsi="宋体" w:eastAsia="宋体" w:cs="宋体"/>
          <w:bCs/>
          <w:color w:val="auto"/>
          <w:sz w:val="24"/>
          <w:szCs w:val="21"/>
          <w:highlight w:val="none"/>
        </w:rPr>
        <w:t>请供应商如实填写联系方式并在评审过程中保持联系方式畅通，评审过程中如联系不上，由供应商承担一切不利后果。</w:t>
      </w:r>
    </w:p>
    <w:p w14:paraId="3D2A3972">
      <w:pPr>
        <w:ind w:firstLine="420"/>
        <w:rPr>
          <w:rFonts w:hint="eastAsia" w:ascii="宋体" w:hAnsi="宋体" w:eastAsia="宋体" w:cs="宋体"/>
          <w:i/>
          <w:color w:val="auto"/>
          <w:sz w:val="24"/>
          <w:szCs w:val="24"/>
          <w:highlight w:val="none"/>
          <w:u w:val="single"/>
        </w:rPr>
      </w:pPr>
    </w:p>
    <w:p w14:paraId="56305EC4">
      <w:pPr>
        <w:rPr>
          <w:rFonts w:hint="eastAsia" w:ascii="宋体" w:hAnsi="宋体" w:eastAsia="宋体" w:cs="宋体"/>
          <w:color w:val="auto"/>
          <w:szCs w:val="21"/>
          <w:highlight w:val="none"/>
        </w:rPr>
      </w:pPr>
    </w:p>
    <w:p w14:paraId="317292E7">
      <w:pPr>
        <w:spacing w:line="460" w:lineRule="exact"/>
        <w:rPr>
          <w:rFonts w:hint="eastAsia" w:ascii="宋体" w:hAnsi="宋体" w:eastAsia="宋体" w:cs="宋体"/>
          <w:bCs/>
          <w:color w:val="auto"/>
          <w:sz w:val="24"/>
          <w:szCs w:val="21"/>
          <w:highlight w:val="none"/>
        </w:rPr>
      </w:pPr>
    </w:p>
    <w:p w14:paraId="15314257">
      <w:pPr>
        <w:keepNext/>
        <w:keepLines/>
        <w:spacing w:before="260" w:after="260" w:line="416" w:lineRule="auto"/>
        <w:jc w:val="center"/>
        <w:outlineLvl w:val="1"/>
        <w:rPr>
          <w:rFonts w:hint="eastAsia" w:ascii="宋体" w:hAnsi="宋体" w:eastAsia="宋体" w:cs="宋体"/>
          <w:iCs/>
          <w:color w:val="auto"/>
          <w:sz w:val="32"/>
          <w:szCs w:val="32"/>
          <w:highlight w:val="none"/>
          <w:u w:val="single"/>
        </w:rPr>
      </w:pPr>
      <w:r>
        <w:rPr>
          <w:rFonts w:hint="eastAsia" w:ascii="宋体" w:hAnsi="宋体" w:eastAsia="宋体" w:cs="宋体"/>
          <w:b/>
          <w:color w:val="auto"/>
          <w:sz w:val="24"/>
          <w:szCs w:val="44"/>
          <w:highlight w:val="none"/>
        </w:rPr>
        <w:br w:type="page" w:clear="all"/>
      </w:r>
      <w:bookmarkStart w:id="124" w:name="_Toc12885"/>
      <w:bookmarkStart w:id="125" w:name="_Toc24282"/>
      <w:bookmarkStart w:id="126" w:name="_Toc23712"/>
      <w:bookmarkStart w:id="127" w:name="_Toc30562"/>
      <w:r>
        <w:rPr>
          <w:rFonts w:hint="eastAsia" w:ascii="宋体" w:hAnsi="宋体" w:eastAsia="宋体" w:cs="宋体"/>
          <w:iCs/>
          <w:color w:val="auto"/>
          <w:sz w:val="32"/>
          <w:szCs w:val="32"/>
          <w:highlight w:val="none"/>
          <w:u w:val="single"/>
        </w:rPr>
        <w:t>八、投标函</w:t>
      </w:r>
      <w:bookmarkEnd w:id="124"/>
      <w:bookmarkEnd w:id="125"/>
      <w:bookmarkEnd w:id="126"/>
      <w:bookmarkEnd w:id="127"/>
    </w:p>
    <w:p w14:paraId="024E59CD">
      <w:pPr>
        <w:spacing w:line="420" w:lineRule="exact"/>
        <w:jc w:val="lef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1"/>
          <w:highlight w:val="none"/>
          <w:lang w:eastAsia="zh-CN"/>
        </w:rPr>
        <w:t>连云港市海州区新坝镇人民政府</w:t>
      </w:r>
    </w:p>
    <w:p w14:paraId="09F5803A">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根据贵方的JSZC-***</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rPr>
        <w:t>号招标文件，正式授权下述签字人_________________(姓名)代表我方______________（</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的名称），全权处理本次项目投标的有关事宜。</w:t>
      </w:r>
    </w:p>
    <w:p w14:paraId="2F0836B4">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40EA3512">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1.按招标文件规定的各项要求，向买方提供所需货物（包含与货物相关的服务）。</w:t>
      </w:r>
    </w:p>
    <w:p w14:paraId="0CC16709">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w:t>
      </w:r>
    </w:p>
    <w:p w14:paraId="15F56A86">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6530E98F">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31B0EC40">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10B837FD">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w:t>
      </w:r>
      <w:r>
        <w:rPr>
          <w:rFonts w:hint="eastAsia" w:ascii="宋体" w:hAnsi="宋体" w:eastAsia="宋体" w:cs="宋体"/>
          <w:color w:val="auto"/>
          <w:sz w:val="24"/>
          <w:szCs w:val="21"/>
          <w:highlight w:val="none"/>
          <w:lang w:eastAsia="zh-CN"/>
        </w:rPr>
        <w:t>间内</w:t>
      </w:r>
      <w:r>
        <w:rPr>
          <w:rFonts w:hint="eastAsia" w:ascii="宋体" w:hAnsi="宋体" w:eastAsia="宋体" w:cs="宋体"/>
          <w:color w:val="auto"/>
          <w:sz w:val="24"/>
          <w:szCs w:val="21"/>
          <w:highlight w:val="none"/>
        </w:rPr>
        <w:t>完成项目，交付买方验收、使用。</w:t>
      </w:r>
    </w:p>
    <w:p w14:paraId="15D5BE98">
      <w:pPr>
        <w:spacing w:line="420" w:lineRule="exact"/>
        <w:ind w:left="425"/>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4F4A536B">
      <w:pPr>
        <w:spacing w:line="420" w:lineRule="exact"/>
        <w:ind w:left="420" w:firstLine="480"/>
        <w:jc w:val="left"/>
        <w:rPr>
          <w:rFonts w:hint="eastAsia" w:ascii="宋体" w:hAnsi="宋体" w:eastAsia="宋体" w:cs="宋体"/>
          <w:color w:val="auto"/>
          <w:sz w:val="24"/>
          <w:szCs w:val="21"/>
          <w:highlight w:val="none"/>
        </w:rPr>
      </w:pPr>
    </w:p>
    <w:p w14:paraId="00661BA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76BDC135">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3FC872F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7BBD232F">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4921E07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68F11D3C">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249E4D8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开户行：</w:t>
      </w:r>
    </w:p>
    <w:p w14:paraId="4C61910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3B3F181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期：________年____月____日</w:t>
      </w:r>
    </w:p>
    <w:p w14:paraId="64606AA1">
      <w:pPr>
        <w:spacing w:line="560" w:lineRule="exact"/>
        <w:ind w:firstLine="240"/>
        <w:jc w:val="center"/>
        <w:rPr>
          <w:rFonts w:hint="eastAsia" w:ascii="宋体" w:hAnsi="宋体" w:eastAsia="宋体" w:cs="宋体"/>
          <w:bCs/>
          <w:color w:val="auto"/>
          <w:sz w:val="24"/>
          <w:szCs w:val="21"/>
          <w:highlight w:val="none"/>
        </w:rPr>
      </w:pPr>
    </w:p>
    <w:p w14:paraId="45096B51">
      <w:pPr>
        <w:spacing w:line="560" w:lineRule="exact"/>
        <w:ind w:firstLine="240"/>
        <w:jc w:val="center"/>
        <w:rPr>
          <w:rFonts w:hint="eastAsia" w:ascii="宋体" w:hAnsi="宋体" w:eastAsia="宋体" w:cs="宋体"/>
          <w:bCs/>
          <w:color w:val="auto"/>
          <w:sz w:val="24"/>
          <w:szCs w:val="21"/>
          <w:highlight w:val="none"/>
        </w:rPr>
      </w:pPr>
    </w:p>
    <w:p w14:paraId="1B95D3AD">
      <w:pPr>
        <w:spacing w:line="560" w:lineRule="exact"/>
        <w:rPr>
          <w:rFonts w:hint="eastAsia" w:ascii="宋体" w:hAnsi="宋体" w:eastAsia="宋体" w:cs="宋体"/>
          <w:bCs/>
          <w:color w:val="auto"/>
          <w:sz w:val="24"/>
          <w:szCs w:val="21"/>
          <w:highlight w:val="none"/>
        </w:rPr>
      </w:pPr>
    </w:p>
    <w:p w14:paraId="286071B9">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九、中小企业声明函（货物）</w:t>
      </w:r>
    </w:p>
    <w:p w14:paraId="355FF724">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本公司（联合体）郑重声明，根据《政府采购促进中小企业发展管理办法》(财库[2020]46号)的规定，本公司（联合体）参加采购人组织的</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p>
    <w:p w14:paraId="3DABD6EF">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0BDB23D9">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59EC4D6B">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441755">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C32209A">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E55F5B5">
      <w:pPr>
        <w:spacing w:line="560" w:lineRule="exact"/>
        <w:ind w:right="720"/>
        <w:rPr>
          <w:rFonts w:hint="eastAsia" w:ascii="宋体" w:hAnsi="宋体" w:eastAsia="宋体" w:cs="宋体"/>
          <w:color w:val="auto"/>
          <w:sz w:val="24"/>
          <w:szCs w:val="24"/>
          <w:highlight w:val="none"/>
        </w:rPr>
      </w:pPr>
    </w:p>
    <w:p w14:paraId="18597C9B">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企业名称（加盖公章）：</w:t>
      </w:r>
    </w:p>
    <w:p w14:paraId="6FA8CF1A">
      <w:pPr>
        <w:spacing w:line="560" w:lineRule="exact"/>
        <w:ind w:firstLine="360"/>
        <w:jc w:val="center"/>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1"/>
          <w:highlight w:val="none"/>
        </w:rPr>
        <w:t>________年____月____日</w:t>
      </w:r>
    </w:p>
    <w:p w14:paraId="3B318A60">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4F0C286A">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备注2：请</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如实填写，所填内容须与报价明细表一致，如填写不完整或不一致或填写有误或未提供此声明函，将不享受扶持政策。</w:t>
      </w:r>
    </w:p>
    <w:p w14:paraId="19157AB2">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备注3：中标人的《中小企业声明函》随中标结果公开。</w:t>
      </w:r>
    </w:p>
    <w:p w14:paraId="2B0C555B">
      <w:pPr>
        <w:spacing w:line="460" w:lineRule="exact"/>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p>
    <w:p w14:paraId="7A78BB89">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lang w:eastAsia="zh-CN"/>
        </w:rPr>
        <w:t>〔2017〕141号</w:t>
      </w:r>
      <w:r>
        <w:rPr>
          <w:rFonts w:hint="eastAsia" w:ascii="宋体" w:hAnsi="宋体" w:eastAsia="宋体" w:cs="宋体"/>
          <w:color w:val="auto"/>
          <w:sz w:val="24"/>
          <w:szCs w:val="21"/>
          <w:highlight w:val="none"/>
        </w:rPr>
        <w:t>）的规定，本单位为符合条件的残疾人福利性单位，且本单位参加______单位的招标文件编号为______的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项目（分包号：**）采购活动提供本单位制造的货物，或者提供其他残疾人福利性单位制造的货物（不包括使用非残疾人福利性单位注册商标的货物）。相关企业的具体情况如下：</w:t>
      </w:r>
    </w:p>
    <w:p w14:paraId="257977D8">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 xml:space="preserve">，属于残疾人福利性单位； </w:t>
      </w:r>
    </w:p>
    <w:p w14:paraId="07A4816F">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，属于残疾人福利性单位；</w:t>
      </w:r>
    </w:p>
    <w:p w14:paraId="380C381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p>
    <w:p w14:paraId="5B41A0A3">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148190CD">
      <w:pPr>
        <w:spacing w:line="588" w:lineRule="exact"/>
        <w:ind w:firstLine="480"/>
        <w:rPr>
          <w:rFonts w:hint="eastAsia" w:ascii="宋体" w:hAnsi="宋体" w:eastAsia="宋体" w:cs="宋体"/>
          <w:color w:val="auto"/>
          <w:sz w:val="24"/>
          <w:szCs w:val="21"/>
          <w:highlight w:val="none"/>
        </w:rPr>
      </w:pPr>
    </w:p>
    <w:p w14:paraId="7F96500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（备注：1、请</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如实填写，所填内容须与报价明细表一致，如填写不完整或不一致或填写有误或未提供此声明函，将不享受扶持政策。2、中标人为残疾人福利单位的，此声明函将随中标结果同时公告，接受社会监督）</w:t>
      </w:r>
    </w:p>
    <w:p w14:paraId="68998728">
      <w:pPr>
        <w:spacing w:line="588" w:lineRule="exact"/>
        <w:ind w:firstLine="624"/>
        <w:rPr>
          <w:rFonts w:hint="eastAsia" w:ascii="宋体" w:hAnsi="宋体" w:eastAsia="宋体" w:cs="宋体"/>
          <w:color w:val="auto"/>
          <w:spacing w:val="6"/>
          <w:sz w:val="30"/>
          <w:szCs w:val="30"/>
          <w:highlight w:val="none"/>
        </w:rPr>
      </w:pPr>
    </w:p>
    <w:p w14:paraId="4FAE2E3B">
      <w:pPr>
        <w:tabs>
          <w:tab w:val="left" w:pos="4860"/>
          <w:tab w:val="left" w:pos="8820"/>
        </w:tabs>
        <w:spacing w:line="588" w:lineRule="exact"/>
        <w:ind w:right="-87"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全称（加盖公章）：</w:t>
      </w:r>
    </w:p>
    <w:p w14:paraId="604B069F">
      <w:pPr>
        <w:tabs>
          <w:tab w:val="left" w:pos="4860"/>
        </w:tabs>
        <w:spacing w:line="588" w:lineRule="exact"/>
        <w:ind w:right="1560" w:firstLine="480"/>
        <w:jc w:val="center"/>
        <w:rPr>
          <w:rFonts w:hint="eastAsia" w:ascii="宋体" w:hAnsi="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p>
    <w:p w14:paraId="75142097">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日  期：</w:t>
      </w:r>
      <w:r>
        <w:rPr>
          <w:rFonts w:hint="eastAsia" w:ascii="宋体" w:hAnsi="宋体" w:eastAsia="宋体" w:cs="宋体"/>
          <w:color w:val="auto"/>
          <w:sz w:val="24"/>
          <w:szCs w:val="21"/>
          <w:highlight w:val="none"/>
          <w:lang w:val="en-US" w:eastAsia="zh-CN" w:bidi="ar-SA"/>
        </w:rPr>
        <w:t>________年____月____日</w:t>
      </w:r>
    </w:p>
    <w:p w14:paraId="0E282D77">
      <w:pPr>
        <w:pStyle w:val="307"/>
        <w:rPr>
          <w:rFonts w:hint="eastAsia" w:ascii="宋体" w:hAnsi="宋体" w:eastAsia="宋体" w:cs="宋体"/>
          <w:color w:val="auto"/>
          <w:highlight w:val="none"/>
        </w:rPr>
      </w:pPr>
    </w:p>
    <w:p w14:paraId="601A088E">
      <w:pPr>
        <w:pStyle w:val="307"/>
        <w:rPr>
          <w:rFonts w:hint="eastAsia" w:ascii="宋体" w:hAnsi="宋体" w:eastAsia="宋体" w:cs="宋体"/>
          <w:color w:val="auto"/>
          <w:highlight w:val="none"/>
        </w:rPr>
      </w:pPr>
    </w:p>
    <w:p w14:paraId="4EAF7F53">
      <w:pPr>
        <w:spacing w:line="560" w:lineRule="exact"/>
        <w:jc w:val="center"/>
        <w:rPr>
          <w:rFonts w:hint="eastAsia" w:ascii="宋体" w:hAnsi="宋体" w:eastAsia="宋体" w:cs="宋体"/>
          <w:b/>
          <w:color w:val="auto"/>
          <w:sz w:val="32"/>
          <w:szCs w:val="32"/>
          <w:highlight w:val="none"/>
        </w:rPr>
      </w:pPr>
    </w:p>
    <w:p w14:paraId="6F1F5315">
      <w:pPr>
        <w:spacing w:line="560" w:lineRule="exact"/>
        <w:jc w:val="center"/>
        <w:rPr>
          <w:rFonts w:hint="eastAsia" w:ascii="宋体" w:hAnsi="宋体" w:eastAsia="宋体" w:cs="宋体"/>
          <w:b/>
          <w:color w:val="auto"/>
          <w:sz w:val="32"/>
          <w:szCs w:val="32"/>
          <w:highlight w:val="none"/>
        </w:rPr>
      </w:pPr>
    </w:p>
    <w:p w14:paraId="7D974C0E">
      <w:pPr>
        <w:spacing w:line="560" w:lineRule="exact"/>
        <w:jc w:val="center"/>
        <w:rPr>
          <w:rFonts w:hint="eastAsia" w:ascii="宋体" w:hAnsi="宋体" w:eastAsia="宋体" w:cs="宋体"/>
          <w:b/>
          <w:color w:val="auto"/>
          <w:sz w:val="32"/>
          <w:szCs w:val="32"/>
          <w:highlight w:val="none"/>
        </w:rPr>
      </w:pPr>
    </w:p>
    <w:p w14:paraId="1CA5034C">
      <w:pPr>
        <w:spacing w:line="560" w:lineRule="exact"/>
        <w:jc w:val="center"/>
        <w:rPr>
          <w:rFonts w:hint="eastAsia" w:ascii="宋体" w:hAnsi="宋体" w:eastAsia="宋体" w:cs="宋体"/>
          <w:b/>
          <w:color w:val="auto"/>
          <w:sz w:val="32"/>
          <w:szCs w:val="32"/>
          <w:highlight w:val="none"/>
        </w:rPr>
      </w:pPr>
    </w:p>
    <w:p w14:paraId="10E8DBC4">
      <w:pPr>
        <w:spacing w:line="460" w:lineRule="exact"/>
        <w:rPr>
          <w:rFonts w:hint="eastAsia" w:ascii="宋体" w:hAnsi="宋体" w:eastAsia="宋体" w:cs="宋体"/>
          <w:bCs/>
          <w:color w:val="auto"/>
          <w:sz w:val="24"/>
          <w:szCs w:val="21"/>
          <w:highlight w:val="none"/>
        </w:rPr>
      </w:pPr>
    </w:p>
    <w:p w14:paraId="0FE0D434">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十一、投标分项报价表</w:t>
      </w:r>
    </w:p>
    <w:p w14:paraId="48E28A20">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投标分项报价表</w:t>
      </w:r>
    </w:p>
    <w:p w14:paraId="50F75DF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      项目编号：      分包号：</w:t>
      </w:r>
    </w:p>
    <w:p w14:paraId="09A53B70">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单位：元</w:t>
      </w:r>
    </w:p>
    <w:tbl>
      <w:tblPr>
        <w:tblStyle w:val="3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915"/>
        <w:gridCol w:w="945"/>
        <w:gridCol w:w="735"/>
        <w:gridCol w:w="705"/>
        <w:gridCol w:w="750"/>
        <w:gridCol w:w="980"/>
      </w:tblGrid>
      <w:tr w14:paraId="69CD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6F7EA06C">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205" w:type="dxa"/>
            <w:noWrap w:val="0"/>
            <w:vAlign w:val="center"/>
          </w:tcPr>
          <w:p w14:paraId="03EFF79D">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货物（标的）名称</w:t>
            </w:r>
          </w:p>
        </w:tc>
        <w:tc>
          <w:tcPr>
            <w:tcW w:w="663" w:type="dxa"/>
            <w:noWrap w:val="0"/>
            <w:vAlign w:val="center"/>
          </w:tcPr>
          <w:p w14:paraId="245FFC08">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品牌</w:t>
            </w:r>
          </w:p>
        </w:tc>
        <w:tc>
          <w:tcPr>
            <w:tcW w:w="1100" w:type="dxa"/>
            <w:noWrap w:val="0"/>
            <w:vAlign w:val="center"/>
          </w:tcPr>
          <w:p w14:paraId="033FE07B">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是否符合本国产品标准</w:t>
            </w:r>
          </w:p>
        </w:tc>
        <w:tc>
          <w:tcPr>
            <w:tcW w:w="780" w:type="dxa"/>
            <w:noWrap w:val="0"/>
            <w:vAlign w:val="center"/>
          </w:tcPr>
          <w:p w14:paraId="725CEB88">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915" w:type="dxa"/>
            <w:noWrap w:val="0"/>
            <w:vAlign w:val="center"/>
          </w:tcPr>
          <w:p w14:paraId="0C8B634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制造商</w:t>
            </w:r>
          </w:p>
        </w:tc>
        <w:tc>
          <w:tcPr>
            <w:tcW w:w="945" w:type="dxa"/>
            <w:noWrap w:val="0"/>
            <w:vAlign w:val="center"/>
          </w:tcPr>
          <w:p w14:paraId="1F2A00FC">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制造商企业类型</w:t>
            </w:r>
          </w:p>
        </w:tc>
        <w:tc>
          <w:tcPr>
            <w:tcW w:w="735" w:type="dxa"/>
            <w:noWrap w:val="0"/>
            <w:vAlign w:val="center"/>
          </w:tcPr>
          <w:p w14:paraId="2FFC580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705" w:type="dxa"/>
            <w:noWrap w:val="0"/>
            <w:vAlign w:val="center"/>
          </w:tcPr>
          <w:p w14:paraId="62A9430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750" w:type="dxa"/>
            <w:noWrap w:val="0"/>
            <w:vAlign w:val="center"/>
          </w:tcPr>
          <w:p w14:paraId="135643C7">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计量单位</w:t>
            </w:r>
          </w:p>
        </w:tc>
        <w:tc>
          <w:tcPr>
            <w:tcW w:w="980" w:type="dxa"/>
            <w:noWrap w:val="0"/>
            <w:vAlign w:val="center"/>
          </w:tcPr>
          <w:p w14:paraId="4E7A91E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单项合计价</w:t>
            </w:r>
          </w:p>
        </w:tc>
      </w:tr>
      <w:tr w14:paraId="0D68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066CD08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5" w:type="dxa"/>
            <w:noWrap/>
            <w:vAlign w:val="center"/>
          </w:tcPr>
          <w:p w14:paraId="41070BC0">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1DFC7FC7">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5366F6C0">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42ECE91E">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77876ECA">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362070A">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09F31E42">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77F4F292">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25244A69">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4C81B5D0">
            <w:pPr>
              <w:widowControl/>
              <w:spacing w:line="360" w:lineRule="auto"/>
              <w:rPr>
                <w:rFonts w:hint="eastAsia" w:ascii="宋体" w:hAnsi="宋体" w:eastAsia="宋体" w:cs="宋体"/>
                <w:color w:val="auto"/>
                <w:sz w:val="24"/>
                <w:szCs w:val="24"/>
                <w:highlight w:val="none"/>
              </w:rPr>
            </w:pPr>
          </w:p>
        </w:tc>
      </w:tr>
      <w:tr w14:paraId="2DFB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47B4936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05" w:type="dxa"/>
            <w:noWrap/>
            <w:vAlign w:val="center"/>
          </w:tcPr>
          <w:p w14:paraId="4E2EC26A">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218949B8">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76759599">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720406DF">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400B95CF">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7B3EC6A5">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06C15F48">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697FE404">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4208FC65">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7D45F9A5">
            <w:pPr>
              <w:widowControl/>
              <w:spacing w:line="360" w:lineRule="auto"/>
              <w:rPr>
                <w:rFonts w:hint="eastAsia" w:ascii="宋体" w:hAnsi="宋体" w:eastAsia="宋体" w:cs="宋体"/>
                <w:color w:val="auto"/>
                <w:sz w:val="24"/>
                <w:szCs w:val="24"/>
                <w:highlight w:val="none"/>
              </w:rPr>
            </w:pPr>
          </w:p>
        </w:tc>
      </w:tr>
      <w:tr w14:paraId="7D4AD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221497B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05" w:type="dxa"/>
            <w:noWrap/>
            <w:vAlign w:val="center"/>
          </w:tcPr>
          <w:p w14:paraId="6D723ED1">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3B815D4A">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3E145E94">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33B8D31E">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37845E6C">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4822F45">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1640145E">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3C2062A6">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74BED3F2">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15801A7A">
            <w:pPr>
              <w:widowControl/>
              <w:spacing w:line="360" w:lineRule="auto"/>
              <w:rPr>
                <w:rFonts w:hint="eastAsia" w:ascii="宋体" w:hAnsi="宋体" w:eastAsia="宋体" w:cs="宋体"/>
                <w:color w:val="auto"/>
                <w:sz w:val="24"/>
                <w:szCs w:val="24"/>
                <w:highlight w:val="none"/>
              </w:rPr>
            </w:pPr>
          </w:p>
        </w:tc>
      </w:tr>
      <w:tr w14:paraId="5C59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3BA0403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05" w:type="dxa"/>
            <w:noWrap/>
            <w:vAlign w:val="center"/>
          </w:tcPr>
          <w:p w14:paraId="03C36840">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7FC6405E">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57E8C61E">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05974949">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2FE0251D">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3BFCD7E">
            <w:pPr>
              <w:widowControl/>
              <w:spacing w:line="360" w:lineRule="auto"/>
              <w:rPr>
                <w:rFonts w:hint="eastAsia" w:ascii="宋体" w:hAnsi="宋体" w:eastAsia="宋体" w:cs="宋体"/>
                <w:color w:val="auto"/>
                <w:sz w:val="24"/>
                <w:szCs w:val="24"/>
                <w:highlight w:val="none"/>
              </w:rPr>
            </w:pPr>
          </w:p>
        </w:tc>
        <w:tc>
          <w:tcPr>
            <w:tcW w:w="735" w:type="dxa"/>
            <w:noWrap/>
            <w:vAlign w:val="center"/>
          </w:tcPr>
          <w:p w14:paraId="07E0BA9C">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66DED1F2">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5E42B01B">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65BEC88F">
            <w:pPr>
              <w:widowControl/>
              <w:spacing w:line="360" w:lineRule="auto"/>
              <w:rPr>
                <w:rFonts w:hint="eastAsia" w:ascii="宋体" w:hAnsi="宋体" w:eastAsia="宋体" w:cs="宋体"/>
                <w:color w:val="auto"/>
                <w:sz w:val="24"/>
                <w:szCs w:val="24"/>
                <w:highlight w:val="none"/>
              </w:rPr>
            </w:pPr>
          </w:p>
        </w:tc>
      </w:tr>
      <w:tr w14:paraId="2A116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69" w:type="dxa"/>
            <w:gridSpan w:val="5"/>
            <w:noWrap/>
            <w:vAlign w:val="center"/>
          </w:tcPr>
          <w:p w14:paraId="65B3B66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总计（元）</w:t>
            </w:r>
          </w:p>
        </w:tc>
        <w:tc>
          <w:tcPr>
            <w:tcW w:w="5030" w:type="dxa"/>
            <w:gridSpan w:val="6"/>
            <w:noWrap w:val="0"/>
            <w:vAlign w:val="center"/>
          </w:tcPr>
          <w:p w14:paraId="3EE6D588">
            <w:pPr>
              <w:widowControl/>
              <w:spacing w:line="360" w:lineRule="auto"/>
              <w:rPr>
                <w:rFonts w:hint="eastAsia" w:ascii="宋体" w:hAnsi="宋体" w:eastAsia="宋体" w:cs="宋体"/>
                <w:color w:val="auto"/>
                <w:sz w:val="24"/>
                <w:szCs w:val="24"/>
                <w:highlight w:val="none"/>
              </w:rPr>
            </w:pPr>
          </w:p>
        </w:tc>
      </w:tr>
      <w:tr w14:paraId="474F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1"/>
            <w:noWrap/>
            <w:vAlign w:val="center"/>
          </w:tcPr>
          <w:p w14:paraId="4221D30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该部分供应商填写）</w:t>
            </w:r>
          </w:p>
        </w:tc>
      </w:tr>
    </w:tbl>
    <w:p w14:paraId="03938D6D">
      <w:pPr>
        <w:spacing w:line="360" w:lineRule="auto"/>
        <w:rPr>
          <w:rFonts w:hint="eastAsia" w:ascii="宋体" w:hAnsi="宋体" w:eastAsia="宋体" w:cs="宋体"/>
          <w:color w:val="auto"/>
          <w:sz w:val="24"/>
          <w:szCs w:val="24"/>
          <w:highlight w:val="none"/>
        </w:rPr>
      </w:pPr>
    </w:p>
    <w:p w14:paraId="59863502">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备注：1.投标报价</w:t>
      </w:r>
      <w:r>
        <w:rPr>
          <w:rFonts w:hint="eastAsia" w:ascii="宋体" w:hAnsi="宋体" w:eastAsia="宋体" w:cs="宋体"/>
          <w:color w:val="auto"/>
          <w:sz w:val="24"/>
          <w:szCs w:val="21"/>
          <w:highlight w:val="none"/>
        </w:rPr>
        <w:t>采用总包方式，“投标总报价”应涵盖采购人在招标文件中所要求的所有工作内容。包含了</w:t>
      </w:r>
      <w:r>
        <w:rPr>
          <w:rFonts w:hint="eastAsia" w:ascii="宋体" w:hAnsi="宋体" w:eastAsia="宋体" w:cs="宋体"/>
          <w:color w:val="auto"/>
          <w:sz w:val="24"/>
          <w:szCs w:val="24"/>
          <w:highlight w:val="none"/>
        </w:rPr>
        <w:t>全部设备、材料备品备件、包装费、运杂费（运抵现场）、卸货费、现场保管费、运输保险费、成品保护费、</w:t>
      </w:r>
      <w:r>
        <w:rPr>
          <w:rFonts w:hint="eastAsia" w:ascii="宋体" w:hAnsi="宋体" w:cs="宋体"/>
          <w:color w:val="auto"/>
          <w:sz w:val="24"/>
          <w:szCs w:val="24"/>
          <w:highlight w:val="none"/>
          <w:lang w:val="en-US" w:eastAsia="zh-CN"/>
        </w:rPr>
        <w:t>检测费、</w:t>
      </w:r>
      <w:r>
        <w:rPr>
          <w:rFonts w:hint="eastAsia" w:ascii="宋体" w:hAnsi="宋体" w:eastAsia="宋体" w:cs="宋体"/>
          <w:color w:val="auto"/>
          <w:sz w:val="24"/>
          <w:szCs w:val="24"/>
          <w:highlight w:val="none"/>
        </w:rPr>
        <w:t>调试费、项目集成及数据迁移服务、售后服务、各项有关规费和政策性规定费用及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确认为需要的其它费用等，直至交付至采购人使用时所需要的各种费用。</w:t>
      </w:r>
    </w:p>
    <w:p w14:paraId="13B53A2B">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投标分项报价表</w:t>
      </w:r>
      <w:r>
        <w:rPr>
          <w:rFonts w:hint="eastAsia" w:ascii="宋体" w:hAnsi="宋体" w:eastAsia="宋体" w:cs="宋体"/>
          <w:color w:val="auto"/>
          <w:szCs w:val="21"/>
          <w:highlight w:val="none"/>
        </w:rPr>
        <w:t>”</w:t>
      </w:r>
      <w:r>
        <w:rPr>
          <w:rFonts w:hint="eastAsia" w:ascii="宋体" w:hAnsi="宋体" w:eastAsia="宋体" w:cs="宋体"/>
          <w:color w:val="auto"/>
          <w:sz w:val="24"/>
          <w:szCs w:val="21"/>
          <w:highlight w:val="none"/>
        </w:rPr>
        <w:t>中“投标总报价”数额应当与“开标一览表”中“投标总报价”数额一致。</w:t>
      </w:r>
    </w:p>
    <w:p w14:paraId="004B660D">
      <w:pPr>
        <w:pStyle w:val="307"/>
        <w:spacing w:line="360" w:lineRule="auto"/>
        <w:rPr>
          <w:rFonts w:hint="eastAsia" w:ascii="宋体" w:hAnsi="宋体" w:eastAsia="宋体" w:cs="宋体"/>
          <w:color w:val="auto"/>
          <w:highlight w:val="none"/>
        </w:rPr>
      </w:pPr>
    </w:p>
    <w:p w14:paraId="731ED5E3">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11D3E8C1">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23D6724B">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17A3B2AD">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二</w:t>
      </w:r>
      <w:r>
        <w:rPr>
          <w:rFonts w:hint="eastAsia" w:ascii="宋体" w:hAnsi="宋体" w:eastAsia="宋体" w:cs="宋体"/>
          <w:iCs/>
          <w:color w:val="auto"/>
          <w:sz w:val="32"/>
          <w:szCs w:val="32"/>
          <w:highlight w:val="none"/>
          <w:u w:val="single"/>
        </w:rPr>
        <w:t>、关于符合本国产品标准的声明函</w:t>
      </w:r>
    </w:p>
    <w:p w14:paraId="7C3D2A76">
      <w:pPr>
        <w:spacing w:before="0" w:beforeAutospacing="0" w:after="0" w:afterAutospacing="0" w:line="360" w:lineRule="auto"/>
        <w:ind w:firstLine="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F6C99B2">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6" name="AutoShape 4"/>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rot="0">
                        <a:noAutofit/>
                      </wps:bodyPr>
                    </wps:wsp>
                  </a:graphicData>
                </a:graphic>
              </wp:anchor>
            </w:drawing>
          </mc:Choice>
          <mc:Fallback>
            <w:pict>
              <v:shape id="AutoShape 4" o:spid="_x0000_s1026" o:spt="32" type="#_x0000_t32" style="position:absolute;left:0pt;flip:y;margin-left:336.45pt;margin-top:33.7pt;height:8.15pt;width:64.3pt;z-index:251661312;mso-width-relative:page;mso-height-relative:page;" filled="f" stroked="t" coordsize="21600,21600" o:gfxdata="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Gnzm71wAAAAkBAAAPAAAAAAAAAAEAIAAA&#10;ACIAAABkcnMvZG93bnJldi54bWxQSwECFAAUAAAACACHTuJAB+Pdi9QBAACxAwAADgAAAAAAAAAB&#10;ACAAAAAm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635" t="4445" r="1905" b="14605"/>
                <wp:wrapNone/>
                <wp:docPr id="47" name="AutoShape 5"/>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rot="0">
                        <a:noAutofit/>
                      </wps:bodyPr>
                    </wps:wsp>
                  </a:graphicData>
                </a:graphic>
              </wp:anchor>
            </w:drawing>
          </mc:Choice>
          <mc:Fallback>
            <w:pict>
              <v:shape id="AutoShape 5" o:spid="_x0000_s1026" o:spt="32" type="#_x0000_t32" style="position:absolute;left:0pt;flip:y;margin-left:248.3pt;margin-top:34.25pt;height:6pt;width:64.3pt;z-index:251660288;mso-width-relative:page;mso-height-relative:page;" filled="f" stroked="t" coordsize="21600,21600" o:gfxdata="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dc5CQNcAAAAJAQAADwAAAAAAAAABACAAAAAi&#10;AAAAZHJzL2Rvd25yZXYueG1sUEsBAhQAFAAAAAgAh07iQOo42Gf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48" name="AutoShape 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rot="0">
                        <a:noAutofit/>
                      </wps:bodyPr>
                    </wps:wsp>
                  </a:graphicData>
                </a:graphic>
              </wp:anchor>
            </w:drawing>
          </mc:Choice>
          <mc:Fallback>
            <w:pict>
              <v:shape id="AutoShape 6" o:spid="_x0000_s1026" o:spt="32" type="#_x0000_t32" style="position:absolute;left:0pt;flip:y;margin-left:166.55pt;margin-top:30.5pt;height:10.3pt;width:44.55pt;z-index:251670528;mso-width-relative:page;mso-height-relative:page;" filled="f" stroked="t" coordsize="21600,21600" o:gfxdata="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ti2vv1gAAAAkBAAAPAAAAAAAAAAEAIAAA&#10;ACIAAABkcnMvZG93bnJldi54bWxQSwECFAAUAAAACACHTuJAJZiWKdUBAACx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9" name="AutoShape 9"/>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rot="0">
                        <a:noAutofit/>
                      </wps:bodyPr>
                    </wps:wsp>
                  </a:graphicData>
                </a:graphic>
              </wp:anchor>
            </w:drawing>
          </mc:Choice>
          <mc:Fallback>
            <w:pict>
              <v:shape id="AutoShape 9" o:spid="_x0000_s1026" o:spt="32" type="#_x0000_t32" style="position:absolute;left:0pt;flip:y;margin-left:123.15pt;margin-top:58.35pt;height:9.45pt;width:69pt;z-index:251662336;mso-width-relative:page;mso-height-relative:page;" filled="f" stroked="t" coordsize="21600,21600" o:gfxdata="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LBoLh2AAAAAsBAAAPAAAAAAAAAAEAIAAA&#10;ACIAAABkcnMvZG93bnJldi54bWxQSwECFAAUAAAACACHTuJA0bca09MBAACxAwAADgAAAAAAAAAB&#10;ACAAAAAn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0" name="AutoShape 7"/>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rot="0">
                        <a:noAutofit/>
                      </wps:bodyPr>
                    </wps:wsp>
                  </a:graphicData>
                </a:graphic>
              </wp:anchor>
            </w:drawing>
          </mc:Choice>
          <mc:Fallback>
            <w:pict>
              <v:shape id="AutoShape 7" o:spid="_x0000_s1026" o:spt="32" type="#_x0000_t32" style="position:absolute;left:0pt;flip:y;margin-left:54.8pt;margin-top:58.15pt;height:7.7pt;width:28.7pt;z-index:251668480;mso-width-relative:page;mso-height-relative:page;" filled="f" stroked="t" coordsize="21600,21600" o:gfxdata="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54QHwtcAAAALAQAADwAAAAAAAAABACAAAAAi&#10;AAAAZHJzL2Rvd25yZXYueG1sUEsBAhQAFAAAAAgAh07iQFJMCkr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51" name="AutoShape 8"/>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rot="0">
                        <a:noAutofit/>
                      </wps:bodyPr>
                    </wps:wsp>
                  </a:graphicData>
                </a:graphic>
              </wp:anchor>
            </w:drawing>
          </mc:Choice>
          <mc:Fallback>
            <w:pict>
              <v:shape id="AutoShape 8" o:spid="_x0000_s1026" o:spt="32" type="#_x0000_t32" style="position:absolute;left:0pt;flip:y;margin-left:381.35pt;margin-top:9.1pt;height:7.25pt;width:45.45pt;z-index:251667456;mso-width-relative:page;mso-height-relative:page;" filled="f" stroked="t" coordsize="21600,21600" o:gfxdata="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DSVhT1gAAAAkBAAAPAAAAAAAAAAEAIAAAACIA&#10;AABkcnMvZG93bnJldi54bWxQSwECFAAUAAAACACHTuJAnscWRtIBAACwAwAADgAAAAAAAAABACAA&#10;AAAlAQAAZHJzL2Uyb0RvYy54bWxQSwUGAAAAAAYABgBZAQAAa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3DEC2066">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52" name="AutoShape 17"/>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rot="0">
                        <a:noAutofit/>
                      </wps:bodyPr>
                    </wps:wsp>
                  </a:graphicData>
                </a:graphic>
              </wp:anchor>
            </w:drawing>
          </mc:Choice>
          <mc:Fallback>
            <w:pict>
              <v:shape id="AutoShape 17" o:spid="_x0000_s1026" o:spt="32" type="#_x0000_t32" style="position:absolute;left:0pt;flip:y;margin-left:371.2pt;margin-top:6.2pt;height:7.7pt;width:56.55pt;z-index:251671552;mso-width-relative:page;mso-height-relative:page;" filled="f" stroked="t" coordsize="21600,21600" o:gfxdata="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fKKjXNcAAAAJAQAADwAAAAAAAAABACAA&#10;AAAiAAAAZHJzL2Rvd25yZXYueG1sUEsBAhQAFAAAAAgAh07iQNu0/PLVAQAAsQMAAA4AAAAAAAAA&#10;AQAgAAAAJgEAAGRycy9lMm9Eb2MueG1sUEsFBgAAAAAGAAYAWQEAAG0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53" name="AutoShape 11"/>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rot="0">
                        <a:noAutofit/>
                      </wps:bodyPr>
                    </wps:wsp>
                  </a:graphicData>
                </a:graphic>
              </wp:anchor>
            </w:drawing>
          </mc:Choice>
          <mc:Fallback>
            <w:pict>
              <v:shape id="AutoShape 11" o:spid="_x0000_s1026" o:spt="32" type="#_x0000_t32" style="position:absolute;left:0pt;flip:y;margin-left:95.3pt;margin-top:53.05pt;height:11.1pt;width:71.55pt;z-index:251665408;mso-width-relative:page;mso-height-relative:page;" filled="f" stroked="t" coordsize="21600,21600" o:gfxdata="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DO0bE2AAAAAsBAAAPAAAAAAAAAAEA&#10;IAAAACIAAABkcnMvZG93bnJldi54bWxQSwECFAAUAAAACACHTuJAXVYbktYBAACyAwAADgAAAAAA&#10;AAABACAAAAAnAQAAZHJzL2Uyb0RvYy54bWxQSwUGAAAAAAYABgBZAQAAbw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54" name="AutoShape 10"/>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rot="0">
                        <a:noAutofit/>
                      </wps:bodyPr>
                    </wps:wsp>
                  </a:graphicData>
                </a:graphic>
              </wp:anchor>
            </w:drawing>
          </mc:Choice>
          <mc:Fallback>
            <w:pict>
              <v:shape id="AutoShape 10" o:spid="_x0000_s1026" o:spt="32" type="#_x0000_t32" style="position:absolute;left:0pt;flip:y;margin-left:9.7pt;margin-top:54.55pt;height:8.1pt;width:64.7pt;z-index:251666432;mso-width-relative:page;mso-height-relative:page;" filled="f" stroked="t" coordsize="21600,21600" o:gfxdata="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d2rtHXAAAACgEAAA8AAAAAAAAAAQAg&#10;AAAAIgAAAGRycy9kb3ducmV2LnhtbFBLAQIUABQAAAAIAIdO4kBHYXXW1gEAALIDAAAOAAAAAAAA&#10;AAEAIAAAACY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55" name="AutoShape 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rot="0">
                        <a:noAutofit/>
                      </wps:bodyPr>
                    </wps:wsp>
                  </a:graphicData>
                </a:graphic>
              </wp:anchor>
            </w:drawing>
          </mc:Choice>
          <mc:Fallback>
            <w:pict>
              <v:shape id="AutoShape 2" o:spid="_x0000_s1026" o:spt="32" type="#_x0000_t32" style="position:absolute;left:0pt;flip:y;margin-left:135.35pt;margin-top:25.55pt;height:11.6pt;width:64.3pt;z-index:251669504;mso-width-relative:page;mso-height-relative:page;" filled="f" stroked="t" coordsize="21600,21600" o:gfxdata="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3y+D/YAAAACQEAAA8AAAAAAAAAAQAg&#10;AAAAIgAAAGRycy9kb3ducmV2LnhtbFBLAQIUABQAAAAIAIdO4kAojAkb1QEAALEDAAAOAAAAAAAA&#10;AAEAIAAAACc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56" name="AutoShape 1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rot="0">
                        <a:noAutofit/>
                      </wps:bodyPr>
                    </wps:wsp>
                  </a:graphicData>
                </a:graphic>
              </wp:anchor>
            </w:drawing>
          </mc:Choice>
          <mc:Fallback>
            <w:pict>
              <v:shape id="AutoShape 12" o:spid="_x0000_s1026" o:spt="32" type="#_x0000_t32" style="position:absolute;left:0pt;flip:y;margin-left:204.15pt;margin-top:29.65pt;height:9.9pt;width:66.45pt;z-index:251663360;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n7THNgAAAAJAQAADwAAAAAAAAAB&#10;ACAAAAAiAAAAZHJzL2Rvd25yZXYueG1sUEsBAhQAFAAAAAgAh07iQFHHZRvXAQAAsgMAAA4AAAAA&#10;AAAAAQAgAAAAJwEAAGRycy9lMm9Eb2MueG1sUEsFBgAAAAAGAAYAWQEAAHA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57" name="AutoShape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rot="0">
                        <a:noAutofit/>
                      </wps:bodyPr>
                    </wps:wsp>
                  </a:graphicData>
                </a:graphic>
              </wp:anchor>
            </w:drawing>
          </mc:Choice>
          <mc:Fallback>
            <w:pict>
              <v:shape id="AutoShape 13" o:spid="_x0000_s1026" o:spt="32" type="#_x0000_t32" style="position:absolute;left:0pt;flip:y;margin-left:289.95pt;margin-top:29.35pt;height:9.45pt;width:66.9pt;z-index:251664384;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pVDkH1gAAAAkBAAAPAAAAAAAAAAEAIAAA&#10;ACIAAABkcnMvZG93bnJldi54bWxQSwECFAAUAAAACACHTuJAYq4PgtUBAACy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8" name="AutoShape 14"/>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rot="0">
                        <a:noAutofit/>
                      </wps:bodyPr>
                    </wps:wsp>
                  </a:graphicData>
                </a:graphic>
              </wp:anchor>
            </w:drawing>
          </mc:Choice>
          <mc:Fallback>
            <w:pict>
              <v:shape id="AutoShape 14" o:spid="_x0000_s1026" o:spt="32" type="#_x0000_t32" style="position:absolute;left:0pt;flip:y;margin-left:376.45pt;margin-top:21.4pt;height:11.6pt;width:36.4pt;z-index:25167257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PRW+TXAAAACQEAAA8AAAAAAAAAAQAg&#10;AAAAIgAAAGRycy9kb3ducmV2LnhtbFBLAQIUABQAAAAIAIdO4kA9vj6C1gEAALIDAAAOAAAAAAAA&#10;AAEAIAAAACYBAABkcnMvZTJvRG9jLnhtbFBLBQYAAAAABgAGAFkBAABu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425E384E">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2D04DC07">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2FD2FD77">
      <w:pPr>
        <w:widowControl w:val="0"/>
        <w:spacing w:before="30" w:beforeAutospacing="0" w:after="30" w:afterAutospacing="0" w:line="360" w:lineRule="auto"/>
        <w:jc w:val="left"/>
        <w:rPr>
          <w:rFonts w:hint="default" w:ascii="宋体" w:hAnsi="宋体" w:eastAsia="宋体" w:cs="宋体"/>
          <w:color w:val="auto"/>
          <w:sz w:val="24"/>
          <w:szCs w:val="24"/>
          <w:highlight w:val="none"/>
          <w:lang w:val="en-US" w:eastAsia="zh-CN" w:bidi="ar-SA"/>
        </w:rPr>
      </w:pPr>
    </w:p>
    <w:p w14:paraId="6A66C660">
      <w:pPr>
        <w:widowControl w:val="0"/>
        <w:spacing w:before="30" w:beforeAutospacing="0" w:after="30" w:afterAutospacing="0" w:line="360" w:lineRule="auto"/>
        <w:ind w:right="480" w:firstLine="4728"/>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日期：　   年　  月　  日         </w:t>
      </w:r>
    </w:p>
    <w:p w14:paraId="68F541FD">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6BAA0D0A">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3F9F4687">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4A74F307">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6A224B2C">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37626F1E">
      <w:pPr>
        <w:keepNext w:val="0"/>
        <w:keepLines w:val="0"/>
        <w:pageBreakBefore w:val="0"/>
        <w:spacing w:line="360" w:lineRule="auto"/>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615A667B">
      <w:pPr>
        <w:keepNext w:val="0"/>
        <w:keepLines w:val="0"/>
        <w:pageBreakBefore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7.请供应商如实填写，如填写有误，将承担一切不利后果。</w:t>
      </w:r>
    </w:p>
    <w:p w14:paraId="74AADCC6">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8.供应商提供虚假《声明函》、虚假证明文件谋取中标的，依照《中华人民共和国政府采购法》等法律法规规定追究相应责任。</w:t>
      </w:r>
    </w:p>
    <w:p w14:paraId="776CC4CD">
      <w:pPr>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9.</w:t>
      </w:r>
      <w:r>
        <w:rPr>
          <w:rFonts w:hint="eastAsia" w:ascii="宋体" w:hAnsi="宋体" w:eastAsia="宋体" w:cs="宋体"/>
          <w:color w:val="auto"/>
          <w:sz w:val="24"/>
          <w:szCs w:val="24"/>
          <w:highlight w:val="none"/>
          <w:lang w:val="en-US" w:eastAsia="zh-CN" w:bidi="ar-SA"/>
        </w:rPr>
        <w:t>中标人的</w:t>
      </w:r>
      <w:r>
        <w:rPr>
          <w:rFonts w:hint="eastAsia" w:ascii="宋体" w:hAnsi="宋体" w:eastAsia="宋体" w:cs="宋体"/>
          <w:color w:val="auto"/>
          <w:sz w:val="24"/>
          <w:szCs w:val="24"/>
          <w:highlight w:val="none"/>
          <w:shd w:val="clear" w:color="auto" w:fill="FFFFFF"/>
          <w:lang w:val="en-US" w:eastAsia="zh-CN" w:bidi="ar-SA"/>
        </w:rPr>
        <w:t>《声明函》或有关证明文件</w:t>
      </w:r>
      <w:r>
        <w:rPr>
          <w:rFonts w:hint="eastAsia" w:ascii="宋体" w:hAnsi="宋体" w:eastAsia="宋体" w:cs="宋体"/>
          <w:color w:val="auto"/>
          <w:sz w:val="24"/>
          <w:szCs w:val="24"/>
          <w:highlight w:val="none"/>
          <w:lang w:val="en-US" w:eastAsia="zh-CN" w:bidi="ar-SA"/>
        </w:rPr>
        <w:t>随中标结果公开，接受社会监督</w:t>
      </w:r>
    </w:p>
    <w:p w14:paraId="3CEF4423">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三</w:t>
      </w:r>
      <w:r>
        <w:rPr>
          <w:rFonts w:hint="eastAsia" w:ascii="宋体" w:hAnsi="宋体" w:eastAsia="宋体" w:cs="宋体"/>
          <w:iCs/>
          <w:color w:val="auto"/>
          <w:sz w:val="32"/>
          <w:szCs w:val="32"/>
          <w:highlight w:val="none"/>
          <w:u w:val="single"/>
        </w:rPr>
        <w:t>、技术要求响应及偏离表</w:t>
      </w:r>
    </w:p>
    <w:p w14:paraId="6AA57A0D">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按所响应产品的实际技术参数，逐条对应招标文件“项目需求”中要求的技术规范填写该表，该表不能作为所投标产品的技术文件，</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应在投标文件中单独提供技术文件。</w:t>
      </w:r>
    </w:p>
    <w:tbl>
      <w:tblPr>
        <w:tblStyle w:val="36"/>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DDE4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BE14CA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19FFBC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069211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60318F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1F0615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04771D6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0913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75FDD88">
            <w:pPr>
              <w:spacing w:line="360" w:lineRule="auto"/>
              <w:jc w:val="center"/>
              <w:rPr>
                <w:rFonts w:hint="eastAsia" w:ascii="宋体" w:hAnsi="宋体" w:eastAsia="宋体" w:cs="宋体"/>
                <w:color w:val="auto"/>
                <w:sz w:val="24"/>
                <w:szCs w:val="24"/>
                <w:highlight w:val="none"/>
              </w:rPr>
            </w:pPr>
          </w:p>
        </w:tc>
        <w:tc>
          <w:tcPr>
            <w:tcW w:w="3291" w:type="dxa"/>
            <w:noWrap w:val="0"/>
          </w:tcPr>
          <w:p w14:paraId="6E7172BA">
            <w:pPr>
              <w:spacing w:line="360" w:lineRule="auto"/>
              <w:jc w:val="center"/>
              <w:rPr>
                <w:rFonts w:hint="eastAsia" w:ascii="宋体" w:hAnsi="宋体" w:eastAsia="宋体" w:cs="宋体"/>
                <w:color w:val="auto"/>
                <w:sz w:val="24"/>
                <w:szCs w:val="24"/>
                <w:highlight w:val="none"/>
              </w:rPr>
            </w:pPr>
          </w:p>
        </w:tc>
        <w:tc>
          <w:tcPr>
            <w:tcW w:w="2852" w:type="dxa"/>
            <w:noWrap w:val="0"/>
          </w:tcPr>
          <w:p w14:paraId="3B8096C3">
            <w:pPr>
              <w:spacing w:line="360" w:lineRule="auto"/>
              <w:jc w:val="center"/>
              <w:rPr>
                <w:rFonts w:hint="eastAsia" w:ascii="宋体" w:hAnsi="宋体" w:eastAsia="宋体" w:cs="宋体"/>
                <w:color w:val="auto"/>
                <w:sz w:val="24"/>
                <w:szCs w:val="24"/>
                <w:highlight w:val="none"/>
              </w:rPr>
            </w:pPr>
          </w:p>
        </w:tc>
        <w:tc>
          <w:tcPr>
            <w:tcW w:w="1308" w:type="dxa"/>
            <w:noWrap w:val="0"/>
          </w:tcPr>
          <w:p w14:paraId="5F5455E6">
            <w:pPr>
              <w:spacing w:line="360" w:lineRule="auto"/>
              <w:jc w:val="center"/>
              <w:rPr>
                <w:rFonts w:hint="eastAsia" w:ascii="宋体" w:hAnsi="宋体" w:eastAsia="宋体" w:cs="宋体"/>
                <w:color w:val="auto"/>
                <w:sz w:val="24"/>
                <w:szCs w:val="24"/>
                <w:highlight w:val="none"/>
              </w:rPr>
            </w:pPr>
          </w:p>
        </w:tc>
        <w:tc>
          <w:tcPr>
            <w:tcW w:w="1173" w:type="dxa"/>
            <w:noWrap w:val="0"/>
          </w:tcPr>
          <w:p w14:paraId="2A76912C">
            <w:pPr>
              <w:spacing w:line="360" w:lineRule="auto"/>
              <w:jc w:val="center"/>
              <w:rPr>
                <w:rFonts w:hint="eastAsia" w:ascii="宋体" w:hAnsi="宋体" w:eastAsia="宋体" w:cs="宋体"/>
                <w:color w:val="auto"/>
                <w:sz w:val="24"/>
                <w:szCs w:val="24"/>
                <w:highlight w:val="none"/>
              </w:rPr>
            </w:pPr>
          </w:p>
        </w:tc>
      </w:tr>
      <w:tr w14:paraId="7D2B0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DF5FC38">
            <w:pPr>
              <w:spacing w:line="360" w:lineRule="auto"/>
              <w:jc w:val="center"/>
              <w:rPr>
                <w:rFonts w:hint="eastAsia" w:ascii="宋体" w:hAnsi="宋体" w:eastAsia="宋体" w:cs="宋体"/>
                <w:color w:val="auto"/>
                <w:sz w:val="24"/>
                <w:szCs w:val="24"/>
                <w:highlight w:val="none"/>
              </w:rPr>
            </w:pPr>
          </w:p>
        </w:tc>
        <w:tc>
          <w:tcPr>
            <w:tcW w:w="3291" w:type="dxa"/>
            <w:noWrap w:val="0"/>
          </w:tcPr>
          <w:p w14:paraId="605A637B">
            <w:pPr>
              <w:spacing w:line="360" w:lineRule="auto"/>
              <w:jc w:val="center"/>
              <w:rPr>
                <w:rFonts w:hint="eastAsia" w:ascii="宋体" w:hAnsi="宋体" w:eastAsia="宋体" w:cs="宋体"/>
                <w:color w:val="auto"/>
                <w:sz w:val="24"/>
                <w:szCs w:val="24"/>
                <w:highlight w:val="none"/>
              </w:rPr>
            </w:pPr>
          </w:p>
        </w:tc>
        <w:tc>
          <w:tcPr>
            <w:tcW w:w="2852" w:type="dxa"/>
            <w:noWrap w:val="0"/>
          </w:tcPr>
          <w:p w14:paraId="369B6A6C">
            <w:pPr>
              <w:spacing w:line="360" w:lineRule="auto"/>
              <w:jc w:val="center"/>
              <w:rPr>
                <w:rFonts w:hint="eastAsia" w:ascii="宋体" w:hAnsi="宋体" w:eastAsia="宋体" w:cs="宋体"/>
                <w:color w:val="auto"/>
                <w:sz w:val="24"/>
                <w:szCs w:val="24"/>
                <w:highlight w:val="none"/>
              </w:rPr>
            </w:pPr>
          </w:p>
        </w:tc>
        <w:tc>
          <w:tcPr>
            <w:tcW w:w="1308" w:type="dxa"/>
            <w:noWrap w:val="0"/>
          </w:tcPr>
          <w:p w14:paraId="4D352C46">
            <w:pPr>
              <w:spacing w:line="360" w:lineRule="auto"/>
              <w:jc w:val="center"/>
              <w:rPr>
                <w:rFonts w:hint="eastAsia" w:ascii="宋体" w:hAnsi="宋体" w:eastAsia="宋体" w:cs="宋体"/>
                <w:color w:val="auto"/>
                <w:sz w:val="24"/>
                <w:szCs w:val="24"/>
                <w:highlight w:val="none"/>
              </w:rPr>
            </w:pPr>
          </w:p>
        </w:tc>
        <w:tc>
          <w:tcPr>
            <w:tcW w:w="1173" w:type="dxa"/>
            <w:noWrap w:val="0"/>
          </w:tcPr>
          <w:p w14:paraId="7E91334B">
            <w:pPr>
              <w:spacing w:line="360" w:lineRule="auto"/>
              <w:jc w:val="center"/>
              <w:rPr>
                <w:rFonts w:hint="eastAsia" w:ascii="宋体" w:hAnsi="宋体" w:eastAsia="宋体" w:cs="宋体"/>
                <w:color w:val="auto"/>
                <w:sz w:val="24"/>
                <w:szCs w:val="24"/>
                <w:highlight w:val="none"/>
              </w:rPr>
            </w:pPr>
          </w:p>
        </w:tc>
      </w:tr>
      <w:tr w14:paraId="2509C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AFD5655">
            <w:pPr>
              <w:spacing w:line="360" w:lineRule="auto"/>
              <w:jc w:val="center"/>
              <w:rPr>
                <w:rFonts w:hint="eastAsia" w:ascii="宋体" w:hAnsi="宋体" w:eastAsia="宋体" w:cs="宋体"/>
                <w:color w:val="auto"/>
                <w:sz w:val="24"/>
                <w:szCs w:val="24"/>
                <w:highlight w:val="none"/>
              </w:rPr>
            </w:pPr>
          </w:p>
        </w:tc>
        <w:tc>
          <w:tcPr>
            <w:tcW w:w="3291" w:type="dxa"/>
            <w:noWrap w:val="0"/>
          </w:tcPr>
          <w:p w14:paraId="382BBB0F">
            <w:pPr>
              <w:spacing w:line="360" w:lineRule="auto"/>
              <w:jc w:val="center"/>
              <w:rPr>
                <w:rFonts w:hint="eastAsia" w:ascii="宋体" w:hAnsi="宋体" w:eastAsia="宋体" w:cs="宋体"/>
                <w:color w:val="auto"/>
                <w:sz w:val="24"/>
                <w:szCs w:val="24"/>
                <w:highlight w:val="none"/>
              </w:rPr>
            </w:pPr>
          </w:p>
        </w:tc>
        <w:tc>
          <w:tcPr>
            <w:tcW w:w="2852" w:type="dxa"/>
            <w:noWrap w:val="0"/>
          </w:tcPr>
          <w:p w14:paraId="640C5918">
            <w:pPr>
              <w:spacing w:line="360" w:lineRule="auto"/>
              <w:jc w:val="center"/>
              <w:rPr>
                <w:rFonts w:hint="eastAsia" w:ascii="宋体" w:hAnsi="宋体" w:eastAsia="宋体" w:cs="宋体"/>
                <w:color w:val="auto"/>
                <w:sz w:val="24"/>
                <w:szCs w:val="24"/>
                <w:highlight w:val="none"/>
              </w:rPr>
            </w:pPr>
          </w:p>
        </w:tc>
        <w:tc>
          <w:tcPr>
            <w:tcW w:w="1308" w:type="dxa"/>
            <w:noWrap w:val="0"/>
          </w:tcPr>
          <w:p w14:paraId="7959CC3A">
            <w:pPr>
              <w:spacing w:line="360" w:lineRule="auto"/>
              <w:jc w:val="center"/>
              <w:rPr>
                <w:rFonts w:hint="eastAsia" w:ascii="宋体" w:hAnsi="宋体" w:eastAsia="宋体" w:cs="宋体"/>
                <w:color w:val="auto"/>
                <w:sz w:val="24"/>
                <w:szCs w:val="24"/>
                <w:highlight w:val="none"/>
              </w:rPr>
            </w:pPr>
          </w:p>
        </w:tc>
        <w:tc>
          <w:tcPr>
            <w:tcW w:w="1173" w:type="dxa"/>
            <w:noWrap w:val="0"/>
          </w:tcPr>
          <w:p w14:paraId="072B0F94">
            <w:pPr>
              <w:spacing w:line="360" w:lineRule="auto"/>
              <w:jc w:val="center"/>
              <w:rPr>
                <w:rFonts w:hint="eastAsia" w:ascii="宋体" w:hAnsi="宋体" w:eastAsia="宋体" w:cs="宋体"/>
                <w:color w:val="auto"/>
                <w:sz w:val="24"/>
                <w:szCs w:val="24"/>
                <w:highlight w:val="none"/>
              </w:rPr>
            </w:pPr>
          </w:p>
        </w:tc>
      </w:tr>
      <w:tr w14:paraId="1B8B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80224CB">
            <w:pPr>
              <w:spacing w:line="360" w:lineRule="auto"/>
              <w:jc w:val="center"/>
              <w:rPr>
                <w:rFonts w:hint="eastAsia" w:ascii="宋体" w:hAnsi="宋体" w:eastAsia="宋体" w:cs="宋体"/>
                <w:color w:val="auto"/>
                <w:sz w:val="24"/>
                <w:szCs w:val="24"/>
                <w:highlight w:val="none"/>
              </w:rPr>
            </w:pPr>
          </w:p>
        </w:tc>
        <w:tc>
          <w:tcPr>
            <w:tcW w:w="3291" w:type="dxa"/>
            <w:noWrap w:val="0"/>
          </w:tcPr>
          <w:p w14:paraId="50CEEE5C">
            <w:pPr>
              <w:spacing w:line="360" w:lineRule="auto"/>
              <w:jc w:val="center"/>
              <w:rPr>
                <w:rFonts w:hint="eastAsia" w:ascii="宋体" w:hAnsi="宋体" w:eastAsia="宋体" w:cs="宋体"/>
                <w:color w:val="auto"/>
                <w:sz w:val="24"/>
                <w:szCs w:val="24"/>
                <w:highlight w:val="none"/>
              </w:rPr>
            </w:pPr>
          </w:p>
        </w:tc>
        <w:tc>
          <w:tcPr>
            <w:tcW w:w="2852" w:type="dxa"/>
            <w:noWrap w:val="0"/>
          </w:tcPr>
          <w:p w14:paraId="7AB3B844">
            <w:pPr>
              <w:spacing w:line="360" w:lineRule="auto"/>
              <w:jc w:val="center"/>
              <w:rPr>
                <w:rFonts w:hint="eastAsia" w:ascii="宋体" w:hAnsi="宋体" w:eastAsia="宋体" w:cs="宋体"/>
                <w:color w:val="auto"/>
                <w:sz w:val="24"/>
                <w:szCs w:val="24"/>
                <w:highlight w:val="none"/>
              </w:rPr>
            </w:pPr>
          </w:p>
        </w:tc>
        <w:tc>
          <w:tcPr>
            <w:tcW w:w="1308" w:type="dxa"/>
            <w:noWrap w:val="0"/>
          </w:tcPr>
          <w:p w14:paraId="4A7C101D">
            <w:pPr>
              <w:spacing w:line="360" w:lineRule="auto"/>
              <w:jc w:val="center"/>
              <w:rPr>
                <w:rFonts w:hint="eastAsia" w:ascii="宋体" w:hAnsi="宋体" w:eastAsia="宋体" w:cs="宋体"/>
                <w:color w:val="auto"/>
                <w:sz w:val="24"/>
                <w:szCs w:val="24"/>
                <w:highlight w:val="none"/>
              </w:rPr>
            </w:pPr>
          </w:p>
        </w:tc>
        <w:tc>
          <w:tcPr>
            <w:tcW w:w="1173" w:type="dxa"/>
            <w:noWrap w:val="0"/>
          </w:tcPr>
          <w:p w14:paraId="32B7383F">
            <w:pPr>
              <w:spacing w:line="360" w:lineRule="auto"/>
              <w:jc w:val="center"/>
              <w:rPr>
                <w:rFonts w:hint="eastAsia" w:ascii="宋体" w:hAnsi="宋体" w:eastAsia="宋体" w:cs="宋体"/>
                <w:color w:val="auto"/>
                <w:sz w:val="24"/>
                <w:szCs w:val="24"/>
                <w:highlight w:val="none"/>
              </w:rPr>
            </w:pPr>
          </w:p>
        </w:tc>
      </w:tr>
      <w:tr w14:paraId="5C31A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DC0F2B3">
            <w:pPr>
              <w:spacing w:line="360" w:lineRule="auto"/>
              <w:jc w:val="center"/>
              <w:rPr>
                <w:rFonts w:hint="eastAsia" w:ascii="宋体" w:hAnsi="宋体" w:eastAsia="宋体" w:cs="宋体"/>
                <w:color w:val="auto"/>
                <w:sz w:val="24"/>
                <w:szCs w:val="24"/>
                <w:highlight w:val="none"/>
              </w:rPr>
            </w:pPr>
          </w:p>
        </w:tc>
        <w:tc>
          <w:tcPr>
            <w:tcW w:w="3291" w:type="dxa"/>
            <w:noWrap w:val="0"/>
          </w:tcPr>
          <w:p w14:paraId="4C90BB38">
            <w:pPr>
              <w:spacing w:line="360" w:lineRule="auto"/>
              <w:jc w:val="center"/>
              <w:rPr>
                <w:rFonts w:hint="eastAsia" w:ascii="宋体" w:hAnsi="宋体" w:eastAsia="宋体" w:cs="宋体"/>
                <w:color w:val="auto"/>
                <w:sz w:val="24"/>
                <w:szCs w:val="24"/>
                <w:highlight w:val="none"/>
              </w:rPr>
            </w:pPr>
          </w:p>
        </w:tc>
        <w:tc>
          <w:tcPr>
            <w:tcW w:w="2852" w:type="dxa"/>
            <w:noWrap w:val="0"/>
          </w:tcPr>
          <w:p w14:paraId="3BE025B5">
            <w:pPr>
              <w:spacing w:line="360" w:lineRule="auto"/>
              <w:jc w:val="center"/>
              <w:rPr>
                <w:rFonts w:hint="eastAsia" w:ascii="宋体" w:hAnsi="宋体" w:eastAsia="宋体" w:cs="宋体"/>
                <w:color w:val="auto"/>
                <w:sz w:val="24"/>
                <w:szCs w:val="24"/>
                <w:highlight w:val="none"/>
              </w:rPr>
            </w:pPr>
          </w:p>
        </w:tc>
        <w:tc>
          <w:tcPr>
            <w:tcW w:w="1308" w:type="dxa"/>
            <w:noWrap w:val="0"/>
          </w:tcPr>
          <w:p w14:paraId="64A1347E">
            <w:pPr>
              <w:spacing w:line="360" w:lineRule="auto"/>
              <w:jc w:val="center"/>
              <w:rPr>
                <w:rFonts w:hint="eastAsia" w:ascii="宋体" w:hAnsi="宋体" w:eastAsia="宋体" w:cs="宋体"/>
                <w:color w:val="auto"/>
                <w:sz w:val="24"/>
                <w:szCs w:val="24"/>
                <w:highlight w:val="none"/>
              </w:rPr>
            </w:pPr>
          </w:p>
        </w:tc>
        <w:tc>
          <w:tcPr>
            <w:tcW w:w="1173" w:type="dxa"/>
            <w:noWrap w:val="0"/>
          </w:tcPr>
          <w:p w14:paraId="1E2FC86C">
            <w:pPr>
              <w:spacing w:line="360" w:lineRule="auto"/>
              <w:jc w:val="center"/>
              <w:rPr>
                <w:rFonts w:hint="eastAsia" w:ascii="宋体" w:hAnsi="宋体" w:eastAsia="宋体" w:cs="宋体"/>
                <w:color w:val="auto"/>
                <w:sz w:val="24"/>
                <w:szCs w:val="24"/>
                <w:highlight w:val="none"/>
              </w:rPr>
            </w:pPr>
          </w:p>
        </w:tc>
      </w:tr>
      <w:tr w14:paraId="5797F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A8EDD30">
            <w:pPr>
              <w:spacing w:line="360" w:lineRule="auto"/>
              <w:jc w:val="center"/>
              <w:rPr>
                <w:rFonts w:hint="eastAsia" w:ascii="宋体" w:hAnsi="宋体" w:eastAsia="宋体" w:cs="宋体"/>
                <w:color w:val="auto"/>
                <w:sz w:val="24"/>
                <w:szCs w:val="24"/>
                <w:highlight w:val="none"/>
              </w:rPr>
            </w:pPr>
          </w:p>
        </w:tc>
        <w:tc>
          <w:tcPr>
            <w:tcW w:w="3291" w:type="dxa"/>
            <w:noWrap w:val="0"/>
          </w:tcPr>
          <w:p w14:paraId="1CD7F699">
            <w:pPr>
              <w:spacing w:line="360" w:lineRule="auto"/>
              <w:jc w:val="center"/>
              <w:rPr>
                <w:rFonts w:hint="eastAsia" w:ascii="宋体" w:hAnsi="宋体" w:eastAsia="宋体" w:cs="宋体"/>
                <w:color w:val="auto"/>
                <w:sz w:val="24"/>
                <w:szCs w:val="24"/>
                <w:highlight w:val="none"/>
              </w:rPr>
            </w:pPr>
          </w:p>
        </w:tc>
        <w:tc>
          <w:tcPr>
            <w:tcW w:w="2852" w:type="dxa"/>
            <w:noWrap w:val="0"/>
          </w:tcPr>
          <w:p w14:paraId="47312033">
            <w:pPr>
              <w:spacing w:line="360" w:lineRule="auto"/>
              <w:jc w:val="center"/>
              <w:rPr>
                <w:rFonts w:hint="eastAsia" w:ascii="宋体" w:hAnsi="宋体" w:eastAsia="宋体" w:cs="宋体"/>
                <w:color w:val="auto"/>
                <w:sz w:val="24"/>
                <w:szCs w:val="24"/>
                <w:highlight w:val="none"/>
              </w:rPr>
            </w:pPr>
          </w:p>
        </w:tc>
        <w:tc>
          <w:tcPr>
            <w:tcW w:w="1308" w:type="dxa"/>
            <w:noWrap w:val="0"/>
          </w:tcPr>
          <w:p w14:paraId="643856F9">
            <w:pPr>
              <w:spacing w:line="360" w:lineRule="auto"/>
              <w:jc w:val="center"/>
              <w:rPr>
                <w:rFonts w:hint="eastAsia" w:ascii="宋体" w:hAnsi="宋体" w:eastAsia="宋体" w:cs="宋体"/>
                <w:color w:val="auto"/>
                <w:sz w:val="24"/>
                <w:szCs w:val="24"/>
                <w:highlight w:val="none"/>
              </w:rPr>
            </w:pPr>
          </w:p>
        </w:tc>
        <w:tc>
          <w:tcPr>
            <w:tcW w:w="1173" w:type="dxa"/>
            <w:noWrap w:val="0"/>
          </w:tcPr>
          <w:p w14:paraId="2DB7A906">
            <w:pPr>
              <w:spacing w:line="360" w:lineRule="auto"/>
              <w:jc w:val="center"/>
              <w:rPr>
                <w:rFonts w:hint="eastAsia" w:ascii="宋体" w:hAnsi="宋体" w:eastAsia="宋体" w:cs="宋体"/>
                <w:color w:val="auto"/>
                <w:sz w:val="24"/>
                <w:szCs w:val="24"/>
                <w:highlight w:val="none"/>
              </w:rPr>
            </w:pPr>
          </w:p>
        </w:tc>
      </w:tr>
      <w:tr w14:paraId="21C2F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158A612">
            <w:pPr>
              <w:spacing w:line="360" w:lineRule="auto"/>
              <w:jc w:val="center"/>
              <w:rPr>
                <w:rFonts w:hint="eastAsia" w:ascii="宋体" w:hAnsi="宋体" w:eastAsia="宋体" w:cs="宋体"/>
                <w:color w:val="auto"/>
                <w:sz w:val="24"/>
                <w:szCs w:val="24"/>
                <w:highlight w:val="none"/>
              </w:rPr>
            </w:pPr>
          </w:p>
        </w:tc>
        <w:tc>
          <w:tcPr>
            <w:tcW w:w="3291" w:type="dxa"/>
            <w:noWrap w:val="0"/>
          </w:tcPr>
          <w:p w14:paraId="29A39717">
            <w:pPr>
              <w:spacing w:line="360" w:lineRule="auto"/>
              <w:jc w:val="center"/>
              <w:rPr>
                <w:rFonts w:hint="eastAsia" w:ascii="宋体" w:hAnsi="宋体" w:eastAsia="宋体" w:cs="宋体"/>
                <w:color w:val="auto"/>
                <w:sz w:val="24"/>
                <w:szCs w:val="24"/>
                <w:highlight w:val="none"/>
              </w:rPr>
            </w:pPr>
          </w:p>
        </w:tc>
        <w:tc>
          <w:tcPr>
            <w:tcW w:w="2852" w:type="dxa"/>
            <w:noWrap w:val="0"/>
          </w:tcPr>
          <w:p w14:paraId="4E5E99A7">
            <w:pPr>
              <w:spacing w:line="360" w:lineRule="auto"/>
              <w:jc w:val="center"/>
              <w:rPr>
                <w:rFonts w:hint="eastAsia" w:ascii="宋体" w:hAnsi="宋体" w:eastAsia="宋体" w:cs="宋体"/>
                <w:color w:val="auto"/>
                <w:sz w:val="24"/>
                <w:szCs w:val="24"/>
                <w:highlight w:val="none"/>
              </w:rPr>
            </w:pPr>
          </w:p>
        </w:tc>
        <w:tc>
          <w:tcPr>
            <w:tcW w:w="1308" w:type="dxa"/>
            <w:noWrap w:val="0"/>
          </w:tcPr>
          <w:p w14:paraId="3B3B2F60">
            <w:pPr>
              <w:spacing w:line="360" w:lineRule="auto"/>
              <w:jc w:val="center"/>
              <w:rPr>
                <w:rFonts w:hint="eastAsia" w:ascii="宋体" w:hAnsi="宋体" w:eastAsia="宋体" w:cs="宋体"/>
                <w:color w:val="auto"/>
                <w:sz w:val="24"/>
                <w:szCs w:val="24"/>
                <w:highlight w:val="none"/>
              </w:rPr>
            </w:pPr>
          </w:p>
        </w:tc>
        <w:tc>
          <w:tcPr>
            <w:tcW w:w="1173" w:type="dxa"/>
            <w:noWrap w:val="0"/>
          </w:tcPr>
          <w:p w14:paraId="0C6E9959">
            <w:pPr>
              <w:spacing w:line="360" w:lineRule="auto"/>
              <w:jc w:val="center"/>
              <w:rPr>
                <w:rFonts w:hint="eastAsia" w:ascii="宋体" w:hAnsi="宋体" w:eastAsia="宋体" w:cs="宋体"/>
                <w:color w:val="auto"/>
                <w:sz w:val="24"/>
                <w:szCs w:val="24"/>
                <w:highlight w:val="none"/>
              </w:rPr>
            </w:pPr>
          </w:p>
        </w:tc>
      </w:tr>
      <w:tr w14:paraId="5BE85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7E3511C">
            <w:pPr>
              <w:spacing w:line="360" w:lineRule="auto"/>
              <w:jc w:val="center"/>
              <w:rPr>
                <w:rFonts w:hint="eastAsia" w:ascii="宋体" w:hAnsi="宋体" w:eastAsia="宋体" w:cs="宋体"/>
                <w:color w:val="auto"/>
                <w:sz w:val="24"/>
                <w:szCs w:val="24"/>
                <w:highlight w:val="none"/>
              </w:rPr>
            </w:pPr>
          </w:p>
        </w:tc>
        <w:tc>
          <w:tcPr>
            <w:tcW w:w="3291" w:type="dxa"/>
            <w:noWrap w:val="0"/>
          </w:tcPr>
          <w:p w14:paraId="53FD74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tcPr>
          <w:p w14:paraId="0FE9C01E">
            <w:pPr>
              <w:spacing w:line="360" w:lineRule="auto"/>
              <w:jc w:val="center"/>
              <w:rPr>
                <w:rFonts w:hint="eastAsia" w:ascii="宋体" w:hAnsi="宋体" w:eastAsia="宋体" w:cs="宋体"/>
                <w:color w:val="auto"/>
                <w:sz w:val="24"/>
                <w:szCs w:val="24"/>
                <w:highlight w:val="none"/>
              </w:rPr>
            </w:pPr>
          </w:p>
        </w:tc>
        <w:tc>
          <w:tcPr>
            <w:tcW w:w="1308" w:type="dxa"/>
            <w:noWrap w:val="0"/>
          </w:tcPr>
          <w:p w14:paraId="2029778B">
            <w:pPr>
              <w:spacing w:line="360" w:lineRule="auto"/>
              <w:jc w:val="center"/>
              <w:rPr>
                <w:rFonts w:hint="eastAsia" w:ascii="宋体" w:hAnsi="宋体" w:eastAsia="宋体" w:cs="宋体"/>
                <w:color w:val="auto"/>
                <w:sz w:val="24"/>
                <w:szCs w:val="24"/>
                <w:highlight w:val="none"/>
              </w:rPr>
            </w:pPr>
          </w:p>
        </w:tc>
        <w:tc>
          <w:tcPr>
            <w:tcW w:w="1173" w:type="dxa"/>
            <w:noWrap w:val="0"/>
          </w:tcPr>
          <w:p w14:paraId="022920E0">
            <w:pPr>
              <w:spacing w:line="360" w:lineRule="auto"/>
              <w:jc w:val="center"/>
              <w:rPr>
                <w:rFonts w:hint="eastAsia" w:ascii="宋体" w:hAnsi="宋体" w:eastAsia="宋体" w:cs="宋体"/>
                <w:color w:val="auto"/>
                <w:sz w:val="24"/>
                <w:szCs w:val="24"/>
                <w:highlight w:val="none"/>
              </w:rPr>
            </w:pPr>
          </w:p>
        </w:tc>
      </w:tr>
    </w:tbl>
    <w:p w14:paraId="47091F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16C111CD">
      <w:pPr>
        <w:spacing w:line="360" w:lineRule="auto"/>
        <w:jc w:val="center"/>
        <w:rPr>
          <w:rFonts w:hint="eastAsia" w:ascii="宋体" w:hAnsi="宋体" w:eastAsia="宋体" w:cs="宋体"/>
          <w:b/>
          <w:color w:val="auto"/>
          <w:sz w:val="36"/>
          <w:szCs w:val="21"/>
          <w:highlight w:val="none"/>
        </w:rPr>
      </w:pPr>
    </w:p>
    <w:p w14:paraId="0BCA5445">
      <w:pPr>
        <w:spacing w:line="48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2F3EC8D8">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035287A6">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30CFC9BC">
      <w:pPr>
        <w:rPr>
          <w:rFonts w:hint="eastAsia" w:ascii="宋体" w:hAnsi="宋体" w:eastAsia="宋体" w:cs="宋体"/>
          <w:b/>
          <w:color w:val="auto"/>
          <w:sz w:val="36"/>
          <w:szCs w:val="21"/>
          <w:highlight w:val="none"/>
        </w:rPr>
      </w:pPr>
    </w:p>
    <w:p w14:paraId="37766884">
      <w:pPr>
        <w:jc w:val="center"/>
        <w:rPr>
          <w:rFonts w:hint="eastAsia" w:ascii="宋体" w:hAnsi="宋体" w:eastAsia="宋体" w:cs="宋体"/>
          <w:b/>
          <w:color w:val="auto"/>
          <w:sz w:val="36"/>
          <w:szCs w:val="21"/>
          <w:highlight w:val="none"/>
        </w:rPr>
      </w:pPr>
    </w:p>
    <w:bookmarkEnd w:id="123"/>
    <w:p w14:paraId="7D9ED00A">
      <w:pPr>
        <w:jc w:val="center"/>
        <w:rPr>
          <w:rFonts w:hint="eastAsia" w:ascii="宋体" w:hAnsi="宋体" w:eastAsia="宋体" w:cs="宋体"/>
          <w:b/>
          <w:color w:val="auto"/>
          <w:sz w:val="36"/>
          <w:szCs w:val="21"/>
          <w:highlight w:val="none"/>
        </w:rPr>
      </w:pPr>
    </w:p>
    <w:p w14:paraId="42BCE25B">
      <w:pPr>
        <w:rPr>
          <w:rFonts w:hint="eastAsia" w:ascii="宋体" w:hAnsi="宋体" w:eastAsia="宋体" w:cs="宋体"/>
          <w:color w:val="auto"/>
          <w:sz w:val="32"/>
          <w:szCs w:val="21"/>
          <w:highlight w:val="none"/>
        </w:rPr>
      </w:pPr>
    </w:p>
    <w:p w14:paraId="24163EDA">
      <w:pPr>
        <w:jc w:val="center"/>
        <w:rPr>
          <w:rFonts w:hint="eastAsia" w:ascii="宋体" w:hAnsi="宋体" w:eastAsia="宋体" w:cs="宋体"/>
          <w:i/>
          <w:color w:val="auto"/>
          <w:sz w:val="32"/>
          <w:szCs w:val="32"/>
          <w:highlight w:val="none"/>
          <w:u w:val="single"/>
        </w:rPr>
      </w:pPr>
      <w:bookmarkStart w:id="128" w:name="_Hlt26955054"/>
      <w:bookmarkEnd w:id="128"/>
    </w:p>
    <w:p w14:paraId="72A305C5">
      <w:pPr>
        <w:jc w:val="center"/>
        <w:rPr>
          <w:rFonts w:hint="eastAsia" w:ascii="宋体" w:hAnsi="宋体" w:eastAsia="宋体" w:cs="宋体"/>
          <w:i/>
          <w:color w:val="auto"/>
          <w:sz w:val="32"/>
          <w:szCs w:val="32"/>
          <w:highlight w:val="none"/>
          <w:u w:val="single"/>
        </w:rPr>
      </w:pPr>
    </w:p>
    <w:p w14:paraId="04744F89">
      <w:pPr>
        <w:spacing w:line="360" w:lineRule="auto"/>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w:t>
      </w:r>
      <w:r>
        <w:rPr>
          <w:rFonts w:hint="eastAsia" w:ascii="宋体" w:hAnsi="宋体" w:cs="宋体"/>
          <w:iCs/>
          <w:color w:val="auto"/>
          <w:sz w:val="32"/>
          <w:szCs w:val="32"/>
          <w:highlight w:val="none"/>
          <w:u w:val="single"/>
          <w:lang w:val="en-US" w:eastAsia="zh-CN"/>
        </w:rPr>
        <w:t>四</w:t>
      </w:r>
      <w:r>
        <w:rPr>
          <w:rFonts w:hint="eastAsia" w:ascii="宋体" w:hAnsi="宋体" w:eastAsia="宋体" w:cs="宋体"/>
          <w:iCs/>
          <w:color w:val="auto"/>
          <w:sz w:val="32"/>
          <w:szCs w:val="32"/>
          <w:highlight w:val="none"/>
          <w:u w:val="single"/>
        </w:rPr>
        <w:t>、商务要求响应及偏离表</w:t>
      </w:r>
    </w:p>
    <w:p w14:paraId="47CD00B5">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请</w:t>
      </w:r>
      <w:r>
        <w:rPr>
          <w:rFonts w:hint="eastAsia" w:ascii="宋体" w:hAnsi="宋体" w:eastAsia="宋体" w:cs="宋体"/>
          <w:b/>
          <w:color w:val="auto"/>
          <w:sz w:val="24"/>
          <w:szCs w:val="24"/>
          <w:highlight w:val="none"/>
        </w:rPr>
        <w:t>逐条</w:t>
      </w:r>
      <w:r>
        <w:rPr>
          <w:rFonts w:hint="eastAsia" w:ascii="宋体" w:hAnsi="宋体" w:eastAsia="宋体" w:cs="宋体"/>
          <w:bCs/>
          <w:color w:val="auto"/>
          <w:sz w:val="24"/>
          <w:szCs w:val="24"/>
          <w:highlight w:val="none"/>
        </w:rPr>
        <w:t>对应招标文件“项目需求”等内容要求的商务条件，填写该表</w:t>
      </w:r>
    </w:p>
    <w:tbl>
      <w:tblPr>
        <w:tblStyle w:val="36"/>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1"/>
        <w:gridCol w:w="3105"/>
        <w:gridCol w:w="2852"/>
        <w:gridCol w:w="1308"/>
        <w:gridCol w:w="1173"/>
      </w:tblGrid>
      <w:tr w14:paraId="05044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31" w:type="dxa"/>
            <w:noWrap w:val="0"/>
            <w:vAlign w:val="center"/>
          </w:tcPr>
          <w:p w14:paraId="71F59C3A">
            <w:pPr>
              <w:spacing w:line="360" w:lineRule="auto"/>
              <w:jc w:val="center"/>
              <w:rPr>
                <w:rFonts w:hint="eastAsia" w:ascii="宋体" w:hAnsi="宋体" w:eastAsia="宋体" w:cs="宋体"/>
                <w:color w:val="auto"/>
                <w:sz w:val="24"/>
                <w:szCs w:val="24"/>
                <w:highlight w:val="none"/>
              </w:rPr>
            </w:pPr>
            <w:bookmarkStart w:id="129" w:name="_Hlt26580838"/>
            <w:bookmarkEnd w:id="129"/>
            <w:bookmarkStart w:id="130" w:name="_Hlt26782999"/>
            <w:bookmarkEnd w:id="130"/>
            <w:bookmarkStart w:id="131" w:name="_Hlt26609391"/>
            <w:bookmarkEnd w:id="131"/>
            <w:bookmarkStart w:id="132" w:name="_Hlt26955056"/>
            <w:bookmarkEnd w:id="132"/>
            <w:bookmarkStart w:id="133" w:name="_Hlt26671343"/>
            <w:bookmarkEnd w:id="133"/>
            <w:bookmarkStart w:id="134" w:name="_Hlt24879081"/>
            <w:bookmarkEnd w:id="134"/>
            <w:bookmarkStart w:id="135" w:name="_Hlt26955064"/>
            <w:bookmarkEnd w:id="135"/>
            <w:bookmarkStart w:id="136" w:name="_Hlt26671372"/>
            <w:bookmarkEnd w:id="136"/>
            <w:r>
              <w:rPr>
                <w:rFonts w:hint="eastAsia" w:ascii="宋体" w:hAnsi="宋体" w:eastAsia="宋体" w:cs="宋体"/>
                <w:color w:val="auto"/>
                <w:sz w:val="24"/>
                <w:szCs w:val="24"/>
                <w:highlight w:val="none"/>
              </w:rPr>
              <w:t>序号</w:t>
            </w:r>
          </w:p>
        </w:tc>
        <w:tc>
          <w:tcPr>
            <w:tcW w:w="3105" w:type="dxa"/>
            <w:noWrap w:val="0"/>
            <w:vAlign w:val="center"/>
          </w:tcPr>
          <w:p w14:paraId="610C2F1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0A1857B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1E7CDBF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585ED22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5E5385B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21944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4577751D">
            <w:pPr>
              <w:spacing w:line="360" w:lineRule="auto"/>
              <w:jc w:val="center"/>
              <w:rPr>
                <w:rFonts w:hint="eastAsia" w:ascii="宋体" w:hAnsi="宋体" w:eastAsia="宋体" w:cs="宋体"/>
                <w:color w:val="auto"/>
                <w:sz w:val="24"/>
                <w:szCs w:val="24"/>
                <w:highlight w:val="none"/>
              </w:rPr>
            </w:pPr>
          </w:p>
        </w:tc>
        <w:tc>
          <w:tcPr>
            <w:tcW w:w="3105" w:type="dxa"/>
            <w:noWrap w:val="0"/>
          </w:tcPr>
          <w:p w14:paraId="1B5E6A26">
            <w:pPr>
              <w:spacing w:line="360" w:lineRule="auto"/>
              <w:jc w:val="center"/>
              <w:rPr>
                <w:rFonts w:hint="eastAsia" w:ascii="宋体" w:hAnsi="宋体" w:eastAsia="宋体" w:cs="宋体"/>
                <w:color w:val="auto"/>
                <w:sz w:val="24"/>
                <w:szCs w:val="24"/>
                <w:highlight w:val="none"/>
              </w:rPr>
            </w:pPr>
          </w:p>
        </w:tc>
        <w:tc>
          <w:tcPr>
            <w:tcW w:w="2852" w:type="dxa"/>
            <w:noWrap w:val="0"/>
          </w:tcPr>
          <w:p w14:paraId="0F4CAAF9">
            <w:pPr>
              <w:spacing w:line="360" w:lineRule="auto"/>
              <w:jc w:val="center"/>
              <w:rPr>
                <w:rFonts w:hint="eastAsia" w:ascii="宋体" w:hAnsi="宋体" w:eastAsia="宋体" w:cs="宋体"/>
                <w:color w:val="auto"/>
                <w:sz w:val="24"/>
                <w:szCs w:val="24"/>
                <w:highlight w:val="none"/>
              </w:rPr>
            </w:pPr>
          </w:p>
        </w:tc>
        <w:tc>
          <w:tcPr>
            <w:tcW w:w="1308" w:type="dxa"/>
            <w:noWrap w:val="0"/>
          </w:tcPr>
          <w:p w14:paraId="2A570CB7">
            <w:pPr>
              <w:spacing w:line="360" w:lineRule="auto"/>
              <w:jc w:val="center"/>
              <w:rPr>
                <w:rFonts w:hint="eastAsia" w:ascii="宋体" w:hAnsi="宋体" w:eastAsia="宋体" w:cs="宋体"/>
                <w:color w:val="auto"/>
                <w:sz w:val="24"/>
                <w:szCs w:val="24"/>
                <w:highlight w:val="none"/>
              </w:rPr>
            </w:pPr>
          </w:p>
        </w:tc>
        <w:tc>
          <w:tcPr>
            <w:tcW w:w="1173" w:type="dxa"/>
            <w:noWrap w:val="0"/>
          </w:tcPr>
          <w:p w14:paraId="6A0CFFA3">
            <w:pPr>
              <w:spacing w:line="360" w:lineRule="auto"/>
              <w:jc w:val="center"/>
              <w:rPr>
                <w:rFonts w:hint="eastAsia" w:ascii="宋体" w:hAnsi="宋体" w:eastAsia="宋体" w:cs="宋体"/>
                <w:color w:val="auto"/>
                <w:sz w:val="24"/>
                <w:szCs w:val="24"/>
                <w:highlight w:val="none"/>
              </w:rPr>
            </w:pPr>
          </w:p>
        </w:tc>
      </w:tr>
      <w:tr w14:paraId="1D230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6F493B66">
            <w:pPr>
              <w:spacing w:line="360" w:lineRule="auto"/>
              <w:jc w:val="center"/>
              <w:rPr>
                <w:rFonts w:hint="eastAsia" w:ascii="宋体" w:hAnsi="宋体" w:eastAsia="宋体" w:cs="宋体"/>
                <w:color w:val="auto"/>
                <w:sz w:val="24"/>
                <w:szCs w:val="24"/>
                <w:highlight w:val="none"/>
              </w:rPr>
            </w:pPr>
          </w:p>
        </w:tc>
        <w:tc>
          <w:tcPr>
            <w:tcW w:w="3105" w:type="dxa"/>
            <w:noWrap w:val="0"/>
          </w:tcPr>
          <w:p w14:paraId="26C580EA">
            <w:pPr>
              <w:spacing w:line="360" w:lineRule="auto"/>
              <w:jc w:val="center"/>
              <w:rPr>
                <w:rFonts w:hint="eastAsia" w:ascii="宋体" w:hAnsi="宋体" w:eastAsia="宋体" w:cs="宋体"/>
                <w:color w:val="auto"/>
                <w:sz w:val="24"/>
                <w:szCs w:val="24"/>
                <w:highlight w:val="none"/>
              </w:rPr>
            </w:pPr>
          </w:p>
        </w:tc>
        <w:tc>
          <w:tcPr>
            <w:tcW w:w="2852" w:type="dxa"/>
            <w:noWrap w:val="0"/>
          </w:tcPr>
          <w:p w14:paraId="5D7D9460">
            <w:pPr>
              <w:spacing w:line="360" w:lineRule="auto"/>
              <w:jc w:val="center"/>
              <w:rPr>
                <w:rFonts w:hint="eastAsia" w:ascii="宋体" w:hAnsi="宋体" w:eastAsia="宋体" w:cs="宋体"/>
                <w:color w:val="auto"/>
                <w:sz w:val="24"/>
                <w:szCs w:val="24"/>
                <w:highlight w:val="none"/>
              </w:rPr>
            </w:pPr>
          </w:p>
        </w:tc>
        <w:tc>
          <w:tcPr>
            <w:tcW w:w="1308" w:type="dxa"/>
            <w:noWrap w:val="0"/>
          </w:tcPr>
          <w:p w14:paraId="760E02DF">
            <w:pPr>
              <w:spacing w:line="360" w:lineRule="auto"/>
              <w:jc w:val="center"/>
              <w:rPr>
                <w:rFonts w:hint="eastAsia" w:ascii="宋体" w:hAnsi="宋体" w:eastAsia="宋体" w:cs="宋体"/>
                <w:color w:val="auto"/>
                <w:sz w:val="24"/>
                <w:szCs w:val="24"/>
                <w:highlight w:val="none"/>
              </w:rPr>
            </w:pPr>
          </w:p>
        </w:tc>
        <w:tc>
          <w:tcPr>
            <w:tcW w:w="1173" w:type="dxa"/>
            <w:noWrap w:val="0"/>
          </w:tcPr>
          <w:p w14:paraId="1210C42E">
            <w:pPr>
              <w:spacing w:line="360" w:lineRule="auto"/>
              <w:jc w:val="center"/>
              <w:rPr>
                <w:rFonts w:hint="eastAsia" w:ascii="宋体" w:hAnsi="宋体" w:eastAsia="宋体" w:cs="宋体"/>
                <w:color w:val="auto"/>
                <w:sz w:val="24"/>
                <w:szCs w:val="24"/>
                <w:highlight w:val="none"/>
              </w:rPr>
            </w:pPr>
          </w:p>
        </w:tc>
      </w:tr>
      <w:tr w14:paraId="0CE8E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1C978197">
            <w:pPr>
              <w:spacing w:line="360" w:lineRule="auto"/>
              <w:jc w:val="center"/>
              <w:rPr>
                <w:rFonts w:hint="eastAsia" w:ascii="宋体" w:hAnsi="宋体" w:eastAsia="宋体" w:cs="宋体"/>
                <w:color w:val="auto"/>
                <w:sz w:val="24"/>
                <w:szCs w:val="24"/>
                <w:highlight w:val="none"/>
              </w:rPr>
            </w:pPr>
          </w:p>
        </w:tc>
        <w:tc>
          <w:tcPr>
            <w:tcW w:w="3105" w:type="dxa"/>
            <w:noWrap w:val="0"/>
          </w:tcPr>
          <w:p w14:paraId="7FB6FE1F">
            <w:pPr>
              <w:spacing w:line="360" w:lineRule="auto"/>
              <w:jc w:val="center"/>
              <w:rPr>
                <w:rFonts w:hint="eastAsia" w:ascii="宋体" w:hAnsi="宋体" w:eastAsia="宋体" w:cs="宋体"/>
                <w:color w:val="auto"/>
                <w:sz w:val="24"/>
                <w:szCs w:val="24"/>
                <w:highlight w:val="none"/>
              </w:rPr>
            </w:pPr>
          </w:p>
        </w:tc>
        <w:tc>
          <w:tcPr>
            <w:tcW w:w="2852" w:type="dxa"/>
            <w:noWrap w:val="0"/>
          </w:tcPr>
          <w:p w14:paraId="5A492487">
            <w:pPr>
              <w:spacing w:line="360" w:lineRule="auto"/>
              <w:jc w:val="center"/>
              <w:rPr>
                <w:rFonts w:hint="eastAsia" w:ascii="宋体" w:hAnsi="宋体" w:eastAsia="宋体" w:cs="宋体"/>
                <w:color w:val="auto"/>
                <w:sz w:val="24"/>
                <w:szCs w:val="24"/>
                <w:highlight w:val="none"/>
              </w:rPr>
            </w:pPr>
          </w:p>
        </w:tc>
        <w:tc>
          <w:tcPr>
            <w:tcW w:w="1308" w:type="dxa"/>
            <w:noWrap w:val="0"/>
          </w:tcPr>
          <w:p w14:paraId="0AF7388B">
            <w:pPr>
              <w:spacing w:line="360" w:lineRule="auto"/>
              <w:jc w:val="center"/>
              <w:rPr>
                <w:rFonts w:hint="eastAsia" w:ascii="宋体" w:hAnsi="宋体" w:eastAsia="宋体" w:cs="宋体"/>
                <w:color w:val="auto"/>
                <w:sz w:val="24"/>
                <w:szCs w:val="24"/>
                <w:highlight w:val="none"/>
              </w:rPr>
            </w:pPr>
          </w:p>
        </w:tc>
        <w:tc>
          <w:tcPr>
            <w:tcW w:w="1173" w:type="dxa"/>
            <w:noWrap w:val="0"/>
          </w:tcPr>
          <w:p w14:paraId="7D912DDD">
            <w:pPr>
              <w:spacing w:line="360" w:lineRule="auto"/>
              <w:jc w:val="center"/>
              <w:rPr>
                <w:rFonts w:hint="eastAsia" w:ascii="宋体" w:hAnsi="宋体" w:eastAsia="宋体" w:cs="宋体"/>
                <w:color w:val="auto"/>
                <w:sz w:val="24"/>
                <w:szCs w:val="24"/>
                <w:highlight w:val="none"/>
              </w:rPr>
            </w:pPr>
          </w:p>
        </w:tc>
      </w:tr>
      <w:tr w14:paraId="21389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7714C216">
            <w:pPr>
              <w:spacing w:line="360" w:lineRule="auto"/>
              <w:jc w:val="center"/>
              <w:rPr>
                <w:rFonts w:hint="eastAsia" w:ascii="宋体" w:hAnsi="宋体" w:eastAsia="宋体" w:cs="宋体"/>
                <w:color w:val="auto"/>
                <w:sz w:val="24"/>
                <w:szCs w:val="24"/>
                <w:highlight w:val="none"/>
              </w:rPr>
            </w:pPr>
          </w:p>
        </w:tc>
        <w:tc>
          <w:tcPr>
            <w:tcW w:w="3105" w:type="dxa"/>
            <w:noWrap w:val="0"/>
          </w:tcPr>
          <w:p w14:paraId="1CB5E407">
            <w:pPr>
              <w:spacing w:line="360" w:lineRule="auto"/>
              <w:jc w:val="center"/>
              <w:rPr>
                <w:rFonts w:hint="eastAsia" w:ascii="宋体" w:hAnsi="宋体" w:eastAsia="宋体" w:cs="宋体"/>
                <w:color w:val="auto"/>
                <w:sz w:val="24"/>
                <w:szCs w:val="24"/>
                <w:highlight w:val="none"/>
              </w:rPr>
            </w:pPr>
          </w:p>
        </w:tc>
        <w:tc>
          <w:tcPr>
            <w:tcW w:w="2852" w:type="dxa"/>
            <w:noWrap w:val="0"/>
          </w:tcPr>
          <w:p w14:paraId="3349D804">
            <w:pPr>
              <w:spacing w:line="360" w:lineRule="auto"/>
              <w:jc w:val="center"/>
              <w:rPr>
                <w:rFonts w:hint="eastAsia" w:ascii="宋体" w:hAnsi="宋体" w:eastAsia="宋体" w:cs="宋体"/>
                <w:color w:val="auto"/>
                <w:sz w:val="24"/>
                <w:szCs w:val="24"/>
                <w:highlight w:val="none"/>
              </w:rPr>
            </w:pPr>
          </w:p>
        </w:tc>
        <w:tc>
          <w:tcPr>
            <w:tcW w:w="1308" w:type="dxa"/>
            <w:noWrap w:val="0"/>
          </w:tcPr>
          <w:p w14:paraId="611715C5">
            <w:pPr>
              <w:spacing w:line="360" w:lineRule="auto"/>
              <w:jc w:val="center"/>
              <w:rPr>
                <w:rFonts w:hint="eastAsia" w:ascii="宋体" w:hAnsi="宋体" w:eastAsia="宋体" w:cs="宋体"/>
                <w:color w:val="auto"/>
                <w:sz w:val="24"/>
                <w:szCs w:val="24"/>
                <w:highlight w:val="none"/>
              </w:rPr>
            </w:pPr>
          </w:p>
        </w:tc>
        <w:tc>
          <w:tcPr>
            <w:tcW w:w="1173" w:type="dxa"/>
            <w:noWrap w:val="0"/>
          </w:tcPr>
          <w:p w14:paraId="2B0FD197">
            <w:pPr>
              <w:spacing w:line="360" w:lineRule="auto"/>
              <w:jc w:val="center"/>
              <w:rPr>
                <w:rFonts w:hint="eastAsia" w:ascii="宋体" w:hAnsi="宋体" w:eastAsia="宋体" w:cs="宋体"/>
                <w:color w:val="auto"/>
                <w:sz w:val="24"/>
                <w:szCs w:val="24"/>
                <w:highlight w:val="none"/>
              </w:rPr>
            </w:pPr>
          </w:p>
        </w:tc>
      </w:tr>
      <w:tr w14:paraId="05D6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6078E4E2">
            <w:pPr>
              <w:spacing w:line="360" w:lineRule="auto"/>
              <w:jc w:val="center"/>
              <w:rPr>
                <w:rFonts w:hint="eastAsia" w:ascii="宋体" w:hAnsi="宋体" w:eastAsia="宋体" w:cs="宋体"/>
                <w:color w:val="auto"/>
                <w:sz w:val="24"/>
                <w:szCs w:val="24"/>
                <w:highlight w:val="none"/>
              </w:rPr>
            </w:pPr>
          </w:p>
        </w:tc>
        <w:tc>
          <w:tcPr>
            <w:tcW w:w="3105" w:type="dxa"/>
            <w:noWrap w:val="0"/>
          </w:tcPr>
          <w:p w14:paraId="273CF333">
            <w:pPr>
              <w:spacing w:line="360" w:lineRule="auto"/>
              <w:jc w:val="center"/>
              <w:rPr>
                <w:rFonts w:hint="eastAsia" w:ascii="宋体" w:hAnsi="宋体" w:eastAsia="宋体" w:cs="宋体"/>
                <w:color w:val="auto"/>
                <w:sz w:val="24"/>
                <w:szCs w:val="24"/>
                <w:highlight w:val="none"/>
              </w:rPr>
            </w:pPr>
          </w:p>
        </w:tc>
        <w:tc>
          <w:tcPr>
            <w:tcW w:w="2852" w:type="dxa"/>
            <w:noWrap w:val="0"/>
          </w:tcPr>
          <w:p w14:paraId="3EF1C23A">
            <w:pPr>
              <w:spacing w:line="360" w:lineRule="auto"/>
              <w:jc w:val="center"/>
              <w:rPr>
                <w:rFonts w:hint="eastAsia" w:ascii="宋体" w:hAnsi="宋体" w:eastAsia="宋体" w:cs="宋体"/>
                <w:color w:val="auto"/>
                <w:sz w:val="24"/>
                <w:szCs w:val="24"/>
                <w:highlight w:val="none"/>
              </w:rPr>
            </w:pPr>
          </w:p>
        </w:tc>
        <w:tc>
          <w:tcPr>
            <w:tcW w:w="1308" w:type="dxa"/>
            <w:noWrap w:val="0"/>
          </w:tcPr>
          <w:p w14:paraId="4653EA40">
            <w:pPr>
              <w:spacing w:line="360" w:lineRule="auto"/>
              <w:jc w:val="center"/>
              <w:rPr>
                <w:rFonts w:hint="eastAsia" w:ascii="宋体" w:hAnsi="宋体" w:eastAsia="宋体" w:cs="宋体"/>
                <w:color w:val="auto"/>
                <w:sz w:val="24"/>
                <w:szCs w:val="24"/>
                <w:highlight w:val="none"/>
              </w:rPr>
            </w:pPr>
          </w:p>
        </w:tc>
        <w:tc>
          <w:tcPr>
            <w:tcW w:w="1173" w:type="dxa"/>
            <w:noWrap w:val="0"/>
          </w:tcPr>
          <w:p w14:paraId="18971B81">
            <w:pPr>
              <w:spacing w:line="360" w:lineRule="auto"/>
              <w:jc w:val="center"/>
              <w:rPr>
                <w:rFonts w:hint="eastAsia" w:ascii="宋体" w:hAnsi="宋体" w:eastAsia="宋体" w:cs="宋体"/>
                <w:color w:val="auto"/>
                <w:sz w:val="24"/>
                <w:szCs w:val="24"/>
                <w:highlight w:val="none"/>
              </w:rPr>
            </w:pPr>
          </w:p>
        </w:tc>
      </w:tr>
      <w:tr w14:paraId="1B768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3E8DFEED">
            <w:pPr>
              <w:spacing w:line="360" w:lineRule="auto"/>
              <w:jc w:val="center"/>
              <w:rPr>
                <w:rFonts w:hint="eastAsia" w:ascii="宋体" w:hAnsi="宋体" w:eastAsia="宋体" w:cs="宋体"/>
                <w:color w:val="auto"/>
                <w:sz w:val="24"/>
                <w:szCs w:val="24"/>
                <w:highlight w:val="none"/>
              </w:rPr>
            </w:pPr>
          </w:p>
        </w:tc>
        <w:tc>
          <w:tcPr>
            <w:tcW w:w="3105" w:type="dxa"/>
            <w:noWrap w:val="0"/>
          </w:tcPr>
          <w:p w14:paraId="4613F2C4">
            <w:pPr>
              <w:spacing w:line="360" w:lineRule="auto"/>
              <w:jc w:val="center"/>
              <w:rPr>
                <w:rFonts w:hint="eastAsia" w:ascii="宋体" w:hAnsi="宋体" w:eastAsia="宋体" w:cs="宋体"/>
                <w:color w:val="auto"/>
                <w:sz w:val="24"/>
                <w:szCs w:val="24"/>
                <w:highlight w:val="none"/>
              </w:rPr>
            </w:pPr>
          </w:p>
        </w:tc>
        <w:tc>
          <w:tcPr>
            <w:tcW w:w="2852" w:type="dxa"/>
            <w:noWrap w:val="0"/>
          </w:tcPr>
          <w:p w14:paraId="18FB7E9C">
            <w:pPr>
              <w:spacing w:line="360" w:lineRule="auto"/>
              <w:jc w:val="center"/>
              <w:rPr>
                <w:rFonts w:hint="eastAsia" w:ascii="宋体" w:hAnsi="宋体" w:eastAsia="宋体" w:cs="宋体"/>
                <w:color w:val="auto"/>
                <w:sz w:val="24"/>
                <w:szCs w:val="24"/>
                <w:highlight w:val="none"/>
              </w:rPr>
            </w:pPr>
          </w:p>
        </w:tc>
        <w:tc>
          <w:tcPr>
            <w:tcW w:w="1308" w:type="dxa"/>
            <w:noWrap w:val="0"/>
          </w:tcPr>
          <w:p w14:paraId="68EEBA1F">
            <w:pPr>
              <w:spacing w:line="360" w:lineRule="auto"/>
              <w:jc w:val="center"/>
              <w:rPr>
                <w:rFonts w:hint="eastAsia" w:ascii="宋体" w:hAnsi="宋体" w:eastAsia="宋体" w:cs="宋体"/>
                <w:color w:val="auto"/>
                <w:sz w:val="24"/>
                <w:szCs w:val="24"/>
                <w:highlight w:val="none"/>
              </w:rPr>
            </w:pPr>
          </w:p>
        </w:tc>
        <w:tc>
          <w:tcPr>
            <w:tcW w:w="1173" w:type="dxa"/>
            <w:noWrap w:val="0"/>
          </w:tcPr>
          <w:p w14:paraId="7942FA02">
            <w:pPr>
              <w:spacing w:line="360" w:lineRule="auto"/>
              <w:jc w:val="center"/>
              <w:rPr>
                <w:rFonts w:hint="eastAsia" w:ascii="宋体" w:hAnsi="宋体" w:eastAsia="宋体" w:cs="宋体"/>
                <w:color w:val="auto"/>
                <w:sz w:val="24"/>
                <w:szCs w:val="24"/>
                <w:highlight w:val="none"/>
              </w:rPr>
            </w:pPr>
          </w:p>
        </w:tc>
      </w:tr>
      <w:tr w14:paraId="47A6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714DB4B4">
            <w:pPr>
              <w:spacing w:line="360" w:lineRule="auto"/>
              <w:jc w:val="center"/>
              <w:rPr>
                <w:rFonts w:hint="eastAsia" w:ascii="宋体" w:hAnsi="宋体" w:eastAsia="宋体" w:cs="宋体"/>
                <w:color w:val="auto"/>
                <w:sz w:val="24"/>
                <w:szCs w:val="24"/>
                <w:highlight w:val="none"/>
              </w:rPr>
            </w:pPr>
          </w:p>
        </w:tc>
        <w:tc>
          <w:tcPr>
            <w:tcW w:w="3105" w:type="dxa"/>
            <w:noWrap w:val="0"/>
          </w:tcPr>
          <w:p w14:paraId="638E2DB4">
            <w:pPr>
              <w:spacing w:line="360" w:lineRule="auto"/>
              <w:jc w:val="center"/>
              <w:rPr>
                <w:rFonts w:hint="eastAsia" w:ascii="宋体" w:hAnsi="宋体" w:eastAsia="宋体" w:cs="宋体"/>
                <w:color w:val="auto"/>
                <w:sz w:val="24"/>
                <w:szCs w:val="24"/>
                <w:highlight w:val="none"/>
              </w:rPr>
            </w:pPr>
          </w:p>
        </w:tc>
        <w:tc>
          <w:tcPr>
            <w:tcW w:w="2852" w:type="dxa"/>
            <w:noWrap w:val="0"/>
          </w:tcPr>
          <w:p w14:paraId="0847C98E">
            <w:pPr>
              <w:spacing w:line="360" w:lineRule="auto"/>
              <w:jc w:val="center"/>
              <w:rPr>
                <w:rFonts w:hint="eastAsia" w:ascii="宋体" w:hAnsi="宋体" w:eastAsia="宋体" w:cs="宋体"/>
                <w:color w:val="auto"/>
                <w:sz w:val="24"/>
                <w:szCs w:val="24"/>
                <w:highlight w:val="none"/>
              </w:rPr>
            </w:pPr>
          </w:p>
        </w:tc>
        <w:tc>
          <w:tcPr>
            <w:tcW w:w="1308" w:type="dxa"/>
            <w:noWrap w:val="0"/>
          </w:tcPr>
          <w:p w14:paraId="55379593">
            <w:pPr>
              <w:spacing w:line="360" w:lineRule="auto"/>
              <w:jc w:val="center"/>
              <w:rPr>
                <w:rFonts w:hint="eastAsia" w:ascii="宋体" w:hAnsi="宋体" w:eastAsia="宋体" w:cs="宋体"/>
                <w:color w:val="auto"/>
                <w:sz w:val="24"/>
                <w:szCs w:val="24"/>
                <w:highlight w:val="none"/>
              </w:rPr>
            </w:pPr>
          </w:p>
        </w:tc>
        <w:tc>
          <w:tcPr>
            <w:tcW w:w="1173" w:type="dxa"/>
            <w:noWrap w:val="0"/>
          </w:tcPr>
          <w:p w14:paraId="141C47DA">
            <w:pPr>
              <w:spacing w:line="360" w:lineRule="auto"/>
              <w:jc w:val="center"/>
              <w:rPr>
                <w:rFonts w:hint="eastAsia" w:ascii="宋体" w:hAnsi="宋体" w:eastAsia="宋体" w:cs="宋体"/>
                <w:color w:val="auto"/>
                <w:sz w:val="24"/>
                <w:szCs w:val="24"/>
                <w:highlight w:val="none"/>
              </w:rPr>
            </w:pPr>
          </w:p>
        </w:tc>
      </w:tr>
      <w:tr w14:paraId="6AC1E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416F3920">
            <w:pPr>
              <w:spacing w:line="360" w:lineRule="auto"/>
              <w:jc w:val="center"/>
              <w:rPr>
                <w:rFonts w:hint="eastAsia" w:ascii="宋体" w:hAnsi="宋体" w:eastAsia="宋体" w:cs="宋体"/>
                <w:color w:val="auto"/>
                <w:sz w:val="24"/>
                <w:szCs w:val="24"/>
                <w:highlight w:val="none"/>
              </w:rPr>
            </w:pPr>
          </w:p>
        </w:tc>
        <w:tc>
          <w:tcPr>
            <w:tcW w:w="3105" w:type="dxa"/>
            <w:noWrap w:val="0"/>
          </w:tcPr>
          <w:p w14:paraId="19F9143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tcPr>
          <w:p w14:paraId="4E1B7F60">
            <w:pPr>
              <w:spacing w:line="360" w:lineRule="auto"/>
              <w:jc w:val="center"/>
              <w:rPr>
                <w:rFonts w:hint="eastAsia" w:ascii="宋体" w:hAnsi="宋体" w:eastAsia="宋体" w:cs="宋体"/>
                <w:color w:val="auto"/>
                <w:sz w:val="24"/>
                <w:szCs w:val="24"/>
                <w:highlight w:val="none"/>
              </w:rPr>
            </w:pPr>
          </w:p>
        </w:tc>
        <w:tc>
          <w:tcPr>
            <w:tcW w:w="1308" w:type="dxa"/>
            <w:noWrap w:val="0"/>
          </w:tcPr>
          <w:p w14:paraId="2B04C00C">
            <w:pPr>
              <w:spacing w:line="360" w:lineRule="auto"/>
              <w:jc w:val="center"/>
              <w:rPr>
                <w:rFonts w:hint="eastAsia" w:ascii="宋体" w:hAnsi="宋体" w:eastAsia="宋体" w:cs="宋体"/>
                <w:color w:val="auto"/>
                <w:sz w:val="24"/>
                <w:szCs w:val="24"/>
                <w:highlight w:val="none"/>
              </w:rPr>
            </w:pPr>
          </w:p>
        </w:tc>
        <w:tc>
          <w:tcPr>
            <w:tcW w:w="1173" w:type="dxa"/>
            <w:noWrap w:val="0"/>
          </w:tcPr>
          <w:p w14:paraId="50199248">
            <w:pPr>
              <w:spacing w:line="360" w:lineRule="auto"/>
              <w:jc w:val="center"/>
              <w:rPr>
                <w:rFonts w:hint="eastAsia" w:ascii="宋体" w:hAnsi="宋体" w:eastAsia="宋体" w:cs="宋体"/>
                <w:color w:val="auto"/>
                <w:sz w:val="24"/>
                <w:szCs w:val="24"/>
                <w:highlight w:val="none"/>
              </w:rPr>
            </w:pPr>
          </w:p>
        </w:tc>
      </w:tr>
    </w:tbl>
    <w:p w14:paraId="0EC7FA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019098E3">
      <w:pPr>
        <w:spacing w:line="360" w:lineRule="auto"/>
        <w:rPr>
          <w:rFonts w:hint="eastAsia" w:ascii="宋体" w:hAnsi="宋体" w:eastAsia="宋体" w:cs="宋体"/>
          <w:color w:val="auto"/>
          <w:sz w:val="24"/>
          <w:szCs w:val="21"/>
          <w:highlight w:val="none"/>
        </w:rPr>
      </w:pPr>
    </w:p>
    <w:p w14:paraId="2BFA777B">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733C5C4C">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13184D86">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1AE0297B">
      <w:pPr>
        <w:spacing w:line="360" w:lineRule="auto"/>
        <w:rPr>
          <w:rFonts w:hint="eastAsia" w:ascii="宋体" w:hAnsi="宋体" w:eastAsia="宋体" w:cs="宋体"/>
          <w:color w:val="auto"/>
          <w:sz w:val="24"/>
          <w:szCs w:val="21"/>
          <w:highlight w:val="none"/>
        </w:rPr>
      </w:pPr>
    </w:p>
    <w:p w14:paraId="52559BE7">
      <w:pPr>
        <w:spacing w:line="360" w:lineRule="auto"/>
        <w:rPr>
          <w:rFonts w:hint="eastAsia" w:ascii="宋体" w:hAnsi="宋体" w:eastAsia="宋体" w:cs="宋体"/>
          <w:color w:val="auto"/>
          <w:sz w:val="24"/>
          <w:szCs w:val="21"/>
          <w:highlight w:val="none"/>
        </w:rPr>
      </w:pPr>
    </w:p>
    <w:bookmarkEnd w:id="104"/>
    <w:bookmarkEnd w:id="105"/>
    <w:p w14:paraId="624954D2">
      <w:pPr>
        <w:spacing w:line="480" w:lineRule="auto"/>
        <w:rPr>
          <w:rFonts w:hint="eastAsia" w:ascii="宋体" w:hAnsi="宋体" w:eastAsia="宋体" w:cs="宋体"/>
          <w:color w:val="auto"/>
          <w:sz w:val="30"/>
          <w:szCs w:val="21"/>
          <w:highlight w:val="none"/>
        </w:rPr>
      </w:pPr>
    </w:p>
    <w:p w14:paraId="783E5B14">
      <w:pPr>
        <w:spacing w:line="480" w:lineRule="auto"/>
        <w:rPr>
          <w:rFonts w:hint="eastAsia" w:ascii="宋体" w:hAnsi="宋体" w:eastAsia="宋体" w:cs="宋体"/>
          <w:color w:val="auto"/>
          <w:sz w:val="30"/>
          <w:szCs w:val="21"/>
          <w:highlight w:val="none"/>
        </w:rPr>
      </w:pPr>
    </w:p>
    <w:p w14:paraId="2DE98948">
      <w:pPr>
        <w:rPr>
          <w:rFonts w:hint="eastAsia" w:ascii="宋体" w:hAnsi="宋体" w:eastAsia="宋体" w:cs="宋体"/>
          <w:b/>
          <w:color w:val="auto"/>
          <w:sz w:val="32"/>
          <w:szCs w:val="32"/>
          <w:highlight w:val="none"/>
        </w:rPr>
      </w:pPr>
      <w:bookmarkStart w:id="137" w:name="_Hlt26955066"/>
      <w:bookmarkEnd w:id="137"/>
      <w:bookmarkStart w:id="138" w:name="_格式2__法定代表人授权书"/>
      <w:bookmarkEnd w:id="138"/>
      <w:bookmarkStart w:id="139" w:name="_Hlt26609389"/>
      <w:bookmarkEnd w:id="139"/>
      <w:bookmarkStart w:id="140" w:name="_Hlt26671374"/>
      <w:bookmarkEnd w:id="140"/>
    </w:p>
    <w:p w14:paraId="3C5C4082">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十五、</w:t>
      </w:r>
      <w:r>
        <w:rPr>
          <w:rFonts w:hint="eastAsia" w:ascii="宋体" w:hAnsi="宋体" w:eastAsia="宋体" w:cs="宋体"/>
          <w:iCs/>
          <w:color w:val="auto"/>
          <w:sz w:val="32"/>
          <w:szCs w:val="32"/>
          <w:highlight w:val="none"/>
          <w:u w:val="single"/>
        </w:rPr>
        <w:t>类似项目业绩一览表</w:t>
      </w:r>
    </w:p>
    <w:p w14:paraId="06055B1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5DE5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4DF37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86" w:type="dxa"/>
            <w:noWrap w:val="0"/>
            <w:vAlign w:val="center"/>
          </w:tcPr>
          <w:p w14:paraId="5088AE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50" w:type="dxa"/>
            <w:noWrap w:val="0"/>
            <w:vAlign w:val="center"/>
          </w:tcPr>
          <w:p w14:paraId="7AD9CF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985" w:type="dxa"/>
            <w:noWrap w:val="0"/>
            <w:vAlign w:val="center"/>
          </w:tcPr>
          <w:p w14:paraId="2E097D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309" w:type="dxa"/>
            <w:noWrap w:val="0"/>
            <w:vAlign w:val="center"/>
          </w:tcPr>
          <w:p w14:paraId="46F112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主要标的</w:t>
            </w:r>
          </w:p>
        </w:tc>
      </w:tr>
      <w:tr w14:paraId="0B31A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9F38D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86" w:type="dxa"/>
            <w:noWrap w:val="0"/>
            <w:vAlign w:val="center"/>
          </w:tcPr>
          <w:p w14:paraId="7C734F9D">
            <w:pPr>
              <w:jc w:val="center"/>
              <w:rPr>
                <w:rFonts w:hint="eastAsia" w:ascii="宋体" w:hAnsi="宋体" w:eastAsia="宋体" w:cs="宋体"/>
                <w:color w:val="auto"/>
                <w:sz w:val="24"/>
                <w:szCs w:val="24"/>
                <w:highlight w:val="none"/>
              </w:rPr>
            </w:pPr>
          </w:p>
        </w:tc>
        <w:tc>
          <w:tcPr>
            <w:tcW w:w="1850" w:type="dxa"/>
            <w:noWrap w:val="0"/>
            <w:vAlign w:val="top"/>
          </w:tcPr>
          <w:p w14:paraId="2C512C83">
            <w:pPr>
              <w:jc w:val="center"/>
              <w:rPr>
                <w:rFonts w:hint="eastAsia" w:ascii="宋体" w:hAnsi="宋体" w:eastAsia="宋体" w:cs="宋体"/>
                <w:color w:val="auto"/>
                <w:sz w:val="24"/>
                <w:szCs w:val="24"/>
                <w:highlight w:val="none"/>
              </w:rPr>
            </w:pPr>
          </w:p>
        </w:tc>
        <w:tc>
          <w:tcPr>
            <w:tcW w:w="1985" w:type="dxa"/>
            <w:noWrap w:val="0"/>
            <w:vAlign w:val="center"/>
          </w:tcPr>
          <w:p w14:paraId="6A533A19">
            <w:pPr>
              <w:jc w:val="center"/>
              <w:rPr>
                <w:rFonts w:hint="eastAsia" w:ascii="宋体" w:hAnsi="宋体" w:eastAsia="宋体" w:cs="宋体"/>
                <w:color w:val="auto"/>
                <w:sz w:val="24"/>
                <w:szCs w:val="24"/>
                <w:highlight w:val="none"/>
              </w:rPr>
            </w:pPr>
          </w:p>
        </w:tc>
        <w:tc>
          <w:tcPr>
            <w:tcW w:w="1309" w:type="dxa"/>
            <w:noWrap w:val="0"/>
            <w:vAlign w:val="center"/>
          </w:tcPr>
          <w:p w14:paraId="6ED63536">
            <w:pPr>
              <w:jc w:val="center"/>
              <w:rPr>
                <w:rFonts w:hint="eastAsia" w:ascii="宋体" w:hAnsi="宋体" w:eastAsia="宋体" w:cs="宋体"/>
                <w:color w:val="auto"/>
                <w:sz w:val="24"/>
                <w:szCs w:val="24"/>
                <w:highlight w:val="none"/>
              </w:rPr>
            </w:pPr>
          </w:p>
        </w:tc>
      </w:tr>
      <w:tr w14:paraId="7A19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14879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86" w:type="dxa"/>
            <w:noWrap w:val="0"/>
            <w:vAlign w:val="center"/>
          </w:tcPr>
          <w:p w14:paraId="63A9CE9D">
            <w:pPr>
              <w:jc w:val="center"/>
              <w:rPr>
                <w:rFonts w:hint="eastAsia" w:ascii="宋体" w:hAnsi="宋体" w:eastAsia="宋体" w:cs="宋体"/>
                <w:color w:val="auto"/>
                <w:sz w:val="24"/>
                <w:szCs w:val="24"/>
                <w:highlight w:val="none"/>
              </w:rPr>
            </w:pPr>
          </w:p>
        </w:tc>
        <w:tc>
          <w:tcPr>
            <w:tcW w:w="1850" w:type="dxa"/>
            <w:noWrap w:val="0"/>
            <w:vAlign w:val="top"/>
          </w:tcPr>
          <w:p w14:paraId="0F957B58">
            <w:pPr>
              <w:jc w:val="center"/>
              <w:rPr>
                <w:rFonts w:hint="eastAsia" w:ascii="宋体" w:hAnsi="宋体" w:eastAsia="宋体" w:cs="宋体"/>
                <w:color w:val="auto"/>
                <w:sz w:val="24"/>
                <w:szCs w:val="24"/>
                <w:highlight w:val="none"/>
              </w:rPr>
            </w:pPr>
          </w:p>
        </w:tc>
        <w:tc>
          <w:tcPr>
            <w:tcW w:w="1985" w:type="dxa"/>
            <w:noWrap w:val="0"/>
            <w:vAlign w:val="center"/>
          </w:tcPr>
          <w:p w14:paraId="73823773">
            <w:pPr>
              <w:jc w:val="center"/>
              <w:rPr>
                <w:rFonts w:hint="eastAsia" w:ascii="宋体" w:hAnsi="宋体" w:eastAsia="宋体" w:cs="宋体"/>
                <w:color w:val="auto"/>
                <w:sz w:val="24"/>
                <w:szCs w:val="24"/>
                <w:highlight w:val="none"/>
              </w:rPr>
            </w:pPr>
          </w:p>
        </w:tc>
        <w:tc>
          <w:tcPr>
            <w:tcW w:w="1309" w:type="dxa"/>
            <w:noWrap w:val="0"/>
            <w:vAlign w:val="center"/>
          </w:tcPr>
          <w:p w14:paraId="700847B0">
            <w:pPr>
              <w:jc w:val="center"/>
              <w:rPr>
                <w:rFonts w:hint="eastAsia" w:ascii="宋体" w:hAnsi="宋体" w:eastAsia="宋体" w:cs="宋体"/>
                <w:color w:val="auto"/>
                <w:sz w:val="24"/>
                <w:szCs w:val="24"/>
                <w:highlight w:val="none"/>
              </w:rPr>
            </w:pPr>
          </w:p>
        </w:tc>
      </w:tr>
      <w:tr w14:paraId="6F1B0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B1E8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86" w:type="dxa"/>
            <w:noWrap w:val="0"/>
            <w:vAlign w:val="center"/>
          </w:tcPr>
          <w:p w14:paraId="77616F3E">
            <w:pPr>
              <w:jc w:val="center"/>
              <w:rPr>
                <w:rFonts w:hint="eastAsia" w:ascii="宋体" w:hAnsi="宋体" w:eastAsia="宋体" w:cs="宋体"/>
                <w:color w:val="auto"/>
                <w:sz w:val="24"/>
                <w:szCs w:val="24"/>
                <w:highlight w:val="none"/>
              </w:rPr>
            </w:pPr>
          </w:p>
        </w:tc>
        <w:tc>
          <w:tcPr>
            <w:tcW w:w="1850" w:type="dxa"/>
            <w:noWrap w:val="0"/>
            <w:vAlign w:val="top"/>
          </w:tcPr>
          <w:p w14:paraId="639B82CF">
            <w:pPr>
              <w:jc w:val="center"/>
              <w:rPr>
                <w:rFonts w:hint="eastAsia" w:ascii="宋体" w:hAnsi="宋体" w:eastAsia="宋体" w:cs="宋体"/>
                <w:color w:val="auto"/>
                <w:sz w:val="24"/>
                <w:szCs w:val="24"/>
                <w:highlight w:val="none"/>
              </w:rPr>
            </w:pPr>
          </w:p>
        </w:tc>
        <w:tc>
          <w:tcPr>
            <w:tcW w:w="1985" w:type="dxa"/>
            <w:noWrap w:val="0"/>
            <w:vAlign w:val="center"/>
          </w:tcPr>
          <w:p w14:paraId="31E053BA">
            <w:pPr>
              <w:jc w:val="center"/>
              <w:rPr>
                <w:rFonts w:hint="eastAsia" w:ascii="宋体" w:hAnsi="宋体" w:eastAsia="宋体" w:cs="宋体"/>
                <w:color w:val="auto"/>
                <w:sz w:val="24"/>
                <w:szCs w:val="24"/>
                <w:highlight w:val="none"/>
              </w:rPr>
            </w:pPr>
          </w:p>
        </w:tc>
        <w:tc>
          <w:tcPr>
            <w:tcW w:w="1309" w:type="dxa"/>
            <w:noWrap w:val="0"/>
            <w:vAlign w:val="center"/>
          </w:tcPr>
          <w:p w14:paraId="22D6B1D1">
            <w:pPr>
              <w:jc w:val="center"/>
              <w:rPr>
                <w:rFonts w:hint="eastAsia" w:ascii="宋体" w:hAnsi="宋体" w:eastAsia="宋体" w:cs="宋体"/>
                <w:color w:val="auto"/>
                <w:sz w:val="24"/>
                <w:szCs w:val="24"/>
                <w:highlight w:val="none"/>
              </w:rPr>
            </w:pPr>
          </w:p>
        </w:tc>
      </w:tr>
      <w:tr w14:paraId="0B2C8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00001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86" w:type="dxa"/>
            <w:noWrap w:val="0"/>
            <w:vAlign w:val="center"/>
          </w:tcPr>
          <w:p w14:paraId="18135522">
            <w:pPr>
              <w:jc w:val="center"/>
              <w:rPr>
                <w:rFonts w:hint="eastAsia" w:ascii="宋体" w:hAnsi="宋体" w:eastAsia="宋体" w:cs="宋体"/>
                <w:color w:val="auto"/>
                <w:sz w:val="24"/>
                <w:szCs w:val="24"/>
                <w:highlight w:val="none"/>
              </w:rPr>
            </w:pPr>
          </w:p>
        </w:tc>
        <w:tc>
          <w:tcPr>
            <w:tcW w:w="1850" w:type="dxa"/>
            <w:noWrap w:val="0"/>
            <w:vAlign w:val="top"/>
          </w:tcPr>
          <w:p w14:paraId="29729B60">
            <w:pPr>
              <w:jc w:val="center"/>
              <w:rPr>
                <w:rFonts w:hint="eastAsia" w:ascii="宋体" w:hAnsi="宋体" w:eastAsia="宋体" w:cs="宋体"/>
                <w:color w:val="auto"/>
                <w:sz w:val="24"/>
                <w:szCs w:val="24"/>
                <w:highlight w:val="none"/>
              </w:rPr>
            </w:pPr>
          </w:p>
        </w:tc>
        <w:tc>
          <w:tcPr>
            <w:tcW w:w="1985" w:type="dxa"/>
            <w:noWrap w:val="0"/>
            <w:vAlign w:val="center"/>
          </w:tcPr>
          <w:p w14:paraId="299F9899">
            <w:pPr>
              <w:jc w:val="center"/>
              <w:rPr>
                <w:rFonts w:hint="eastAsia" w:ascii="宋体" w:hAnsi="宋体" w:eastAsia="宋体" w:cs="宋体"/>
                <w:color w:val="auto"/>
                <w:sz w:val="24"/>
                <w:szCs w:val="24"/>
                <w:highlight w:val="none"/>
              </w:rPr>
            </w:pPr>
          </w:p>
        </w:tc>
        <w:tc>
          <w:tcPr>
            <w:tcW w:w="1309" w:type="dxa"/>
            <w:noWrap w:val="0"/>
            <w:vAlign w:val="center"/>
          </w:tcPr>
          <w:p w14:paraId="1381C41B">
            <w:pPr>
              <w:jc w:val="center"/>
              <w:rPr>
                <w:rFonts w:hint="eastAsia" w:ascii="宋体" w:hAnsi="宋体" w:eastAsia="宋体" w:cs="宋体"/>
                <w:color w:val="auto"/>
                <w:sz w:val="24"/>
                <w:szCs w:val="24"/>
                <w:highlight w:val="none"/>
              </w:rPr>
            </w:pPr>
          </w:p>
        </w:tc>
      </w:tr>
    </w:tbl>
    <w:p w14:paraId="4E2FAAB5">
      <w:pPr>
        <w:spacing w:line="500" w:lineRule="exact"/>
        <w:ind w:firstLine="480"/>
        <w:rPr>
          <w:rFonts w:hint="eastAsia" w:ascii="宋体" w:hAnsi="宋体" w:eastAsia="宋体" w:cs="宋体"/>
          <w:color w:val="auto"/>
          <w:sz w:val="24"/>
          <w:szCs w:val="24"/>
          <w:highlight w:val="none"/>
        </w:rPr>
      </w:pPr>
    </w:p>
    <w:p w14:paraId="7319AFC5">
      <w:pPr>
        <w:spacing w:line="500" w:lineRule="exact"/>
        <w:ind w:firstLine="480"/>
        <w:rPr>
          <w:rFonts w:hint="eastAsia" w:ascii="宋体" w:hAnsi="宋体" w:eastAsia="宋体" w:cs="宋体"/>
          <w:color w:val="auto"/>
          <w:sz w:val="24"/>
          <w:szCs w:val="24"/>
          <w:highlight w:val="none"/>
        </w:rPr>
      </w:pPr>
    </w:p>
    <w:p w14:paraId="1B5B03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w:t>
      </w:r>
    </w:p>
    <w:p w14:paraId="164595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42C6DD1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9652ED">
      <w:pPr>
        <w:rPr>
          <w:rFonts w:hint="eastAsia" w:ascii="宋体" w:hAnsi="宋体" w:eastAsia="宋体" w:cs="宋体"/>
          <w:b/>
          <w:color w:val="auto"/>
          <w:sz w:val="32"/>
          <w:szCs w:val="32"/>
          <w:highlight w:val="none"/>
        </w:rPr>
      </w:pPr>
    </w:p>
    <w:p w14:paraId="3902D300">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bookmarkStart w:id="141" w:name="_Toc5862"/>
      <w:bookmarkStart w:id="142" w:name="_Toc32402"/>
      <w:bookmarkStart w:id="143" w:name="_Toc29325"/>
      <w:bookmarkStart w:id="144" w:name="_Toc3159"/>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六</w:t>
      </w:r>
      <w:r>
        <w:rPr>
          <w:rFonts w:hint="eastAsia" w:ascii="宋体" w:hAnsi="宋体" w:eastAsia="宋体" w:cs="宋体"/>
          <w:iCs/>
          <w:color w:val="auto"/>
          <w:sz w:val="32"/>
          <w:szCs w:val="32"/>
          <w:highlight w:val="none"/>
          <w:u w:val="single"/>
        </w:rPr>
        <w:t>、开标一览表</w:t>
      </w:r>
      <w:bookmarkEnd w:id="141"/>
      <w:bookmarkEnd w:id="142"/>
      <w:bookmarkEnd w:id="143"/>
      <w:bookmarkEnd w:id="144"/>
    </w:p>
    <w:p w14:paraId="57F6922C">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全称（盖章）：</w:t>
      </w:r>
    </w:p>
    <w:p w14:paraId="4E771FC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4BD1A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0CFCEC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p>
    <w:tbl>
      <w:tblPr>
        <w:tblStyle w:val="36"/>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47B5F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481" w:type="dxa"/>
            <w:noWrap w:val="0"/>
            <w:vAlign w:val="center"/>
          </w:tcPr>
          <w:p w14:paraId="6DA44A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投标货物名称</w:t>
            </w:r>
          </w:p>
        </w:tc>
        <w:tc>
          <w:tcPr>
            <w:tcW w:w="6405" w:type="dxa"/>
            <w:noWrap w:val="0"/>
            <w:vAlign w:val="center"/>
          </w:tcPr>
          <w:p w14:paraId="647377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总价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lang w:eastAsia="zh-CN"/>
              </w:rPr>
              <w:t>）</w:t>
            </w:r>
          </w:p>
        </w:tc>
      </w:tr>
      <w:tr w14:paraId="5380E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0514004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1"/>
                <w:highlight w:val="none"/>
              </w:rPr>
            </w:pPr>
          </w:p>
        </w:tc>
        <w:tc>
          <w:tcPr>
            <w:tcW w:w="6405" w:type="dxa"/>
            <w:noWrap w:val="0"/>
            <w:vAlign w:val="center"/>
          </w:tcPr>
          <w:p w14:paraId="3CB89850">
            <w:pPr>
              <w:keepNext w:val="0"/>
              <w:keepLines w:val="0"/>
              <w:pageBreakBefore w:val="0"/>
              <w:widowControl w:val="0"/>
              <w:kinsoku/>
              <w:wordWrap/>
              <w:overflowPunct/>
              <w:topLinePunct w:val="0"/>
              <w:autoSpaceDE/>
              <w:autoSpaceDN/>
              <w:bidi w:val="0"/>
              <w:adjustRightInd/>
              <w:snapToGrid/>
              <w:spacing w:line="440" w:lineRule="exact"/>
              <w:ind w:firstLine="96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185A5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549CA1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核心产品</w:t>
            </w:r>
          </w:p>
        </w:tc>
        <w:tc>
          <w:tcPr>
            <w:tcW w:w="6405" w:type="dxa"/>
            <w:noWrap w:val="0"/>
            <w:vAlign w:val="center"/>
          </w:tcPr>
          <w:p w14:paraId="6B418D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r>
    </w:tbl>
    <w:p w14:paraId="780D75DB">
      <w:pPr>
        <w:spacing w:line="360" w:lineRule="auto"/>
        <w:rPr>
          <w:rFonts w:hint="eastAsia" w:ascii="宋体" w:hAnsi="宋体" w:eastAsia="宋体" w:cs="宋体"/>
          <w:color w:val="auto"/>
          <w:sz w:val="24"/>
          <w:szCs w:val="24"/>
          <w:highlight w:val="none"/>
        </w:rPr>
      </w:pPr>
    </w:p>
    <w:p w14:paraId="1436FA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F02646">
      <w:pPr>
        <w:spacing w:line="360" w:lineRule="auto"/>
        <w:rPr>
          <w:rFonts w:hint="eastAsia" w:ascii="宋体" w:hAnsi="宋体" w:eastAsia="宋体" w:cs="宋体"/>
          <w:b/>
          <w:color w:val="auto"/>
          <w:sz w:val="32"/>
          <w:szCs w:val="32"/>
          <w:highlight w:val="none"/>
        </w:rPr>
      </w:pPr>
    </w:p>
    <w:p w14:paraId="59638BE7">
      <w:pPr>
        <w:spacing w:line="360" w:lineRule="auto"/>
        <w:ind w:firstLine="480"/>
        <w:rPr>
          <w:rFonts w:hint="eastAsia" w:ascii="宋体" w:hAnsi="宋体" w:eastAsia="宋体" w:cs="宋体"/>
          <w:color w:val="auto"/>
          <w:sz w:val="24"/>
          <w:szCs w:val="24"/>
          <w:highlight w:val="none"/>
        </w:rPr>
      </w:pPr>
    </w:p>
    <w:p w14:paraId="1313AE4C">
      <w:pPr>
        <w:spacing w:line="360" w:lineRule="auto"/>
        <w:ind w:firstLine="480"/>
        <w:rPr>
          <w:rFonts w:hint="eastAsia" w:ascii="宋体" w:hAnsi="宋体" w:eastAsia="宋体" w:cs="宋体"/>
          <w:color w:val="auto"/>
          <w:sz w:val="24"/>
          <w:szCs w:val="24"/>
          <w:highlight w:val="none"/>
        </w:rPr>
      </w:pPr>
    </w:p>
    <w:p w14:paraId="5297AE48">
      <w:pPr>
        <w:ind w:firstLine="480"/>
        <w:rPr>
          <w:rFonts w:hint="eastAsia" w:ascii="宋体" w:hAnsi="宋体" w:eastAsia="宋体" w:cs="宋体"/>
          <w:color w:val="auto"/>
          <w:sz w:val="24"/>
          <w:szCs w:val="24"/>
          <w:highlight w:val="none"/>
        </w:rPr>
      </w:pPr>
    </w:p>
    <w:p w14:paraId="462201D7">
      <w:pPr>
        <w:ind w:firstLine="480"/>
        <w:rPr>
          <w:rFonts w:hint="eastAsia" w:ascii="宋体" w:hAnsi="宋体" w:eastAsia="宋体" w:cs="宋体"/>
          <w:color w:val="auto"/>
          <w:sz w:val="24"/>
          <w:szCs w:val="24"/>
          <w:highlight w:val="none"/>
        </w:rPr>
      </w:pPr>
    </w:p>
    <w:p w14:paraId="6CDC94BE">
      <w:pPr>
        <w:pStyle w:val="307"/>
        <w:rPr>
          <w:rFonts w:hint="eastAsia" w:ascii="宋体" w:hAnsi="宋体" w:eastAsia="宋体" w:cs="宋体"/>
          <w:color w:val="auto"/>
          <w:highlight w:val="none"/>
        </w:rPr>
      </w:pPr>
    </w:p>
    <w:p w14:paraId="3C5804E4">
      <w:pPr>
        <w:pStyle w:val="307"/>
        <w:rPr>
          <w:rFonts w:hint="eastAsia" w:ascii="宋体" w:hAnsi="宋体" w:eastAsia="宋体" w:cs="宋体"/>
          <w:color w:val="auto"/>
          <w:highlight w:val="none"/>
        </w:rPr>
      </w:pPr>
    </w:p>
    <w:p w14:paraId="46E28F60">
      <w:pPr>
        <w:pStyle w:val="307"/>
        <w:rPr>
          <w:rFonts w:hint="eastAsia" w:ascii="宋体" w:hAnsi="宋体" w:eastAsia="宋体" w:cs="宋体"/>
          <w:color w:val="auto"/>
          <w:highlight w:val="none"/>
        </w:rPr>
      </w:pPr>
    </w:p>
    <w:p w14:paraId="4D44A7BF">
      <w:pPr>
        <w:ind w:firstLine="480"/>
        <w:rPr>
          <w:rFonts w:hint="eastAsia" w:ascii="宋体" w:hAnsi="宋体" w:eastAsia="宋体" w:cs="宋体"/>
          <w:color w:val="auto"/>
          <w:sz w:val="24"/>
          <w:szCs w:val="24"/>
          <w:highlight w:val="none"/>
        </w:rPr>
      </w:pPr>
    </w:p>
    <w:p w14:paraId="054656C3">
      <w:pPr>
        <w:ind w:firstLine="480"/>
        <w:rPr>
          <w:rFonts w:hint="eastAsia" w:ascii="宋体" w:hAnsi="宋体" w:eastAsia="宋体" w:cs="宋体"/>
          <w:color w:val="auto"/>
          <w:sz w:val="24"/>
          <w:szCs w:val="24"/>
          <w:highlight w:val="none"/>
        </w:rPr>
      </w:pPr>
    </w:p>
    <w:p w14:paraId="40D443C5">
      <w:pPr>
        <w:jc w:val="center"/>
        <w:rPr>
          <w:rFonts w:hint="eastAsia" w:ascii="宋体" w:hAnsi="宋体" w:eastAsia="宋体" w:cs="宋体"/>
          <w:b/>
          <w:bCs/>
          <w:color w:val="auto"/>
          <w:sz w:val="32"/>
          <w:szCs w:val="32"/>
          <w:highlight w:val="none"/>
        </w:rPr>
      </w:pPr>
    </w:p>
    <w:p w14:paraId="74690C8E">
      <w:pPr>
        <w:pStyle w:val="307"/>
        <w:rPr>
          <w:rFonts w:hint="eastAsia" w:ascii="宋体" w:hAnsi="宋体" w:eastAsia="宋体" w:cs="宋体"/>
          <w:b/>
          <w:bCs/>
          <w:color w:val="auto"/>
          <w:sz w:val="32"/>
          <w:szCs w:val="32"/>
          <w:highlight w:val="none"/>
        </w:rPr>
      </w:pPr>
    </w:p>
    <w:p w14:paraId="4B2599A3">
      <w:pPr>
        <w:keepNext/>
        <w:keepLines/>
        <w:spacing w:before="260" w:after="260" w:line="416" w:lineRule="auto"/>
        <w:jc w:val="center"/>
        <w:outlineLvl w:val="1"/>
        <w:rPr>
          <w:rFonts w:hint="eastAsia" w:ascii="宋体" w:hAnsi="宋体" w:eastAsia="宋体" w:cs="宋体"/>
          <w:i/>
          <w:color w:val="auto"/>
          <w:sz w:val="32"/>
          <w:szCs w:val="32"/>
          <w:highlight w:val="none"/>
          <w:u w:val="single"/>
        </w:rPr>
      </w:pPr>
      <w:bookmarkStart w:id="145" w:name="_Toc21690"/>
      <w:bookmarkStart w:id="146" w:name="_Toc1791"/>
      <w:bookmarkStart w:id="147" w:name="_Toc2804"/>
      <w:bookmarkStart w:id="148" w:name="_Toc9165"/>
    </w:p>
    <w:p w14:paraId="7041938F">
      <w:pPr>
        <w:pStyle w:val="308"/>
        <w:rPr>
          <w:rFonts w:hint="eastAsia" w:ascii="宋体" w:hAnsi="宋体" w:eastAsia="宋体" w:cs="宋体"/>
          <w:i/>
          <w:color w:val="auto"/>
          <w:sz w:val="32"/>
          <w:szCs w:val="32"/>
          <w:highlight w:val="none"/>
          <w:u w:val="single"/>
        </w:rPr>
      </w:pPr>
    </w:p>
    <w:p w14:paraId="786FEA00">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p>
    <w:bookmarkEnd w:id="145"/>
    <w:bookmarkEnd w:id="146"/>
    <w:bookmarkEnd w:id="147"/>
    <w:bookmarkEnd w:id="148"/>
    <w:p w14:paraId="58350610">
      <w:pPr>
        <w:pStyle w:val="307"/>
        <w:keepNext w:val="0"/>
        <w:keepLines w:val="0"/>
        <w:pageBreakBefore/>
        <w:widowControl w:val="0"/>
        <w:kinsoku/>
        <w:wordWrap/>
        <w:overflowPunct/>
        <w:topLinePunct w:val="0"/>
        <w:autoSpaceDE/>
        <w:autoSpaceDN/>
        <w:bidi w:val="0"/>
        <w:adjustRightInd/>
        <w:snapToGrid/>
        <w:jc w:val="center"/>
        <w:textAlignment w:val="auto"/>
        <w:rPr>
          <w:rFonts w:hint="eastAsia" w:ascii="宋体" w:hAnsi="宋体" w:eastAsia="宋体" w:cs="宋体"/>
          <w:iCs/>
          <w:color w:val="auto"/>
          <w:sz w:val="32"/>
          <w:szCs w:val="32"/>
          <w:highlight w:val="none"/>
          <w:u w:val="single"/>
        </w:rPr>
      </w:pPr>
      <w:bookmarkStart w:id="149" w:name="_Toc5271"/>
      <w:bookmarkStart w:id="150" w:name="_Toc2861"/>
      <w:bookmarkStart w:id="151" w:name="_Toc15108"/>
      <w:bookmarkStart w:id="152" w:name="_Toc3639"/>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七</w:t>
      </w:r>
      <w:r>
        <w:rPr>
          <w:rFonts w:hint="eastAsia" w:ascii="宋体" w:hAnsi="宋体" w:eastAsia="宋体" w:cs="宋体"/>
          <w:iCs/>
          <w:color w:val="auto"/>
          <w:sz w:val="32"/>
          <w:szCs w:val="32"/>
          <w:highlight w:val="none"/>
          <w:u w:val="single"/>
        </w:rPr>
        <w:t>、</w:t>
      </w:r>
      <w:bookmarkEnd w:id="149"/>
      <w:bookmarkEnd w:id="150"/>
      <w:bookmarkEnd w:id="151"/>
      <w:bookmarkEnd w:id="152"/>
      <w:r>
        <w:rPr>
          <w:rFonts w:hint="eastAsia" w:ascii="宋体" w:hAnsi="宋体" w:eastAsia="宋体" w:cs="宋体"/>
          <w:iCs/>
          <w:color w:val="auto"/>
          <w:sz w:val="32"/>
          <w:szCs w:val="32"/>
          <w:highlight w:val="none"/>
          <w:u w:val="single"/>
        </w:rPr>
        <w:t>其他材料</w:t>
      </w:r>
    </w:p>
    <w:p w14:paraId="7427450B">
      <w:pPr>
        <w:pStyle w:val="307"/>
        <w:rPr>
          <w:rFonts w:hint="eastAsia" w:ascii="宋体" w:hAnsi="宋体" w:eastAsia="宋体" w:cs="宋体"/>
          <w:i/>
          <w:color w:val="auto"/>
          <w:sz w:val="32"/>
          <w:szCs w:val="32"/>
          <w:highlight w:val="none"/>
          <w:u w:val="single"/>
        </w:rPr>
      </w:pPr>
    </w:p>
    <w:p w14:paraId="366A05EE">
      <w:pPr>
        <w:spacing w:line="336" w:lineRule="auto"/>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（请按招标文件要求提供的实施方案、培训方案、</w:t>
      </w:r>
      <w:r>
        <w:rPr>
          <w:rFonts w:hint="eastAsia" w:ascii="宋体" w:hAnsi="宋体" w:eastAsia="宋体" w:cs="宋体"/>
          <w:color w:val="auto"/>
          <w:sz w:val="24"/>
          <w:highlight w:val="none"/>
        </w:rPr>
        <w:t>售后服务方案</w:t>
      </w:r>
      <w:r>
        <w:rPr>
          <w:rFonts w:hint="eastAsia" w:ascii="宋体" w:hAnsi="宋体" w:eastAsia="宋体" w:cs="宋体"/>
          <w:color w:val="auto"/>
          <w:sz w:val="24"/>
          <w:szCs w:val="24"/>
          <w:highlight w:val="none"/>
        </w:rPr>
        <w:t>及其他要求编制，格式自定）</w:t>
      </w:r>
    </w:p>
    <w:p w14:paraId="5CC47E45">
      <w:pPr>
        <w:pStyle w:val="307"/>
        <w:rPr>
          <w:rFonts w:hint="eastAsia" w:ascii="宋体" w:hAnsi="宋体" w:eastAsia="宋体" w:cs="宋体"/>
          <w:b/>
          <w:bCs/>
          <w:color w:val="auto"/>
          <w:sz w:val="32"/>
          <w:szCs w:val="32"/>
          <w:highlight w:val="none"/>
        </w:rPr>
      </w:pPr>
    </w:p>
    <w:p w14:paraId="27C1F97D">
      <w:pPr>
        <w:jc w:val="center"/>
        <w:rPr>
          <w:rFonts w:hint="eastAsia" w:ascii="宋体" w:hAnsi="宋体" w:eastAsia="宋体" w:cs="宋体"/>
          <w:b/>
          <w:bCs/>
          <w:color w:val="auto"/>
          <w:sz w:val="32"/>
          <w:szCs w:val="32"/>
          <w:highlight w:val="none"/>
        </w:rPr>
      </w:pPr>
    </w:p>
    <w:p w14:paraId="7999CAC6">
      <w:pPr>
        <w:spacing w:line="336" w:lineRule="auto"/>
        <w:jc w:val="left"/>
        <w:rPr>
          <w:rFonts w:hint="eastAsia" w:ascii="宋体" w:hAnsi="宋体" w:eastAsia="宋体" w:cs="宋体"/>
          <w:b/>
          <w:bCs/>
          <w:color w:val="auto"/>
          <w:sz w:val="32"/>
          <w:szCs w:val="32"/>
          <w:highlight w:val="none"/>
        </w:rPr>
      </w:pPr>
    </w:p>
    <w:p w14:paraId="29BD1F4F">
      <w:pPr>
        <w:jc w:val="center"/>
        <w:rPr>
          <w:rFonts w:hint="eastAsia" w:ascii="宋体" w:hAnsi="宋体" w:eastAsia="宋体" w:cs="宋体"/>
          <w:b/>
          <w:bCs/>
          <w:color w:val="auto"/>
          <w:sz w:val="32"/>
          <w:szCs w:val="32"/>
          <w:highlight w:val="none"/>
        </w:rPr>
      </w:pPr>
    </w:p>
    <w:p w14:paraId="7616C3B0">
      <w:pPr>
        <w:jc w:val="center"/>
        <w:rPr>
          <w:rFonts w:hint="eastAsia" w:ascii="宋体" w:hAnsi="宋体" w:eastAsia="宋体" w:cs="宋体"/>
          <w:b/>
          <w:bCs/>
          <w:color w:val="auto"/>
          <w:sz w:val="32"/>
          <w:szCs w:val="32"/>
          <w:highlight w:val="none"/>
        </w:rPr>
      </w:pPr>
    </w:p>
    <w:p w14:paraId="05F0A377">
      <w:pPr>
        <w:jc w:val="center"/>
        <w:rPr>
          <w:rFonts w:hint="eastAsia" w:ascii="宋体" w:hAnsi="宋体" w:eastAsia="宋体" w:cs="宋体"/>
          <w:b/>
          <w:bCs/>
          <w:color w:val="auto"/>
          <w:sz w:val="32"/>
          <w:szCs w:val="32"/>
          <w:highlight w:val="none"/>
        </w:rPr>
      </w:pPr>
    </w:p>
    <w:p w14:paraId="21FCC23A">
      <w:pPr>
        <w:pStyle w:val="307"/>
        <w:rPr>
          <w:rFonts w:hint="eastAsia" w:ascii="宋体" w:hAnsi="宋体" w:eastAsia="宋体" w:cs="宋体"/>
          <w:b/>
          <w:bCs/>
          <w:color w:val="auto"/>
          <w:sz w:val="32"/>
          <w:szCs w:val="32"/>
          <w:highlight w:val="none"/>
        </w:rPr>
      </w:pPr>
    </w:p>
    <w:p w14:paraId="284AD4FA">
      <w:pPr>
        <w:pStyle w:val="307"/>
        <w:rPr>
          <w:rFonts w:hint="eastAsia" w:ascii="宋体" w:hAnsi="宋体" w:eastAsia="宋体" w:cs="宋体"/>
          <w:b/>
          <w:bCs/>
          <w:color w:val="auto"/>
          <w:sz w:val="32"/>
          <w:szCs w:val="32"/>
          <w:highlight w:val="none"/>
        </w:rPr>
      </w:pPr>
    </w:p>
    <w:p w14:paraId="234260C1">
      <w:pPr>
        <w:pStyle w:val="307"/>
        <w:rPr>
          <w:rFonts w:hint="eastAsia" w:ascii="宋体" w:hAnsi="宋体" w:eastAsia="宋体" w:cs="宋体"/>
          <w:b/>
          <w:bCs/>
          <w:color w:val="auto"/>
          <w:sz w:val="32"/>
          <w:szCs w:val="32"/>
          <w:highlight w:val="none"/>
        </w:rPr>
      </w:pPr>
    </w:p>
    <w:p w14:paraId="704B9225">
      <w:pPr>
        <w:pStyle w:val="307"/>
        <w:rPr>
          <w:rFonts w:hint="eastAsia" w:ascii="宋体" w:hAnsi="宋体" w:eastAsia="宋体" w:cs="宋体"/>
          <w:b/>
          <w:bCs/>
          <w:color w:val="auto"/>
          <w:sz w:val="32"/>
          <w:szCs w:val="32"/>
          <w:highlight w:val="none"/>
        </w:rPr>
      </w:pPr>
    </w:p>
    <w:p w14:paraId="0E830E32">
      <w:pPr>
        <w:spacing w:line="520" w:lineRule="exact"/>
        <w:outlineLvl w:val="0"/>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注：</w:t>
      </w:r>
    </w:p>
    <w:p w14:paraId="0FB76EEE">
      <w:pPr>
        <w:spacing w:line="360" w:lineRule="auto"/>
        <w:ind w:firstLine="514"/>
        <w:jc w:val="left"/>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1、本项目的资格评审及评标相关的证明文</w:t>
      </w:r>
      <w:r>
        <w:rPr>
          <w:rFonts w:hint="eastAsia" w:ascii="宋体" w:hAnsi="宋体" w:eastAsia="宋体" w:cs="宋体"/>
          <w:b/>
          <w:bCs/>
          <w:color w:val="auto"/>
          <w:spacing w:val="7"/>
          <w:sz w:val="24"/>
          <w:szCs w:val="24"/>
          <w:highlight w:val="none"/>
        </w:rPr>
        <w:t>件均需提供原件扫描件上传至电子投标</w:t>
      </w:r>
      <w:r>
        <w:rPr>
          <w:rFonts w:hint="eastAsia" w:ascii="宋体" w:hAnsi="宋体" w:eastAsia="宋体" w:cs="宋体"/>
          <w:b/>
          <w:bCs/>
          <w:color w:val="auto"/>
          <w:spacing w:val="8"/>
          <w:sz w:val="24"/>
          <w:szCs w:val="24"/>
          <w:highlight w:val="none"/>
        </w:rPr>
        <w:t>文件中，扫描件需齐全并能清晰辨认且在有效期内，</w:t>
      </w:r>
      <w:r>
        <w:rPr>
          <w:rFonts w:hint="eastAsia" w:ascii="宋体" w:hAnsi="宋体" w:eastAsia="宋体" w:cs="宋体"/>
          <w:b/>
          <w:bCs/>
          <w:color w:val="auto"/>
          <w:spacing w:val="7"/>
          <w:sz w:val="24"/>
          <w:szCs w:val="24"/>
          <w:highlight w:val="none"/>
        </w:rPr>
        <w:t>提供的与评分相关的证明材料必须能清</w:t>
      </w:r>
      <w:r>
        <w:rPr>
          <w:rFonts w:hint="eastAsia" w:ascii="宋体" w:hAnsi="宋体" w:eastAsia="宋体" w:cs="宋体"/>
          <w:b/>
          <w:bCs/>
          <w:color w:val="auto"/>
          <w:spacing w:val="9"/>
          <w:sz w:val="24"/>
          <w:szCs w:val="24"/>
          <w:highlight w:val="none"/>
        </w:rPr>
        <w:t>晰的表明需要明示的内容，否则由此引起后果自行承担。</w:t>
      </w:r>
    </w:p>
    <w:p w14:paraId="47B2CCCE">
      <w:pPr>
        <w:pStyle w:val="356"/>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t>2、若标书制作工具中格式和内容与“江苏政府采购网”发布的采购文件不一致，请以“江苏政府采购网”发布的招标采购文件为准。</w:t>
      </w:r>
    </w:p>
    <w:p w14:paraId="1CB8A8F0">
      <w:pPr>
        <w:pStyle w:val="356"/>
        <w:rPr>
          <w:rFonts w:hint="eastAsia" w:ascii="宋体" w:hAnsi="宋体" w:eastAsia="宋体" w:cs="宋体"/>
          <w:b/>
          <w:bCs/>
          <w:color w:val="auto"/>
          <w:spacing w:val="8"/>
          <w:szCs w:val="24"/>
          <w:highlight w:val="none"/>
        </w:rPr>
      </w:pPr>
    </w:p>
    <w:p w14:paraId="0A858456">
      <w:pPr>
        <w:pStyle w:val="356"/>
        <w:rPr>
          <w:rFonts w:hint="eastAsia" w:ascii="宋体" w:hAnsi="宋体" w:eastAsia="宋体" w:cs="宋体"/>
          <w:b/>
          <w:bCs/>
          <w:color w:val="auto"/>
          <w:spacing w:val="8"/>
          <w:szCs w:val="24"/>
          <w:highlight w:val="none"/>
        </w:rPr>
        <w:sectPr>
          <w:footerReference r:id="rId5" w:type="first"/>
          <w:footerReference r:id="rId4" w:type="default"/>
          <w:pgSz w:w="11906" w:h="16838"/>
          <w:pgMar w:top="1418" w:right="1588" w:bottom="1418" w:left="1365" w:header="851" w:footer="907" w:gutter="0"/>
          <w:pgNumType w:fmt="numberInDash" w:start="1"/>
          <w:cols w:space="1701" w:num="1"/>
          <w:titlePg/>
          <w:docGrid w:linePitch="360" w:charSpace="0"/>
        </w:sectPr>
      </w:pPr>
    </w:p>
    <w:p w14:paraId="07116374">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795268A1">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5773946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3E9E7D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36B2CF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11DFAD5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57C1CC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24CE62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1F400A4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4CDEFE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3B017E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2FE89A5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474124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招标文件获取日期：</w:t>
      </w:r>
      <w:r>
        <w:rPr>
          <w:rFonts w:hint="eastAsia" w:ascii="宋体" w:hAnsi="宋体" w:eastAsia="宋体" w:cs="宋体"/>
          <w:color w:val="auto"/>
          <w:sz w:val="24"/>
          <w:szCs w:val="24"/>
          <w:highlight w:val="none"/>
          <w:u w:val="single"/>
        </w:rPr>
        <w:t xml:space="preserve">                                                        </w:t>
      </w:r>
    </w:p>
    <w:p w14:paraId="2EDF665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0698BA2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573635E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784B312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6511419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4C6D034C">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477B484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CA0AD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FEA595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5561EE1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03CD6F1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279A65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7549BF92">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1BE40181">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7D5FD87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39560C5">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532371F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188D18D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1A664EC">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FABC842">
      <w:pPr>
        <w:ind w:firstLine="420"/>
        <w:rPr>
          <w:rFonts w:hint="eastAsia" w:ascii="宋体" w:hAnsi="宋体" w:eastAsia="宋体" w:cs="宋体"/>
          <w:color w:val="auto"/>
          <w:sz w:val="24"/>
          <w:szCs w:val="24"/>
          <w:highlight w:val="none"/>
        </w:rPr>
      </w:pPr>
    </w:p>
    <w:p w14:paraId="48772B0B">
      <w:pPr>
        <w:ind w:firstLine="420"/>
        <w:rPr>
          <w:rFonts w:hint="eastAsia" w:ascii="宋体" w:hAnsi="宋体" w:eastAsia="宋体" w:cs="宋体"/>
          <w:color w:val="auto"/>
          <w:sz w:val="24"/>
          <w:szCs w:val="24"/>
          <w:highlight w:val="none"/>
        </w:rPr>
      </w:pPr>
    </w:p>
    <w:p w14:paraId="397C3CB7">
      <w:pPr>
        <w:rPr>
          <w:rFonts w:hint="eastAsia" w:ascii="宋体" w:hAnsi="宋体" w:eastAsia="宋体" w:cs="宋体"/>
          <w:color w:val="auto"/>
          <w:highlight w:val="none"/>
        </w:rPr>
      </w:pPr>
    </w:p>
    <w:p w14:paraId="484CAD88">
      <w:pPr>
        <w:rPr>
          <w:rFonts w:hint="eastAsia" w:ascii="宋体" w:hAnsi="宋体" w:eastAsia="宋体" w:cs="宋体"/>
          <w:color w:val="auto"/>
          <w:highlight w:val="none"/>
        </w:rPr>
      </w:pPr>
    </w:p>
    <w:p w14:paraId="00EDE06A">
      <w:pPr>
        <w:rPr>
          <w:rFonts w:hint="eastAsia" w:ascii="宋体" w:hAnsi="宋体" w:eastAsia="宋体" w:cs="宋体"/>
          <w:color w:val="auto"/>
          <w:highlight w:val="none"/>
        </w:rPr>
      </w:pPr>
    </w:p>
    <w:sectPr>
      <w:headerReference r:id="rId6" w:type="default"/>
      <w:footerReference r:id="rId7" w:type="default"/>
      <w:footerReference r:id="rId8" w:type="even"/>
      <w:pgSz w:w="11906" w:h="16838"/>
      <w:pgMar w:top="1418" w:right="1588" w:bottom="1418" w:left="1365" w:header="851" w:footer="907" w:gutter="0"/>
      <w:pgNumType w:fmt="numberInDash"/>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仓耳舒圆体 W03"/>
    <w:panose1 w:val="02020609040205080304"/>
    <w:charset w:val="80"/>
    <w:family w:val="auto"/>
    <w:pitch w:val="default"/>
    <w:sig w:usb0="00000000" w:usb1="00000000" w:usb2="00000010" w:usb3="00000000" w:csb0="4002009F" w:csb1="DFD70000"/>
  </w:font>
  <w:font w:name="仓耳舒圆体 W03">
    <w:panose1 w:val="02020400000000000000"/>
    <w:charset w:val="80"/>
    <w:family w:val="auto"/>
    <w:pitch w:val="default"/>
    <w:sig w:usb0="80000023" w:usb1="08C10458" w:usb2="00000012" w:usb3="00000000" w:csb0="0002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820F">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FA61">
    <w:pPr>
      <w:pStyle w:val="27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68540">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C868540">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0323D">
    <w:pPr>
      <w:pStyle w:val="27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B5CE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8B5CE7">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FC711">
    <w:pPr>
      <w:pStyle w:val="279"/>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52E0B">
                          <w:pPr>
                            <w:pStyle w:val="2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BF52E0B">
                    <w:pPr>
                      <w:pStyle w:val="22"/>
                    </w:pPr>
                    <w:r>
                      <w:fldChar w:fldCharType="begin"/>
                    </w:r>
                    <w:r>
                      <w:instrText xml:space="preserve"> PAGE  \* MERGEFORMAT </w:instrText>
                    </w:r>
                    <w:r>
                      <w:fldChar w:fldCharType="separate"/>
                    </w:r>
                    <w:r>
                      <w:t>60</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805E">
    <w:pPr>
      <w:pStyle w:val="279"/>
      <w:framePr w:wrap="around" w:vAnchor="text" w:hAnchor="margin" w:xAlign="center" w:y="1"/>
      <w:rPr>
        <w:rStyle w:val="303"/>
      </w:rPr>
    </w:pPr>
    <w:r>
      <w:fldChar w:fldCharType="begin"/>
    </w:r>
    <w:r>
      <w:rPr>
        <w:rStyle w:val="303"/>
      </w:rPr>
      <w:instrText xml:space="preserve">PAGE  </w:instrText>
    </w:r>
    <w:r>
      <w:fldChar w:fldCharType="separate"/>
    </w:r>
    <w:r>
      <w:rPr>
        <w:rStyle w:val="303"/>
      </w:rPr>
      <w:t>1</w:t>
    </w:r>
    <w:r>
      <w:fldChar w:fldCharType="end"/>
    </w:r>
  </w:p>
  <w:p w14:paraId="0852B237">
    <w:pPr>
      <w:pStyle w:val="27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93BE0">
    <w:pPr>
      <w:pStyle w:val="28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47"/>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BF205925"/>
    <w:multiLevelType w:val="multilevel"/>
    <w:tmpl w:val="BF205925"/>
    <w:lvl w:ilvl="0" w:tentative="0">
      <w:start w:val="1"/>
      <w:numFmt w:val="decimal"/>
      <w:pStyle w:val="33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309"/>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4">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238AB"/>
    <w:rsid w:val="05A33CFF"/>
    <w:rsid w:val="05AF3B52"/>
    <w:rsid w:val="087F5A5E"/>
    <w:rsid w:val="0B520281"/>
    <w:rsid w:val="0CC735BA"/>
    <w:rsid w:val="0E62026D"/>
    <w:rsid w:val="0E831DA8"/>
    <w:rsid w:val="12912122"/>
    <w:rsid w:val="162A09A9"/>
    <w:rsid w:val="1D4875D2"/>
    <w:rsid w:val="1F1C683F"/>
    <w:rsid w:val="1F7815D1"/>
    <w:rsid w:val="20C75F44"/>
    <w:rsid w:val="22627114"/>
    <w:rsid w:val="24E32EB3"/>
    <w:rsid w:val="28D45A23"/>
    <w:rsid w:val="2C6140CB"/>
    <w:rsid w:val="2C7554C3"/>
    <w:rsid w:val="2F73449E"/>
    <w:rsid w:val="2FAF6FB3"/>
    <w:rsid w:val="300B1FC8"/>
    <w:rsid w:val="30F30F36"/>
    <w:rsid w:val="32AF4883"/>
    <w:rsid w:val="3481598A"/>
    <w:rsid w:val="3A1F3C64"/>
    <w:rsid w:val="3C236125"/>
    <w:rsid w:val="3D0466CC"/>
    <w:rsid w:val="3F1C2147"/>
    <w:rsid w:val="44E95D92"/>
    <w:rsid w:val="48B06F92"/>
    <w:rsid w:val="4C5545D3"/>
    <w:rsid w:val="4D0A33F2"/>
    <w:rsid w:val="519450A8"/>
    <w:rsid w:val="5403660D"/>
    <w:rsid w:val="575C12D8"/>
    <w:rsid w:val="57FC4B74"/>
    <w:rsid w:val="59C86C6C"/>
    <w:rsid w:val="5BB559D6"/>
    <w:rsid w:val="5BF87527"/>
    <w:rsid w:val="5CF8285E"/>
    <w:rsid w:val="5CFA0A20"/>
    <w:rsid w:val="5D230EB4"/>
    <w:rsid w:val="5E563237"/>
    <w:rsid w:val="5E854701"/>
    <w:rsid w:val="5EDE5734"/>
    <w:rsid w:val="60600E46"/>
    <w:rsid w:val="608429D3"/>
    <w:rsid w:val="66722299"/>
    <w:rsid w:val="6CE30E35"/>
    <w:rsid w:val="6D631BA8"/>
    <w:rsid w:val="711279E6"/>
    <w:rsid w:val="73155AC0"/>
    <w:rsid w:val="74F6689D"/>
    <w:rsid w:val="78597F56"/>
    <w:rsid w:val="7A880A6C"/>
    <w:rsid w:val="7BC2247F"/>
    <w:rsid w:val="7E367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8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9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2"/>
    <w:semiHidden/>
    <w:unhideWhenUsed/>
    <w:qFormat/>
    <w:uiPriority w:val="99"/>
    <w:pPr>
      <w:jc w:val="left"/>
    </w:pPr>
  </w:style>
  <w:style w:type="paragraph" w:styleId="14">
    <w:name w:val="Body Text"/>
    <w:basedOn w:val="1"/>
    <w:next w:val="1"/>
    <w:semiHidden/>
    <w:qFormat/>
    <w:uiPriority w:val="0"/>
    <w:rPr>
      <w:rFonts w:ascii="黑体" w:hAnsi="黑体" w:eastAsia="黑体" w:cs="黑体"/>
      <w:sz w:val="21"/>
      <w:szCs w:val="21"/>
      <w:lang w:val="en-US" w:eastAsia="en-US" w:bidi="ar-SA"/>
    </w:rPr>
  </w:style>
  <w:style w:type="paragraph" w:styleId="15">
    <w:name w:val="Body Text Indent"/>
    <w:basedOn w:val="1"/>
    <w:next w:val="16"/>
    <w:qFormat/>
    <w:uiPriority w:val="0"/>
    <w:pPr>
      <w:ind w:firstLine="645"/>
    </w:pPr>
    <w:rPr>
      <w:rFonts w:ascii="楷体_GB2312" w:eastAsia="楷体_GB2312"/>
      <w:sz w:val="32"/>
      <w:szCs w:val="20"/>
    </w:rPr>
  </w:style>
  <w:style w:type="paragraph" w:styleId="16">
    <w:name w:val="envelope return"/>
    <w:basedOn w:val="1"/>
    <w:qFormat/>
    <w:uiPriority w:val="0"/>
    <w:pPr>
      <w:widowControl/>
      <w:spacing w:after="200"/>
      <w:jc w:val="left"/>
    </w:pPr>
    <w:rPr>
      <w:rFonts w:ascii="Arial" w:hAnsi="Arial" w:eastAsia="微软雅黑"/>
      <w:sz w:val="2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pPr>
      <w:spacing w:before="156" w:after="156" w:line="400" w:lineRule="exact"/>
    </w:pPr>
    <w:rPr>
      <w:rFonts w:ascii="宋体" w:hAnsi="Courier New"/>
      <w:sz w:val="24"/>
      <w:szCs w:val="20"/>
    </w:rPr>
  </w:style>
  <w:style w:type="paragraph" w:styleId="20">
    <w:name w:val="toc 8"/>
    <w:basedOn w:val="1"/>
    <w:next w:val="1"/>
    <w:unhideWhenUsed/>
    <w:qFormat/>
    <w:uiPriority w:val="39"/>
    <w:pPr>
      <w:spacing w:after="57"/>
      <w:ind w:left="1984"/>
    </w:pPr>
  </w:style>
  <w:style w:type="paragraph" w:styleId="21">
    <w:name w:val="endnote text"/>
    <w:basedOn w:val="1"/>
    <w:link w:val="231"/>
    <w:semiHidden/>
    <w:unhideWhenUsed/>
    <w:qFormat/>
    <w:uiPriority w:val="99"/>
    <w:rPr>
      <w:sz w:val="20"/>
    </w:rPr>
  </w:style>
  <w:style w:type="paragraph" w:styleId="22">
    <w:name w:val="footer"/>
    <w:basedOn w:val="1"/>
    <w:link w:val="104"/>
    <w:unhideWhenUsed/>
    <w:qFormat/>
    <w:uiPriority w:val="99"/>
    <w:pPr>
      <w:tabs>
        <w:tab w:val="center" w:pos="7143"/>
        <w:tab w:val="right" w:pos="14287"/>
      </w:tabs>
    </w:pPr>
  </w:style>
  <w:style w:type="paragraph" w:styleId="23">
    <w:name w:val="header"/>
    <w:basedOn w:val="1"/>
    <w:link w:val="10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7"/>
    <w:qFormat/>
    <w:uiPriority w:val="11"/>
    <w:pPr>
      <w:spacing w:before="200" w:after="200"/>
    </w:pPr>
    <w:rPr>
      <w:sz w:val="24"/>
      <w:szCs w:val="24"/>
    </w:rPr>
  </w:style>
  <w:style w:type="paragraph" w:styleId="27">
    <w:name w:val="footnote text"/>
    <w:basedOn w:val="1"/>
    <w:link w:val="23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33">
    <w:name w:val="Title"/>
    <w:basedOn w:val="1"/>
    <w:next w:val="1"/>
    <w:link w:val="96"/>
    <w:qFormat/>
    <w:uiPriority w:val="10"/>
    <w:pPr>
      <w:spacing w:before="300" w:after="200"/>
      <w:contextualSpacing/>
    </w:pPr>
    <w:rPr>
      <w:sz w:val="48"/>
      <w:szCs w:val="48"/>
    </w:rPr>
  </w:style>
  <w:style w:type="paragraph" w:styleId="34">
    <w:name w:val="annotation subject"/>
    <w:basedOn w:val="13"/>
    <w:next w:val="13"/>
    <w:link w:val="363"/>
    <w:semiHidden/>
    <w:unhideWhenUsed/>
    <w:qFormat/>
    <w:uiPriority w:val="99"/>
    <w:rPr>
      <w:b/>
      <w:bCs/>
    </w:rPr>
  </w:style>
  <w:style w:type="paragraph" w:styleId="35">
    <w:name w:val="Body Text First Indent 2"/>
    <w:basedOn w:val="15"/>
    <w:qFormat/>
    <w:uiPriority w:val="99"/>
    <w:pPr>
      <w:tabs>
        <w:tab w:val="left" w:pos="1080"/>
      </w:tabs>
      <w:spacing w:after="120"/>
      <w:ind w:left="420" w:firstLine="420"/>
    </w:pPr>
    <w:rPr>
      <w:rFonts w:ascii="Times New Roman"/>
      <w:szCs w:val="24"/>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FollowedHyperlink"/>
    <w:basedOn w:val="38"/>
    <w:semiHidden/>
    <w:unhideWhenUsed/>
    <w:qFormat/>
    <w:uiPriority w:val="99"/>
    <w:rPr>
      <w:color w:val="800080"/>
      <w:u w:val="single"/>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Heading 1 Char"/>
    <w:basedOn w:val="38"/>
    <w:qFormat/>
    <w:uiPriority w:val="9"/>
    <w:rPr>
      <w:rFonts w:ascii="Arial" w:hAnsi="Arial" w:eastAsia="Arial" w:cs="Arial"/>
      <w:sz w:val="40"/>
      <w:szCs w:val="40"/>
    </w:rPr>
  </w:style>
  <w:style w:type="character" w:customStyle="1" w:styleId="46">
    <w:name w:val="Heading 2 Char"/>
    <w:basedOn w:val="38"/>
    <w:qFormat/>
    <w:uiPriority w:val="9"/>
    <w:rPr>
      <w:rFonts w:ascii="Arial" w:hAnsi="Arial" w:eastAsia="Arial" w:cs="Arial"/>
      <w:sz w:val="34"/>
    </w:rPr>
  </w:style>
  <w:style w:type="character" w:customStyle="1" w:styleId="47">
    <w:name w:val="Heading 3 Char"/>
    <w:basedOn w:val="38"/>
    <w:qFormat/>
    <w:uiPriority w:val="9"/>
    <w:rPr>
      <w:rFonts w:ascii="Arial" w:hAnsi="Arial" w:eastAsia="Arial" w:cs="Arial"/>
      <w:sz w:val="30"/>
      <w:szCs w:val="30"/>
    </w:rPr>
  </w:style>
  <w:style w:type="character" w:customStyle="1" w:styleId="48">
    <w:name w:val="Heading 4 Char"/>
    <w:basedOn w:val="38"/>
    <w:qFormat/>
    <w:uiPriority w:val="9"/>
    <w:rPr>
      <w:rFonts w:ascii="Arial" w:hAnsi="Arial" w:eastAsia="Arial" w:cs="Arial"/>
      <w:b/>
      <w:bCs/>
      <w:sz w:val="26"/>
      <w:szCs w:val="26"/>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8"/>
    <w:qFormat/>
    <w:uiPriority w:val="99"/>
  </w:style>
  <w:style w:type="character" w:customStyle="1" w:styleId="59">
    <w:name w:val="Caption Char"/>
    <w:qFormat/>
    <w:uiPriority w:val="99"/>
  </w:style>
  <w:style w:type="table" w:customStyle="1" w:styleId="60">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Body Text First Indent 21"/>
    <w:basedOn w:val="15"/>
    <w:qFormat/>
    <w:uiPriority w:val="0"/>
    <w:pPr>
      <w:ind w:firstLine="420"/>
    </w:pPr>
  </w:style>
  <w:style w:type="paragraph" w:customStyle="1" w:styleId="83">
    <w:name w:val="正文首行缩进 21"/>
    <w:basedOn w:val="84"/>
    <w:link w:val="300"/>
    <w:qFormat/>
    <w:uiPriority w:val="0"/>
    <w:pPr>
      <w:spacing w:after="0" w:line="360" w:lineRule="auto"/>
      <w:ind w:left="0" w:firstLine="420"/>
    </w:pPr>
    <w:rPr>
      <w:rFonts w:ascii="宋体" w:hAnsi="宋体"/>
      <w:szCs w:val="20"/>
    </w:rPr>
  </w:style>
  <w:style w:type="paragraph" w:customStyle="1" w:styleId="84">
    <w:name w:val="正文文本缩进1"/>
    <w:basedOn w:val="1"/>
    <w:next w:val="85"/>
    <w:link w:val="265"/>
    <w:unhideWhenUsed/>
    <w:qFormat/>
    <w:uiPriority w:val="0"/>
    <w:pPr>
      <w:spacing w:after="120"/>
      <w:ind w:left="420"/>
    </w:pPr>
  </w:style>
  <w:style w:type="paragraph" w:customStyle="1" w:styleId="85">
    <w:name w:val="寄信人地址1"/>
    <w:basedOn w:val="1"/>
    <w:qFormat/>
    <w:uiPriority w:val="0"/>
    <w:pPr>
      <w:widowControl/>
      <w:spacing w:after="200"/>
      <w:jc w:val="left"/>
    </w:pPr>
    <w:rPr>
      <w:rFonts w:ascii="Arial" w:hAnsi="Arial" w:eastAsia="微软雅黑"/>
      <w:sz w:val="22"/>
    </w:rPr>
  </w:style>
  <w:style w:type="character" w:customStyle="1" w:styleId="86">
    <w:name w:val="标题 1 字符1"/>
    <w:link w:val="3"/>
    <w:qFormat/>
    <w:uiPriority w:val="9"/>
    <w:rPr>
      <w:rFonts w:ascii="Arial" w:hAnsi="Arial" w:eastAsia="Arial" w:cs="Arial"/>
      <w:sz w:val="40"/>
      <w:szCs w:val="40"/>
    </w:rPr>
  </w:style>
  <w:style w:type="character" w:customStyle="1" w:styleId="87">
    <w:name w:val="标题 2 字符1"/>
    <w:link w:val="4"/>
    <w:qFormat/>
    <w:uiPriority w:val="9"/>
    <w:rPr>
      <w:rFonts w:ascii="Arial" w:hAnsi="Arial" w:eastAsia="Arial" w:cs="Arial"/>
      <w:sz w:val="34"/>
    </w:rPr>
  </w:style>
  <w:style w:type="character" w:customStyle="1" w:styleId="88">
    <w:name w:val="标题 3 字符1"/>
    <w:link w:val="5"/>
    <w:qFormat/>
    <w:uiPriority w:val="9"/>
    <w:rPr>
      <w:rFonts w:ascii="Arial" w:hAnsi="Arial" w:eastAsia="Arial" w:cs="Arial"/>
      <w:sz w:val="30"/>
      <w:szCs w:val="30"/>
    </w:rPr>
  </w:style>
  <w:style w:type="character" w:customStyle="1" w:styleId="89">
    <w:name w:val="标题 4 字符1"/>
    <w:link w:val="2"/>
    <w:qFormat/>
    <w:uiPriority w:val="9"/>
    <w:rPr>
      <w:rFonts w:ascii="Arial" w:hAnsi="Arial" w:eastAsia="Arial" w:cs="Arial"/>
      <w:b/>
      <w:bCs/>
      <w:sz w:val="26"/>
      <w:szCs w:val="26"/>
    </w:rPr>
  </w:style>
  <w:style w:type="character" w:customStyle="1" w:styleId="90">
    <w:name w:val="标题 5 字符1"/>
    <w:link w:val="6"/>
    <w:qFormat/>
    <w:uiPriority w:val="9"/>
    <w:rPr>
      <w:rFonts w:ascii="Arial" w:hAnsi="Arial" w:eastAsia="Arial" w:cs="Arial"/>
      <w:b/>
      <w:bCs/>
      <w:sz w:val="24"/>
      <w:szCs w:val="24"/>
    </w:rPr>
  </w:style>
  <w:style w:type="character" w:customStyle="1" w:styleId="91">
    <w:name w:val="标题 6 字符1"/>
    <w:link w:val="7"/>
    <w:qFormat/>
    <w:uiPriority w:val="9"/>
    <w:rPr>
      <w:rFonts w:ascii="Arial" w:hAnsi="Arial" w:eastAsia="Arial" w:cs="Arial"/>
      <w:b/>
      <w:bCs/>
      <w:sz w:val="22"/>
      <w:szCs w:val="22"/>
    </w:rPr>
  </w:style>
  <w:style w:type="character" w:customStyle="1" w:styleId="92">
    <w:name w:val="标题 7 字符1"/>
    <w:link w:val="8"/>
    <w:qFormat/>
    <w:uiPriority w:val="9"/>
    <w:rPr>
      <w:rFonts w:ascii="Arial" w:hAnsi="Arial" w:eastAsia="Arial" w:cs="Arial"/>
      <w:b/>
      <w:bCs/>
      <w:i/>
      <w:iCs/>
      <w:sz w:val="22"/>
      <w:szCs w:val="22"/>
    </w:rPr>
  </w:style>
  <w:style w:type="character" w:customStyle="1" w:styleId="93">
    <w:name w:val="标题 8 字符1"/>
    <w:link w:val="9"/>
    <w:qFormat/>
    <w:uiPriority w:val="9"/>
    <w:rPr>
      <w:rFonts w:ascii="Arial" w:hAnsi="Arial" w:eastAsia="Arial" w:cs="Arial"/>
      <w:i/>
      <w:iCs/>
      <w:sz w:val="22"/>
      <w:szCs w:val="22"/>
    </w:rPr>
  </w:style>
  <w:style w:type="character" w:customStyle="1" w:styleId="94">
    <w:name w:val="标题 9 字符1"/>
    <w:link w:val="10"/>
    <w:qFormat/>
    <w:uiPriority w:val="9"/>
    <w:rPr>
      <w:rFonts w:ascii="Arial" w:hAnsi="Arial" w:eastAsia="Arial" w:cs="Arial"/>
      <w:i/>
      <w:iCs/>
      <w:sz w:val="21"/>
      <w:szCs w:val="21"/>
    </w:rPr>
  </w:style>
  <w:style w:type="paragraph" w:styleId="95">
    <w:name w:val="No Spacing"/>
    <w:qFormat/>
    <w:uiPriority w:val="1"/>
    <w:rPr>
      <w:rFonts w:hint="default" w:ascii="Times New Roman" w:hAnsi="Times New Roman" w:eastAsia="宋体" w:cs="Times New Roman"/>
      <w:lang w:val="en-US" w:eastAsia="zh-CN" w:bidi="ar-SA"/>
    </w:rPr>
  </w:style>
  <w:style w:type="character" w:customStyle="1" w:styleId="96">
    <w:name w:val="标题 字符"/>
    <w:link w:val="33"/>
    <w:qFormat/>
    <w:uiPriority w:val="10"/>
    <w:rPr>
      <w:sz w:val="48"/>
      <w:szCs w:val="48"/>
    </w:rPr>
  </w:style>
  <w:style w:type="character" w:customStyle="1" w:styleId="97">
    <w:name w:val="副标题 字符"/>
    <w:link w:val="26"/>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页眉 字符1"/>
    <w:link w:val="23"/>
    <w:qFormat/>
    <w:uiPriority w:val="99"/>
  </w:style>
  <w:style w:type="character" w:customStyle="1" w:styleId="103">
    <w:name w:val="Footer Char"/>
    <w:qFormat/>
    <w:uiPriority w:val="99"/>
  </w:style>
  <w:style w:type="character" w:customStyle="1" w:styleId="104">
    <w:name w:val="页脚 字符1"/>
    <w:link w:val="22"/>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7"/>
    <w:qFormat/>
    <w:uiPriority w:val="99"/>
    <w:rPr>
      <w:sz w:val="18"/>
    </w:rPr>
  </w:style>
  <w:style w:type="character" w:customStyle="1" w:styleId="231">
    <w:name w:val="尾注文本 字符"/>
    <w:link w:val="21"/>
    <w:qFormat/>
    <w:uiPriority w:val="99"/>
    <w:rPr>
      <w:sz w:val="20"/>
    </w:rPr>
  </w:style>
  <w:style w:type="paragraph" w:customStyle="1" w:styleId="232">
    <w:name w:val="TOC 标题1"/>
    <w:unhideWhenUsed/>
    <w:qFormat/>
    <w:uiPriority w:val="39"/>
    <w:rPr>
      <w:rFonts w:hint="default" w:ascii="Times New Roman" w:hAnsi="Times New Roman" w:eastAsia="宋体" w:cs="Times New Roman"/>
      <w:lang w:val="en-US" w:eastAsia="zh-CN" w:bidi="ar-SA"/>
    </w:rPr>
  </w:style>
  <w:style w:type="paragraph" w:customStyle="1" w:styleId="233">
    <w:name w:val="标题 11"/>
    <w:basedOn w:val="1"/>
    <w:next w:val="1"/>
    <w:link w:val="245"/>
    <w:qFormat/>
    <w:uiPriority w:val="0"/>
    <w:pPr>
      <w:keepNext/>
      <w:jc w:val="center"/>
      <w:outlineLvl w:val="0"/>
    </w:pPr>
    <w:rPr>
      <w:rFonts w:ascii="楷体_GB2312" w:eastAsia="楷体_GB2312"/>
      <w:sz w:val="28"/>
      <w:szCs w:val="28"/>
    </w:rPr>
  </w:style>
  <w:style w:type="paragraph" w:customStyle="1" w:styleId="234">
    <w:name w:val="标题 211"/>
    <w:basedOn w:val="1"/>
    <w:next w:val="235"/>
    <w:link w:val="24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5">
    <w:name w:val="正文缩进1"/>
    <w:basedOn w:val="1"/>
    <w:link w:val="247"/>
    <w:qFormat/>
    <w:uiPriority w:val="0"/>
    <w:pPr>
      <w:ind w:firstLine="420"/>
    </w:pPr>
    <w:rPr>
      <w:szCs w:val="21"/>
    </w:rPr>
  </w:style>
  <w:style w:type="paragraph" w:customStyle="1" w:styleId="236">
    <w:name w:val="标题 31"/>
    <w:basedOn w:val="1"/>
    <w:next w:val="235"/>
    <w:link w:val="248"/>
    <w:qFormat/>
    <w:uiPriority w:val="0"/>
    <w:pPr>
      <w:keepNext/>
      <w:keepLines/>
      <w:spacing w:before="260" w:after="260" w:line="416" w:lineRule="auto"/>
      <w:outlineLvl w:val="2"/>
    </w:pPr>
    <w:rPr>
      <w:b/>
      <w:bCs/>
      <w:sz w:val="32"/>
      <w:szCs w:val="32"/>
    </w:rPr>
  </w:style>
  <w:style w:type="paragraph" w:customStyle="1" w:styleId="237">
    <w:name w:val="标题 41"/>
    <w:basedOn w:val="1"/>
    <w:next w:val="1"/>
    <w:link w:val="24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8">
    <w:name w:val="标题 51"/>
    <w:basedOn w:val="1"/>
    <w:next w:val="235"/>
    <w:link w:val="250"/>
    <w:qFormat/>
    <w:uiPriority w:val="0"/>
    <w:pPr>
      <w:keepNext/>
      <w:outlineLvl w:val="4"/>
    </w:pPr>
    <w:rPr>
      <w:rFonts w:ascii="宋体"/>
      <w:color w:val="000000"/>
      <w:sz w:val="28"/>
      <w:szCs w:val="28"/>
    </w:rPr>
  </w:style>
  <w:style w:type="paragraph" w:customStyle="1" w:styleId="239">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40">
    <w:name w:val="标题 71"/>
    <w:basedOn w:val="1"/>
    <w:next w:val="1"/>
    <w:link w:val="252"/>
    <w:qFormat/>
    <w:uiPriority w:val="0"/>
    <w:pPr>
      <w:keepNext/>
      <w:keepLines/>
      <w:numPr>
        <w:ilvl w:val="6"/>
        <w:numId w:val="1"/>
      </w:numPr>
      <w:spacing w:before="240" w:after="64" w:line="320" w:lineRule="auto"/>
      <w:outlineLvl w:val="6"/>
    </w:pPr>
    <w:rPr>
      <w:b/>
      <w:bCs/>
      <w:sz w:val="24"/>
      <w:szCs w:val="24"/>
    </w:rPr>
  </w:style>
  <w:style w:type="paragraph" w:customStyle="1" w:styleId="241">
    <w:name w:val="标题 81"/>
    <w:basedOn w:val="1"/>
    <w:next w:val="1"/>
    <w:link w:val="25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42">
    <w:name w:val="标题 91"/>
    <w:basedOn w:val="1"/>
    <w:next w:val="1"/>
    <w:link w:val="25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43">
    <w:name w:val="默认段落字体1"/>
    <w:unhideWhenUsed/>
    <w:qFormat/>
    <w:uiPriority w:val="1"/>
  </w:style>
  <w:style w:type="table" w:customStyle="1" w:styleId="244">
    <w:name w:val="普通表格1"/>
    <w:unhideWhenUsed/>
    <w:qFormat/>
    <w:uiPriority w:val="99"/>
    <w:tblPr>
      <w:tblCellMar>
        <w:top w:w="0" w:type="dxa"/>
        <w:left w:w="0" w:type="dxa"/>
        <w:bottom w:w="0" w:type="dxa"/>
        <w:right w:w="0" w:type="dxa"/>
      </w:tblCellMar>
    </w:tblPr>
  </w:style>
  <w:style w:type="character" w:customStyle="1" w:styleId="245">
    <w:name w:val="标题 1 字符"/>
    <w:link w:val="233"/>
    <w:qFormat/>
    <w:uiPriority w:val="0"/>
    <w:rPr>
      <w:rFonts w:ascii="楷体_GB2312" w:hAnsi="Times New Roman" w:eastAsia="楷体_GB2312" w:cs="Times New Roman"/>
      <w:sz w:val="28"/>
      <w:szCs w:val="28"/>
    </w:rPr>
  </w:style>
  <w:style w:type="character" w:customStyle="1" w:styleId="246">
    <w:name w:val="标题 2 字符"/>
    <w:link w:val="234"/>
    <w:qFormat/>
    <w:uiPriority w:val="0"/>
    <w:rPr>
      <w:rFonts w:ascii="Arial" w:hAnsi="Arial" w:eastAsia="幼圆" w:cs="Arial"/>
      <w:b/>
      <w:bCs/>
      <w:sz w:val="44"/>
      <w:szCs w:val="44"/>
    </w:rPr>
  </w:style>
  <w:style w:type="character" w:customStyle="1" w:styleId="247">
    <w:name w:val="正文缩进 字符"/>
    <w:link w:val="235"/>
    <w:qFormat/>
    <w:uiPriority w:val="0"/>
    <w:rPr>
      <w:szCs w:val="21"/>
    </w:rPr>
  </w:style>
  <w:style w:type="character" w:customStyle="1" w:styleId="248">
    <w:name w:val="标题 3 字符"/>
    <w:link w:val="236"/>
    <w:qFormat/>
    <w:uiPriority w:val="0"/>
    <w:rPr>
      <w:rFonts w:ascii="Times New Roman" w:hAnsi="Times New Roman" w:eastAsia="宋体" w:cs="Times New Roman"/>
      <w:b/>
      <w:bCs/>
      <w:sz w:val="32"/>
      <w:szCs w:val="32"/>
    </w:rPr>
  </w:style>
  <w:style w:type="character" w:customStyle="1" w:styleId="249">
    <w:name w:val="标题 4 字符"/>
    <w:link w:val="237"/>
    <w:qFormat/>
    <w:uiPriority w:val="0"/>
    <w:rPr>
      <w:rFonts w:ascii="Arial" w:hAnsi="Arial" w:eastAsia="黑体" w:cs="Arial"/>
      <w:b/>
      <w:bCs/>
      <w:sz w:val="28"/>
      <w:szCs w:val="28"/>
    </w:rPr>
  </w:style>
  <w:style w:type="character" w:customStyle="1" w:styleId="250">
    <w:name w:val="标题 5 字符"/>
    <w:link w:val="238"/>
    <w:qFormat/>
    <w:uiPriority w:val="0"/>
    <w:rPr>
      <w:rFonts w:ascii="宋体" w:hAnsi="Times New Roman" w:eastAsia="宋体" w:cs="Times New Roman"/>
      <w:color w:val="000000"/>
      <w:sz w:val="28"/>
      <w:szCs w:val="28"/>
    </w:rPr>
  </w:style>
  <w:style w:type="character" w:customStyle="1" w:styleId="251">
    <w:name w:val="标题 6 字符"/>
    <w:link w:val="239"/>
    <w:qFormat/>
    <w:uiPriority w:val="0"/>
    <w:rPr>
      <w:rFonts w:ascii="Arial" w:hAnsi="Arial" w:eastAsia="黑体" w:cs="Times New Roman"/>
      <w:b/>
      <w:bCs/>
      <w:sz w:val="24"/>
      <w:szCs w:val="24"/>
    </w:rPr>
  </w:style>
  <w:style w:type="character" w:customStyle="1" w:styleId="252">
    <w:name w:val="标题 7 字符"/>
    <w:link w:val="240"/>
    <w:qFormat/>
    <w:uiPriority w:val="0"/>
    <w:rPr>
      <w:rFonts w:ascii="Times New Roman" w:hAnsi="Times New Roman" w:eastAsia="宋体" w:cs="Times New Roman"/>
      <w:b/>
      <w:bCs/>
      <w:sz w:val="24"/>
      <w:szCs w:val="24"/>
    </w:rPr>
  </w:style>
  <w:style w:type="character" w:customStyle="1" w:styleId="253">
    <w:name w:val="标题 8 字符"/>
    <w:link w:val="241"/>
    <w:qFormat/>
    <w:uiPriority w:val="0"/>
    <w:rPr>
      <w:rFonts w:ascii="Arial" w:hAnsi="Arial" w:eastAsia="黑体" w:cs="Times New Roman"/>
      <w:sz w:val="24"/>
      <w:szCs w:val="24"/>
    </w:rPr>
  </w:style>
  <w:style w:type="character" w:customStyle="1" w:styleId="254">
    <w:name w:val="标题 9 字符"/>
    <w:link w:val="242"/>
    <w:qFormat/>
    <w:uiPriority w:val="0"/>
    <w:rPr>
      <w:rFonts w:ascii="Arial" w:hAnsi="Arial" w:eastAsia="黑体" w:cs="Times New Roman"/>
      <w:szCs w:val="21"/>
    </w:rPr>
  </w:style>
  <w:style w:type="paragraph" w:customStyle="1" w:styleId="255">
    <w:name w:val="列表 31"/>
    <w:basedOn w:val="1"/>
    <w:qFormat/>
    <w:uiPriority w:val="0"/>
    <w:pPr>
      <w:ind w:left="100" w:hanging="200"/>
    </w:pPr>
    <w:rPr>
      <w:szCs w:val="21"/>
    </w:rPr>
  </w:style>
  <w:style w:type="paragraph" w:customStyle="1" w:styleId="256">
    <w:name w:val="目录 71"/>
    <w:basedOn w:val="1"/>
    <w:next w:val="1"/>
    <w:semiHidden/>
    <w:qFormat/>
    <w:uiPriority w:val="0"/>
    <w:pPr>
      <w:ind w:left="1260"/>
      <w:jc w:val="left"/>
    </w:pPr>
    <w:rPr>
      <w:szCs w:val="21"/>
    </w:rPr>
  </w:style>
  <w:style w:type="paragraph" w:customStyle="1" w:styleId="257">
    <w:name w:val="文档结构图1"/>
    <w:basedOn w:val="1"/>
    <w:link w:val="258"/>
    <w:semiHidden/>
    <w:qFormat/>
    <w:uiPriority w:val="0"/>
    <w:pPr>
      <w:shd w:val="clear" w:color="auto" w:fill="000080"/>
    </w:pPr>
    <w:rPr>
      <w:szCs w:val="21"/>
    </w:rPr>
  </w:style>
  <w:style w:type="character" w:customStyle="1" w:styleId="258">
    <w:name w:val="文档结构图 字符"/>
    <w:link w:val="257"/>
    <w:semiHidden/>
    <w:qFormat/>
    <w:uiPriority w:val="0"/>
    <w:rPr>
      <w:rFonts w:ascii="Times New Roman" w:hAnsi="Times New Roman" w:eastAsia="宋体" w:cs="Times New Roman"/>
      <w:szCs w:val="21"/>
      <w:shd w:val="clear" w:color="auto" w:fill="000080"/>
    </w:rPr>
  </w:style>
  <w:style w:type="paragraph" w:customStyle="1" w:styleId="259">
    <w:name w:val="批注文字1"/>
    <w:basedOn w:val="1"/>
    <w:link w:val="260"/>
    <w:unhideWhenUsed/>
    <w:qFormat/>
    <w:uiPriority w:val="0"/>
    <w:pPr>
      <w:jc w:val="left"/>
    </w:pPr>
  </w:style>
  <w:style w:type="character" w:customStyle="1" w:styleId="260">
    <w:name w:val="批注文字 字符"/>
    <w:link w:val="259"/>
    <w:semiHidden/>
    <w:qFormat/>
    <w:uiPriority w:val="99"/>
  </w:style>
  <w:style w:type="paragraph" w:customStyle="1" w:styleId="261">
    <w:name w:val="正文文本 31"/>
    <w:basedOn w:val="1"/>
    <w:link w:val="262"/>
    <w:qFormat/>
    <w:uiPriority w:val="0"/>
    <w:rPr>
      <w:rFonts w:ascii="仿宋_GB2312" w:hAnsi="Arial" w:eastAsia="仿宋_GB2312"/>
      <w:sz w:val="32"/>
      <w:szCs w:val="32"/>
    </w:rPr>
  </w:style>
  <w:style w:type="character" w:customStyle="1" w:styleId="262">
    <w:name w:val="正文文本 3 字符"/>
    <w:link w:val="261"/>
    <w:qFormat/>
    <w:uiPriority w:val="0"/>
    <w:rPr>
      <w:rFonts w:ascii="仿宋_GB2312" w:hAnsi="Arial" w:eastAsia="仿宋_GB2312" w:cs="Times New Roman"/>
      <w:sz w:val="32"/>
      <w:szCs w:val="32"/>
    </w:rPr>
  </w:style>
  <w:style w:type="paragraph" w:customStyle="1" w:styleId="263">
    <w:name w:val="正文文本1"/>
    <w:basedOn w:val="1"/>
    <w:link w:val="264"/>
    <w:qFormat/>
    <w:uiPriority w:val="0"/>
    <w:rPr>
      <w:rFonts w:ascii="楷体_GB2312" w:hAnsi="Arial" w:eastAsia="楷体_GB2312"/>
      <w:sz w:val="28"/>
      <w:szCs w:val="28"/>
    </w:rPr>
  </w:style>
  <w:style w:type="character" w:customStyle="1" w:styleId="264">
    <w:name w:val="正文文本 字符"/>
    <w:link w:val="263"/>
    <w:qFormat/>
    <w:uiPriority w:val="0"/>
    <w:rPr>
      <w:rFonts w:ascii="楷体_GB2312" w:hAnsi="Arial" w:eastAsia="楷体_GB2312" w:cs="Times New Roman"/>
      <w:sz w:val="28"/>
      <w:szCs w:val="28"/>
    </w:rPr>
  </w:style>
  <w:style w:type="character" w:customStyle="1" w:styleId="265">
    <w:name w:val="正文文本缩进 字符"/>
    <w:link w:val="84"/>
    <w:semiHidden/>
    <w:qFormat/>
    <w:uiPriority w:val="99"/>
  </w:style>
  <w:style w:type="paragraph" w:customStyle="1" w:styleId="266">
    <w:name w:val="列表 21"/>
    <w:basedOn w:val="1"/>
    <w:qFormat/>
    <w:uiPriority w:val="0"/>
    <w:pPr>
      <w:ind w:left="100" w:hanging="200"/>
    </w:pPr>
    <w:rPr>
      <w:szCs w:val="21"/>
    </w:rPr>
  </w:style>
  <w:style w:type="paragraph" w:customStyle="1" w:styleId="267">
    <w:name w:val="索引 41"/>
    <w:basedOn w:val="1"/>
    <w:next w:val="1"/>
    <w:qFormat/>
    <w:uiPriority w:val="99"/>
    <w:pPr>
      <w:ind w:left="600"/>
    </w:pPr>
  </w:style>
  <w:style w:type="paragraph" w:customStyle="1" w:styleId="268">
    <w:name w:val="目录 51"/>
    <w:basedOn w:val="1"/>
    <w:next w:val="1"/>
    <w:semiHidden/>
    <w:qFormat/>
    <w:uiPriority w:val="0"/>
    <w:pPr>
      <w:ind w:left="840"/>
      <w:jc w:val="left"/>
    </w:pPr>
    <w:rPr>
      <w:szCs w:val="21"/>
    </w:rPr>
  </w:style>
  <w:style w:type="paragraph" w:customStyle="1" w:styleId="269">
    <w:name w:val="目录 31"/>
    <w:basedOn w:val="1"/>
    <w:next w:val="1"/>
    <w:semiHidden/>
    <w:qFormat/>
    <w:uiPriority w:val="0"/>
    <w:pPr>
      <w:ind w:left="420"/>
      <w:jc w:val="left"/>
    </w:pPr>
    <w:rPr>
      <w:i/>
      <w:iCs/>
      <w:szCs w:val="24"/>
    </w:rPr>
  </w:style>
  <w:style w:type="paragraph" w:customStyle="1" w:styleId="270">
    <w:name w:val="纯文本1"/>
    <w:basedOn w:val="1"/>
    <w:link w:val="271"/>
    <w:qFormat/>
    <w:uiPriority w:val="0"/>
    <w:rPr>
      <w:rFonts w:ascii="宋体" w:hAnsi="Courier New" w:cs="Courier New"/>
      <w:szCs w:val="21"/>
    </w:rPr>
  </w:style>
  <w:style w:type="character" w:customStyle="1" w:styleId="271">
    <w:name w:val="纯文本 字符"/>
    <w:link w:val="270"/>
    <w:qFormat/>
    <w:uiPriority w:val="0"/>
    <w:rPr>
      <w:rFonts w:ascii="宋体" w:hAnsi="Courier New" w:eastAsia="宋体" w:cs="Courier New"/>
      <w:szCs w:val="21"/>
    </w:rPr>
  </w:style>
  <w:style w:type="paragraph" w:customStyle="1" w:styleId="272">
    <w:name w:val="目录 81"/>
    <w:basedOn w:val="1"/>
    <w:next w:val="1"/>
    <w:semiHidden/>
    <w:qFormat/>
    <w:uiPriority w:val="0"/>
    <w:pPr>
      <w:ind w:left="1470"/>
      <w:jc w:val="left"/>
    </w:pPr>
    <w:rPr>
      <w:szCs w:val="21"/>
    </w:rPr>
  </w:style>
  <w:style w:type="paragraph" w:customStyle="1" w:styleId="273">
    <w:name w:val="日期1"/>
    <w:basedOn w:val="1"/>
    <w:next w:val="1"/>
    <w:link w:val="274"/>
    <w:qFormat/>
    <w:uiPriority w:val="0"/>
    <w:rPr>
      <w:sz w:val="24"/>
      <w:szCs w:val="24"/>
    </w:rPr>
  </w:style>
  <w:style w:type="character" w:customStyle="1" w:styleId="274">
    <w:name w:val="日期 字符"/>
    <w:link w:val="273"/>
    <w:qFormat/>
    <w:uiPriority w:val="0"/>
    <w:rPr>
      <w:rFonts w:ascii="Times New Roman" w:hAnsi="Times New Roman" w:eastAsia="宋体" w:cs="Times New Roman"/>
      <w:sz w:val="24"/>
      <w:szCs w:val="24"/>
    </w:rPr>
  </w:style>
  <w:style w:type="paragraph" w:customStyle="1" w:styleId="275">
    <w:name w:val="正文文本缩进 21"/>
    <w:basedOn w:val="1"/>
    <w:link w:val="276"/>
    <w:qFormat/>
    <w:uiPriority w:val="0"/>
    <w:pPr>
      <w:ind w:left="630" w:firstLine="645"/>
    </w:pPr>
    <w:rPr>
      <w:rFonts w:ascii="Arial" w:hAnsi="Arial" w:eastAsia="仿宋_GB2312" w:cs="Arial"/>
      <w:sz w:val="32"/>
      <w:szCs w:val="32"/>
    </w:rPr>
  </w:style>
  <w:style w:type="character" w:customStyle="1" w:styleId="276">
    <w:name w:val="正文文本缩进 2 字符"/>
    <w:link w:val="275"/>
    <w:qFormat/>
    <w:uiPriority w:val="0"/>
    <w:rPr>
      <w:rFonts w:ascii="Arial" w:hAnsi="Arial" w:eastAsia="仿宋_GB2312" w:cs="Arial"/>
      <w:sz w:val="32"/>
      <w:szCs w:val="32"/>
    </w:rPr>
  </w:style>
  <w:style w:type="paragraph" w:customStyle="1" w:styleId="277">
    <w:name w:val="批注框文本1"/>
    <w:basedOn w:val="1"/>
    <w:link w:val="278"/>
    <w:semiHidden/>
    <w:qFormat/>
    <w:uiPriority w:val="0"/>
    <w:rPr>
      <w:sz w:val="18"/>
      <w:szCs w:val="18"/>
    </w:rPr>
  </w:style>
  <w:style w:type="character" w:customStyle="1" w:styleId="278">
    <w:name w:val="批注框文本 字符"/>
    <w:link w:val="277"/>
    <w:semiHidden/>
    <w:qFormat/>
    <w:uiPriority w:val="0"/>
    <w:rPr>
      <w:rFonts w:ascii="Times New Roman" w:hAnsi="Times New Roman" w:eastAsia="宋体" w:cs="Times New Roman"/>
      <w:sz w:val="18"/>
      <w:szCs w:val="18"/>
    </w:rPr>
  </w:style>
  <w:style w:type="paragraph" w:customStyle="1" w:styleId="279">
    <w:name w:val="页脚111"/>
    <w:basedOn w:val="1"/>
    <w:link w:val="280"/>
    <w:qFormat/>
    <w:uiPriority w:val="0"/>
    <w:pPr>
      <w:tabs>
        <w:tab w:val="center" w:pos="4153"/>
        <w:tab w:val="right" w:pos="8306"/>
      </w:tabs>
      <w:jc w:val="left"/>
    </w:pPr>
    <w:rPr>
      <w:sz w:val="18"/>
      <w:szCs w:val="18"/>
    </w:rPr>
  </w:style>
  <w:style w:type="character" w:customStyle="1" w:styleId="280">
    <w:name w:val="页脚 字符"/>
    <w:link w:val="279"/>
    <w:qFormat/>
    <w:uiPriority w:val="0"/>
    <w:rPr>
      <w:rFonts w:ascii="Times New Roman" w:hAnsi="Times New Roman" w:eastAsia="宋体" w:cs="Times New Roman"/>
      <w:sz w:val="18"/>
      <w:szCs w:val="18"/>
    </w:rPr>
  </w:style>
  <w:style w:type="paragraph" w:customStyle="1" w:styleId="281">
    <w:name w:val="页眉1"/>
    <w:basedOn w:val="1"/>
    <w:link w:val="282"/>
    <w:qFormat/>
    <w:uiPriority w:val="0"/>
    <w:pPr>
      <w:pBdr>
        <w:bottom w:val="single" w:color="000000" w:sz="6" w:space="1"/>
      </w:pBdr>
      <w:tabs>
        <w:tab w:val="center" w:pos="4153"/>
        <w:tab w:val="right" w:pos="8306"/>
      </w:tabs>
      <w:jc w:val="center"/>
    </w:pPr>
    <w:rPr>
      <w:sz w:val="18"/>
      <w:szCs w:val="18"/>
    </w:rPr>
  </w:style>
  <w:style w:type="character" w:customStyle="1" w:styleId="282">
    <w:name w:val="页眉 字符"/>
    <w:link w:val="281"/>
    <w:qFormat/>
    <w:uiPriority w:val="0"/>
    <w:rPr>
      <w:rFonts w:ascii="Times New Roman" w:hAnsi="Times New Roman" w:eastAsia="宋体" w:cs="Times New Roman"/>
      <w:sz w:val="18"/>
      <w:szCs w:val="18"/>
    </w:rPr>
  </w:style>
  <w:style w:type="paragraph" w:customStyle="1" w:styleId="28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4">
    <w:name w:val="目录 41"/>
    <w:basedOn w:val="1"/>
    <w:next w:val="1"/>
    <w:semiHidden/>
    <w:qFormat/>
    <w:uiPriority w:val="0"/>
    <w:pPr>
      <w:ind w:left="630"/>
      <w:jc w:val="left"/>
    </w:pPr>
    <w:rPr>
      <w:szCs w:val="21"/>
    </w:rPr>
  </w:style>
  <w:style w:type="paragraph" w:customStyle="1" w:styleId="285">
    <w:name w:val="列表1"/>
    <w:basedOn w:val="1"/>
    <w:qFormat/>
    <w:uiPriority w:val="0"/>
    <w:pPr>
      <w:ind w:left="200" w:hanging="200"/>
    </w:pPr>
    <w:rPr>
      <w:szCs w:val="21"/>
    </w:rPr>
  </w:style>
  <w:style w:type="paragraph" w:customStyle="1" w:styleId="286">
    <w:name w:val="目录 61"/>
    <w:basedOn w:val="1"/>
    <w:next w:val="1"/>
    <w:semiHidden/>
    <w:qFormat/>
    <w:uiPriority w:val="0"/>
    <w:pPr>
      <w:ind w:left="1050"/>
      <w:jc w:val="left"/>
    </w:pPr>
    <w:rPr>
      <w:szCs w:val="21"/>
    </w:rPr>
  </w:style>
  <w:style w:type="paragraph" w:customStyle="1" w:styleId="287">
    <w:name w:val="正文文本缩进 31"/>
    <w:basedOn w:val="1"/>
    <w:link w:val="288"/>
    <w:qFormat/>
    <w:uiPriority w:val="0"/>
    <w:pPr>
      <w:ind w:left="645" w:firstLine="645"/>
    </w:pPr>
    <w:rPr>
      <w:rFonts w:ascii="Arial" w:hAnsi="Arial" w:eastAsia="仿宋_GB2312" w:cs="Arial"/>
      <w:color w:val="FFFF00"/>
      <w:sz w:val="32"/>
      <w:szCs w:val="32"/>
    </w:rPr>
  </w:style>
  <w:style w:type="character" w:customStyle="1" w:styleId="288">
    <w:name w:val="正文文本缩进 3 字符"/>
    <w:link w:val="287"/>
    <w:qFormat/>
    <w:uiPriority w:val="0"/>
    <w:rPr>
      <w:rFonts w:ascii="Arial" w:hAnsi="Arial" w:eastAsia="仿宋_GB2312" w:cs="Arial"/>
      <w:color w:val="FFFF00"/>
      <w:sz w:val="32"/>
      <w:szCs w:val="32"/>
    </w:rPr>
  </w:style>
  <w:style w:type="paragraph" w:customStyle="1" w:styleId="289">
    <w:name w:val="图表目录1"/>
    <w:basedOn w:val="1"/>
    <w:next w:val="1"/>
    <w:semiHidden/>
    <w:qFormat/>
    <w:uiPriority w:val="0"/>
    <w:pPr>
      <w:ind w:left="840" w:hanging="420"/>
    </w:pPr>
    <w:rPr>
      <w:szCs w:val="21"/>
    </w:rPr>
  </w:style>
  <w:style w:type="paragraph" w:customStyle="1" w:styleId="290">
    <w:name w:val="目录 21"/>
    <w:basedOn w:val="1"/>
    <w:next w:val="1"/>
    <w:semiHidden/>
    <w:qFormat/>
    <w:uiPriority w:val="0"/>
    <w:pPr>
      <w:ind w:left="210"/>
      <w:jc w:val="left"/>
    </w:pPr>
    <w:rPr>
      <w:smallCaps/>
      <w:szCs w:val="24"/>
    </w:rPr>
  </w:style>
  <w:style w:type="paragraph" w:customStyle="1" w:styleId="291">
    <w:name w:val="目录 91"/>
    <w:basedOn w:val="1"/>
    <w:next w:val="1"/>
    <w:semiHidden/>
    <w:qFormat/>
    <w:uiPriority w:val="0"/>
    <w:pPr>
      <w:ind w:left="1680"/>
      <w:jc w:val="left"/>
    </w:pPr>
    <w:rPr>
      <w:szCs w:val="21"/>
    </w:rPr>
  </w:style>
  <w:style w:type="paragraph" w:customStyle="1" w:styleId="292">
    <w:name w:val="正文文本 21"/>
    <w:basedOn w:val="1"/>
    <w:link w:val="293"/>
    <w:qFormat/>
    <w:uiPriority w:val="0"/>
    <w:pPr>
      <w:widowControl/>
      <w:jc w:val="center"/>
    </w:pPr>
    <w:rPr>
      <w:rFonts w:ascii="楷体_GB2312" w:eastAsia="楷体_GB2312"/>
      <w:sz w:val="28"/>
      <w:szCs w:val="28"/>
    </w:rPr>
  </w:style>
  <w:style w:type="character" w:customStyle="1" w:styleId="293">
    <w:name w:val="正文文本 2 字符"/>
    <w:link w:val="292"/>
    <w:qFormat/>
    <w:uiPriority w:val="0"/>
    <w:rPr>
      <w:rFonts w:ascii="楷体_GB2312" w:hAnsi="Times New Roman" w:eastAsia="楷体_GB2312" w:cs="Times New Roman"/>
      <w:sz w:val="28"/>
      <w:szCs w:val="28"/>
    </w:rPr>
  </w:style>
  <w:style w:type="paragraph" w:customStyle="1" w:styleId="29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5">
    <w:name w:val="索引 11"/>
    <w:basedOn w:val="1"/>
    <w:next w:val="1"/>
    <w:semiHidden/>
    <w:qFormat/>
    <w:uiPriority w:val="0"/>
    <w:pPr>
      <w:spacing w:line="240" w:lineRule="atLeast"/>
    </w:pPr>
    <w:rPr>
      <w:b/>
      <w:bCs/>
      <w:szCs w:val="21"/>
    </w:rPr>
  </w:style>
  <w:style w:type="paragraph" w:customStyle="1" w:styleId="296">
    <w:name w:val="批注主题1"/>
    <w:basedOn w:val="259"/>
    <w:next w:val="259"/>
    <w:link w:val="297"/>
    <w:semiHidden/>
    <w:qFormat/>
    <w:uiPriority w:val="0"/>
    <w:rPr>
      <w:b/>
      <w:bCs/>
      <w:szCs w:val="21"/>
    </w:rPr>
  </w:style>
  <w:style w:type="character" w:customStyle="1" w:styleId="297">
    <w:name w:val="批注主题 字符"/>
    <w:link w:val="296"/>
    <w:semiHidden/>
    <w:qFormat/>
    <w:uiPriority w:val="0"/>
    <w:rPr>
      <w:rFonts w:ascii="Times New Roman" w:hAnsi="Times New Roman" w:eastAsia="宋体" w:cs="Times New Roman"/>
      <w:b/>
      <w:bCs/>
      <w:szCs w:val="21"/>
    </w:rPr>
  </w:style>
  <w:style w:type="paragraph" w:customStyle="1" w:styleId="298">
    <w:name w:val="正文首行缩进1"/>
    <w:basedOn w:val="263"/>
    <w:link w:val="299"/>
    <w:qFormat/>
    <w:uiPriority w:val="0"/>
    <w:pPr>
      <w:spacing w:line="360" w:lineRule="auto"/>
      <w:ind w:firstLine="200"/>
    </w:pPr>
    <w:rPr>
      <w:rFonts w:ascii="仿宋_GB2312" w:hAnsi="Times New Roman" w:eastAsia="仿宋_GB2312"/>
      <w:sz w:val="30"/>
      <w:szCs w:val="30"/>
    </w:rPr>
  </w:style>
  <w:style w:type="character" w:customStyle="1" w:styleId="299">
    <w:name w:val="正文首行缩进 字符"/>
    <w:link w:val="298"/>
    <w:qFormat/>
    <w:uiPriority w:val="0"/>
    <w:rPr>
      <w:rFonts w:ascii="仿宋_GB2312" w:hAnsi="Times New Roman" w:eastAsia="仿宋_GB2312" w:cs="Times New Roman"/>
      <w:sz w:val="30"/>
      <w:szCs w:val="30"/>
    </w:rPr>
  </w:style>
  <w:style w:type="character" w:customStyle="1" w:styleId="300">
    <w:name w:val="正文首行缩进 2 字符"/>
    <w:link w:val="83"/>
    <w:qFormat/>
    <w:uiPriority w:val="0"/>
    <w:rPr>
      <w:rFonts w:ascii="宋体" w:hAnsi="宋体" w:eastAsia="宋体" w:cs="Times New Roman"/>
      <w:szCs w:val="20"/>
    </w:rPr>
  </w:style>
  <w:style w:type="table" w:customStyle="1" w:styleId="301">
    <w:name w:val="网格型1"/>
    <w:basedOn w:val="244"/>
    <w:qFormat/>
    <w:uiPriority w:val="0"/>
    <w:pPr>
      <w:widowControl w:val="0"/>
      <w:jc w:val="both"/>
    </w:pPr>
  </w:style>
  <w:style w:type="character" w:customStyle="1" w:styleId="302">
    <w:name w:val="要点1"/>
    <w:qFormat/>
    <w:uiPriority w:val="0"/>
    <w:rPr>
      <w:b/>
      <w:bCs/>
    </w:rPr>
  </w:style>
  <w:style w:type="character" w:customStyle="1" w:styleId="303">
    <w:name w:val="页码1"/>
    <w:qFormat/>
    <w:uiPriority w:val="0"/>
  </w:style>
  <w:style w:type="character" w:customStyle="1" w:styleId="304">
    <w:name w:val="已访问的超链接1"/>
    <w:qFormat/>
    <w:uiPriority w:val="0"/>
    <w:rPr>
      <w:color w:val="800080"/>
      <w:u w:val="single"/>
    </w:rPr>
  </w:style>
  <w:style w:type="character" w:customStyle="1" w:styleId="305">
    <w:name w:val="超链接1"/>
    <w:qFormat/>
    <w:uiPriority w:val="0"/>
    <w:rPr>
      <w:color w:val="0000FF"/>
      <w:u w:val="single"/>
    </w:rPr>
  </w:style>
  <w:style w:type="character" w:customStyle="1" w:styleId="306">
    <w:name w:val="批注引用1"/>
    <w:semiHidden/>
    <w:qFormat/>
    <w:uiPriority w:val="0"/>
    <w:rPr>
      <w:sz w:val="21"/>
      <w:szCs w:val="21"/>
    </w:rPr>
  </w:style>
  <w:style w:type="paragraph" w:customStyle="1" w:styleId="307">
    <w:name w:val="Default"/>
    <w:qFormat/>
    <w:uiPriority w:val="99"/>
    <w:pPr>
      <w:widowControl w:val="0"/>
    </w:pPr>
    <w:rPr>
      <w:rFonts w:hint="default" w:ascii="MS Mincho" w:hAnsi="Calibri" w:eastAsia="MS Mincho" w:cs="Times New Roman"/>
      <w:color w:val="000000"/>
      <w:sz w:val="24"/>
      <w:szCs w:val="24"/>
      <w:lang w:val="en-US" w:eastAsia="zh-CN" w:bidi="ar-SA"/>
    </w:rPr>
  </w:style>
  <w:style w:type="paragraph" w:customStyle="1" w:styleId="308">
    <w:name w:val="正文文本缩进 211"/>
    <w:basedOn w:val="1"/>
    <w:qFormat/>
    <w:uiPriority w:val="0"/>
    <w:pPr>
      <w:tabs>
        <w:tab w:val="left" w:pos="0"/>
      </w:tabs>
      <w:spacing w:before="120"/>
      <w:ind w:firstLine="630"/>
    </w:pPr>
    <w:rPr>
      <w:bCs/>
    </w:rPr>
  </w:style>
  <w:style w:type="paragraph" w:customStyle="1" w:styleId="309">
    <w:name w:val="标题 5（有编号）（绿盟科技）"/>
    <w:basedOn w:val="1"/>
    <w:next w:val="310"/>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310">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311">
    <w:name w:val="列出段落1"/>
    <w:basedOn w:val="1"/>
    <w:link w:val="312"/>
    <w:qFormat/>
    <w:uiPriority w:val="0"/>
    <w:pPr>
      <w:widowControl/>
      <w:ind w:left="720"/>
      <w:contextualSpacing/>
      <w:jc w:val="left"/>
    </w:pPr>
    <w:rPr>
      <w:rFonts w:ascii="Calibri" w:hAnsi="Calibri"/>
      <w:sz w:val="24"/>
      <w:szCs w:val="24"/>
      <w:lang w:eastAsia="en-US" w:bidi="en-US"/>
    </w:rPr>
  </w:style>
  <w:style w:type="character" w:customStyle="1" w:styleId="312">
    <w:name w:val="列出段落 Char"/>
    <w:link w:val="311"/>
    <w:qFormat/>
    <w:uiPriority w:val="0"/>
    <w:rPr>
      <w:rFonts w:ascii="Calibri" w:hAnsi="Calibri"/>
      <w:sz w:val="24"/>
      <w:szCs w:val="24"/>
      <w:lang w:eastAsia="en-US" w:bidi="en-US"/>
    </w:rPr>
  </w:style>
  <w:style w:type="character" w:customStyle="1" w:styleId="313">
    <w:name w:val="font5 Char"/>
    <w:qFormat/>
    <w:uiPriority w:val="0"/>
    <w:rPr>
      <w:rFonts w:ascii="宋体" w:hAnsi="宋体" w:eastAsia="宋体"/>
      <w:sz w:val="28"/>
      <w:szCs w:val="28"/>
      <w:lang w:val="en-US" w:eastAsia="zh-CN" w:bidi="ar-SA"/>
    </w:rPr>
  </w:style>
  <w:style w:type="character" w:customStyle="1" w:styleId="314">
    <w:name w:val="二级目录 Char"/>
    <w:link w:val="315"/>
    <w:qFormat/>
    <w:uiPriority w:val="0"/>
    <w:rPr>
      <w:b/>
      <w:sz w:val="30"/>
      <w:szCs w:val="28"/>
    </w:rPr>
  </w:style>
  <w:style w:type="paragraph" w:customStyle="1" w:styleId="315">
    <w:name w:val="二级目录"/>
    <w:next w:val="1"/>
    <w:link w:val="314"/>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paragraph" w:customStyle="1" w:styleId="316">
    <w:name w:val="Body Text(ch)"/>
    <w:basedOn w:val="1"/>
    <w:next w:val="263"/>
    <w:qFormat/>
    <w:uiPriority w:val="0"/>
    <w:pPr>
      <w:spacing w:after="120"/>
    </w:pPr>
    <w:rPr>
      <w:rFonts w:ascii="宋体" w:hAnsi="Arial"/>
      <w:bCs/>
      <w:iCs/>
      <w:szCs w:val="24"/>
    </w:rPr>
  </w:style>
  <w:style w:type="paragraph" w:customStyle="1" w:styleId="31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0"/>
    <w:pPr>
      <w:tabs>
        <w:tab w:val="left" w:pos="360"/>
      </w:tabs>
      <w:ind w:firstLine="200"/>
    </w:pPr>
    <w:rPr>
      <w:sz w:val="28"/>
      <w:szCs w:val="30"/>
    </w:rPr>
  </w:style>
  <w:style w:type="paragraph" w:customStyle="1" w:styleId="320">
    <w:name w:val="Char1"/>
    <w:basedOn w:val="257"/>
    <w:qFormat/>
    <w:uiPriority w:val="0"/>
    <w:rPr>
      <w:rFonts w:ascii="Tahoma" w:hAnsi="Tahoma"/>
      <w:sz w:val="24"/>
      <w:szCs w:val="24"/>
    </w:rPr>
  </w:style>
  <w:style w:type="paragraph" w:customStyle="1" w:styleId="3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2">
    <w:name w:val="table_lines"/>
    <w:basedOn w:val="1"/>
    <w:qFormat/>
    <w:uiPriority w:val="0"/>
    <w:pPr>
      <w:widowControl/>
      <w:jc w:val="left"/>
    </w:pPr>
    <w:rPr>
      <w:sz w:val="20"/>
      <w:szCs w:val="20"/>
      <w:lang w:val="de-DE" w:eastAsia="de-DE"/>
    </w:rPr>
  </w:style>
  <w:style w:type="paragraph" w:customStyle="1" w:styleId="323">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32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Char Char Char Char"/>
    <w:basedOn w:val="257"/>
    <w:qFormat/>
    <w:uiPriority w:val="0"/>
    <w:pPr>
      <w:spacing w:line="360" w:lineRule="auto"/>
    </w:pPr>
    <w:rPr>
      <w:rFonts w:ascii="Tahoma" w:hAnsi="Tahoma"/>
      <w:sz w:val="24"/>
      <w:szCs w:val="24"/>
    </w:rPr>
  </w:style>
  <w:style w:type="paragraph" w:customStyle="1" w:styleId="326">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27">
    <w:name w:val="4"/>
    <w:basedOn w:val="1"/>
    <w:next w:val="287"/>
    <w:qFormat/>
    <w:uiPriority w:val="0"/>
    <w:pPr>
      <w:spacing w:line="360" w:lineRule="auto"/>
      <w:ind w:firstLine="420"/>
    </w:pPr>
    <w:rPr>
      <w:color w:val="FF0000"/>
      <w:sz w:val="24"/>
      <w:szCs w:val="24"/>
    </w:rPr>
  </w:style>
  <w:style w:type="paragraph" w:customStyle="1" w:styleId="32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9">
    <w:name w:val="Char Char Char Char Char Char Char Char Char Char"/>
    <w:basedOn w:val="1"/>
    <w:qFormat/>
    <w:uiPriority w:val="0"/>
    <w:pPr>
      <w:spacing w:line="360" w:lineRule="auto"/>
    </w:pPr>
    <w:rPr>
      <w:sz w:val="24"/>
      <w:szCs w:val="20"/>
    </w:rPr>
  </w:style>
  <w:style w:type="paragraph" w:customStyle="1" w:styleId="330">
    <w:name w:val="样式1"/>
    <w:basedOn w:val="1"/>
    <w:qFormat/>
    <w:uiPriority w:val="0"/>
    <w:pPr>
      <w:numPr>
        <w:ilvl w:val="0"/>
        <w:numId w:val="4"/>
      </w:numPr>
    </w:pPr>
    <w:rPr>
      <w:rFonts w:ascii="宋体" w:hAnsi="宋体"/>
      <w:szCs w:val="21"/>
    </w:rPr>
  </w:style>
  <w:style w:type="paragraph" w:customStyle="1" w:styleId="33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1">
    <w:name w:val="Char Char Char Char1"/>
    <w:basedOn w:val="257"/>
    <w:qFormat/>
    <w:uiPriority w:val="0"/>
    <w:pPr>
      <w:spacing w:line="360" w:lineRule="auto"/>
    </w:pPr>
    <w:rPr>
      <w:rFonts w:ascii="Tahoma" w:hAnsi="Tahoma"/>
      <w:sz w:val="24"/>
      <w:szCs w:val="24"/>
    </w:rPr>
  </w:style>
  <w:style w:type="paragraph" w:customStyle="1" w:styleId="342">
    <w:name w:val="table_1stline"/>
    <w:basedOn w:val="1"/>
    <w:qFormat/>
    <w:uiPriority w:val="0"/>
    <w:pPr>
      <w:widowControl/>
      <w:spacing w:before="120"/>
      <w:jc w:val="left"/>
    </w:pPr>
    <w:rPr>
      <w:bCs/>
      <w:sz w:val="20"/>
      <w:szCs w:val="20"/>
      <w:lang w:val="de-DE" w:eastAsia="de-DE"/>
    </w:rPr>
  </w:style>
  <w:style w:type="paragraph" w:customStyle="1" w:styleId="34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5">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7">
    <w:name w:val="标题 21"/>
    <w:basedOn w:val="1"/>
    <w:next w:val="1"/>
    <w:qFormat/>
    <w:uiPriority w:val="0"/>
    <w:pPr>
      <w:keepNext/>
      <w:keepLines/>
      <w:numPr>
        <w:ilvl w:val="1"/>
        <w:numId w:val="5"/>
      </w:numPr>
      <w:spacing w:line="360" w:lineRule="auto"/>
      <w:outlineLvl w:val="1"/>
    </w:pPr>
    <w:rPr>
      <w:rFonts w:ascii="Arial" w:hAnsi="Arial" w:eastAsia="黑体"/>
      <w:b/>
      <w:bCs/>
      <w:sz w:val="32"/>
      <w:szCs w:val="32"/>
    </w:rPr>
  </w:style>
  <w:style w:type="paragraph" w:styleId="348">
    <w:name w:val="List Paragraph"/>
    <w:basedOn w:val="1"/>
    <w:qFormat/>
    <w:uiPriority w:val="34"/>
    <w:pPr>
      <w:ind w:firstLine="420"/>
    </w:pPr>
  </w:style>
  <w:style w:type="character" w:customStyle="1" w:styleId="349">
    <w:name w:val="font41"/>
    <w:qFormat/>
    <w:uiPriority w:val="0"/>
    <w:rPr>
      <w:rFonts w:hint="eastAsia" w:ascii="宋体" w:hAnsi="宋体" w:eastAsia="宋体" w:cs="宋体"/>
      <w:color w:val="000000"/>
      <w:sz w:val="20"/>
      <w:szCs w:val="20"/>
      <w:u w:val="none"/>
    </w:rPr>
  </w:style>
  <w:style w:type="paragraph" w:customStyle="1" w:styleId="350">
    <w:name w:val="样式 行距: 固定值 28.9 磅"/>
    <w:basedOn w:val="1"/>
    <w:qFormat/>
    <w:uiPriority w:val="0"/>
    <w:pPr>
      <w:spacing w:line="578" w:lineRule="exact"/>
    </w:pPr>
    <w:rPr>
      <w:rFonts w:cs="宋体"/>
      <w:szCs w:val="20"/>
    </w:rPr>
  </w:style>
  <w:style w:type="paragraph" w:customStyle="1" w:styleId="351">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352">
    <w:name w:val="正文1"/>
    <w:qFormat/>
    <w:uiPriority w:val="0"/>
    <w:pPr>
      <w:jc w:val="both"/>
    </w:pPr>
    <w:rPr>
      <w:rFonts w:hint="default" w:ascii="Times New Roman" w:hAnsi="Times New Roman" w:eastAsia="宋体" w:cs="Times New Roman"/>
      <w:sz w:val="21"/>
      <w:szCs w:val="21"/>
      <w:lang w:val="en-US" w:eastAsia="zh-CN" w:bidi="ar-SA"/>
    </w:rPr>
  </w:style>
  <w:style w:type="paragraph" w:customStyle="1" w:styleId="353">
    <w:name w:val="Table Paragraph"/>
    <w:basedOn w:val="1"/>
    <w:qFormat/>
    <w:uiPriority w:val="1"/>
    <w:pPr>
      <w:jc w:val="left"/>
    </w:pPr>
    <w:rPr>
      <w:rFonts w:ascii="宋体" w:hAnsi="宋体" w:cs="宋体"/>
      <w:sz w:val="22"/>
      <w:lang w:eastAsia="en-US"/>
    </w:rPr>
  </w:style>
  <w:style w:type="paragraph" w:customStyle="1" w:styleId="354">
    <w:name w:val="页脚1"/>
    <w:basedOn w:val="1"/>
    <w:qFormat/>
    <w:uiPriority w:val="0"/>
    <w:pPr>
      <w:tabs>
        <w:tab w:val="center" w:pos="4153"/>
        <w:tab w:val="right" w:pos="8306"/>
      </w:tabs>
      <w:jc w:val="left"/>
    </w:pPr>
    <w:rPr>
      <w:sz w:val="18"/>
      <w:szCs w:val="18"/>
    </w:rPr>
  </w:style>
  <w:style w:type="paragraph" w:customStyle="1" w:styleId="355">
    <w:name w:val="页脚11"/>
    <w:basedOn w:val="1"/>
    <w:unhideWhenUsed/>
    <w:qFormat/>
    <w:uiPriority w:val="99"/>
    <w:pPr>
      <w:tabs>
        <w:tab w:val="center" w:pos="7143"/>
        <w:tab w:val="right" w:pos="14287"/>
      </w:tabs>
    </w:pPr>
  </w:style>
  <w:style w:type="paragraph" w:customStyle="1" w:styleId="356">
    <w:name w:val="首行缩进"/>
    <w:basedOn w:val="1"/>
    <w:qFormat/>
    <w:uiPriority w:val="99"/>
    <w:pPr>
      <w:spacing w:line="360" w:lineRule="auto"/>
      <w:ind w:firstLine="480"/>
      <w:jc w:val="left"/>
    </w:pPr>
    <w:rPr>
      <w:rFonts w:ascii="宋体" w:hAnsi="宋体" w:eastAsia="楷体_GB2312"/>
      <w:sz w:val="24"/>
      <w:szCs w:val="20"/>
    </w:rPr>
  </w:style>
  <w:style w:type="character" w:customStyle="1" w:styleId="357">
    <w:name w:val="NormalCharacter1"/>
    <w:qFormat/>
    <w:uiPriority w:val="99"/>
    <w:rPr>
      <w:rFonts w:ascii="Calibri" w:hAnsi="Calibri" w:eastAsia="宋体"/>
    </w:rPr>
  </w:style>
  <w:style w:type="character" w:customStyle="1" w:styleId="358">
    <w:name w:val="NormalCharacter"/>
    <w:qFormat/>
    <w:uiPriority w:val="0"/>
  </w:style>
  <w:style w:type="paragraph" w:customStyle="1" w:styleId="359">
    <w:name w:val="UserStyle_6"/>
    <w:qFormat/>
    <w:uiPriority w:val="0"/>
    <w:rPr>
      <w:rFonts w:hint="default" w:ascii="宋体" w:hAnsi="Calibri" w:eastAsia="宋体" w:cstheme="minorBidi"/>
      <w:color w:val="000000"/>
      <w:sz w:val="24"/>
      <w:szCs w:val="24"/>
      <w:lang w:val="en-US" w:eastAsia="zh-CN" w:bidi="ar-SA"/>
    </w:rPr>
  </w:style>
  <w:style w:type="paragraph" w:customStyle="1" w:styleId="360">
    <w:name w:val=".o.a"/>
    <w:basedOn w:val="307"/>
    <w:next w:val="307"/>
    <w:qFormat/>
    <w:uiPriority w:val="0"/>
    <w:rPr>
      <w:rFonts w:ascii="宋体" w:eastAsia="宋体"/>
      <w:color w:val="auto"/>
    </w:rPr>
  </w:style>
  <w:style w:type="paragraph" w:customStyle="1" w:styleId="361">
    <w:name w:val="修订2"/>
    <w:hidden/>
    <w:unhideWhenUsed/>
    <w:qFormat/>
    <w:uiPriority w:val="99"/>
    <w:rPr>
      <w:rFonts w:hint="default" w:ascii="Times New Roman" w:hAnsi="Times New Roman" w:eastAsia="宋体" w:cs="Times New Roman"/>
      <w:sz w:val="21"/>
      <w:szCs w:val="22"/>
      <w:lang w:val="en-US" w:eastAsia="zh-CN" w:bidi="ar-SA"/>
    </w:rPr>
  </w:style>
  <w:style w:type="character" w:customStyle="1" w:styleId="362">
    <w:name w:val="批注文字 字符1"/>
    <w:basedOn w:val="38"/>
    <w:link w:val="13"/>
    <w:semiHidden/>
    <w:qFormat/>
    <w:uiPriority w:val="99"/>
    <w:rPr>
      <w:sz w:val="21"/>
      <w:szCs w:val="22"/>
    </w:rPr>
  </w:style>
  <w:style w:type="character" w:customStyle="1" w:styleId="363">
    <w:name w:val="批注主题 字符1"/>
    <w:basedOn w:val="362"/>
    <w:link w:val="34"/>
    <w:semiHidden/>
    <w:qFormat/>
    <w:uiPriority w:val="99"/>
    <w:rPr>
      <w:b/>
      <w:bCs/>
      <w:sz w:val="21"/>
      <w:szCs w:val="22"/>
    </w:rPr>
  </w:style>
  <w:style w:type="paragraph" w:customStyle="1" w:styleId="364">
    <w:name w:val="表格文字"/>
    <w:basedOn w:val="1"/>
    <w:qFormat/>
    <w:uiPriority w:val="0"/>
    <w:pPr>
      <w:jc w:val="left"/>
    </w:pPr>
    <w:rPr>
      <w:rFonts w:hint="eastAsi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71b790da-0220-4e79-91c1-69d7fc70e326</errorID>
      <errorWord>理</errorWord>
      <group>L1_Word</group>
      <groupName>字词问题</groupName>
      <ability>L2_Typo</ability>
      <abilityName>字词错误</abilityName>
      <candidateList>
        <item>理机</item>
      </candidateList>
      <explain/>
      <paraID>389D586D</paraID>
      <start>3</start>
      <end>5</end>
      <status>modified</status>
      <modifiedWord>理机</modifiedWord>
      <trackRevisions>false</trackRevisions>
    </reviewItem>
    <reviewItem>
      <errorID>643e3ad9-ffea-4022-9ca4-cbfa909c50ab</errorID>
      <errorWord>：</errorWord>
      <group>L1_Format</group>
      <groupName>格式问题</groupName>
      <ability>L2_HalfPunc_CN</ability>
      <abilityName>全半角问题</abilityName>
      <candidateList>
        <item>:</item>
      </candidateList>
      <explain>文本全半角错误。</explain>
      <paraID>4BED9491</paraID>
      <start>25</start>
      <end>26</end>
      <status>modified</status>
      <modifiedWord>:</modifiedWord>
      <trackRevisions>false</trackRevisions>
    </reviewItem>
    <reviewItem>
      <errorID>a773bd1e-79b3-436c-babd-17171f08ed8f</errorID>
      <errorWord>：</errorWord>
      <group>L1_Format</group>
      <groupName>格式问题</groupName>
      <ability>L2_HalfPunc_CN</ability>
      <abilityName>全半角问题</abilityName>
      <candidateList>
        <item>:</item>
      </candidateList>
      <explain>文本全半角错误。</explain>
      <paraID>4BED9491</paraID>
      <start>36</start>
      <end>37</end>
      <status>modified</status>
      <modifiedWord>:</modifiedWord>
      <trackRevisions>false</trackRevisions>
    </reviewItem>
    <reviewItem>
      <errorID>4a50ee32-34dc-43a2-8872-8e15d28fa596</errorID>
      <errorWord>：</errorWord>
      <group>L1_Format</group>
      <groupName>格式问题</groupName>
      <ability>L2_HalfPunc_CN</ability>
      <abilityName>全半角问题</abilityName>
      <candidateList>
        <item>:</item>
      </candidateList>
      <explain>文本全半角错误。</explain>
      <paraID>4BED9491</paraID>
      <start>44</start>
      <end>45</end>
      <status>modified</status>
      <modifiedWord>:</modifiedWord>
      <trackRevisions>false</trackRevisions>
    </reviewItem>
    <reviewItem>
      <errorID>149e96e0-d072-40ce-a3ec-f98ef37fc7c9</errorID>
      <errorWord>：</errorWord>
      <group>L1_Format</group>
      <groupName>格式问题</groupName>
      <ability>L2_HalfPunc_CN</ability>
      <abilityName>全半角问题</abilityName>
      <candidateList>
        <item>:</item>
      </candidateList>
      <explain>文本全半角错误。</explain>
      <paraID>4BED9491</paraID>
      <start>52</start>
      <end>53</end>
      <status>modified</status>
      <modifiedWord>:</modifiedWord>
      <trackRevisions>false</trackRevisions>
    </reviewItem>
    <reviewItem>
      <errorID>033941af-8974-4312-b92a-3034a900e15f</errorID>
      <errorWord>：</errorWord>
      <group>L1_Format</group>
      <groupName>格式问题</groupName>
      <ability>L2_HalfPunc_CN</ability>
      <abilityName>全半角问题</abilityName>
      <candidateList>
        <item>:</item>
      </candidateList>
      <explain>文本全半角错误。</explain>
      <paraID>4BED9491</paraID>
      <start>60</start>
      <end>61</end>
      <status>modified</status>
      <modifiedWord>:</modifiedWord>
      <trackRevisions>false</trackRevisions>
    </reviewItem>
    <reviewItem>
      <errorID>9a3f28db-3f10-45ac-ba91-3290d5bf720f</errorID>
      <errorWord>：</errorWord>
      <group>L1_Format</group>
      <groupName>格式问题</groupName>
      <ability>L2_HalfPunc_CN</ability>
      <abilityName>全半角问题</abilityName>
      <candidateList>
        <item>:</item>
      </candidateList>
      <explain>文本全半角错误。</explain>
      <paraID>4BED9491</paraID>
      <start>70</start>
      <end>71</end>
      <status>modified</status>
      <modifiedWord>:</modifiedWord>
      <trackRevisions>false</trackRevisions>
    </reviewItem>
    <reviewItem>
      <errorID>ad4b15bd-c4ba-486b-b3e8-14509aa1383e</errorID>
      <errorWord>：</errorWord>
      <group>L1_Format</group>
      <groupName>格式问题</groupName>
      <ability>L2_HalfPunc_CN</ability>
      <abilityName>全半角问题</abilityName>
      <candidateList>
        <item>:</item>
      </candidateList>
      <explain>文本全半角错误。</explain>
      <paraID>4BED9491</paraID>
      <start>80</start>
      <end>81</end>
      <status>modified</status>
      <modifiedWord>:</modifiedWord>
      <trackRevisions>false</trackRevisions>
    </reviewItem>
    <reviewItem>
      <errorID>e7c9aa09-8ace-4187-b684-1bd94561ea0e</errorID>
      <errorWord>：</errorWord>
      <group>L1_Format</group>
      <groupName>格式问题</groupName>
      <ability>L2_HalfPunc_CN</ability>
      <abilityName>全半角问题</abilityName>
      <candidateList>
        <item>:</item>
      </candidateList>
      <explain>文本全半角错误。</explain>
      <paraID>4BED9491</paraID>
      <start>89</start>
      <end>90</end>
      <status>modified</status>
      <modifiedWord>:</modifiedWord>
      <trackRevisions>false</trackRevisions>
    </reviewItem>
    <reviewItem>
      <errorID>e26d61bd-f0c7-407b-9225-ce330b519441</errorID>
      <errorWord>：</errorWord>
      <group>L1_Format</group>
      <groupName>格式问题</groupName>
      <ability>L2_HalfPunc_CN</ability>
      <abilityName>全半角问题</abilityName>
      <candidateList>
        <item>:</item>
      </candidateList>
      <explain>文本全半角错误。</explain>
      <paraID>4BED9491</paraID>
      <start>98</start>
      <end>99</end>
      <status>modified</status>
      <modifiedWord>:</modifiedWord>
      <trackRevisions>false</trackRevisions>
    </reviewItem>
    <reviewItem>
      <errorID>b352fc77-6913-44cc-932d-407d38440127</errorID>
      <errorWord>：</errorWord>
      <group>L1_Format</group>
      <groupName>格式问题</groupName>
      <ability>L2_HalfPunc_CN</ability>
      <abilityName>全半角问题</abilityName>
      <candidateList>
        <item>:</item>
      </candidateList>
      <explain>文本全半角错误。</explain>
      <paraID>4BED9491</paraID>
      <start>107</start>
      <end>108</end>
      <status>modified</status>
      <modifiedWord>:</modifiedWord>
      <trackRevisions>false</trackRevisions>
    </reviewItem>
    <reviewItem>
      <errorID>3a0cd592-f2f3-424a-84d2-ed0843a73b1e</errorID>
      <errorWord>，</errorWord>
      <group>L1_Word</group>
      <groupName>字词问题</groupName>
      <ability>L2_Typo</ability>
      <abilityName>字词错误</abilityName>
      <candidateList>
        <item>，以</item>
      </candidateList>
      <explain/>
      <paraID>731CCBDE</paraID>
      <start>64</start>
      <end>66</end>
      <status>modified</status>
      <modifiedWord>，以</modifiedWord>
      <trackRevisions>false</trackRevisions>
    </reviewItem>
    <reviewItem>
      <errorID>fe37f87a-914d-4926-a181-5f3a73172af8</errorID>
      <errorWord>:</errorWord>
      <group>L1_Format</group>
      <groupName>格式问题</groupName>
      <ability>L2_HalfPunc_CN</ability>
      <abilityName>全半角问题</abilityName>
      <candidateList>
        <item>：</item>
      </candidateList>
      <explain>文本全半角错误。</explain>
      <paraID>731CCBDE</paraID>
      <start>118</start>
      <end>119</end>
      <status>modified</status>
      <modifiedWord>：</modifiedWord>
      <trackRevisions>false</trackRevisions>
    </reviewItem>
    <reviewItem>
      <errorID>07f165f2-ac5a-4dda-ba84-84f1620ea6bd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3919ECF1</paraID>
      <start>0</start>
      <end>2</end>
      <status>modified</status>
      <modifiedWord>1.</modifiedWord>
      <trackRevisions>false</trackRevisions>
    </reviewItem>
    <reviewItem>
      <errorID>8b010cc4-f475-43a3-b25e-36b729decb01</errorID>
      <errorWord>日至2026年</errorWord>
      <group>L1_Word</group>
      <groupName>字词问题</groupName>
      <ability>L2_Typo</ability>
      <abilityName>字词错误</abilityName>
      <candidateList>
        <item>日起至2026年</item>
      </candidateList>
      <explain/>
      <paraID>3919ECF1</paraID>
      <start>14</start>
      <end>22</end>
      <status>modified</status>
      <modifiedWord>日起至2026年</modifiedWord>
      <trackRevisions>false</trackRevisions>
    </reviewItem>
    <reviewItem>
      <errorID>d2b108c7-b298-420a-af0c-a0e5759de08c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E09A47E</paraID>
      <start>0</start>
      <end>2</end>
      <status>modified</status>
      <modifiedWord>2.</modifiedWord>
      <trackRevisions>false</trackRevisions>
    </reviewItem>
    <reviewItem>
      <errorID>0927af3e-6505-460b-b2f4-108756aa18f4</errorID>
      <errorWord>“.</errorWord>
      <group>L1_Punc</group>
      <groupName>标点问题</groupName>
      <ability>L2_Punc_CN</ability>
      <abilityName>标点符号问题</abilityName>
      <candidateList>
        <item>“</item>
      </candidateList>
      <explain/>
      <paraID> 3AAE394</paraID>
      <start>54</start>
      <end>56</end>
      <status>ignored</status>
      <modifiedWord/>
      <trackRevisions>false</trackRevisions>
    </reviewItem>
    <reviewItem>
      <errorID>569cf722-a905-4ba7-a237-f4ebc8e81b4b</errorID>
      <errorWord>“.</errorWord>
      <group>L1_Punc</group>
      <groupName>标点问题</groupName>
      <ability>L2_Punc_CN</ability>
      <abilityName>标点符号问题</abilityName>
      <candidateList>
        <item>“</item>
      </candidateList>
      <explain/>
      <paraID> 3AAE394</paraID>
      <start>69</start>
      <end>71</end>
      <status>ignored</status>
      <modifiedWord/>
      <trackRevisions>false</trackRevisions>
    </reviewItem>
    <reviewItem>
      <errorID>c051a74e-d88a-4c99-9f2c-f43e953c6fda</errorID>
      <errorWord>“.</errorWord>
      <group>L1_Punc</group>
      <groupName>标点问题</groupName>
      <ability>L2_Punc_CN</ability>
      <abilityName>标点符号问题</abilityName>
      <candidateList>
        <item>“</item>
      </candidateList>
      <explain/>
      <paraID> 21DBAB7</paraID>
      <start>12</start>
      <end>14</end>
      <status>ignored</status>
      <modifiedWord/>
      <trackRevisions>false</trackRevisions>
    </reviewItem>
    <reviewItem>
      <errorID>6641f4cb-08d6-4d05-b5cc-0021bc5be004</errorID>
      <errorWord>2026年07月</errorWord>
      <group>L1_Knowledge</group>
      <groupName>知识性问题</groupName>
      <ability>L2_Time</ability>
      <abilityName>日期时间</abilityName>
      <candidateList>
        <item>2026年7月</item>
      </candidateList>
      <explain>根据日常书写习惯，月份一般会省略前导零。</explain>
      <paraID>4E6E63E5</paraID>
      <start>11</start>
      <end>18</end>
      <status>modified</status>
      <modifiedWord>2026年7月</modifiedWord>
      <trackRevisions>false</trackRevisions>
    </reviewItem>
    <reviewItem>
      <errorID>048f68f1-6a04-43a6-95ad-aedba0d53cdb</errorID>
      <errorWord>2026年07月</errorWord>
      <group>L1_Knowledge</group>
      <groupName>知识性问题</groupName>
      <ability>L2_Time</ability>
      <abilityName>日期时间</abilityName>
      <candidateList>
        <item>2026年7月</item>
      </candidateList>
      <explain>根据日常书写习惯，月份一般会省略前导零。</explain>
      <paraID>6110AB84</paraID>
      <start>5</start>
      <end>12</end>
      <status>modified</status>
      <modifiedWord>2026年7月</modifiedWord>
      <trackRevisions>false</trackRevisions>
    </reviewItem>
    <reviewItem>
      <errorID>92fc8999-955e-47a4-b86a-604e434f9341</errorID>
      <errorWord>“.</errorWord>
      <group>L1_Punc</group>
      <groupName>标点问题</groupName>
      <ability>L2_Punc_CN</ability>
      <abilityName>标点符号问题</abilityName>
      <candidateList>
        <item>“</item>
      </candidateList>
      <explain/>
      <paraID>7E8817C6</paraID>
      <start>56</start>
      <end>58</end>
      <status>ignored</status>
      <modifiedWord/>
      <trackRevisions>false</trackRevisions>
    </reviewItem>
    <reviewItem>
      <errorID>1b3a84f3-263a-4356-9474-d1be26f25192</errorID>
      <errorWord>“.</errorWord>
      <group>L1_Punc</group>
      <groupName>标点问题</groupName>
      <ability>L2_Punc_CN</ability>
      <abilityName>标点符号问题</abilityName>
      <candidateList>
        <item>“</item>
      </candidateList>
      <explain/>
      <paraID>7E8817C6</paraID>
      <start>71</start>
      <end>73</end>
      <status>ignored</status>
      <modifiedWord/>
      <trackRevisions>false</trackRevisions>
    </reviewItem>
    <reviewItem>
      <errorID>6ff38520-a5b5-4483-bd55-6116a99f35b5</errorID>
      <errorWord>在凡</errorWord>
      <group>L1_Word</group>
      <groupName>字词问题</groupName>
      <ability>L2_Typo</ability>
      <abilityName>字词错误</abilityName>
      <candidateList>
        <item>在</item>
      </candidateList>
      <explain/>
      <paraID>74CC0F15</paraID>
      <start>23</start>
      <end>24</end>
      <status>modified</status>
      <modifiedWord>在</modifiedWord>
      <trackRevisions>false</trackRevisions>
    </reviewItem>
    <reviewItem>
      <errorID>f268607b-f450-4fd2-a157-862c4845c9e0</errorID>
      <errorWord>间</errorWord>
      <group>L1_Word</group>
      <groupName>字词问题</groupName>
      <ability>L2_Typo</ability>
      <abilityName>字词错误</abilityName>
      <candidateList>
        <item>间之</item>
      </candidateList>
      <explain/>
      <paraID>1FE7BB1F</paraID>
      <start>46</start>
      <end>48</end>
      <status>modified</status>
      <modifiedWord>间之</modifiedWord>
      <trackRevisions>false</trackRevisions>
    </reviewItem>
    <reviewItem>
      <errorID>2691b012-5a4d-4aa4-a11b-601e1901fa3c</errorID>
      <errorWord>无须</errorWord>
      <group>L1_Word</group>
      <groupName>字词问题</groupName>
      <ability>L2_Typo</ability>
      <abilityName>字词错误</abilityName>
      <candidateList>
        <item>无需</item>
      </candidateList>
      <explain>存在发音相同字词的误用。</explain>
      <paraID>37C013F7</paraID>
      <start>7</start>
      <end>9</end>
      <status>modified</status>
      <modifiedWord>无需</modifiedWord>
      <trackRevisions>false</trackRevisions>
    </reviewItem>
    <reviewItem>
      <errorID>1b8a35a4-f50b-45c3-b7aa-8dca635d0ebc</errorID>
      <errorWord>形式后</errorWord>
      <group>L1_Word</group>
      <groupName>字词问题</groupName>
      <ability>L2_Typo</ability>
      <abilityName>字词错误</abilityName>
      <candidateList>
        <item>形式</item>
      </candidateList>
      <explain/>
      <paraID>77DAB82C</paraID>
      <start>138</start>
      <end>140</end>
      <status>modified</status>
      <modifiedWord>形式</modifiedWord>
      <trackRevisions>false</trackRevisions>
    </reviewItem>
    <reviewItem>
      <errorID>a891fa51-4f57-4b17-9338-fe69d0c1129b</errorID>
      <errorWord>国家发改委</errorWord>
      <group>L1_Knowledge</group>
      <groupName>知识性问题</groupName>
      <ability>L2_Knowledge</ability>
      <abilityName>其他知识</abilityName>
      <candidateList>
        <item>国家发展改革委</item>
      </candidateList>
      <explain/>
      <paraID>728441ED</paraID>
      <start>19</start>
      <end>26</end>
      <status>modified</status>
      <modifiedWord>国家发展改革委</modifiedWord>
      <trackRevisions>false</trackRevisions>
    </reviewItem>
    <reviewItem>
      <errorID>2e57681a-3324-4cfe-856b-35bcd54468c4</errorID>
      <errorWord>&lt;</errorWord>
      <group>L1_Format</group>
      <groupName>格式问题</groupName>
      <ability>L2_HalfPunc_CN</ability>
      <abilityName>全半角问题</abilityName>
      <candidateList>
        <item>〈</item>
      </candidateList>
      <explain>文本全半角错误。</explain>
      <paraID>5F095E08</paraID>
      <start>49</start>
      <end>50</end>
      <status>ignored</status>
      <modifiedWord/>
      <trackRevisions>false</trackRevisions>
    </reviewItem>
    <reviewItem>
      <errorID>6f7ac60b-fb39-4da6-87d0-2c9052be5ad1</errorID>
      <errorWord>&lt;</errorWord>
      <group>L1_Format</group>
      <groupName>格式问题</groupName>
      <ability>L2_HalfPunc_CN</ability>
      <abilityName>全半角问题</abilityName>
      <candidateList>
        <item>〈</item>
      </candidateList>
      <explain>文本全半角错误。</explain>
      <paraID> FFF499E</paraID>
      <start>49</start>
      <end>50</end>
      <status>ignored</status>
      <modifiedWord/>
      <trackRevisions>false</trackRevisions>
    </reviewItem>
    <reviewItem>
      <errorID>6d507fa3-8139-452e-9f0a-879703fbd297</errorID>
      <errorWord>&lt;</errorWord>
      <group>L1_Format</group>
      <groupName>格式问题</groupName>
      <ability>L2_HalfPunc_CN</ability>
      <abilityName>全半角问题</abilityName>
      <candidateList>
        <item>〈</item>
      </candidateList>
      <explain>文本全半角错误。</explain>
      <paraID>7A01560B</paraID>
      <start>34</start>
      <end>35</end>
      <status>ignored</status>
      <modifiedWord/>
      <trackRevisions>false</trackRevisions>
    </reviewItem>
    <reviewItem>
      <errorID>d7cb3193-b45c-44c8-866c-f6dd9389c36f</errorID>
      <errorWord>，</errorWord>
      <group>L1_Word</group>
      <groupName>字词问题</groupName>
      <ability>L2_Typo</ability>
      <abilityName>字词错误</abilityName>
      <candidateList>
        <item>，并</item>
      </candidateList>
      <explain/>
      <paraID>469C93BA</paraID>
      <start>72</start>
      <end>73</end>
      <status>ignored</status>
      <modifiedWord/>
      <trackRevisions>false</trackRevisions>
    </reviewItem>
    <reviewItem>
      <errorID>58b44bef-feb9-477b-8687-6d7e2b836d28</errorID>
      <errorWord>&lt;</errorWord>
      <group>L1_Format</group>
      <groupName>格式问题</groupName>
      <ability>L2_HalfPunc_CN</ability>
      <abilityName>全半角问题</abilityName>
      <candidateList>
        <item>〈</item>
      </candidateList>
      <explain>文本全半角错误。</explain>
      <paraID> E3A1EAE</paraID>
      <start>15</start>
      <end>16</end>
      <status>ignored</status>
      <modifiedWord/>
      <trackRevisions>false</trackRevisions>
    </reviewItem>
    <reviewItem>
      <errorID>4cf12003-acd5-4c77-be6d-655deac4b990</errorID>
      <errorWord>国家工业和信息化部</errorWord>
      <group>L1_Political</group>
      <groupName>政治性问题</groupName>
      <ability>L2_Unpolitical</ability>
      <abilityName>政治敏感错误</abilityName>
      <candidateList>
        <item>工业和信息化部</item>
      </candidateList>
      <explain/>
      <paraID>3F350BC4</paraID>
      <start>7</start>
      <end>16</end>
      <status>ignored</status>
      <modifiedWord/>
      <trackRevisions>false</trackRevisions>
    </reviewItem>
    <reviewItem>
      <errorID>df09bb22-dc8d-4669-9ec0-d24d3b8c696c</errorID>
      <errorWord>;</errorWord>
      <group>L1_Format</group>
      <groupName>格式问题</groupName>
      <ability>L2_HalfPunc_CN</ability>
      <abilityName>全半角问题</abilityName>
      <candidateList>
        <item>；</item>
      </candidateList>
      <explain>文本全半角错误。</explain>
      <paraID>460206DE</paraID>
      <start>14</start>
      <end>15</end>
      <status>modified</status>
      <modifiedWord>；</modifiedWord>
      <trackRevisions>false</trackRevisions>
    </reviewItem>
    <reviewItem>
      <errorID>3fab1963-e791-43b0-9986-872b9c06a581</errorID>
      <errorWord>;</errorWord>
      <group>L1_Format</group>
      <groupName>格式问题</groupName>
      <ability>L2_HalfPunc_CN</ability>
      <abilityName>全半角问题</abilityName>
      <candidateList>
        <item>；</item>
      </candidateList>
      <explain>文本全半角错误。</explain>
      <paraID>77349758</paraID>
      <start>14</start>
      <end>15</end>
      <status>modified</status>
      <modifiedWord>；</modifiedWord>
      <trackRevisions>false</trackRevisions>
    </reviewItem>
    <reviewItem>
      <errorID>3f22a6d3-bab1-4796-aca5-a1c570023f5b</errorID>
      <errorWord>接受</errorWord>
      <group>L1_Word</group>
      <groupName>字词问题</groupName>
      <ability>L2_Typo</ability>
      <abilityName>字词错误</abilityName>
      <candidateList>
        <item>接收</item>
      </candidateList>
      <explain>存在发音相同字词的误用。</explain>
      <paraID>479C8231</paraID>
      <start>27</start>
      <end>29</end>
      <status>ignored</status>
      <modifiedWord/>
      <trackRevisions>false</trackRevisions>
    </reviewItem>
    <reviewItem>
      <errorID>bd7c9251-6f7c-4432-b884-d35d11a6f690</errorID>
      <errorWord>型式</errorWord>
      <group>L1_Word</group>
      <groupName>字词问题</groupName>
      <ability>L2_Typo</ability>
      <abilityName>字词错误</abilityName>
      <candidateList>
        <item>形式</item>
      </candidateList>
      <explain>存在发音相同字词的误用。</explain>
      <paraID>479C8231</paraID>
      <start>36</start>
      <end>38</end>
      <status>modified</status>
      <modifiedWord>形式</modifiedWord>
      <trackRevisions>false</trackRevisions>
    </reviewItem>
    <reviewItem>
      <errorID>6cf669b3-0465-4a41-a40d-ce1547a61090</errorID>
      <errorWord>认证认证</errorWord>
      <group>L1_Word</group>
      <groupName>字词问题</groupName>
      <ability>L2_Typo</ability>
      <abilityName>字词错误</abilityName>
      <candidateList>
        <item>认证</item>
      </candidateList>
      <explain/>
      <paraID>23792CC3</paraID>
      <start>25</start>
      <end>27</end>
      <status>modified</status>
      <modifiedWord>认证</modifiedWord>
      <trackRevisions>false</trackRevisions>
    </reviewItem>
    <reviewItem>
      <errorID>8755d173-4555-41ca-bd61-d69daf39c7a1</errorID>
      <errorWord>，</errorWord>
      <group>L1_Word</group>
      <groupName>字词问题</groupName>
      <ability>L2_Typo</ability>
      <abilityName>字词错误</abilityName>
      <candidateList>
        <item>，并</item>
      </candidateList>
      <explain/>
      <paraID>23792CC3</paraID>
      <start>27</start>
      <end>28</end>
      <status>ignored</status>
      <modifiedWord/>
      <trackRevisions>false</trackRevisions>
    </reviewItem>
    <reviewItem>
      <errorID>aeb4ef27-9e90-4ef7-9fac-cd1d9a00ae2d</errorID>
      <errorWord>:</errorWord>
      <group>L1_Format</group>
      <groupName>格式问题</groupName>
      <ability>L2_HalfPunc_CN</ability>
      <abilityName>全半角问题</abilityName>
      <candidateList>
        <item>：</item>
      </candidateList>
      <explain>文本全半角错误。</explain>
      <paraID>72B653CC</paraID>
      <start>58</start>
      <end>59</end>
      <status>modified</status>
      <modifiedWord>：</modifiedWord>
      <trackRevisions>false</trackRevisions>
    </reviewItem>
    <reviewItem>
      <errorID>162f5810-7dcd-4bb4-8971-09e6324836bf</errorID>
      <errorWord>内容针</errorWord>
      <group>L1_Word</group>
      <groupName>字词问题</groupName>
      <ability>L2_Typo</ability>
      <abilityName>字词错误</abilityName>
      <candidateList>
        <item>内容</item>
      </candidateList>
      <explain/>
      <paraID>4964D466</paraID>
      <start>9</start>
      <end>11</end>
      <status>modified</status>
      <modifiedWord>内容</modifiedWord>
      <trackRevisions>false</trackRevisions>
    </reviewItem>
    <reviewItem>
      <errorID>56797d0f-9d41-4a09-aa77-59decec764f7</errorID>
      <errorWord>内容针</errorWord>
      <group>L1_Word</group>
      <groupName>字词问题</groupName>
      <ability>L2_Typo</ability>
      <abilityName>字词错误</abilityName>
      <candidateList>
        <item>内容</item>
      </candidateList>
      <explain/>
      <paraID>2EB45ABD</paraID>
      <start>10</start>
      <end>12</end>
      <status>modified</status>
      <modifiedWord>内容</modifiedWord>
      <trackRevisions>false</trackRevisions>
    </reviewItem>
    <reviewItem>
      <errorID>f090e4e4-70bb-4560-876c-cc5a9cabdce1</errorID>
      <errorWord>内容针</errorWord>
      <group>L1_Word</group>
      <groupName>字词问题</groupName>
      <ability>L2_Typo</ability>
      <abilityName>字词错误</abilityName>
      <candidateList>
        <item>内容</item>
      </candidateList>
      <explain/>
      <paraID>54E28941</paraID>
      <start>9</start>
      <end>11</end>
      <status>modified</status>
      <modifiedWord>内容</modifiedWord>
      <trackRevisions>false</trackRevisions>
    </reviewItem>
    <reviewItem>
      <errorID>2008b2d0-1ce6-40c8-9a49-5e6599884e74</errorID>
      <errorWord>:</errorWord>
      <group>L1_Format</group>
      <groupName>格式问题</groupName>
      <ability>L2_HalfPunc_CN</ability>
      <abilityName>全半角问题</abilityName>
      <candidateList>
        <item>：</item>
      </candidateList>
      <explain>文本全半角错误。</explain>
      <paraID>73DD44FD</paraID>
      <start>58</start>
      <end>59</end>
      <status>modified</status>
      <modifiedWord>：</modifiedWord>
      <trackRevisions>false</trackRevisions>
    </reviewItem>
    <reviewItem>
      <errorID>ed91ce1d-e526-494b-82bd-b13b6616bec3</errorID>
      <errorWord>（2023）9号</errorWord>
      <group>L1_Knowledge</group>
      <groupName>知识性问题</groupName>
      <ability>L2_Knowledge</ability>
      <abilityName>其他知识</abilityName>
      <candidateList>
        <item>〔2023〕9号</item>
      </candidateList>
      <explain>发文字号格式错误。</explain>
      <paraID>52329E60</paraID>
      <start>39</start>
      <end>47</end>
      <status>modified</status>
      <modifiedWord>〔2023〕9号</modifiedWord>
      <trackRevisions>false</trackRevisions>
    </reviewItem>
    <reviewItem>
      <errorID>3ab1057a-fcb9-4cc1-bb89-7816df9d50a8</errorID>
      <errorWord>（2023）9号</errorWord>
      <group>L1_Knowledge</group>
      <groupName>知识性问题</groupName>
      <ability>L2_Knowledge</ability>
      <abilityName>其他知识</abilityName>
      <candidateList>
        <item>〔2023〕9号</item>
      </candidateList>
      <explain>发文字号格式错误。</explain>
      <paraID>5665B85C</paraID>
      <start>38</start>
      <end>46</end>
      <status>modified</status>
      <modifiedWord>〔2023〕9号</modifiedWord>
      <trackRevisions>false</trackRevisions>
    </reviewItem>
    <reviewItem>
      <errorID>0bd1dfff-c89d-4c92-be40-71cf29348a9b</errorID>
      <errorWord>（2023）9号</errorWord>
      <group>L1_Knowledge</group>
      <groupName>知识性问题</groupName>
      <ability>L2_Knowledge</ability>
      <abilityName>其他知识</abilityName>
      <candidateList>
        <item>〔2023〕9号</item>
      </candidateList>
      <explain>发文字号格式错误。</explain>
      <paraID>70817DC9</paraID>
      <start>17</start>
      <end>25</end>
      <status>modified</status>
      <modifiedWord>〔2023〕9号</modifiedWord>
      <trackRevisions>false</trackRevisions>
    </reviewItem>
    <reviewItem>
      <errorID>542b6370-af03-4d78-a68b-0aa7daf485e7</errorID>
      <errorWord>（2023）9号</errorWord>
      <group>L1_Knowledge</group>
      <groupName>知识性问题</groupName>
      <ability>L2_Knowledge</ability>
      <abilityName>其他知识</abilityName>
      <candidateList>
        <item>〔2023〕9号</item>
      </candidateList>
      <explain>发文字号格式错误。</explain>
      <paraID> C9C47E8</paraID>
      <start>17</start>
      <end>25</end>
      <status>modified</status>
      <modifiedWord>〔2023〕9号</modifiedWord>
      <trackRevisions>false</trackRevisions>
    </reviewItem>
    <reviewItem>
      <errorID>39018092-2a95-41dc-929b-11f54619ad23</errorID>
      <errorWord>间</errorWord>
      <group>L1_Word</group>
      <groupName>字词问题</groupName>
      <ability>L2_Typo</ability>
      <abilityName>字词错误</abilityName>
      <candidateList>
        <item>间内</item>
      </candidateList>
      <explain/>
      <paraID>10B837FD</paraID>
      <start>47</start>
      <end>49</end>
      <status>modified</status>
      <modifiedWord>间内</modifiedWord>
      <trackRevisions>false</trackRevisions>
    </reviewItem>
    <reviewItem>
      <errorID>de22989e-888f-4588-9554-0c89658c787d</errorID>
      <errorWord>〔2017〕 141号</errorWord>
      <group>L1_Knowledge</group>
      <groupName>知识性问题</groupName>
      <ability>L2_Knowledge</ability>
      <abilityName>其他知识</abilityName>
      <candidateList>
        <item>〔2017〕141号</item>
      </candidateList>
      <explain>发文字号格式错误。</explain>
      <paraID>7A78BB89</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2de48d-6a98-454a-8aca-f712f200d757}">
  <ds:schemaRefs/>
</ds:datastoreItem>
</file>

<file path=docProps/app.xml><?xml version="1.0" encoding="utf-8"?>
<Properties xmlns="http://schemas.openxmlformats.org/officeDocument/2006/extended-properties" xmlns:vt="http://schemas.openxmlformats.org/officeDocument/2006/docPropsVTypes">
  <Template>Normal.dotm</Template>
  <Pages>62</Pages>
  <Words>30606</Words>
  <Characters>32685</Characters>
  <TotalTime>204</TotalTime>
  <ScaleCrop>false</ScaleCrop>
  <LinksUpToDate>false</LinksUpToDate>
  <CharactersWithSpaces>34431</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2025-05-06T11:11:00Z</dcterms:created>
  <dc:creator>Administrator</dc:creator>
  <cp:lastModifiedBy>孙工</cp:lastModifiedBy>
  <cp:lastPrinted>2026-07-24T01:05:00Z</cp:lastPrinted>
  <dcterms:modified xsi:type="dcterms:W3CDTF">2026-09-24T01:37:48Z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C496747B2F6C4522B734FCCC54707DA4_13</vt:lpwstr>
  </property>
  <property fmtid="{D5CDD505-2E9C-101B-9397-08002B2CF9AE}" pid="4" name="KSOTemplateDocerSaveRecord">
    <vt:lpwstr>eyJoZGlkIjoiZDlmMzE2MGRiMjI1YjU1ODJkZGE5ODdmODM4NmMzYmYiLCJ1c2VySWQiOiIxNDU1NjkwMjE0In0=</vt:lpwstr>
  </property>
</Properties>
</file>