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6"/>
        <w:ind w:firstLine="0"/>
        <w:rPr>
          <w:rFonts w:hint="eastAsia" w:eastAsia="黑体"/>
          <w:b/>
          <w:bCs/>
          <w:color w:val="000000"/>
          <w:sz w:val="84"/>
        </w:rPr>
      </w:pPr>
      <w:r>
        <w:rPr>
          <w:rFonts w:hint="eastAsia" w:eastAsia="黑体"/>
          <w:b/>
          <w:bCs/>
          <w:color w:val="000000"/>
          <w:sz w:val="84"/>
        </w:rPr>
      </w:r>
      <w:r/>
    </w:p>
    <w:p>
      <w:pPr>
        <w:pStyle w:val="1316"/>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1316"/>
        <w:ind w:firstLine="0"/>
        <w:jc w:val="center"/>
        <w:rPr>
          <w:rFonts w:hint="eastAsia"/>
          <w:b/>
          <w:bCs/>
          <w:color w:val="000000"/>
          <w:sz w:val="32"/>
          <w:szCs w:val="32"/>
        </w:rPr>
      </w:pPr>
      <w:r>
        <w:rPr>
          <w:rFonts w:hint="eastAsia"/>
          <w:b/>
          <w:bCs/>
          <w:color w:val="000000"/>
          <w:sz w:val="32"/>
          <w:szCs w:val="32"/>
        </w:rPr>
      </w:r>
      <w:r/>
    </w:p>
    <w:p>
      <w:pPr>
        <w:pStyle w:val="1316"/>
        <w:ind w:firstLine="0"/>
        <w:jc w:val="center"/>
        <w:rPr>
          <w:rFonts w:hint="eastAsia"/>
          <w:b/>
          <w:bCs/>
          <w:color w:val="000000"/>
          <w:sz w:val="32"/>
          <w:szCs w:val="32"/>
        </w:rPr>
      </w:pPr>
      <w:r>
        <w:rPr>
          <w:rFonts w:hint="eastAsia"/>
          <w:b/>
          <w:bCs/>
          <w:color w:val="000000"/>
          <w:sz w:val="32"/>
          <w:szCs w:val="32"/>
        </w:rPr>
      </w:r>
      <w:r/>
    </w:p>
    <w:p>
      <w:pPr>
        <w:pStyle w:val="1316"/>
        <w:ind w:firstLine="0"/>
        <w:jc w:val="center"/>
        <w:rPr>
          <w:rFonts w:hint="eastAsia"/>
          <w:b/>
          <w:bCs/>
          <w:color w:val="000000"/>
          <w:sz w:val="32"/>
          <w:szCs w:val="32"/>
        </w:rPr>
      </w:pPr>
      <w:r>
        <w:rPr>
          <w:rFonts w:hint="eastAsia"/>
          <w:b/>
          <w:bCs/>
          <w:color w:val="000000"/>
          <w:sz w:val="32"/>
          <w:szCs w:val="32"/>
        </w:rPr>
        <w:t xml:space="preserve">项目名称：扬中市S238扬中一桥货车动态称重监测设施项目</w:t>
      </w:r>
      <w:r>
        <w:rPr>
          <w:rFonts w:hint="eastAsia"/>
          <w:b/>
          <w:bCs/>
          <w:color w:val="000000"/>
          <w:sz w:val="32"/>
          <w:szCs w:val="32"/>
        </w:rPr>
      </w:r>
      <w:r/>
    </w:p>
    <w:p>
      <w:pPr>
        <w:pStyle w:val="1214"/>
        <w:jc w:val="center"/>
        <w:rPr>
          <w:rFonts w:hint="eastAsia" w:eastAsia="宋体"/>
          <w:b/>
          <w:color w:val="000000"/>
          <w:sz w:val="32"/>
          <w:szCs w:val="32"/>
          <w:lang w:eastAsia="zh-CN"/>
        </w:rPr>
      </w:pPr>
      <w:r>
        <w:rPr>
          <w:rFonts w:hint="eastAsia"/>
          <w:b/>
          <w:bCs/>
          <w:color w:val="000000"/>
          <w:sz w:val="32"/>
          <w:szCs w:val="32"/>
        </w:rPr>
        <w:t xml:space="preserve">项目编号：</w:t>
      </w:r>
      <w:r>
        <w:rPr>
          <w:rFonts w:hint="eastAsia"/>
          <w:b/>
          <w:bCs/>
          <w:color w:val="000000"/>
          <w:sz w:val="32"/>
          <w:szCs w:val="32"/>
          <w:lang w:eastAsia="zh-CN"/>
        </w:rPr>
        <w:t xml:space="preserve">JSZC-321182-JJGS-G2026-0013</w:t>
      </w:r>
      <w:r>
        <w:rPr>
          <w:rFonts w:hint="eastAsia" w:eastAsia="宋体"/>
          <w:b/>
          <w:color w:val="000000"/>
          <w:sz w:val="32"/>
          <w:szCs w:val="32"/>
          <w:lang w:eastAsia="zh-CN"/>
        </w:rPr>
      </w:r>
      <w:r/>
    </w:p>
    <w:p>
      <w:pPr>
        <w:pStyle w:val="1214"/>
        <w:jc w:val="center"/>
        <w:rPr>
          <w:rFonts w:hint="eastAsia"/>
          <w:b/>
          <w:color w:val="000000"/>
          <w:sz w:val="32"/>
          <w:szCs w:val="32"/>
        </w:rPr>
      </w:pPr>
      <w:r>
        <w:rPr>
          <w:rFonts w:hint="eastAsia"/>
          <w:b/>
          <w:color w:val="000000"/>
          <w:sz w:val="32"/>
          <w:szCs w:val="32"/>
        </w:rPr>
      </w:r>
      <w:r/>
    </w:p>
    <w:p>
      <w:pPr>
        <w:pStyle w:val="1214"/>
        <w:jc w:val="center"/>
        <w:rPr>
          <w:rFonts w:hint="eastAsia"/>
          <w:b/>
          <w:color w:val="000000"/>
          <w:sz w:val="32"/>
          <w:szCs w:val="32"/>
        </w:rPr>
      </w:pPr>
      <w:r>
        <w:rPr>
          <w:rFonts w:hint="eastAsia"/>
          <w:b/>
          <w:color w:val="000000"/>
          <w:sz w:val="32"/>
          <w:szCs w:val="32"/>
        </w:rPr>
        <w:t xml:space="preserve">（全流程电子化</w:t>
      </w:r>
      <w:r>
        <w:rPr>
          <w:b/>
          <w:color w:val="000000"/>
          <w:sz w:val="32"/>
          <w:szCs w:val="32"/>
        </w:rPr>
        <w:t xml:space="preserve">-</w:t>
      </w:r>
      <w:r>
        <w:rPr>
          <w:rFonts w:hint="eastAsia"/>
          <w:b/>
          <w:color w:val="000000"/>
          <w:sz w:val="32"/>
          <w:szCs w:val="32"/>
        </w:rPr>
        <w:t xml:space="preserve">货物类项目，适用苏采云系统）</w:t>
      </w:r>
      <w:r>
        <w:rPr>
          <w:rFonts w:hint="eastAsia"/>
          <w:b/>
          <w:color w:val="000000"/>
          <w:sz w:val="32"/>
          <w:szCs w:val="32"/>
        </w:rPr>
      </w:r>
      <w:r/>
    </w:p>
    <w:p>
      <w:pPr>
        <w:pStyle w:val="131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31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31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31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31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214"/>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江苏金居工程项目管理有限公司</w:t>
      </w:r>
      <w:r>
        <w:rPr>
          <w:rFonts w:hint="eastAsia" w:ascii="Arial" w:hAnsi="Arial"/>
          <w:b/>
          <w:bCs/>
          <w:color w:val="000000"/>
          <w:sz w:val="32"/>
          <w:szCs w:val="32"/>
        </w:rPr>
      </w:r>
      <w:r/>
    </w:p>
    <w:p>
      <w:pPr>
        <w:pStyle w:val="1214"/>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2026年8月</w:t>
      </w:r>
      <w:r>
        <w:rPr>
          <w:rFonts w:hint="eastAsia" w:ascii="Arial" w:hAnsi="Arial"/>
          <w:b/>
          <w:bCs/>
          <w:color w:val="000000"/>
          <w:sz w:val="32"/>
          <w:szCs w:val="32"/>
          <w:lang w:val="en-US" w:eastAsia="zh-CN"/>
        </w:rPr>
        <w:t xml:space="preserve">2</w:t>
      </w:r>
      <w:r>
        <w:rPr>
          <w:rFonts w:hint="eastAsia" w:ascii="Arial" w:hAnsi="Arial"/>
          <w:b/>
          <w:bCs/>
          <w:color w:val="000000"/>
          <w:sz w:val="32"/>
          <w:szCs w:val="32"/>
          <w:lang w:val="en-US" w:eastAsia="zh-CN"/>
        </w:rPr>
        <w:t xml:space="preserve">0</w:t>
      </w:r>
      <w:r>
        <w:rPr>
          <w:rFonts w:hint="eastAsia" w:ascii="Arial" w:hAnsi="Arial"/>
          <w:b/>
          <w:bCs/>
          <w:color w:val="000000"/>
          <w:sz w:val="32"/>
          <w:szCs w:val="32"/>
        </w:rPr>
        <w:t xml:space="preserve">日</w:t>
      </w:r>
      <w:r>
        <w:rPr>
          <w:rFonts w:hint="eastAsia" w:ascii="Arial" w:hAnsi="Arial"/>
          <w:b/>
          <w:bCs/>
          <w:color w:val="000000"/>
          <w:sz w:val="32"/>
          <w:szCs w:val="32"/>
        </w:rPr>
      </w:r>
      <w:r/>
    </w:p>
    <w:p>
      <w:pPr>
        <w:pStyle w:val="1316"/>
        <w:ind w:firstLine="0"/>
        <w:rPr>
          <w:rFonts w:hint="eastAsia"/>
          <w:color w:val="000000"/>
          <w:u w:val="single"/>
        </w:rPr>
      </w:pPr>
      <w:r>
        <w:rPr>
          <w:rFonts w:hint="eastAsia"/>
          <w:color w:val="000000"/>
        </w:rPr>
        <w:t xml:space="preserve">                        </w:t>
      </w:r>
      <w:r>
        <w:rPr>
          <w:rFonts w:hint="eastAsia"/>
          <w:color w:val="000000"/>
          <w:u w:val="single"/>
        </w:rPr>
      </w:r>
      <w:r/>
    </w:p>
    <w:p>
      <w:pPr>
        <w:pStyle w:val="1316"/>
        <w:ind w:firstLine="0"/>
        <w:jc w:val="center"/>
        <w:rPr>
          <w:rFonts w:hint="eastAsia"/>
          <w:color w:val="000000"/>
        </w:rPr>
      </w:pPr>
      <w:r>
        <w:rPr>
          <w:rFonts w:hint="eastAsia"/>
          <w:color w:val="000000"/>
        </w:rPr>
      </w:r>
      <w:r/>
    </w:p>
    <w:p>
      <w:pPr>
        <w:pStyle w:val="1214"/>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121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1214"/>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121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21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21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招标需求</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21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214"/>
        <w:numPr>
          <w:ilvl w:val="0"/>
          <w:numId w:val="4"/>
        </w:numPr>
        <w:spacing w:line="480" w:lineRule="auto"/>
        <w:tabs>
          <w:tab w:val="left" w:pos="1440" w:leader="none"/>
        </w:tabs>
        <w:rPr>
          <w:rFonts w:hint="eastAsia"/>
          <w:color w:val="000000"/>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 </w:t>
      </w: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5"/>
        <w:spacing w:before="120" w:after="120" w:line="440" w:lineRule="exact"/>
        <w:rPr>
          <w:rFonts w:hint="eastAsia" w:ascii="黑体" w:eastAsia="黑体"/>
          <w:bCs/>
          <w:color w:val="000000"/>
          <w:sz w:val="32"/>
          <w:szCs w:val="32"/>
        </w:rPr>
      </w:pPr>
      <w:r>
        <w:rPr>
          <w:rFonts w:hint="eastAsia" w:ascii="黑体" w:eastAsia="黑体"/>
          <w:color w:val="000000"/>
          <w:sz w:val="32"/>
          <w:szCs w:val="32"/>
        </w:rPr>
        <w:t xml:space="preserve">第一章  </w:t>
      </w:r>
      <w:bookmarkEnd w:id="0"/>
      <w:r>
        <w:rPr>
          <w:rFonts w:hint="eastAsia" w:ascii="黑体" w:eastAsia="黑体"/>
          <w:color w:val="000000"/>
          <w:sz w:val="32"/>
          <w:szCs w:val="32"/>
        </w:rPr>
        <w:t xml:space="preserve">投标邀请</w:t>
      </w:r>
      <w:r>
        <w:rPr>
          <w:rFonts w:hint="eastAsia" w:ascii="黑体" w:eastAsia="黑体"/>
          <w:bCs/>
          <w:color w:val="000000"/>
          <w:sz w:val="32"/>
          <w:szCs w:val="32"/>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受扬中市交通运输局的委托，就[扬中市S238扬中一桥货车动态称重监测设施项目]([</w:t>
      </w:r>
      <w:r>
        <w:rPr>
          <w:rFonts w:hint="eastAsia" w:ascii="宋体" w:hAnsi="宋体"/>
          <w:b/>
          <w:bCs/>
          <w:color w:val="000000"/>
          <w:sz w:val="24"/>
          <w:szCs w:val="24"/>
        </w:rPr>
        <w:t xml:space="preserve">(</w:t>
      </w:r>
      <w:r>
        <w:rPr>
          <w:rFonts w:hint="eastAsia" w:ascii="宋体" w:hAnsi="宋体"/>
          <w:b/>
          <w:bCs/>
          <w:color w:val="000000"/>
          <w:sz w:val="24"/>
          <w:szCs w:val="24"/>
          <w:lang w:eastAsia="zh-CN"/>
        </w:rPr>
        <w:t xml:space="preserve">JSZC-321182-JJGS-G2026-0013</w:t>
      </w:r>
      <w:r>
        <w:rPr>
          <w:rFonts w:hint="eastAsia" w:ascii="宋体" w:hAnsi="宋体"/>
          <w:b/>
          <w:bCs/>
          <w:color w:val="000000"/>
          <w:sz w:val="24"/>
          <w:szCs w:val="24"/>
        </w:rPr>
        <w:t xml:space="preserve">)</w:t>
      </w:r>
      <w:r>
        <w:rPr>
          <w:rFonts w:hint="eastAsia" w:ascii="宋体" w:hAnsi="宋体"/>
          <w:color w:val="000000"/>
          <w:sz w:val="24"/>
          <w:szCs w:val="24"/>
        </w:rPr>
        <w:t xml:space="preserve">])项目进行公开招标，欢迎符合条件的投标人投标。</w:t>
      </w:r>
      <w:r>
        <w:rPr>
          <w:rFonts w:ascii="宋体" w:hAnsi="宋体"/>
          <w:color w:val="000000"/>
          <w:sz w:val="24"/>
          <w:szCs w:val="24"/>
        </w:rPr>
      </w:r>
      <w:r/>
    </w:p>
    <w:p>
      <w:pPr>
        <w:pStyle w:val="1214"/>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1214"/>
        <w:ind w:firstLine="480"/>
        <w:spacing w:line="440" w:lineRule="exact"/>
        <w:rPr>
          <w:rFonts w:ascii="宋体" w:hAnsi="宋体"/>
          <w:color w:val="0000ff"/>
          <w:sz w:val="24"/>
          <w:szCs w:val="24"/>
          <w:highlight w:val="yellow"/>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扬中市S238扬中一桥货车动态称重监测设施项目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“江苏政府网”http://jszfcg.jscz.gov.cn/jszc/login自行免费下载</w:t>
      </w:r>
      <w:r>
        <w:rPr>
          <w:rFonts w:hint="eastAsia" w:ascii="宋体" w:hAnsi="宋体"/>
          <w:color w:val="000000"/>
          <w:sz w:val="24"/>
          <w:szCs w:val="24"/>
        </w:rPr>
        <w:t xml:space="preserve">招标文件，</w:t>
      </w:r>
      <w:r>
        <w:rPr>
          <w:rFonts w:hint="eastAsia" w:ascii="宋体" w:hAnsi="宋体"/>
          <w:b/>
          <w:bCs/>
          <w:color w:val="0000ff"/>
          <w:sz w:val="24"/>
          <w:szCs w:val="24"/>
          <w:highlight w:val="yellow"/>
        </w:rPr>
        <w:t xml:space="preserve">并于</w:t>
      </w:r>
      <w:r>
        <w:rPr>
          <w:rFonts w:hint="eastAsia" w:ascii="宋体" w:hAnsi="宋体"/>
          <w:b/>
          <w:bCs/>
          <w:color w:val="0000ff"/>
          <w:sz w:val="24"/>
          <w:szCs w:val="24"/>
          <w:highlight w:val="yellow"/>
          <w:u w:val="single"/>
        </w:rPr>
        <w:t xml:space="preserve">2026年</w:t>
      </w:r>
      <w:r>
        <w:rPr>
          <w:rFonts w:hint="eastAsia" w:ascii="宋体" w:hAnsi="宋体"/>
          <w:b/>
          <w:bCs/>
          <w:color w:val="0000ff"/>
          <w:sz w:val="24"/>
          <w:szCs w:val="24"/>
          <w:highlight w:val="yellow"/>
          <w:u w:val="single"/>
          <w:lang w:val="en-US" w:eastAsia="zh-CN"/>
        </w:rPr>
        <w:t xml:space="preserve">9</w:t>
      </w:r>
      <w:r>
        <w:rPr>
          <w:rFonts w:hint="eastAsia" w:ascii="宋体" w:hAnsi="宋体"/>
          <w:b/>
          <w:bCs/>
          <w:color w:val="0000ff"/>
          <w:sz w:val="24"/>
          <w:szCs w:val="24"/>
          <w:highlight w:val="yellow"/>
          <w:u w:val="single"/>
        </w:rPr>
        <w:t xml:space="preserve">月</w:t>
      </w:r>
      <w:r>
        <w:rPr>
          <w:rFonts w:hint="eastAsia" w:ascii="宋体" w:hAnsi="宋体"/>
          <w:b/>
          <w:bCs/>
          <w:color w:val="0000ff"/>
          <w:sz w:val="24"/>
          <w:szCs w:val="24"/>
          <w:highlight w:val="yellow"/>
          <w:u w:val="single"/>
          <w:lang w:val="en-US" w:eastAsia="zh-CN"/>
        </w:rPr>
        <w:t xml:space="preserve">1</w:t>
      </w:r>
      <w:r>
        <w:rPr>
          <w:rFonts w:hint="eastAsia" w:ascii="宋体" w:hAnsi="宋体"/>
          <w:b/>
          <w:bCs/>
          <w:color w:val="0000ff"/>
          <w:sz w:val="24"/>
          <w:szCs w:val="24"/>
          <w:highlight w:val="yellow"/>
          <w:u w:val="single"/>
          <w:lang w:val="en-US" w:eastAsia="zh-CN"/>
        </w:rPr>
        <w:t xml:space="preserve">0</w:t>
      </w:r>
      <w:r>
        <w:rPr>
          <w:rFonts w:hint="eastAsia" w:ascii="宋体" w:hAnsi="宋体"/>
          <w:b/>
          <w:bCs/>
          <w:color w:val="0000ff"/>
          <w:sz w:val="24"/>
          <w:szCs w:val="24"/>
          <w:highlight w:val="yellow"/>
          <w:u w:val="single"/>
        </w:rPr>
        <w:t xml:space="preserve">日14点30分（</w:t>
      </w:r>
      <w:r>
        <w:rPr>
          <w:rFonts w:hint="eastAsia" w:ascii="宋体" w:hAnsi="宋体"/>
          <w:b/>
          <w:bCs/>
          <w:color w:val="0000ff"/>
          <w:sz w:val="24"/>
          <w:szCs w:val="24"/>
          <w:highlight w:val="yellow"/>
        </w:rPr>
        <w:t xml:space="preserve">北京时间）前递交投标</w:t>
      </w:r>
      <w:r>
        <w:rPr>
          <w:rFonts w:ascii="宋体" w:hAnsi="宋体"/>
          <w:b/>
          <w:bCs/>
          <w:color w:val="0000ff"/>
          <w:sz w:val="24"/>
          <w:szCs w:val="24"/>
          <w:highlight w:val="yellow"/>
        </w:rPr>
        <w:t xml:space="preserve">文件</w:t>
      </w:r>
      <w:r>
        <w:rPr>
          <w:rFonts w:hint="eastAsia" w:ascii="宋体" w:hAnsi="宋体"/>
          <w:b/>
          <w:bCs/>
          <w:color w:val="0000ff"/>
          <w:sz w:val="24"/>
          <w:szCs w:val="24"/>
          <w:highlight w:val="yellow"/>
        </w:rPr>
        <w:t xml:space="preserve">。</w:t>
      </w:r>
      <w:r>
        <w:rPr>
          <w:highlight w:val="yellow"/>
        </w:rPr>
      </w:r>
      <w:r/>
    </w:p>
    <w:p>
      <w:pPr>
        <w:pStyle w:val="1217"/>
        <w:ind w:firstLine="373"/>
        <w:spacing w:before="120" w:after="120" w:line="440" w:lineRule="exact"/>
        <w:rPr>
          <w:color w:val="000000"/>
          <w:sz w:val="24"/>
          <w:szCs w:val="24"/>
        </w:rP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color w:val="000000"/>
          <w:sz w:val="24"/>
          <w:szCs w:val="24"/>
        </w:rPr>
        <w:t xml:space="preserve">一、项目基本情况</w:t>
      </w:r>
      <w:bookmarkEnd w:id="6"/>
      <w:r/>
      <w:bookmarkEnd w:id="7"/>
      <w:r/>
      <w:bookmarkEnd w:id="8"/>
      <w:r/>
      <w:bookmarkEnd w:id="9"/>
      <w:r/>
      <w:bookmarkEnd w:id="10"/>
      <w:r>
        <w:rPr>
          <w:color w:val="000000"/>
          <w:sz w:val="24"/>
          <w:szCs w:val="24"/>
        </w:rPr>
      </w:r>
      <w:r/>
    </w:p>
    <w:p>
      <w:pPr>
        <w:pStyle w:val="1214"/>
        <w:ind w:firstLine="480"/>
        <w:spacing w:line="440" w:lineRule="exact"/>
        <w:rPr>
          <w:rFonts w:hint="eastAsia" w:ascii="宋体" w:hAnsi="宋体"/>
          <w:color w:val="000000"/>
          <w:sz w:val="24"/>
          <w:szCs w:val="24"/>
        </w:rPr>
      </w:pPr>
      <w:r/>
      <w:bookmarkEnd w:id="11"/>
      <w:r/>
      <w:bookmarkStart w:id="12" w:name="_Toc35393791"/>
      <w:r/>
      <w:bookmarkStart w:id="13" w:name="_Toc28359003"/>
      <w:r/>
      <w:bookmarkStart w:id="14" w:name="_Toc35393622"/>
      <w:r/>
      <w:bookmarkStart w:id="15" w:name="_Toc38985264"/>
      <w:r/>
      <w:bookmarkStart w:id="16" w:name="_Toc28359080"/>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JSZC-321182-JJGS-G2026-0013</w:t>
      </w:r>
      <w:r>
        <w:rPr>
          <w:rFonts w:hint="eastAsia" w:ascii="宋体" w:hAnsi="宋体"/>
          <w:color w:val="000000"/>
          <w:sz w:val="24"/>
          <w:szCs w:val="24"/>
        </w:rPr>
        <w:t xml:space="preserve">；</w:t>
      </w:r>
      <w:r>
        <w:rPr>
          <w:rFonts w:hint="eastAsia"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2.项目名称：扬中市S238扬中一桥货车动态称重监测设施项目；</w:t>
      </w:r>
      <w:r>
        <w:rPr>
          <w:rFonts w:ascii="宋体" w:hAnsi="宋体"/>
          <w:color w:val="000000"/>
          <w:sz w:val="24"/>
          <w:szCs w:val="24"/>
        </w:rPr>
      </w:r>
      <w:r/>
    </w:p>
    <w:p>
      <w:pPr>
        <w:pStyle w:val="1214"/>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3.预算金额：350万元；</w:t>
      </w:r>
      <w:r>
        <w:rPr>
          <w:rFonts w:ascii="宋体" w:hAnsi="宋体"/>
          <w:b/>
          <w:bCs/>
          <w:color w:val="000000"/>
          <w:sz w:val="24"/>
          <w:szCs w:val="24"/>
        </w:rPr>
      </w:r>
      <w:r/>
    </w:p>
    <w:p>
      <w:pPr>
        <w:pStyle w:val="1214"/>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4.本项目</w:t>
      </w:r>
      <w:r>
        <w:rPr>
          <w:rFonts w:hint="eastAsia" w:ascii="宋体" w:hAnsi="宋体"/>
          <w:b/>
          <w:bCs/>
          <w:color w:val="000000"/>
          <w:sz w:val="24"/>
          <w:szCs w:val="24"/>
          <w:highlight w:val="none"/>
          <w:u w:val="single"/>
        </w:rPr>
        <w:t xml:space="preserve"> 设定 </w:t>
      </w:r>
      <w:r>
        <w:rPr>
          <w:rFonts w:hint="eastAsia" w:ascii="宋体" w:hAnsi="宋体"/>
          <w:b/>
          <w:bCs/>
          <w:color w:val="000000"/>
          <w:sz w:val="24"/>
          <w:szCs w:val="24"/>
          <w:highlight w:val="none"/>
        </w:rPr>
        <w:t xml:space="preserve">最高限价，最高限价为</w:t>
      </w: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lang w:val="en-US" w:eastAsia="zh-CN"/>
        </w:rPr>
        <w:t xml:space="preserve">06.87</w:t>
      </w:r>
      <w:r>
        <w:rPr>
          <w:rFonts w:hint="eastAsia" w:ascii="宋体" w:hAnsi="宋体"/>
          <w:b/>
          <w:bCs/>
          <w:color w:val="000000"/>
          <w:sz w:val="24"/>
          <w:szCs w:val="24"/>
          <w:highlight w:val="none"/>
        </w:rPr>
        <w:t xml:space="preserve">万元；</w:t>
      </w:r>
      <w:r>
        <w:rPr>
          <w:rFonts w:hint="eastAsia" w:ascii="宋体" w:hAnsi="宋体"/>
          <w:b/>
          <w:bCs/>
          <w:color w:val="000000"/>
          <w:sz w:val="24"/>
          <w:szCs w:val="24"/>
          <w:highlight w:val="none"/>
        </w:rPr>
      </w:r>
      <w:r/>
    </w:p>
    <w:p>
      <w:pPr>
        <w:pStyle w:val="1214"/>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5.需求(简介)：扬中市S238扬中一桥货车动态称重监测设施设备采购。</w:t>
      </w:r>
      <w:r>
        <w:rPr>
          <w:rFonts w:hint="eastAsia" w:ascii="宋体" w:hAnsi="宋体" w:cs="宋体"/>
          <w:color w:val="000000"/>
          <w:sz w:val="24"/>
          <w:szCs w:val="24"/>
        </w:rPr>
        <w:t xml:space="preserve">（详细内容见本招标文件第四章）；</w:t>
      </w:r>
      <w:r>
        <w:rPr>
          <w:rFonts w:hint="eastAsia" w:ascii="宋体" w:hAnsi="宋体"/>
          <w:color w:val="000000"/>
          <w:sz w:val="24"/>
          <w:szCs w:val="24"/>
          <w:u w:val="single"/>
        </w:rPr>
      </w:r>
      <w:r/>
    </w:p>
    <w:p>
      <w:pPr>
        <w:pStyle w:val="1214"/>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b/>
          <w:bCs/>
          <w:color w:val="000000"/>
          <w:sz w:val="24"/>
          <w:szCs w:val="24"/>
          <w:highlight w:val="none"/>
        </w:rPr>
        <w:t xml:space="preserve">合同签订后70日历天内供货并安装调试完成，并提供2年免费运维服务（运维期自设备安装调试后无质量问题能够正常使用、通过上级部门验收之日起计算）</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 本项目是否仅面向中小微企业：是□  否☑；</w:t>
      </w:r>
      <w:r>
        <w:rPr>
          <w:rFonts w:hint="eastAsia" w:ascii="宋体" w:hAnsi="宋体"/>
          <w:color w:val="000000"/>
          <w:sz w:val="24"/>
          <w:szCs w:val="24"/>
        </w:rPr>
      </w:r>
      <w:r/>
    </w:p>
    <w:p>
      <w:pPr>
        <w:pStyle w:val="1217"/>
        <w:ind w:firstLine="373"/>
        <w:spacing w:before="120" w:after="120" w:line="440" w:lineRule="exact"/>
        <w:rPr>
          <w:color w:val="000000"/>
          <w:sz w:val="24"/>
          <w:szCs w:val="24"/>
        </w:rPr>
      </w:pPr>
      <w:r>
        <w:rPr>
          <w:rFonts w:hint="eastAsia"/>
          <w:color w:val="000000"/>
          <w:sz w:val="24"/>
          <w:szCs w:val="24"/>
        </w:rPr>
        <w:t xml:space="preserve">二、申请人的资格要求</w:t>
      </w:r>
      <w:bookmarkEnd w:id="12"/>
      <w:r/>
      <w:bookmarkEnd w:id="13"/>
      <w:r/>
      <w:bookmarkEnd w:id="14"/>
      <w:r/>
      <w:bookmarkEnd w:id="15"/>
      <w:r/>
      <w:bookmarkEnd w:id="16"/>
      <w:r>
        <w:rPr>
          <w:color w:val="000000"/>
          <w:sz w:val="24"/>
          <w:szCs w:val="24"/>
        </w:rPr>
      </w:r>
      <w:r/>
    </w:p>
    <w:p>
      <w:pPr>
        <w:pStyle w:val="1214"/>
        <w:ind w:firstLine="480"/>
        <w:spacing w:line="440" w:lineRule="exact"/>
        <w:rPr>
          <w:rFonts w:hint="eastAsia" w:ascii="宋体" w:hAnsi="宋体"/>
          <w:color w:val="000000"/>
          <w:sz w:val="24"/>
          <w:szCs w:val="24"/>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1.满足《中华人民共和国政府法》第二十二条规定，并提供下列材料：</w:t>
      </w:r>
      <w:r>
        <w:rPr>
          <w:rFonts w:ascii="宋体" w:hAnsi="宋体"/>
          <w:color w:val="000000"/>
          <w:sz w:val="24"/>
          <w:szCs w:val="24"/>
        </w:rPr>
      </w:r>
      <w:r/>
    </w:p>
    <w:p>
      <w:pPr>
        <w:pStyle w:val="1214"/>
        <w:ind w:firstLine="56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rPr>
          <w:rFonts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【提供2025年度财务报告（成立不满一年的提供至少一个月财务报告），或银行出具的资信证明，或财政部门认可的政府专业担保机构出具的投标担保函】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t xml:space="preserve">；</w:t>
      </w:r>
      <w:r>
        <w:rPr>
          <w:rFonts w:hint="eastAsia" w:ascii="宋体" w:hAnsi="宋体"/>
          <w:color w:val="000000"/>
          <w:sz w:val="24"/>
          <w:szCs w:val="24"/>
        </w:rPr>
      </w:r>
      <w:r/>
    </w:p>
    <w:p>
      <w:pPr>
        <w:pStyle w:val="1214"/>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C.具有履行合同所必需的设备和专业技术能力{提供投标单位相关信息一览表（见投标文件格式）；</w:t>
      </w:r>
      <w:r>
        <w:rPr>
          <w:rFonts w:ascii="宋体" w:hAnsi="宋体"/>
          <w:color w:val="000000"/>
          <w:sz w:val="24"/>
          <w:szCs w:val="24"/>
        </w:rPr>
      </w:r>
      <w:r/>
    </w:p>
    <w:p>
      <w:pPr>
        <w:pStyle w:val="1214"/>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D.提供参加本次政府活动前三年内，在经营活动中没有重大违法记录的承诺函（见投标函第7条）；</w:t>
      </w:r>
      <w:r>
        <w:rPr>
          <w:rFonts w:ascii="宋体" w:hAnsi="宋体"/>
          <w:color w:val="000000"/>
          <w:sz w:val="24"/>
          <w:szCs w:val="24"/>
        </w:rPr>
      </w:r>
      <w:r/>
    </w:p>
    <w:p>
      <w:pPr>
        <w:pStyle w:val="1214"/>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olor w:val="000000"/>
          <w:sz w:val="24"/>
          <w:szCs w:val="24"/>
        </w:rPr>
      </w:r>
      <w:r/>
    </w:p>
    <w:p>
      <w:pPr>
        <w:pStyle w:val="1214"/>
        <w:ind w:firstLine="562"/>
        <w:spacing w:line="440" w:lineRule="exact"/>
        <w:rPr>
          <w:rFonts w:ascii="宋体" w:hAnsi="宋体"/>
          <w:b/>
          <w:bCs/>
          <w:color w:val="000000"/>
          <w:sz w:val="24"/>
          <w:szCs w:val="24"/>
        </w:rPr>
      </w:pPr>
      <w:r>
        <w:rPr>
          <w:rFonts w:hint="eastAsia" w:ascii="宋体" w:hAnsi="宋体"/>
          <w:b/>
          <w:bCs/>
          <w:color w:val="000000"/>
          <w:sz w:val="24"/>
          <w:szCs w:val="24"/>
        </w:rPr>
        <w:t xml:space="preserve">注：①按</w:t>
      </w:r>
      <w:r>
        <w:rPr>
          <w:rFonts w:ascii="宋体" w:hAnsi="宋体"/>
          <w:b/>
          <w:bCs/>
          <w:color w:val="000000"/>
          <w:sz w:val="24"/>
          <w:szCs w:val="24"/>
        </w:rPr>
        <w:t xml:space="preserve">扬财购〔</w:t>
      </w:r>
      <w:r>
        <w:rPr>
          <w:rFonts w:hint="eastAsia" w:ascii="宋体" w:hAnsi="宋体"/>
          <w:b/>
          <w:bCs/>
          <w:color w:val="000000"/>
          <w:sz w:val="24"/>
          <w:szCs w:val="24"/>
        </w:rPr>
        <w:t xml:space="preserve">2022</w:t>
      </w:r>
      <w:r>
        <w:rPr>
          <w:rFonts w:ascii="宋体" w:hAnsi="宋体"/>
          <w:b/>
          <w:bCs/>
          <w:color w:val="000000"/>
          <w:sz w:val="24"/>
          <w:szCs w:val="24"/>
        </w:rPr>
        <w:t xml:space="preserve">〕1</w:t>
      </w:r>
      <w:r>
        <w:rPr>
          <w:rFonts w:hint="eastAsia" w:ascii="宋体" w:hAnsi="宋体"/>
          <w:b/>
          <w:bCs/>
          <w:color w:val="000000"/>
          <w:sz w:val="24"/>
          <w:szCs w:val="24"/>
        </w:rPr>
        <w:t xml:space="preserve">7</w:t>
      </w:r>
      <w:r>
        <w:rPr>
          <w:rFonts w:ascii="宋体" w:hAnsi="宋体"/>
          <w:b/>
          <w:bCs/>
          <w:color w:val="000000"/>
          <w:sz w:val="24"/>
          <w:szCs w:val="24"/>
        </w:rPr>
        <w:t xml:space="preserve">号《关于进一步降低政府活动成本减轻政府</w:t>
      </w:r>
      <w:r>
        <w:rPr>
          <w:rFonts w:hint="eastAsia" w:ascii="宋体" w:hAnsi="宋体"/>
          <w:b/>
          <w:bCs/>
          <w:color w:val="000000"/>
          <w:sz w:val="24"/>
          <w:szCs w:val="24"/>
        </w:rPr>
        <w:t xml:space="preserve">投标人</w:t>
      </w:r>
      <w:r>
        <w:rPr>
          <w:rFonts w:ascii="宋体" w:hAnsi="宋体"/>
          <w:b/>
          <w:bCs/>
          <w:color w:val="000000"/>
          <w:sz w:val="24"/>
          <w:szCs w:val="24"/>
        </w:rPr>
        <w:t xml:space="preserve">负担的通知》</w:t>
      </w:r>
      <w:r>
        <w:rPr>
          <w:rFonts w:hint="eastAsia" w:ascii="宋体" w:hAnsi="宋体"/>
          <w:b/>
          <w:bCs/>
          <w:color w:val="000000"/>
          <w:sz w:val="24"/>
          <w:szCs w:val="24"/>
        </w:rPr>
        <w:t xml:space="preserve">本项目</w:t>
      </w:r>
      <w:r>
        <w:rPr>
          <w:rFonts w:ascii="宋体" w:hAnsi="宋体"/>
          <w:b/>
          <w:bCs/>
          <w:color w:val="000000"/>
          <w:sz w:val="24"/>
          <w:szCs w:val="24"/>
        </w:rPr>
        <w:t xml:space="preserve">申请人的资格条件采取</w:t>
      </w:r>
      <w:r>
        <w:rPr>
          <w:rFonts w:hint="eastAsia" w:ascii="宋体" w:hAnsi="宋体"/>
          <w:b/>
          <w:bCs/>
          <w:color w:val="000000"/>
          <w:sz w:val="24"/>
          <w:szCs w:val="24"/>
        </w:rPr>
        <w:t xml:space="preserve">“</w:t>
      </w:r>
      <w:r>
        <w:rPr>
          <w:rFonts w:ascii="宋体" w:hAnsi="宋体"/>
          <w:b/>
          <w:bCs/>
          <w:color w:val="000000"/>
          <w:sz w:val="24"/>
          <w:szCs w:val="24"/>
        </w:rPr>
        <w:t xml:space="preserve">信用承诺制</w:t>
      </w:r>
      <w:r>
        <w:rPr>
          <w:rFonts w:hint="eastAsia" w:ascii="宋体" w:hAnsi="宋体"/>
          <w:b/>
          <w:bCs/>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hint="eastAsia" w:ascii="宋体" w:hAnsi="宋体"/>
          <w:b/>
          <w:bCs/>
          <w:color w:val="000000"/>
          <w:sz w:val="24"/>
          <w:szCs w:val="24"/>
        </w:rPr>
        <w:t xml:space="preserve">投标人</w:t>
      </w:r>
      <w:r>
        <w:rPr>
          <w:rFonts w:ascii="宋体" w:hAnsi="宋体"/>
          <w:b/>
          <w:bCs/>
          <w:color w:val="000000"/>
          <w:sz w:val="24"/>
          <w:szCs w:val="24"/>
        </w:rPr>
        <w:t xml:space="preserve">可选择提供资格承诺函</w:t>
      </w:r>
      <w:r>
        <w:rPr>
          <w:rFonts w:hint="eastAsia" w:ascii="宋体" w:hAnsi="宋体"/>
          <w:b/>
          <w:bCs/>
          <w:color w:val="000000"/>
          <w:sz w:val="24"/>
          <w:szCs w:val="24"/>
        </w:rPr>
        <w:t xml:space="preserve">（见投标文件格式）</w:t>
      </w:r>
      <w:r>
        <w:rPr>
          <w:rFonts w:ascii="宋体" w:hAnsi="宋体"/>
          <w:b/>
          <w:bCs/>
          <w:color w:val="000000"/>
          <w:sz w:val="24"/>
          <w:szCs w:val="24"/>
        </w:rPr>
        <w:t xml:space="preserve">，在</w:t>
      </w:r>
      <w:r>
        <w:rPr>
          <w:rFonts w:hint="eastAsia" w:ascii="宋体" w:hAnsi="宋体"/>
          <w:b/>
          <w:bCs/>
          <w:color w:val="000000"/>
          <w:sz w:val="24"/>
          <w:szCs w:val="24"/>
        </w:rPr>
        <w:t xml:space="preserve">投标</w:t>
      </w:r>
      <w:r>
        <w:rPr>
          <w:rFonts w:ascii="宋体" w:hAnsi="宋体"/>
          <w:b/>
          <w:bCs/>
          <w:color w:val="000000"/>
          <w:sz w:val="24"/>
          <w:szCs w:val="24"/>
        </w:rPr>
        <w:t xml:space="preserve">文件中无需再提供与</w:t>
      </w:r>
      <w:r>
        <w:rPr>
          <w:rFonts w:hint="eastAsia" w:ascii="宋体" w:hAnsi="宋体"/>
          <w:b/>
          <w:bCs/>
          <w:color w:val="000000"/>
          <w:sz w:val="24"/>
          <w:szCs w:val="24"/>
        </w:rPr>
        <w:t xml:space="preserve">第B至第E项</w:t>
      </w:r>
      <w:r>
        <w:rPr>
          <w:rFonts w:ascii="宋体" w:hAnsi="宋体"/>
          <w:b/>
          <w:bCs/>
          <w:color w:val="000000"/>
          <w:sz w:val="24"/>
          <w:szCs w:val="24"/>
        </w:rPr>
        <w:t xml:space="preserve">相关的证明材料即可参加活动。</w:t>
      </w:r>
      <w:r>
        <w:rPr>
          <w:rFonts w:ascii="宋体" w:hAnsi="宋体"/>
          <w:b/>
          <w:bCs/>
          <w:color w:val="000000"/>
          <w:sz w:val="24"/>
          <w:szCs w:val="24"/>
        </w:rPr>
      </w:r>
      <w:r/>
    </w:p>
    <w:p>
      <w:pPr>
        <w:pStyle w:val="1214"/>
        <w:ind w:firstLine="562"/>
        <w:spacing w:line="440" w:lineRule="exact"/>
        <w:rPr>
          <w:rFonts w:hint="eastAsia" w:ascii="宋体" w:hAnsi="宋体"/>
          <w:b/>
          <w:bCs/>
          <w:color w:val="000000"/>
          <w:sz w:val="24"/>
          <w:szCs w:val="24"/>
        </w:rPr>
      </w:pPr>
      <w:r>
        <w:rPr>
          <w:rFonts w:hint="eastAsia" w:ascii="宋体" w:hAnsi="宋体"/>
          <w:b/>
          <w:bCs/>
          <w:color w:val="000000"/>
          <w:sz w:val="24"/>
          <w:szCs w:val="24"/>
        </w:rPr>
        <w:t xml:space="preserve">②投标人可自行选择是否提供承诺函，若不提供承诺函的，应按招标文件要求提供相应的证明材料。</w:t>
      </w:r>
      <w:r>
        <w:rPr>
          <w:rFonts w:hint="eastAsia" w:ascii="宋体" w:hAnsi="宋体"/>
          <w:b/>
          <w:bCs/>
          <w:color w:val="000000"/>
          <w:sz w:val="24"/>
          <w:szCs w:val="24"/>
        </w:rPr>
      </w:r>
      <w:r/>
    </w:p>
    <w:p>
      <w:pPr>
        <w:pStyle w:val="1214"/>
        <w:ind w:firstLine="562"/>
        <w:spacing w:line="440" w:lineRule="exact"/>
        <w:rPr>
          <w:rFonts w:ascii="宋体" w:hAnsi="宋体"/>
          <w:b/>
          <w:bCs/>
          <w:color w:val="000000"/>
          <w:sz w:val="24"/>
          <w:szCs w:val="24"/>
        </w:rPr>
      </w:pPr>
      <w:r>
        <w:rPr>
          <w:rFonts w:hint="eastAsia" w:ascii="宋体" w:hAnsi="宋体"/>
          <w:b/>
          <w:bCs/>
          <w:color w:val="000000"/>
          <w:sz w:val="24"/>
          <w:szCs w:val="24"/>
        </w:rPr>
        <w:t xml:space="preserve">③投标人</w:t>
      </w:r>
      <w:r>
        <w:rPr>
          <w:rFonts w:ascii="宋体" w:hAnsi="宋体"/>
          <w:b/>
          <w:bCs/>
          <w:color w:val="000000"/>
          <w:sz w:val="24"/>
          <w:szCs w:val="24"/>
        </w:rPr>
        <w:t xml:space="preserve">应当</w:t>
      </w:r>
      <w:r>
        <w:rPr>
          <w:rFonts w:hint="eastAsia" w:ascii="宋体" w:hAnsi="宋体"/>
          <w:b/>
          <w:bCs/>
          <w:color w:val="000000"/>
          <w:sz w:val="24"/>
          <w:szCs w:val="24"/>
        </w:rPr>
        <w:t xml:space="preserve">遵循诚实</w:t>
      </w:r>
      <w:r>
        <w:rPr>
          <w:rFonts w:ascii="宋体" w:hAnsi="宋体"/>
          <w:b/>
          <w:bCs/>
          <w:color w:val="000000"/>
          <w:sz w:val="24"/>
          <w:szCs w:val="24"/>
        </w:rPr>
        <w:t xml:space="preserve">信用原则，不得作虚假承诺。</w:t>
      </w:r>
      <w:r>
        <w:rPr>
          <w:rFonts w:hint="eastAsia" w:ascii="宋体" w:hAnsi="宋体"/>
          <w:b/>
          <w:bCs/>
          <w:color w:val="000000"/>
          <w:sz w:val="24"/>
          <w:szCs w:val="24"/>
        </w:rPr>
        <w:t xml:space="preserve">投标人</w:t>
      </w:r>
      <w:r>
        <w:rPr>
          <w:rFonts w:ascii="宋体" w:hAnsi="宋体"/>
          <w:b/>
          <w:bCs/>
          <w:color w:val="000000"/>
          <w:sz w:val="24"/>
          <w:szCs w:val="24"/>
        </w:rPr>
        <w:t xml:space="preserve">承诺不实的，属于提供虚假材料谋取中标、成交，应承担相应的法律责任。</w:t>
      </w:r>
      <w:r>
        <w:rPr>
          <w:rFonts w:ascii="宋体" w:hAnsi="宋体"/>
          <w:b/>
          <w:bCs/>
          <w:color w:val="000000"/>
          <w:sz w:val="24"/>
          <w:szCs w:val="24"/>
        </w:rPr>
      </w:r>
      <w:r/>
    </w:p>
    <w:p>
      <w:pPr>
        <w:pStyle w:val="1214"/>
        <w:ind w:firstLine="480"/>
        <w:spacing w:line="440" w:lineRule="exact"/>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3.落实政府政策需满足的资格要求：</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①无；</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②依据工业和信息化部等四部委制定的《中小企业划型标准规定》，本项目对应的中小企业划分标准所属行业为工业。</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1214"/>
        <w:ind w:firstLine="482"/>
        <w:spacing w:line="440" w:lineRule="exact"/>
        <w:rPr>
          <w:rFonts w:hint="eastAsia"/>
          <w:b/>
          <w:bCs/>
          <w:color w:val="000000"/>
          <w:sz w:val="24"/>
          <w:szCs w:val="24"/>
          <w:highlight w:val="none"/>
        </w:rPr>
      </w:pPr>
      <w:r>
        <w:rPr>
          <w:rFonts w:hint="eastAsia"/>
          <w:b/>
          <w:bCs/>
          <w:color w:val="000000"/>
          <w:sz w:val="24"/>
          <w:szCs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提供承诺函，格式自拟）。</w:t>
      </w:r>
      <w:r>
        <w:rPr>
          <w:rFonts w:hint="eastAsia"/>
          <w:b/>
          <w:bCs/>
          <w:color w:val="000000"/>
          <w:sz w:val="24"/>
          <w:szCs w:val="24"/>
          <w:highlight w:val="none"/>
        </w:rPr>
      </w:r>
      <w:r/>
    </w:p>
    <w:p>
      <w:pPr>
        <w:pStyle w:val="1217"/>
        <w:ind w:firstLine="373"/>
        <w:keepLines w:val="0"/>
        <w:keepNext w:val="0"/>
        <w:spacing w:before="120" w:after="120" w:line="440" w:lineRule="exact"/>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pStyle w:val="1214"/>
        <w:ind w:firstLine="540"/>
        <w:spacing w:line="440" w:lineRule="exact"/>
        <w:rPr>
          <w:rFonts w:ascii="宋体" w:hAnsi="宋体" w:cs="宋体"/>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1.时间：自招标文件公告发布之日起至提交投标文件截止时间之日止。</w:t>
      </w:r>
      <w:r>
        <w:rPr>
          <w:rFonts w:ascii="宋体" w:hAnsi="宋体" w:cs="宋体"/>
          <w:color w:val="000000"/>
          <w:sz w:val="24"/>
          <w:szCs w:val="24"/>
        </w:rPr>
      </w:r>
      <w:r/>
    </w:p>
    <w:p>
      <w:pPr>
        <w:pStyle w:val="1214"/>
        <w:ind w:firstLine="540"/>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2.方式：在“江苏政府网”自行免费下载招标文件。</w:t>
      </w:r>
      <w:r>
        <w:rPr>
          <w:rFonts w:ascii="宋体" w:hAnsi="宋体" w:cs="宋体"/>
          <w:color w:val="000000"/>
          <w:sz w:val="24"/>
          <w:szCs w:val="24"/>
          <w:u w:val="single"/>
        </w:rPr>
      </w:r>
      <w:r/>
    </w:p>
    <w:p>
      <w:pPr>
        <w:pStyle w:val="1214"/>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（1）登录http://jszfcg.jscz.gov.cn/jszc/login;或进入扬中政府网（http://www.yzzfcg.cn/）首页点击“苏采云”进入系统。</w:t>
      </w:r>
      <w:r>
        <w:rPr>
          <w:rFonts w:hint="eastAsia" w:ascii="宋体" w:hAnsi="宋体" w:cs="宋体"/>
          <w:color w:val="000000"/>
          <w:sz w:val="24"/>
          <w:szCs w:val="24"/>
        </w:rPr>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（2）“苏采云”系统用户注册--获取“CA数字证书”--CA绑定与登录--网上报名--下载招标文件(后缀名为.kedt”)。</w:t>
      </w:r>
      <w:r>
        <w:rPr>
          <w:rFonts w:hint="eastAsia" w:ascii="宋体" w:hAnsi="宋体" w:cs="宋体"/>
          <w:color w:val="000000"/>
          <w:sz w:val="24"/>
          <w:szCs w:val="24"/>
        </w:rPr>
      </w:r>
      <w:r>
        <w:rPr>
          <w:rFonts w:ascii="SimSun" w:hAnsi="SimSun" w:eastAsia="SimSun" w:cs="SimSun"/>
          <w:color w:val="000000"/>
          <w:sz w:val="24"/>
        </w:rPr>
        <w:t xml:space="preserve">。</w:t>
      </w:r>
      <w:r>
        <w:rPr>
          <w:rFonts w:ascii="SimSun" w:hAnsi="SimSun" w:eastAsia="SimSun" w:cs="SimSun"/>
          <w:b/>
          <w:color w:val="000000"/>
          <w:sz w:val="24"/>
        </w:rPr>
        <w:t xml:space="preserve">本项目中涉及的图纸、清单等附件下载，请至“扬中政府采购网”（http://www.yzzfcg.cn/）本项目的采购公告中进行下载。</w:t>
      </w:r>
      <w:r/>
      <w:r>
        <w:rPr>
          <w:rFonts w:hint="eastAsia" w:ascii="宋体" w:hAnsi="宋体" w:cs="宋体"/>
          <w:color w:val="000000"/>
          <w:sz w:val="24"/>
          <w:szCs w:val="24"/>
        </w:rPr>
      </w:r>
      <w:r/>
      <w:r/>
      <w:r>
        <w:rPr>
          <w:sz w:val="21"/>
        </w:rPr>
      </w:r>
    </w:p>
    <w:p>
      <w:pPr>
        <w:pStyle w:val="1214"/>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投标人需办理CA锁，（“苏采云”系统目前仅支持意源CA、方正签章，CA数字证书及电子签章办理指南详见本公告附件）。客户端工具及投标人操作手册扬中政府（http://www.yzzfcg.cn/）首页“资料下载”，进行下载《江苏省政府交易系统（苏采云）投标人操作手册及政府客户端》。</w:t>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4.招标文件(后缀名为“. kedt”)、投标人操作手册及政府客户端工具可通过“苏采云”系统--已报名项目--报名详情页面内相应链接进行下载；投标人操作手册及政府客户端工具也可通过扬中政府网（http://www.yzzfcg.cn/）首页“资料下载”--点击进入《江苏省政府交易系统（苏采云）投标人操作手册及政府客户端》进行下载。</w:t>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rPr>
          <w:rFonts w:ascii="宋体" w:hAnsi="宋体" w:cs="宋体"/>
          <w:color w:val="000000"/>
          <w:sz w:val="24"/>
          <w:szCs w:val="24"/>
        </w:rPr>
      </w:r>
      <w:r/>
    </w:p>
    <w:p>
      <w:pPr>
        <w:pStyle w:val="1217"/>
        <w:ind w:firstLine="373"/>
        <w:spacing w:before="120" w:after="120" w:line="440" w:lineRule="exact"/>
        <w:rPr>
          <w:color w:val="000000"/>
          <w:sz w:val="24"/>
          <w:szCs w:val="24"/>
        </w:rPr>
      </w:pPr>
      <w:r>
        <w:rPr>
          <w:rFonts w:hint="eastAsia"/>
          <w:color w:val="000000"/>
          <w:sz w:val="24"/>
          <w:szCs w:val="24"/>
        </w:rPr>
        <w:t xml:space="preserve">四、提交投标文件</w:t>
      </w:r>
      <w:bookmarkEnd w:id="22"/>
      <w:r/>
      <w:bookmarkEnd w:id="23"/>
      <w:r>
        <w:rPr>
          <w:rFonts w:hint="eastAsia"/>
          <w:color w:val="000000"/>
          <w:sz w:val="24"/>
          <w:szCs w:val="24"/>
        </w:rPr>
        <w:t xml:space="preserve">截止时间、开标时间和地点</w:t>
      </w:r>
      <w:bookmarkEnd w:id="24"/>
      <w:r/>
      <w:bookmarkEnd w:id="25"/>
      <w:r/>
      <w:bookmarkEnd w:id="26"/>
      <w:r>
        <w:rPr>
          <w:color w:val="000000"/>
          <w:sz w:val="24"/>
          <w:szCs w:val="24"/>
        </w:rPr>
      </w:r>
      <w:r/>
    </w:p>
    <w:p>
      <w:pPr>
        <w:pStyle w:val="1214"/>
        <w:ind w:firstLine="480"/>
        <w:spacing w:line="440" w:lineRule="exact"/>
        <w:rPr>
          <w:rFonts w:ascii="宋体" w:hAnsi="宋体"/>
          <w:bCs/>
          <w:color w:val="0000ff"/>
          <w:sz w:val="24"/>
          <w:szCs w:val="24"/>
          <w:u w:val="single"/>
        </w:rPr>
      </w:pPr>
      <w:r>
        <w:rPr>
          <w:rFonts w:hint="eastAsia" w:ascii="宋体" w:hAnsi="宋体"/>
          <w:bCs/>
          <w:color w:val="0000ff"/>
          <w:sz w:val="24"/>
          <w:szCs w:val="24"/>
          <w:u w:val="single"/>
        </w:rPr>
        <w:t xml:space="preserve">1. </w:t>
      </w:r>
      <w:r>
        <w:rPr>
          <w:rFonts w:hint="eastAsia" w:ascii="宋体" w:hAnsi="宋体"/>
          <w:b/>
          <w:color w:val="0000ff"/>
          <w:sz w:val="24"/>
          <w:szCs w:val="24"/>
          <w:u w:val="single"/>
        </w:rPr>
        <w:t xml:space="preserve">2026年</w:t>
      </w:r>
      <w:r>
        <w:rPr>
          <w:rFonts w:hint="eastAsia" w:ascii="宋体" w:hAnsi="宋体"/>
          <w:b/>
          <w:color w:val="0000ff"/>
          <w:sz w:val="24"/>
          <w:szCs w:val="24"/>
          <w:u w:val="single"/>
          <w:lang w:val="en-US" w:eastAsia="zh-CN"/>
        </w:rPr>
        <w:t xml:space="preserve">9</w:t>
      </w:r>
      <w:r>
        <w:rPr>
          <w:rFonts w:hint="eastAsia" w:ascii="宋体" w:hAnsi="宋体"/>
          <w:b/>
          <w:color w:val="0000ff"/>
          <w:sz w:val="24"/>
          <w:szCs w:val="24"/>
          <w:u w:val="single"/>
        </w:rPr>
        <w:t xml:space="preserve">月</w:t>
      </w:r>
      <w:r>
        <w:rPr>
          <w:rFonts w:hint="eastAsia" w:ascii="宋体" w:hAnsi="宋体"/>
          <w:b/>
          <w:color w:val="0000ff"/>
          <w:sz w:val="24"/>
          <w:szCs w:val="24"/>
          <w:u w:val="single"/>
          <w:lang w:val="en-US" w:eastAsia="zh-CN"/>
        </w:rPr>
        <w:t xml:space="preserve">1</w:t>
      </w:r>
      <w:r>
        <w:rPr>
          <w:rFonts w:hint="eastAsia" w:ascii="宋体" w:hAnsi="宋体"/>
          <w:b/>
          <w:color w:val="0000ff"/>
          <w:sz w:val="24"/>
          <w:szCs w:val="24"/>
          <w:u w:val="single"/>
          <w:lang w:val="en-US" w:eastAsia="zh-CN"/>
        </w:rPr>
        <w:t xml:space="preserve">0</w:t>
      </w:r>
      <w:r>
        <w:rPr>
          <w:rFonts w:hint="eastAsia" w:ascii="宋体" w:hAnsi="宋体"/>
          <w:b/>
          <w:color w:val="0000ff"/>
          <w:sz w:val="24"/>
          <w:szCs w:val="24"/>
          <w:u w:val="single"/>
        </w:rPr>
        <w:t xml:space="preserve">日 14点30分</w:t>
      </w:r>
      <w:r>
        <w:rPr>
          <w:rFonts w:hint="eastAsia" w:ascii="宋体" w:hAnsi="宋体"/>
          <w:b/>
          <w:color w:val="0000ff"/>
          <w:sz w:val="24"/>
          <w:szCs w:val="24"/>
        </w:rPr>
        <w:t xml:space="preserve">（北京时间）。</w:t>
      </w:r>
      <w:r>
        <w:rPr>
          <w:rFonts w:ascii="宋体" w:hAnsi="宋体"/>
          <w:bCs/>
          <w:color w:val="0000ff"/>
          <w:sz w:val="24"/>
          <w:szCs w:val="24"/>
          <w:u w:val="single"/>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2.地点：“苏采云”政府交易系统网上开标大厅。</w:t>
      </w:r>
      <w:r>
        <w:rPr>
          <w:rFonts w:hint="eastAsia" w:ascii="宋体" w:hAnsi="宋体"/>
          <w:color w:val="000000"/>
          <w:sz w:val="24"/>
          <w:szCs w:val="24"/>
        </w:rPr>
      </w:r>
      <w:r/>
    </w:p>
    <w:p>
      <w:pPr>
        <w:pStyle w:val="1214"/>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（2）开标当日，投标人不必抵达开标现场，仅需在任意地点通过“苏采云”系统（网址：</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http://jszfcg.jsczt.cn/）“开标大厅”或扬中政府网（http://www.yzzfcg.cn/）首页点击“苏采云”进入系统“开标大厅”参与开标过程；</w:t>
      </w:r>
      <w:r>
        <w:rPr>
          <w:rFonts w:hint="eastAsia" w:ascii="宋体" w:hAnsi="宋体" w:cs="宋体"/>
          <w:color w:val="000000"/>
          <w:sz w:val="24"/>
          <w:szCs w:val="24"/>
        </w:rPr>
        <w:fldChar w:fldCharType="end"/>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rPr>
      </w:r>
      <w:r/>
    </w:p>
    <w:p>
      <w:pPr>
        <w:pStyle w:val="1214"/>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（4）投标文件递交截止时间后，</w:t>
      </w:r>
      <w:r>
        <w:rPr>
          <w:rFonts w:hint="eastAsia" w:ascii="宋体" w:hAnsi="宋体"/>
          <w:color w:val="000000"/>
          <w:sz w:val="24"/>
        </w:rPr>
        <w:t xml:space="preserve">招标</w:t>
      </w:r>
      <w:r>
        <w:rPr>
          <w:rFonts w:hint="eastAsia" w:ascii="宋体" w:hAnsi="宋体" w:cs="宋体"/>
          <w:color w:val="000000"/>
          <w:sz w:val="24"/>
          <w:szCs w:val="24"/>
        </w:rPr>
        <w:t xml:space="preserve">人或代理机构将在系统内公布投标人名单然后通过开标会议区发出投标文件解密的指令，投标人在各自地点按规定时间自行实施远程解密，投标人</w:t>
      </w:r>
      <w:r>
        <w:rPr>
          <w:rFonts w:hint="eastAsia" w:ascii="宋体" w:hAnsi="宋体" w:cs="宋体"/>
          <w:color w:val="000000"/>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rPr>
      </w:r>
      <w:r/>
    </w:p>
    <w:p>
      <w:pPr>
        <w:pStyle w:val="1214"/>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rPr>
      </w:r>
      <w:r/>
    </w:p>
    <w:p>
      <w:pPr>
        <w:pStyle w:val="1217"/>
        <w:ind w:firstLine="373"/>
        <w:spacing w:before="120" w:after="120" w:line="440" w:lineRule="exact"/>
        <w:rPr>
          <w:color w:val="000000"/>
          <w:sz w:val="24"/>
          <w:szCs w:val="24"/>
        </w:rPr>
      </w:pPr>
      <w:r/>
      <w:bookmarkStart w:id="27" w:name="_Toc35393625"/>
      <w:r/>
      <w:bookmarkStart w:id="28" w:name="_Toc38985267"/>
      <w:r/>
      <w:bookmarkStart w:id="29" w:name="_Toc28359084"/>
      <w:r/>
      <w:bookmarkStart w:id="30" w:name="_Toc35393794"/>
      <w:r/>
      <w:bookmarkStart w:id="31" w:name="_Toc28359007"/>
      <w:r>
        <w:rPr>
          <w:rFonts w:hint="eastAsia"/>
          <w:color w:val="000000"/>
          <w:sz w:val="24"/>
          <w:szCs w:val="24"/>
        </w:rPr>
        <w:t xml:space="preserve">五、公告期限</w:t>
      </w:r>
      <w:bookmarkEnd w:id="27"/>
      <w:r/>
      <w:bookmarkEnd w:id="28"/>
      <w:r/>
      <w:bookmarkEnd w:id="29"/>
      <w:r/>
      <w:bookmarkEnd w:id="30"/>
      <w:r/>
      <w:bookmarkEnd w:id="31"/>
      <w:r>
        <w:rPr>
          <w:color w:val="000000"/>
          <w:sz w:val="24"/>
          <w:szCs w:val="24"/>
        </w:rPr>
      </w:r>
      <w:r/>
    </w:p>
    <w:p>
      <w:pPr>
        <w:pStyle w:val="1214"/>
        <w:ind w:firstLine="480"/>
        <w:spacing w:line="440" w:lineRule="exact"/>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1217"/>
        <w:ind w:firstLine="373"/>
        <w:spacing w:before="120" w:after="120" w:line="440" w:lineRule="exact"/>
        <w:rPr>
          <w:color w:val="000000"/>
          <w:sz w:val="24"/>
          <w:szCs w:val="24"/>
        </w:rPr>
      </w:pPr>
      <w:r>
        <w:rPr>
          <w:rFonts w:hint="eastAsia"/>
          <w:color w:val="000000"/>
          <w:sz w:val="24"/>
          <w:szCs w:val="24"/>
        </w:rPr>
        <w:t xml:space="preserve">六、其他补充事宜</w:t>
      </w:r>
      <w:bookmarkEnd w:id="32"/>
      <w:r/>
      <w:bookmarkEnd w:id="33"/>
      <w:r/>
      <w:bookmarkEnd w:id="34"/>
      <w:r>
        <w:rPr>
          <w:color w:val="000000"/>
          <w:sz w:val="24"/>
          <w:szCs w:val="24"/>
        </w:rPr>
      </w:r>
      <w:r/>
    </w:p>
    <w:p>
      <w:pPr>
        <w:pStyle w:val="1214"/>
        <w:ind w:firstLine="480"/>
        <w:spacing w:line="440" w:lineRule="exact"/>
        <w:rPr>
          <w:rFonts w:hint="eastAsia" w:ascii="宋体" w:hAnsi="宋体" w:cs="宋体"/>
          <w:color w:val="000000"/>
          <w:sz w:val="24"/>
          <w:szCs w:val="24"/>
        </w:rPr>
      </w:pPr>
      <w:r/>
      <w:bookmarkStart w:id="35" w:name="_Toc28359085"/>
      <w:r/>
      <w:bookmarkStart w:id="36" w:name="_Toc38985269"/>
      <w:r/>
      <w:bookmarkStart w:id="37" w:name="_Toc35393627"/>
      <w:r/>
      <w:bookmarkStart w:id="38" w:name="_Toc28359008"/>
      <w:r/>
      <w:bookmarkStart w:id="39" w:name="_Toc35393796"/>
      <w:r>
        <w:rPr>
          <w:rFonts w:hint="eastAsia" w:ascii="宋体" w:hAnsi="宋体" w:cs="宋体"/>
          <w:color w:val="000000"/>
          <w:sz w:val="24"/>
          <w:szCs w:val="24"/>
        </w:rPr>
        <w:t xml:space="preserve">1.现场勘察：</w:t>
      </w:r>
      <w:r>
        <w:rPr>
          <w:rFonts w:hint="eastAsia" w:ascii="宋体" w:hAnsi="宋体" w:cs="宋体"/>
          <w:color w:val="000000"/>
          <w:sz w:val="24"/>
          <w:szCs w:val="24"/>
        </w:rPr>
      </w:r>
      <w:r/>
    </w:p>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rPr>
        <w:t xml:space="preserve">招标</w:t>
      </w:r>
      <w:r>
        <w:rPr>
          <w:rFonts w:hint="eastAsia" w:ascii="宋体" w:hAnsi="宋体" w:cs="宋体"/>
          <w:color w:val="000000"/>
          <w:sz w:val="24"/>
          <w:szCs w:val="24"/>
        </w:rPr>
        <w:t xml:space="preserve">人不组织现场踏勘，投标人可自行组织对现场及其周围环境进行踏勘，以便投标人自行查明或核实有关编制磋商响应文件和签订合同所必需的资料。</w:t>
      </w:r>
      <w:r>
        <w:rPr>
          <w:rFonts w:hint="eastAsia" w:ascii="宋体" w:hAnsi="宋体" w:cs="宋体"/>
          <w:color w:val="000000"/>
          <w:sz w:val="24"/>
          <w:szCs w:val="24"/>
        </w:rPr>
      </w:r>
      <w:r/>
    </w:p>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（2）现场踏勘期间，投标人承担自身的费用、责任和风险。如果发生人身伤亡、财物或其他损失，除国家法律法规有规定的之外，</w:t>
      </w:r>
      <w:r>
        <w:rPr>
          <w:rFonts w:hint="eastAsia" w:ascii="宋体" w:hAnsi="宋体"/>
          <w:color w:val="000000"/>
          <w:sz w:val="24"/>
        </w:rPr>
        <w:t xml:space="preserve">招标</w:t>
      </w:r>
      <w:r>
        <w:rPr>
          <w:rFonts w:hint="eastAsia" w:ascii="宋体" w:hAnsi="宋体" w:cs="宋体"/>
          <w:color w:val="000000"/>
          <w:sz w:val="24"/>
          <w:szCs w:val="24"/>
        </w:rPr>
        <w:t xml:space="preserve">人均不负责。</w:t>
      </w:r>
      <w:r>
        <w:rPr>
          <w:rFonts w:hint="eastAsia" w:ascii="宋体" w:hAnsi="宋体" w:cs="宋体"/>
          <w:color w:val="000000"/>
          <w:sz w:val="24"/>
          <w:szCs w:val="24"/>
        </w:rPr>
      </w:r>
      <w:r/>
    </w:p>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2.本项目需要落实的政府政策：</w:t>
      </w:r>
      <w:r>
        <w:rPr>
          <w:rFonts w:hint="eastAsia" w:ascii="宋体" w:hAnsi="宋体" w:cs="宋体"/>
          <w:color w:val="000000"/>
          <w:sz w:val="24"/>
          <w:szCs w:val="24"/>
          <w:lang w:val="zh-CN"/>
        </w:rPr>
        <w:t xml:space="preserve">财政部、工业和信息化部关于印发《政府促进中小企业发展管理办法》的通知（财库〔2020〕46号</w:t>
      </w:r>
      <w:r>
        <w:rPr>
          <w:rFonts w:hint="eastAsia" w:ascii="宋体" w:hAnsi="宋体" w:cs="宋体"/>
          <w:color w:val="000000"/>
          <w:sz w:val="24"/>
          <w:szCs w:val="24"/>
        </w:rPr>
        <w:t xml:space="preserve">)、《关于进一步加大政府支持中小企业力度的通知》（</w:t>
      </w:r>
      <w:r>
        <w:rPr>
          <w:rFonts w:hint="eastAsia" w:ascii="宋体" w:hAnsi="宋体" w:cs="宋体"/>
          <w:color w:val="000000"/>
          <w:sz w:val="24"/>
          <w:szCs w:val="24"/>
          <w:lang w:val="zh-CN"/>
        </w:rPr>
        <w:t xml:space="preserve">财库【</w:t>
      </w:r>
      <w:r>
        <w:rPr>
          <w:rFonts w:hint="eastAsia" w:ascii="宋体" w:hAnsi="宋体" w:cs="宋体"/>
          <w:color w:val="000000"/>
          <w:sz w:val="24"/>
          <w:szCs w:val="24"/>
        </w:rPr>
        <w:t xml:space="preserve">2023</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19号）、残疾人福利性单位政策、监狱企业发展政策（具体表述详见文件）。</w:t>
      </w:r>
      <w:r>
        <w:rPr>
          <w:rFonts w:hint="eastAsia" w:ascii="宋体" w:hAnsi="宋体" w:cs="宋体"/>
          <w:color w:val="000000"/>
          <w:sz w:val="24"/>
          <w:szCs w:val="24"/>
        </w:rPr>
      </w:r>
      <w:r/>
    </w:p>
    <w:p>
      <w:pPr>
        <w:pStyle w:val="1217"/>
        <w:numPr>
          <w:ilvl w:val="0"/>
          <w:numId w:val="5"/>
        </w:numPr>
        <w:ind w:firstLine="373"/>
        <w:spacing w:before="120" w:after="120" w:line="440" w:lineRule="exact"/>
        <w:rPr>
          <w:rFonts w:hint="eastAsia"/>
          <w:color w:val="000000"/>
          <w:sz w:val="24"/>
          <w:szCs w:val="24"/>
        </w:rPr>
      </w:pPr>
      <w:r>
        <w:rPr>
          <w:rFonts w:hint="eastAsia"/>
          <w:color w:val="000000"/>
          <w:sz w:val="24"/>
          <w:szCs w:val="24"/>
        </w:rPr>
        <w:t xml:space="preserve">本次招标联系方式</w:t>
      </w:r>
      <w:bookmarkEnd w:id="35"/>
      <w:r/>
      <w:bookmarkEnd w:id="36"/>
      <w:r/>
      <w:bookmarkEnd w:id="37"/>
      <w:r/>
      <w:bookmarkEnd w:id="38"/>
      <w:r/>
      <w:bookmarkEnd w:id="39"/>
      <w:r>
        <w:rPr>
          <w:rFonts w:hint="eastAsia"/>
          <w:color w:val="000000"/>
          <w:sz w:val="24"/>
          <w:szCs w:val="24"/>
        </w:rPr>
      </w:r>
      <w:r/>
    </w:p>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1.招标人信息</w:t>
      </w:r>
      <w:r>
        <w:rPr>
          <w:rFonts w:hint="eastAsia" w:ascii="宋体" w:hAnsi="宋体" w:cs="宋体"/>
          <w:color w:val="000000"/>
          <w:sz w:val="24"/>
          <w:szCs w:val="24"/>
        </w:rPr>
      </w:r>
      <w:r/>
    </w:p>
    <w:p>
      <w:pPr>
        <w:pStyle w:val="1214"/>
        <w:ind w:firstLine="480"/>
        <w:jc w:val="left"/>
        <w:spacing w:line="440" w:lineRule="exact"/>
        <w:rPr>
          <w:rFonts w:ascii="宋体" w:hAnsi="宋体"/>
          <w:color w:val="000000"/>
          <w:sz w:val="24"/>
          <w:szCs w:val="24"/>
        </w:rPr>
      </w:pPr>
      <w:r/>
      <w:bookmarkStart w:id="40" w:name="_Toc28359009"/>
      <w:r/>
      <w:bookmarkStart w:id="41" w:name="_Toc28359086"/>
      <w:r>
        <w:rPr>
          <w:rFonts w:hint="eastAsia" w:ascii="宋体" w:hAnsi="宋体"/>
          <w:color w:val="000000"/>
          <w:sz w:val="24"/>
          <w:szCs w:val="24"/>
        </w:rPr>
        <w:t xml:space="preserve">名称：</w:t>
      </w:r>
      <w:r>
        <w:rPr>
          <w:rFonts w:hint="eastAsia" w:ascii="宋体" w:hAnsi="宋体"/>
          <w:color w:val="000000"/>
          <w:sz w:val="24"/>
          <w:szCs w:val="24"/>
          <w:u w:val="single"/>
        </w:rPr>
        <w:t xml:space="preserve">扬中市交通运输局</w:t>
      </w:r>
      <w:r>
        <w:rPr>
          <w:rFonts w:ascii="宋体" w:hAnsi="宋体"/>
          <w:color w:val="000000"/>
          <w:sz w:val="24"/>
          <w:szCs w:val="24"/>
        </w:rPr>
      </w:r>
      <w:r/>
    </w:p>
    <w:p>
      <w:pPr>
        <w:pStyle w:val="1214"/>
        <w:ind w:firstLine="480"/>
        <w:jc w:val="left"/>
        <w:spacing w:line="440" w:lineRule="exact"/>
        <w:rPr>
          <w:rFonts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镇江市扬中市扬子西路239号</w:t>
      </w:r>
      <w:r>
        <w:rPr>
          <w:rFonts w:ascii="宋体" w:hAnsi="宋体"/>
          <w:color w:val="000000"/>
          <w:sz w:val="24"/>
          <w:szCs w:val="24"/>
          <w:u w:val="single"/>
        </w:rPr>
      </w:r>
      <w:r/>
    </w:p>
    <w:p>
      <w:pPr>
        <w:pStyle w:val="1214"/>
        <w:ind w:firstLine="480"/>
        <w:jc w:val="left"/>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张军      </w:t>
      </w:r>
      <w:r>
        <w:rPr>
          <w:rFonts w:ascii="宋体" w:hAnsi="宋体"/>
          <w:color w:val="000000"/>
          <w:sz w:val="24"/>
          <w:szCs w:val="24"/>
        </w:rPr>
      </w:r>
      <w:r/>
    </w:p>
    <w:p>
      <w:pPr>
        <w:pStyle w:val="1214"/>
        <w:ind w:firstLine="480"/>
        <w:jc w:val="left"/>
        <w:spacing w:line="44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0511-88362289</w:t>
      </w:r>
      <w:r>
        <w:rPr>
          <w:rFonts w:hint="eastAsia" w:ascii="宋体" w:hAnsi="宋体"/>
          <w:color w:val="000000"/>
          <w:sz w:val="24"/>
          <w:szCs w:val="24"/>
          <w:u w:val="single"/>
        </w:rPr>
      </w:r>
      <w:r/>
    </w:p>
    <w:p>
      <w:pPr>
        <w:pStyle w:val="121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2.代理机构信息</w:t>
      </w:r>
      <w:r>
        <w:rPr>
          <w:rFonts w:hint="eastAsia" w:ascii="宋体" w:hAnsi="宋体" w:cs="宋体"/>
          <w:color w:val="000000"/>
          <w:sz w:val="24"/>
          <w:szCs w:val="24"/>
        </w:rPr>
      </w:r>
      <w:r/>
    </w:p>
    <w:p>
      <w:pPr>
        <w:pStyle w:val="1214"/>
        <w:ind w:firstLine="480"/>
        <w:spacing w:line="440" w:lineRule="exact"/>
        <w:rPr>
          <w:rFonts w:hint="eastAsia" w:ascii="宋体" w:hAnsi="宋体" w:cs="宋体"/>
          <w:color w:val="000000"/>
          <w:sz w:val="24"/>
          <w:szCs w:val="24"/>
          <w:u w:val="single"/>
        </w:rPr>
        <w:outlineLvl w:val="2"/>
      </w:pPr>
      <w:r/>
      <w:bookmarkEnd w:id="40"/>
      <w:r/>
      <w:bookmarkEnd w:id="41"/>
      <w:r>
        <w:rPr>
          <w:rFonts w:hint="eastAsia" w:ascii="宋体" w:hAnsi="宋体" w:cs="宋体"/>
          <w:color w:val="000000"/>
          <w:sz w:val="24"/>
          <w:szCs w:val="24"/>
        </w:rPr>
        <w:t xml:space="preserve">名称：</w:t>
      </w:r>
      <w:r>
        <w:rPr>
          <w:rFonts w:hint="eastAsia" w:ascii="宋体" w:hAnsi="宋体" w:cs="宋体"/>
          <w:color w:val="000000"/>
          <w:sz w:val="24"/>
          <w:szCs w:val="24"/>
          <w:u w:val="single"/>
        </w:rPr>
        <w:t xml:space="preserve">江苏金居工程项目管理有限公司</w:t>
      </w:r>
      <w:r>
        <w:rPr>
          <w:rFonts w:hint="eastAsia" w:ascii="宋体" w:hAnsi="宋体" w:cs="宋体"/>
          <w:color w:val="000000"/>
          <w:sz w:val="24"/>
          <w:szCs w:val="24"/>
          <w:u w:val="single"/>
        </w:rPr>
      </w:r>
      <w:r/>
    </w:p>
    <w:p>
      <w:pPr>
        <w:pStyle w:val="1214"/>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扬中市中电大道688号浩云湾27幢04室</w:t>
      </w:r>
      <w:r>
        <w:rPr>
          <w:rFonts w:hint="eastAsia" w:ascii="宋体" w:hAnsi="宋体"/>
          <w:color w:val="000000"/>
          <w:sz w:val="24"/>
          <w:szCs w:val="24"/>
          <w:u w:val="single"/>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张梦雅</w:t>
      </w:r>
      <w:r>
        <w:rPr>
          <w:rFonts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19814712528</w:t>
      </w:r>
      <w:r>
        <w:rPr>
          <w:rFonts w:hint="eastAsia" w:ascii="宋体" w:hAnsi="宋体"/>
          <w:color w:val="000000"/>
          <w:sz w:val="24"/>
          <w:szCs w:val="24"/>
        </w:rPr>
      </w:r>
      <w:r/>
    </w:p>
    <w:p>
      <w:pPr>
        <w:pStyle w:val="1217"/>
        <w:ind w:firstLine="373"/>
        <w:spacing w:before="120" w:after="120" w:line="440" w:lineRule="exact"/>
        <w:rPr>
          <w:color w:val="000000"/>
          <w:sz w:val="24"/>
          <w:szCs w:val="24"/>
        </w:rPr>
      </w:pPr>
      <w:r/>
      <w:bookmarkEnd w:id="42"/>
      <w:r/>
      <w:bookmarkEnd w:id="43"/>
      <w:r>
        <w:rPr>
          <w:rFonts w:hint="eastAsia"/>
          <w:color w:val="000000"/>
          <w:sz w:val="24"/>
          <w:szCs w:val="24"/>
        </w:rPr>
        <w:t xml:space="preserve">八、其他</w:t>
      </w:r>
      <w:r>
        <w:rPr>
          <w:color w:val="000000"/>
          <w:sz w:val="24"/>
          <w:szCs w:val="24"/>
        </w:rPr>
      </w:r>
      <w:r/>
    </w:p>
    <w:p>
      <w:pPr>
        <w:pStyle w:val="1214"/>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 有关本次招标的事项若存在变动或修改，敬请及时关注“江苏政府网”、“扬中政府网”发布的更正公告。</w:t>
      </w:r>
      <w:r>
        <w:rPr>
          <w:rFonts w:hint="eastAsia" w:ascii="宋体" w:hAnsi="宋体"/>
          <w:bCs/>
          <w:color w:val="000000"/>
          <w:sz w:val="24"/>
          <w:szCs w:val="24"/>
        </w:rPr>
      </w:r>
      <w:r/>
    </w:p>
    <w:p>
      <w:pPr>
        <w:pStyle w:val="1214"/>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本次招标不收取投标保证金。</w:t>
      </w:r>
      <w:r>
        <w:rPr>
          <w:rFonts w:hint="eastAsia" w:ascii="宋体" w:hAnsi="宋体"/>
          <w:bCs/>
          <w:color w:val="000000"/>
          <w:sz w:val="24"/>
          <w:szCs w:val="24"/>
        </w:rPr>
      </w:r>
      <w:r/>
    </w:p>
    <w:p>
      <w:pPr>
        <w:pStyle w:val="1214"/>
        <w:ind w:firstLine="480"/>
        <w:spacing w:line="440" w:lineRule="exact"/>
        <w:rPr>
          <w:rFonts w:hint="eastAsia" w:ascii="宋体" w:hAnsi="宋体"/>
          <w:color w:val="000000"/>
          <w:sz w:val="24"/>
        </w:rPr>
      </w:pPr>
      <w:r>
        <w:rPr>
          <w:rFonts w:hint="eastAsia" w:ascii="宋体" w:hAnsi="宋体"/>
          <w:color w:val="000000"/>
          <w:sz w:val="24"/>
        </w:rPr>
      </w:r>
      <w:r/>
    </w:p>
    <w:p>
      <w:pPr>
        <w:pStyle w:val="1214"/>
        <w:ind w:right="839"/>
        <w:jc w:val="center"/>
        <w:spacing w:before="120" w:after="120" w:line="440" w:lineRule="exact"/>
        <w:rPr>
          <w:rFonts w:hint="eastAsia" w:ascii="黑体" w:eastAsia="黑体"/>
          <w:b/>
          <w:bCs/>
          <w:color w:val="000000"/>
        </w:rPr>
      </w:pPr>
      <w:r>
        <w:rPr>
          <w:rFonts w:ascii="宋体" w:hAnsi="宋体"/>
          <w:color w:val="000000"/>
          <w:sz w:val="24"/>
          <w:szCs w:val="24"/>
        </w:rPr>
        <w:br w:type="page" w:clear="all"/>
      </w:r>
      <w:bookmarkStart w:id="44" w:name="_Toc120614211"/>
      <w:r>
        <w:rPr>
          <w:rFonts w:hint="eastAsia" w:ascii="黑体" w:eastAsia="黑体"/>
          <w:color w:val="000000"/>
          <w:sz w:val="32"/>
          <w:szCs w:val="32"/>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color w:val="000000"/>
          <w:sz w:val="32"/>
          <w:szCs w:val="32"/>
        </w:rPr>
        <w:t xml:space="preserve">投标人须知</w:t>
      </w:r>
      <w:bookmarkEnd w:id="45"/>
      <w:r/>
      <w:bookmarkEnd w:id="46"/>
      <w:r/>
      <w:bookmarkEnd w:id="47"/>
      <w:r/>
      <w:bookmarkEnd w:id="48"/>
      <w:r>
        <w:rPr>
          <w:rFonts w:hint="eastAsia" w:ascii="黑体" w:eastAsia="黑体"/>
          <w:b/>
          <w:bCs/>
          <w:color w:val="000000"/>
        </w:rPr>
      </w:r>
      <w:r/>
    </w:p>
    <w:p>
      <w:pPr>
        <w:pStyle w:val="1217"/>
        <w:ind w:firstLine="373"/>
        <w:spacing w:before="120" w:after="120" w:line="440" w:lineRule="exact"/>
        <w:rPr>
          <w:rFonts w:hint="eastAsia"/>
          <w:color w:val="000000"/>
          <w:sz w:val="24"/>
          <w:szCs w:val="24"/>
        </w:rPr>
      </w:pPr>
      <w:r/>
      <w:bookmarkStart w:id="49" w:name="_Toc20823275"/>
      <w:r/>
      <w:bookmarkStart w:id="50" w:name="_Toc513029203"/>
      <w:r/>
      <w:bookmarkStart w:id="51" w:name="_Toc16938519"/>
      <w:r/>
      <w:bookmarkStart w:id="52" w:name="_Toc120614214"/>
      <w:r>
        <w:rPr>
          <w:rFonts w:hint="eastAsia"/>
          <w:color w:val="000000"/>
          <w:sz w:val="24"/>
          <w:szCs w:val="24"/>
        </w:rPr>
        <w:t xml:space="preserve">一、总则</w:t>
      </w:r>
      <w:bookmarkEnd w:id="49"/>
      <w:r/>
      <w:bookmarkEnd w:id="50"/>
      <w:r/>
      <w:bookmarkEnd w:id="51"/>
      <w:r/>
      <w:bookmarkEnd w:id="52"/>
      <w:r>
        <w:rPr>
          <w:rFonts w:hint="eastAsia"/>
          <w:color w:val="000000"/>
          <w:sz w:val="24"/>
          <w:szCs w:val="24"/>
        </w:rPr>
      </w:r>
      <w:r/>
    </w:p>
    <w:p>
      <w:pPr>
        <w:pStyle w:val="1218"/>
        <w:ind w:firstLine="360"/>
        <w:spacing w:before="0" w:after="0" w:line="440" w:lineRule="exact"/>
        <w:rPr>
          <w:rFonts w:hint="eastAsia"/>
          <w:b w:val="0"/>
          <w:bCs w:val="0"/>
          <w:color w:val="000000"/>
          <w:sz w:val="24"/>
          <w:szCs w:val="24"/>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color w:val="000000"/>
          <w:sz w:val="24"/>
          <w:szCs w:val="24"/>
        </w:rPr>
        <w:t xml:space="preserve">1</w:t>
      </w:r>
      <w:bookmarkEnd w:id="54"/>
      <w:r>
        <w:rPr>
          <w:rFonts w:hint="eastAsia"/>
          <w:b w:val="0"/>
          <w:bCs w:val="0"/>
          <w:color w:val="000000"/>
          <w:sz w:val="24"/>
          <w:szCs w:val="24"/>
        </w:rPr>
        <w:t xml:space="preserve">、招标方式</w:t>
      </w:r>
      <w:bookmarkEnd w:id="55"/>
      <w:r/>
      <w:bookmarkEnd w:id="56"/>
      <w:r/>
      <w:bookmarkEnd w:id="57"/>
      <w:r>
        <w:rPr>
          <w:rFonts w:hint="eastAsia"/>
          <w:b w:val="0"/>
          <w:bCs w:val="0"/>
          <w:color w:val="000000"/>
          <w:sz w:val="24"/>
          <w:szCs w:val="24"/>
        </w:rPr>
      </w:r>
      <w:r/>
    </w:p>
    <w:p>
      <w:pPr>
        <w:pStyle w:val="1214"/>
        <w:ind w:firstLine="480"/>
        <w:spacing w:line="44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1218"/>
        <w:ind w:firstLine="360"/>
        <w:spacing w:before="0" w:after="0" w:line="440" w:lineRule="exact"/>
        <w:rPr>
          <w:rFonts w:hint="eastAsia"/>
          <w:b w:val="0"/>
          <w:bCs w:val="0"/>
          <w:color w:val="000000"/>
          <w:sz w:val="24"/>
          <w:szCs w:val="24"/>
        </w:rPr>
      </w:pPr>
      <w:r/>
      <w:bookmarkStart w:id="58" w:name="_Toc513029205"/>
      <w:r/>
      <w:bookmarkStart w:id="59" w:name="_Toc16938521"/>
      <w:r/>
      <w:bookmarkStart w:id="60" w:name="_Toc20823277"/>
      <w:r>
        <w:rPr>
          <w:rFonts w:hint="eastAsia"/>
          <w:b w:val="0"/>
          <w:bCs w:val="0"/>
          <w:color w:val="000000"/>
          <w:sz w:val="24"/>
          <w:szCs w:val="24"/>
        </w:rPr>
        <w:t xml:space="preserve">2、合格的投标人</w:t>
      </w:r>
      <w:bookmarkEnd w:id="58"/>
      <w:r/>
      <w:bookmarkEnd w:id="59"/>
      <w:r/>
      <w:bookmarkEnd w:id="60"/>
      <w:r>
        <w:rPr>
          <w:rFonts w:hint="eastAsia"/>
          <w:b w:val="0"/>
          <w:bCs w:val="0"/>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2.1满足招标公告中投标人的资格要求的规定。</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1218"/>
        <w:ind w:firstLine="360"/>
        <w:spacing w:before="0" w:after="0" w:line="440" w:lineRule="exact"/>
        <w:rPr>
          <w:b w:val="0"/>
          <w:bCs w:val="0"/>
          <w:color w:val="000000"/>
          <w:sz w:val="24"/>
          <w:szCs w:val="24"/>
        </w:rPr>
      </w:pPr>
      <w:r/>
      <w:bookmarkStart w:id="61" w:name="_Toc16938522"/>
      <w:r/>
      <w:bookmarkStart w:id="62" w:name="_Toc20823278"/>
      <w:r/>
      <w:bookmarkStart w:id="63" w:name="_Toc513029206"/>
      <w:r>
        <w:rPr>
          <w:rFonts w:hint="eastAsia"/>
          <w:b w:val="0"/>
          <w:bCs w:val="0"/>
          <w:color w:val="000000"/>
          <w:sz w:val="24"/>
          <w:szCs w:val="24"/>
        </w:rPr>
        <w:t xml:space="preserve">3、适用法律</w:t>
      </w:r>
      <w:bookmarkEnd w:id="61"/>
      <w:r/>
      <w:bookmarkEnd w:id="62"/>
      <w:r/>
      <w:bookmarkEnd w:id="63"/>
      <w:r>
        <w:rPr>
          <w:rFonts w:hint="eastAsia"/>
          <w:b w:val="0"/>
          <w:bCs w:val="0"/>
          <w:color w:val="000000"/>
          <w:sz w:val="24"/>
          <w:szCs w:val="24"/>
        </w:rPr>
        <w:t xml:space="preserve">及政策功能</w:t>
      </w:r>
      <w:r>
        <w:rPr>
          <w:b w:val="0"/>
          <w:bCs w:val="0"/>
          <w:color w:val="000000"/>
          <w:sz w:val="24"/>
          <w:szCs w:val="24"/>
        </w:rPr>
      </w:r>
      <w:r/>
    </w:p>
    <w:p>
      <w:pPr>
        <w:pStyle w:val="1214"/>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3.1支持中小企业发展</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符合中小企业划分标准的个体工商户，在政府活动中视同中小企业。</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3.1.2在政府活动中，投标人提供的货物、工程或者服务符合下列情形的，享受中小企业扶持政策：</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3.1.2.1在货物项目中，货物由中小企业制造，即货物由中小企业生产且使用该中小企业商号或者注册商标；</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3.1.2.2在工程项目中，工程由中小企业承建，即工程施工单位为中小企业；</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在货物项目中，投标人提供的货物既有中小企业制造货物，也有大型企业制造货物的，不享受中小企业扶持政策。</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4" w:name="_Hlk132637972"/>
      <w:r>
        <w:rPr>
          <w:rFonts w:hint="eastAsia" w:ascii="宋体" w:hAnsi="宋体"/>
          <w:color w:val="000000"/>
          <w:sz w:val="24"/>
        </w:rPr>
        <w:t xml:space="preserve">10%-20%</w:t>
      </w:r>
      <w:bookmarkEnd w:id="64"/>
      <w:r>
        <w:rPr>
          <w:rFonts w:hint="eastAsia" w:ascii="宋体" w:hAnsi="宋体"/>
          <w:color w:val="000000"/>
          <w:sz w:val="24"/>
        </w:rPr>
        <w:t xml:space="preserve">的扣除，</w:t>
      </w:r>
      <w:bookmarkStart w:id="65" w:name="_Hlk132637893"/>
      <w:r>
        <w:rPr>
          <w:rFonts w:hint="eastAsia" w:ascii="宋体" w:hAnsi="宋体"/>
          <w:color w:val="000000"/>
          <w:sz w:val="24"/>
        </w:rPr>
        <w:t xml:space="preserve">用扣除后的价格参与评审</w:t>
      </w:r>
      <w:bookmarkEnd w:id="65"/>
      <w:r>
        <w:rPr>
          <w:rFonts w:hint="eastAsia" w:ascii="宋体" w:hAnsi="宋体"/>
          <w:color w:val="000000"/>
          <w:sz w:val="24"/>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3.1.6中小企业享受扶持政策获得政府合同的，小微企业不得将合同分包给大中型企业，中型企业不得将合同分包给大型企业。</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3.2强制信息安全产品</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3.3支持绿色发展</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执行机制的通知》（财库〔2019〕9号）的规定，对政府节能产品、环境标志产品实施品目清单管理。投标人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3.3.2本项目中涉及商品包装和快递包装的，参考《财政部办公厅关于印发《商品包装政府需求标准（试行）》、 《快递包装政府需求标准（试行）》的通知》</w:t>
      </w:r>
      <w:bookmarkStart w:id="66" w:name="_Hlk132634610"/>
      <w:r>
        <w:rPr>
          <w:rFonts w:hint="eastAsia" w:ascii="宋体" w:hAnsi="宋体"/>
          <w:color w:val="000000"/>
          <w:sz w:val="24"/>
        </w:rPr>
        <w:t xml:space="preserve">（财办库〔2020〕123号）</w:t>
      </w:r>
      <w:bookmarkEnd w:id="66"/>
      <w:r>
        <w:rPr>
          <w:rFonts w:hint="eastAsia" w:ascii="宋体" w:hAnsi="宋体"/>
          <w:color w:val="000000"/>
          <w:sz w:val="24"/>
        </w:rPr>
        <w:t xml:space="preserve">规定的包装需求标准。</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3.3.3纳入政府管理的装修、修缮等项目，鼓励参考财政部办公厅 住房城乡建设部办公厅 工业和信息化部办公厅关于印发《政府支持绿色建材促进建筑品质提升政策项目实施指南》的通知（财办库〔2023〕52号）规定的需求标准。</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3.3.4招标人数据中心相关设备、运维服务，按照《绿色数据中心政府需求标准（试行）》实施相关活动。</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3.5支持创新发展</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3.5.1招标人优先被认定为重点推广应用、首台（套）重大装备、重点领域首版次软件的自主创新产品。</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3.6平等对待内外资企业和符合条件的破产重整企业</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3.7招标人数据中心相关设备、运维服务，按照《绿色数据中心政府需求标准（试行）》实施相关活动。</w:t>
      </w:r>
      <w:r>
        <w:rPr>
          <w:rFonts w:hint="eastAsia" w:ascii="宋体" w:hAnsi="宋体"/>
          <w:color w:val="000000"/>
          <w:sz w:val="24"/>
        </w:rPr>
        <w:br w:type="textWrapping" w:clear="all"/>
      </w:r>
      <w:r>
        <w:rPr>
          <w:rFonts w:hint="eastAsia" w:ascii="宋体" w:hAnsi="宋体"/>
          <w:color w:val="000000"/>
          <w:sz w:val="24"/>
        </w:rPr>
        <w:t xml:space="preserve">   3.8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3.9实施本国产品标准及相关政策</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3.9.1认定标准</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本国产品应当符合以下条件：</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（一）在中国境内生产</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产品应当在中国境内生产，即在中华人民共和国关境内实现从原材料、组件到产品的属性改变。</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1.为确保产品在运输或者储存期间保持某种状态而进行的操作；</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2.为产品运输或者销售进行的包装或者展示；</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3.在产品或者其包装上粘贴或者印刷品牌、标志、标识以及其他用于区别的标记；</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4.简单的上漆、磨光和分装；</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5.其他不属于属性改变的情形。</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（二）在中国境内生产的组件成本占比达到规定比例</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524288;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7" o:title=""/>
              </v:shape>
            </w:pict>
          </mc:Fallback>
        </mc:AlternateContent>
      </w:r>
      <w:r>
        <w:rPr>
          <w:rFonts w:hint="eastAsia" w:ascii="宋体" w:hAnsi="宋体"/>
          <w:color w:val="000000"/>
          <w:sz w:val="24"/>
        </w:rPr>
        <w:t xml:space="preserve">产品在中国境内生产的组件成本占比应当达到规定比例，计算公式为：</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（三）特定产品的关键组件、关键工序符合相关要求</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3.9.2适用范围</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3.9.3对本国产品的支持政策</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3.9.4书面澄清、说明或者补正</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3.10本次招标及由本次产生的合同受中华人民共和国法律制约和保护。</w:t>
      </w:r>
      <w:r>
        <w:rPr>
          <w:rFonts w:hint="eastAsia" w:ascii="宋体" w:hAnsi="宋体"/>
          <w:color w:val="000000"/>
          <w:sz w:val="24"/>
        </w:rPr>
      </w:r>
      <w:r/>
    </w:p>
    <w:p>
      <w:pPr>
        <w:pStyle w:val="1214"/>
        <w:ind w:firstLine="420"/>
        <w:spacing w:line="440" w:lineRule="exact"/>
        <w:rPr>
          <w:rFonts w:hint="eastAsia" w:ascii="宋体" w:hAnsi="宋体"/>
          <w:color w:val="000000"/>
          <w:sz w:val="24"/>
        </w:rPr>
      </w:pPr>
      <w:r>
        <w:rPr>
          <w:rFonts w:hint="eastAsia" w:ascii="宋体" w:hAnsi="宋体"/>
          <w:color w:val="000000"/>
          <w:sz w:val="24"/>
        </w:rPr>
        <w:t xml:space="preserve">3.11投标人一旦领取了本招标文件并参加投标，即被认为接受了本招标文件的规定和约束。</w:t>
      </w:r>
      <w:r>
        <w:rPr>
          <w:rFonts w:hint="eastAsia" w:ascii="宋体" w:hAnsi="宋体"/>
          <w:color w:val="000000"/>
          <w:sz w:val="24"/>
        </w:rPr>
      </w:r>
      <w:r/>
    </w:p>
    <w:p>
      <w:pPr>
        <w:pStyle w:val="1218"/>
        <w:ind w:firstLine="480"/>
        <w:spacing w:before="0" w:after="0" w:line="440" w:lineRule="exact"/>
        <w:rPr>
          <w:rFonts w:hint="eastAsia"/>
          <w:b w:val="0"/>
          <w:bCs w:val="0"/>
          <w:color w:val="000000"/>
          <w:sz w:val="24"/>
          <w:szCs w:val="24"/>
        </w:rPr>
      </w:pPr>
      <w:r/>
      <w:bookmarkStart w:id="67" w:name="_Toc513029207"/>
      <w:r/>
      <w:bookmarkStart w:id="68" w:name="_Toc20823279"/>
      <w:r/>
      <w:bookmarkStart w:id="69" w:name="_Toc462564067"/>
      <w:r/>
      <w:bookmarkStart w:id="70" w:name="_Toc16938523"/>
      <w:r>
        <w:rPr>
          <w:rFonts w:hint="eastAsia"/>
          <w:b w:val="0"/>
          <w:bCs w:val="0"/>
          <w:color w:val="000000"/>
          <w:sz w:val="24"/>
          <w:szCs w:val="24"/>
        </w:rPr>
        <w:t xml:space="preserve">4、投标费用</w:t>
      </w:r>
      <w:bookmarkEnd w:id="67"/>
      <w:r/>
      <w:bookmarkEnd w:id="68"/>
      <w:r/>
      <w:bookmarkEnd w:id="69"/>
      <w:r/>
      <w:bookmarkEnd w:id="70"/>
      <w:r>
        <w:rPr>
          <w:rFonts w:hint="eastAsia"/>
          <w:b w:val="0"/>
          <w:bCs w:val="0"/>
          <w:color w:val="000000"/>
          <w:sz w:val="24"/>
          <w:szCs w:val="24"/>
        </w:rPr>
      </w:r>
      <w:r/>
    </w:p>
    <w:p>
      <w:pPr>
        <w:pStyle w:val="1214"/>
        <w:ind w:firstLine="480"/>
        <w:spacing w:line="44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szCs w:val="24"/>
        </w:rPr>
        <w:t xml:space="preserve">江苏金居工程项目管理有限公司</w:t>
      </w:r>
      <w:r>
        <w:rPr>
          <w:rFonts w:hint="eastAsia" w:ascii="宋体" w:hAnsi="宋体"/>
          <w:color w:val="000000"/>
          <w:sz w:val="24"/>
        </w:rPr>
        <w:t xml:space="preserve">在任何情况下均无义务和责任承担这些费用。</w:t>
      </w:r>
      <w:r>
        <w:rPr>
          <w:rFonts w:hint="eastAsia" w:ascii="宋体" w:hAnsi="宋体"/>
          <w:color w:val="000000"/>
          <w:sz w:val="24"/>
        </w:rPr>
      </w:r>
      <w:r/>
    </w:p>
    <w:p>
      <w:pPr>
        <w:pStyle w:val="1214"/>
        <w:ind w:firstLine="480"/>
        <w:spacing w:line="440" w:lineRule="exact"/>
        <w:rPr>
          <w:rFonts w:hint="eastAsia" w:ascii="宋体" w:hAnsi="宋体"/>
          <w:color w:val="000000"/>
          <w:sz w:val="24"/>
        </w:rPr>
      </w:pPr>
      <w:r>
        <w:rPr>
          <w:rFonts w:hint="eastAsia" w:ascii="宋体" w:hAnsi="宋体"/>
          <w:color w:val="000000"/>
          <w:sz w:val="24"/>
        </w:rPr>
        <w:t xml:space="preserve">4.2本次招标不收取标书工本费。</w:t>
      </w:r>
      <w:r>
        <w:rPr>
          <w:rFonts w:hint="eastAsia" w:ascii="宋体" w:hAnsi="宋体"/>
          <w:color w:val="000000"/>
          <w:sz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4.3招标代理费收费标准：</w:t>
      </w:r>
      <w:r>
        <w:rPr>
          <w:rFonts w:hint="eastAsia" w:ascii="宋体" w:hAnsi="宋体"/>
          <w:color w:val="000000"/>
          <w:sz w:val="24"/>
          <w:szCs w:val="24"/>
          <w:u w:val="single"/>
        </w:rPr>
        <w:t xml:space="preserve">招标代理费根据比价结果，按照肆万叁仟伍佰元（￥43500.00）计取。</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4.4招标代理费收取方式：由中标人支付。本项目代理服务费已纳入项目成本测算，中标人投标报价时应综合考虑，招标人不再另行承担。</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4.5 付款账户如下：</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单位名称：江苏金居工程项目管理有限公司</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统一代码：91321182567838330L</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营业地址：扬中市三茅街道浩云湾27幢04室</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账号：10333001040629988</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开户银行：中国农业银行扬中市支行</w:t>
      </w:r>
      <w:r>
        <w:rPr>
          <w:rFonts w:hint="eastAsia" w:ascii="宋体" w:hAnsi="宋体"/>
          <w:color w:val="000000"/>
          <w:sz w:val="24"/>
          <w:szCs w:val="24"/>
        </w:rPr>
      </w:r>
      <w:r/>
    </w:p>
    <w:p>
      <w:pPr>
        <w:pStyle w:val="1218"/>
        <w:ind w:firstLine="562"/>
        <w:spacing w:before="0" w:after="0" w:line="440" w:lineRule="exact"/>
        <w:rPr>
          <w:rFonts w:hint="eastAsia" w:ascii="黑体" w:hAnsi="宋体"/>
          <w:b w:val="0"/>
          <w:bCs w:val="0"/>
          <w:color w:val="000000"/>
          <w:sz w:val="24"/>
          <w:szCs w:val="24"/>
        </w:rPr>
      </w:pPr>
      <w:r>
        <w:rPr>
          <w:rFonts w:hint="eastAsia" w:ascii="宋体" w:hAnsi="宋体"/>
          <w:color w:val="000000"/>
          <w:szCs w:val="24"/>
        </w:rPr>
        <w:t xml:space="preserve">5、</w:t>
      </w:r>
      <w:r>
        <w:rPr>
          <w:rFonts w:hint="eastAsia" w:ascii="黑体" w:hAnsi="宋体"/>
          <w:b w:val="0"/>
          <w:bCs w:val="0"/>
          <w:color w:val="000000"/>
          <w:sz w:val="24"/>
          <w:szCs w:val="24"/>
        </w:rPr>
        <w:t xml:space="preserve">招标文件的约束力</w:t>
      </w:r>
      <w:r>
        <w:rPr>
          <w:rFonts w:hint="eastAsia" w:ascii="黑体" w:hAnsi="宋体"/>
          <w:b w:val="0"/>
          <w:bCs w:val="0"/>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投标人一旦参加本项目活动，即被认为接受了本招标文件的规定和约束。</w:t>
      </w:r>
      <w:r>
        <w:rPr>
          <w:rFonts w:hint="eastAsia" w:ascii="宋体" w:hAnsi="宋体"/>
          <w:color w:val="000000"/>
          <w:sz w:val="24"/>
          <w:szCs w:val="24"/>
        </w:rPr>
      </w:r>
      <w:r/>
    </w:p>
    <w:p>
      <w:pPr>
        <w:pStyle w:val="1217"/>
        <w:ind w:firstLine="281"/>
        <w:spacing w:before="120" w:after="120" w:line="440" w:lineRule="exact"/>
        <w:rPr>
          <w:rFonts w:hint="eastAsia"/>
          <w:color w:val="000000"/>
          <w:sz w:val="28"/>
          <w:szCs w:val="28"/>
        </w:rPr>
      </w:pPr>
      <w:r/>
      <w:bookmarkStart w:id="71" w:name="_Toc20823281"/>
      <w:r/>
      <w:bookmarkStart w:id="72" w:name="_Toc120614215"/>
      <w:r/>
      <w:bookmarkStart w:id="73" w:name="_Toc16938525"/>
      <w:r/>
      <w:bookmarkStart w:id="74" w:name="_Toc513029209"/>
      <w:r>
        <w:rPr>
          <w:rFonts w:hint="eastAsia"/>
          <w:color w:val="000000"/>
          <w:sz w:val="28"/>
          <w:szCs w:val="28"/>
        </w:rPr>
        <w:t xml:space="preserve">二、招标文件</w:t>
      </w:r>
      <w:bookmarkEnd w:id="71"/>
      <w:r/>
      <w:bookmarkEnd w:id="72"/>
      <w:r/>
      <w:bookmarkEnd w:id="73"/>
      <w:r/>
      <w:bookmarkEnd w:id="74"/>
      <w:r>
        <w:rPr>
          <w:rFonts w:hint="eastAsia"/>
          <w:color w:val="000000"/>
          <w:sz w:val="28"/>
          <w:szCs w:val="28"/>
        </w:rPr>
      </w:r>
      <w:r/>
    </w:p>
    <w:p>
      <w:pPr>
        <w:pStyle w:val="1218"/>
        <w:ind w:firstLine="360"/>
        <w:spacing w:before="0" w:after="0" w:line="440" w:lineRule="exact"/>
        <w:rPr>
          <w:rFonts w:hint="eastAsia"/>
          <w:b w:val="0"/>
          <w:bCs w:val="0"/>
          <w:color w:val="000000"/>
          <w:sz w:val="24"/>
          <w:szCs w:val="24"/>
        </w:rPr>
      </w:pPr>
      <w:r/>
      <w:bookmarkStart w:id="75" w:name="_Toc20823282"/>
      <w:r/>
      <w:bookmarkStart w:id="76" w:name="_Toc513029210"/>
      <w:r/>
      <w:bookmarkStart w:id="77" w:name="_Toc16938526"/>
      <w:r>
        <w:rPr>
          <w:rFonts w:hint="eastAsia"/>
          <w:b w:val="0"/>
          <w:bCs w:val="0"/>
          <w:color w:val="000000"/>
          <w:sz w:val="24"/>
          <w:szCs w:val="24"/>
        </w:rPr>
        <w:t xml:space="preserve">6、招标文件构成</w:t>
      </w:r>
      <w:bookmarkEnd w:id="75"/>
      <w:r/>
      <w:bookmarkEnd w:id="76"/>
      <w:r/>
      <w:bookmarkEnd w:id="77"/>
      <w:r>
        <w:rPr>
          <w:rFonts w:hint="eastAsia"/>
          <w:b w:val="0"/>
          <w:bCs w:val="0"/>
          <w:color w:val="000000"/>
          <w:sz w:val="24"/>
          <w:szCs w:val="24"/>
        </w:rPr>
      </w:r>
      <w:r/>
    </w:p>
    <w:p>
      <w:pPr>
        <w:pStyle w:val="1214"/>
        <w:ind w:firstLine="480"/>
        <w:spacing w:line="44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（4）招标需求</w:t>
      </w:r>
      <w:r>
        <w:rPr>
          <w:rFonts w:hint="eastAsia" w:ascii="宋体" w:hAnsi="宋体"/>
          <w:color w:val="000000"/>
          <w:sz w:val="24"/>
          <w:szCs w:val="24"/>
        </w:rPr>
      </w:r>
      <w:r/>
    </w:p>
    <w:p>
      <w:pPr>
        <w:pStyle w:val="1214"/>
        <w:ind w:firstLine="360"/>
        <w:spacing w:line="44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rPr>
        <w:t xml:space="preserve">请仔细检查招标文件是否齐全，如有缺漏请立即与代理机构联系解决。</w:t>
      </w:r>
      <w:r>
        <w:rPr>
          <w:rFonts w:hint="eastAsia" w:ascii="宋体" w:hAnsi="宋体"/>
          <w:color w:val="000000"/>
          <w:sz w:val="24"/>
          <w:szCs w:val="24"/>
        </w:rPr>
      </w:r>
      <w:r/>
    </w:p>
    <w:p>
      <w:pPr>
        <w:pStyle w:val="1214"/>
        <w:ind w:firstLine="480"/>
        <w:spacing w:line="44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1218"/>
        <w:ind w:firstLine="480"/>
        <w:spacing w:before="0" w:after="0" w:line="440" w:lineRule="exact"/>
        <w:rPr>
          <w:b w:val="0"/>
          <w:bCs w:val="0"/>
          <w:color w:val="000000"/>
          <w:sz w:val="24"/>
          <w:szCs w:val="24"/>
        </w:rPr>
      </w:pPr>
      <w:r/>
      <w:bookmarkStart w:id="78" w:name="_Toc462564070"/>
      <w:r/>
      <w:bookmarkStart w:id="79" w:name="_Toc20823283"/>
      <w:r/>
      <w:bookmarkStart w:id="80" w:name="_Toc513029211"/>
      <w:r/>
      <w:bookmarkStart w:id="81" w:name="_Toc16938527"/>
      <w:r>
        <w:rPr>
          <w:rFonts w:hint="eastAsia"/>
          <w:b w:val="0"/>
          <w:bCs w:val="0"/>
          <w:color w:val="000000"/>
          <w:sz w:val="24"/>
          <w:szCs w:val="24"/>
        </w:rPr>
        <w:t xml:space="preserve">7、招标文件的澄清</w:t>
      </w:r>
      <w:bookmarkEnd w:id="78"/>
      <w:r/>
      <w:bookmarkEnd w:id="79"/>
      <w:r/>
      <w:bookmarkEnd w:id="80"/>
      <w:r/>
      <w:bookmarkEnd w:id="81"/>
      <w:r>
        <w:rPr>
          <w:b w:val="0"/>
          <w:bCs w:val="0"/>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按招标公告中的通讯地址，以书面形式通知招标人或代理机构。</w:t>
      </w:r>
      <w:r>
        <w:rPr>
          <w:rFonts w:hint="eastAsia" w:ascii="宋体" w:hAnsi="宋体"/>
          <w:color w:val="000000"/>
          <w:sz w:val="24"/>
          <w:szCs w:val="24"/>
        </w:rPr>
      </w:r>
      <w:r/>
    </w:p>
    <w:p>
      <w:pPr>
        <w:pStyle w:val="1218"/>
        <w:ind w:firstLine="480"/>
        <w:spacing w:before="0" w:after="0" w:line="440" w:lineRule="exact"/>
        <w:rPr>
          <w:rFonts w:hint="eastAsia"/>
          <w:b w:val="0"/>
          <w:bCs w:val="0"/>
          <w:color w:val="000000"/>
          <w:sz w:val="24"/>
          <w:szCs w:val="24"/>
        </w:rPr>
      </w:pPr>
      <w:r/>
      <w:bookmarkStart w:id="82" w:name="_Toc513029212"/>
      <w:r/>
      <w:bookmarkStart w:id="83" w:name="_Toc16938528"/>
      <w:r/>
      <w:bookmarkStart w:id="84" w:name="_Toc20823284"/>
      <w:r/>
      <w:bookmarkStart w:id="85" w:name="_Toc462564071"/>
      <w:r>
        <w:rPr>
          <w:rFonts w:hint="eastAsia"/>
          <w:b w:val="0"/>
          <w:bCs w:val="0"/>
          <w:color w:val="000000"/>
          <w:sz w:val="24"/>
          <w:szCs w:val="24"/>
        </w:rPr>
        <w:t xml:space="preserve">8、招标文件的澄清和修改</w:t>
      </w:r>
      <w:bookmarkEnd w:id="82"/>
      <w:r/>
      <w:bookmarkEnd w:id="83"/>
      <w:r/>
      <w:bookmarkEnd w:id="84"/>
      <w:r/>
      <w:bookmarkEnd w:id="85"/>
      <w:r>
        <w:rPr>
          <w:rFonts w:hint="eastAsia"/>
          <w:b w:val="0"/>
          <w:bCs w:val="0"/>
          <w:color w:val="000000"/>
          <w:sz w:val="24"/>
          <w:szCs w:val="24"/>
        </w:rPr>
      </w:r>
      <w:r/>
    </w:p>
    <w:p>
      <w:pPr>
        <w:pStyle w:val="1214"/>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rPr>
          <w:rFonts w:ascii="宋体" w:hAnsi="宋体"/>
          <w:bCs/>
          <w:color w:val="000000"/>
          <w:sz w:val="24"/>
        </w:rPr>
      </w:r>
      <w:r/>
    </w:p>
    <w:p>
      <w:pPr>
        <w:pStyle w:val="1214"/>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w:t>
      </w:r>
      <w:r>
        <w:rPr>
          <w:rFonts w:hint="eastAsia" w:ascii="宋体" w:hAnsi="宋体"/>
          <w:color w:val="000000"/>
          <w:sz w:val="24"/>
        </w:rPr>
        <w:t xml:space="preserve">招标</w:t>
      </w:r>
      <w:r>
        <w:rPr>
          <w:rFonts w:hint="eastAsia" w:ascii="宋体" w:hAnsi="宋体"/>
          <w:bCs/>
          <w:color w:val="000000"/>
          <w:sz w:val="24"/>
        </w:rPr>
        <w:t xml:space="preserve">人负责答复并视情况作出澄清或修改的决定。</w:t>
      </w:r>
      <w:r>
        <w:rPr>
          <w:rFonts w:ascii="宋体" w:hAnsi="宋体"/>
          <w:bCs/>
          <w:color w:val="000000"/>
          <w:sz w:val="24"/>
        </w:rPr>
      </w:r>
      <w:r/>
    </w:p>
    <w:p>
      <w:pPr>
        <w:pStyle w:val="1214"/>
        <w:ind w:firstLine="480"/>
        <w:spacing w:line="440" w:lineRule="exact"/>
        <w:rPr>
          <w:rFonts w:ascii="宋体" w:hAnsi="宋体"/>
          <w:bCs/>
          <w:color w:val="000000"/>
          <w:sz w:val="24"/>
        </w:rPr>
      </w:pPr>
      <w:r>
        <w:rPr>
          <w:rFonts w:hint="eastAsia" w:ascii="宋体" w:hAnsi="宋体"/>
          <w:bCs/>
          <w:color w:val="000000"/>
          <w:sz w:val="24"/>
        </w:rPr>
        <w:t xml:space="preserve">8.3 </w:t>
      </w:r>
      <w:r>
        <w:rPr>
          <w:rFonts w:hint="eastAsia" w:ascii="宋体" w:hAnsi="宋体"/>
          <w:color w:val="000000"/>
          <w:sz w:val="24"/>
        </w:rPr>
        <w:t xml:space="preserve">招标</w:t>
      </w:r>
      <w:r>
        <w:rPr>
          <w:rFonts w:hint="eastAsia" w:ascii="宋体" w:hAnsi="宋体"/>
          <w:bCs/>
          <w:color w:val="000000"/>
          <w:sz w:val="24"/>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rPr>
      </w:r>
      <w:r/>
    </w:p>
    <w:p>
      <w:pPr>
        <w:pStyle w:val="1214"/>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w:t>
      </w:r>
      <w:r>
        <w:rPr>
          <w:rFonts w:hint="eastAsia" w:ascii="宋体" w:hAnsi="宋体"/>
          <w:color w:val="000000"/>
          <w:sz w:val="24"/>
        </w:rPr>
        <w:t xml:space="preserve">招标</w:t>
      </w:r>
      <w:r>
        <w:rPr>
          <w:rFonts w:hint="eastAsia" w:ascii="宋体" w:hAnsi="宋体"/>
          <w:bCs/>
          <w:color w:val="000000"/>
          <w:sz w:val="24"/>
        </w:rPr>
        <w:t xml:space="preserve">人或者代理机构将在提交截止时间至少15日前，在系统中以书面形式通知所有已获取招标文件的潜在投标人；不足15日的，</w:t>
      </w:r>
      <w:r>
        <w:rPr>
          <w:rFonts w:hint="eastAsia" w:ascii="宋体" w:hAnsi="宋体"/>
          <w:color w:val="000000"/>
          <w:sz w:val="24"/>
        </w:rPr>
        <w:t xml:space="preserve">招标</w:t>
      </w:r>
      <w:r>
        <w:rPr>
          <w:rFonts w:hint="eastAsia" w:ascii="宋体" w:hAnsi="宋体"/>
          <w:bCs/>
          <w:color w:val="000000"/>
          <w:sz w:val="24"/>
        </w:rPr>
        <w:t xml:space="preserve">人或者代理机构将顺延提交投标文件的截止时间。投标人应及时自行登录系统查看相应内容。</w:t>
      </w:r>
      <w:r>
        <w:rPr>
          <w:rFonts w:ascii="宋体" w:hAnsi="宋体"/>
          <w:bCs/>
          <w:color w:val="000000"/>
          <w:sz w:val="24"/>
        </w:rPr>
      </w:r>
      <w:r/>
    </w:p>
    <w:p>
      <w:pPr>
        <w:pStyle w:val="1214"/>
        <w:ind w:firstLine="480"/>
        <w:spacing w:line="440" w:lineRule="exact"/>
        <w:rPr>
          <w:rFonts w:hint="eastAsia"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rPr>
          <w:rFonts w:hint="eastAsia" w:ascii="宋体" w:hAnsi="宋体"/>
          <w:bCs/>
          <w:color w:val="000000"/>
          <w:sz w:val="24"/>
        </w:rPr>
      </w:r>
      <w:r/>
    </w:p>
    <w:p>
      <w:pPr>
        <w:pStyle w:val="1217"/>
        <w:ind w:firstLine="361"/>
        <w:spacing w:before="120" w:after="120" w:line="440" w:lineRule="exact"/>
        <w:rPr>
          <w:rFonts w:hint="eastAsia"/>
          <w:color w:val="000000"/>
          <w:sz w:val="24"/>
          <w:szCs w:val="24"/>
        </w:rPr>
      </w:pPr>
      <w:r/>
      <w:bookmarkStart w:id="86" w:name="_Toc513029213"/>
      <w:r/>
      <w:bookmarkStart w:id="87" w:name="_Toc462564072"/>
      <w:r/>
      <w:bookmarkStart w:id="88" w:name="_Toc16938529"/>
      <w:r/>
      <w:bookmarkStart w:id="89" w:name="_Toc120614216"/>
      <w:r/>
      <w:bookmarkStart w:id="90" w:name="_Toc20823285"/>
      <w:r>
        <w:rPr>
          <w:rFonts w:hint="eastAsia"/>
          <w:color w:val="000000"/>
          <w:sz w:val="24"/>
          <w:szCs w:val="24"/>
        </w:rPr>
        <w:t xml:space="preserve">三、投标文件的编制</w:t>
      </w:r>
      <w:bookmarkEnd w:id="86"/>
      <w:r/>
      <w:bookmarkEnd w:id="87"/>
      <w:r/>
      <w:bookmarkEnd w:id="88"/>
      <w:r/>
      <w:bookmarkEnd w:id="89"/>
      <w:r/>
      <w:bookmarkEnd w:id="90"/>
      <w:r>
        <w:rPr>
          <w:rFonts w:hint="eastAsia"/>
          <w:color w:val="000000"/>
          <w:sz w:val="24"/>
          <w:szCs w:val="24"/>
        </w:rPr>
      </w:r>
      <w:r/>
    </w:p>
    <w:p>
      <w:pPr>
        <w:pStyle w:val="1218"/>
        <w:ind w:firstLine="480"/>
        <w:spacing w:before="0" w:after="0" w:line="440" w:lineRule="exact"/>
        <w:rPr>
          <w:rFonts w:hint="eastAsia"/>
          <w:bCs w:val="0"/>
          <w:color w:val="000000"/>
          <w:sz w:val="24"/>
          <w:szCs w:val="24"/>
        </w:rPr>
      </w:pPr>
      <w:r/>
      <w:bookmarkStart w:id="91" w:name="_Toc20823286"/>
      <w:r/>
      <w:bookmarkStart w:id="92" w:name="_Toc16938530"/>
      <w:r/>
      <w:bookmarkStart w:id="93" w:name="_Toc513029214"/>
      <w:r/>
      <w:bookmarkStart w:id="94" w:name="_Toc462564073"/>
      <w:r>
        <w:rPr>
          <w:rFonts w:hint="eastAsia"/>
          <w:b w:val="0"/>
          <w:bCs w:val="0"/>
          <w:color w:val="000000"/>
          <w:sz w:val="24"/>
          <w:szCs w:val="24"/>
        </w:rPr>
        <w:t xml:space="preserve">9、投标文件的语言及度量衡单位</w:t>
      </w:r>
      <w:bookmarkEnd w:id="91"/>
      <w:r/>
      <w:bookmarkEnd w:id="92"/>
      <w:r/>
      <w:bookmarkEnd w:id="93"/>
      <w:r/>
      <w:bookmarkEnd w:id="94"/>
      <w:r>
        <w:rPr>
          <w:rFonts w:hint="eastAsia"/>
          <w:bCs w:val="0"/>
          <w:color w:val="000000"/>
          <w:sz w:val="24"/>
          <w:szCs w:val="24"/>
        </w:rPr>
      </w:r>
      <w:r/>
    </w:p>
    <w:p>
      <w:pPr>
        <w:pStyle w:val="1214"/>
        <w:ind w:firstLine="480"/>
        <w:spacing w:line="44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投标人提交的投标文件以及投标人与招标人或代理机构就有关投标的所有来往通知、函件和文件均应使用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1214"/>
        <w:ind w:firstLine="480"/>
        <w:spacing w:line="44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1218"/>
        <w:ind w:firstLine="360"/>
        <w:spacing w:before="0" w:after="0" w:line="440" w:lineRule="exact"/>
        <w:rPr>
          <w:rFonts w:hint="eastAsia"/>
          <w:b w:val="0"/>
          <w:bCs w:val="0"/>
          <w:color w:val="000000"/>
          <w:sz w:val="24"/>
          <w:szCs w:val="24"/>
        </w:rPr>
      </w:pPr>
      <w:r/>
      <w:bookmarkStart w:id="95" w:name="_Toc462564074"/>
      <w:r/>
      <w:bookmarkStart w:id="96" w:name="_Toc513029215"/>
      <w:r/>
      <w:bookmarkStart w:id="97" w:name="_Toc16938531"/>
      <w:r/>
      <w:bookmarkStart w:id="98" w:name="_Toc20823287"/>
      <w:r>
        <w:rPr>
          <w:rFonts w:hint="eastAsia"/>
          <w:b w:val="0"/>
          <w:bCs w:val="0"/>
          <w:color w:val="000000"/>
          <w:sz w:val="24"/>
          <w:szCs w:val="24"/>
        </w:rPr>
        <w:t xml:space="preserve">10、投标文件构成</w:t>
      </w:r>
      <w:bookmarkEnd w:id="95"/>
      <w:r/>
      <w:bookmarkEnd w:id="96"/>
      <w:r/>
      <w:bookmarkEnd w:id="97"/>
      <w:r/>
      <w:bookmarkEnd w:id="98"/>
      <w:r>
        <w:rPr>
          <w:rFonts w:hint="eastAsia"/>
          <w:b w:val="0"/>
          <w:bCs w:val="0"/>
          <w:color w:val="000000"/>
          <w:sz w:val="24"/>
          <w:szCs w:val="24"/>
        </w:rPr>
      </w:r>
      <w:r/>
    </w:p>
    <w:p>
      <w:pPr>
        <w:pStyle w:val="1214"/>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rPr>
      </w:r>
      <w:r/>
    </w:p>
    <w:p>
      <w:pPr>
        <w:pStyle w:val="1214"/>
        <w:ind w:firstLine="480"/>
        <w:spacing w:line="440" w:lineRule="exact"/>
        <w:rPr>
          <w:rFonts w:hint="eastAsia"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上发布的招标文件为准。</w:t>
      </w:r>
      <w:r>
        <w:rPr>
          <w:rFonts w:hint="eastAsia" w:ascii="宋体" w:hAnsi="宋体"/>
          <w:color w:val="000000"/>
          <w:sz w:val="24"/>
        </w:rPr>
      </w:r>
      <w:r/>
    </w:p>
    <w:p>
      <w:pPr>
        <w:pStyle w:val="1218"/>
        <w:ind w:firstLine="360"/>
        <w:spacing w:before="0" w:after="0" w:line="440" w:lineRule="exact"/>
        <w:rPr>
          <w:rFonts w:hint="eastAsia"/>
          <w:b w:val="0"/>
          <w:bCs w:val="0"/>
          <w:color w:val="000000"/>
          <w:sz w:val="24"/>
          <w:szCs w:val="24"/>
        </w:rPr>
      </w:pPr>
      <w:r/>
      <w:bookmarkStart w:id="99" w:name="_Hlt26668975"/>
      <w:r/>
      <w:bookmarkEnd w:id="99"/>
      <w:r/>
      <w:bookmarkStart w:id="100" w:name="_Hlt26670360"/>
      <w:r/>
      <w:bookmarkEnd w:id="100"/>
      <w:r/>
      <w:bookmarkStart w:id="101" w:name="_Hlt26954838"/>
      <w:r/>
      <w:bookmarkEnd w:id="101"/>
      <w:r/>
      <w:bookmarkStart w:id="102" w:name="_Toc49090509"/>
      <w:r/>
      <w:bookmarkStart w:id="103" w:name="_Toc14577357"/>
      <w:r/>
      <w:bookmarkStart w:id="104" w:name="_Toc513029219"/>
      <w:r/>
      <w:bookmarkStart w:id="105" w:name="_Toc49090507"/>
      <w:r/>
      <w:bookmarkStart w:id="106" w:name="_Toc513029216"/>
      <w:r/>
      <w:bookmarkStart w:id="107" w:name="_Toc14577354"/>
      <w:r>
        <w:rPr>
          <w:rFonts w:hint="eastAsia"/>
          <w:b w:val="0"/>
          <w:bCs w:val="0"/>
          <w:color w:val="000000"/>
          <w:sz w:val="24"/>
          <w:szCs w:val="24"/>
        </w:rPr>
        <w:t xml:space="preserve">11、证明投标人及投标标的符合招标文件规定的文件</w:t>
      </w:r>
      <w:bookmarkEnd w:id="102"/>
      <w:r/>
      <w:bookmarkEnd w:id="103"/>
      <w:r/>
      <w:bookmarkEnd w:id="104"/>
      <w:r>
        <w:rPr>
          <w:rFonts w:hint="eastAsia"/>
          <w:b w:val="0"/>
          <w:bCs w:val="0"/>
          <w:color w:val="000000"/>
          <w:sz w:val="24"/>
          <w:szCs w:val="24"/>
        </w:rPr>
      </w:r>
      <w:r/>
    </w:p>
    <w:p>
      <w:pPr>
        <w:pStyle w:val="1214"/>
        <w:spacing w:line="440" w:lineRule="exact"/>
        <w:rPr>
          <w:rFonts w:hint="eastAsia" w:ascii="宋体" w:hAnsi="宋体"/>
          <w:color w:val="000000"/>
          <w:sz w:val="24"/>
          <w:szCs w:val="24"/>
        </w:rPr>
      </w:pPr>
      <w:r/>
      <w:bookmarkEnd w:id="105"/>
      <w:r/>
      <w:bookmarkEnd w:id="106"/>
      <w:r/>
      <w:bookmarkEnd w:id="107"/>
      <w:r/>
      <w:bookmarkStart w:id="108" w:name="_Toc14577355"/>
      <w:r/>
      <w:bookmarkStart w:id="109" w:name="_Toc49090508"/>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1218"/>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12、投标分项报价</w:t>
      </w:r>
      <w:bookmarkEnd w:id="108"/>
      <w:r/>
      <w:bookmarkStart w:id="110" w:name="_Hlt26670373"/>
      <w:r/>
      <w:bookmarkEnd w:id="110"/>
      <w:r>
        <w:rPr>
          <w:rFonts w:hint="eastAsia"/>
          <w:b w:val="0"/>
          <w:bCs w:val="0"/>
          <w:color w:val="000000"/>
          <w:sz w:val="24"/>
          <w:szCs w:val="24"/>
        </w:rPr>
        <w:t xml:space="preserve">表</w:t>
      </w:r>
      <w:bookmarkEnd w:id="109"/>
      <w:r>
        <w:rPr>
          <w:rFonts w:hint="eastAsia"/>
          <w:b w:val="0"/>
          <w:bCs w:val="0"/>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11" w:name="_Hlt26954840"/>
      <w:r/>
      <w:bookmarkEnd w:id="111"/>
      <w:r>
        <w:rPr>
          <w:rFonts w:hint="eastAsia" w:ascii="宋体" w:hAnsi="宋体"/>
          <w:color w:val="000000"/>
          <w:sz w:val="24"/>
          <w:szCs w:val="24"/>
        </w:rPr>
        <w:t xml:space="preserve">标人应按照招标文件规定格式填报投标分项报价表</w:t>
      </w:r>
      <w:bookmarkStart w:id="112" w:name="_Hlt26670399"/>
      <w:r/>
      <w:bookmarkEnd w:id="112"/>
      <w:r>
        <w:rPr>
          <w:rFonts w:hint="eastAsia" w:ascii="宋体" w:hAnsi="宋体"/>
          <w:color w:val="000000"/>
          <w:sz w:val="24"/>
          <w:szCs w:val="24"/>
        </w:rPr>
        <w:t xml:space="preserve">。</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rPr>
          <w:rFonts w:hint="eastAsia" w:ascii="宋体" w:hAnsi="宋体"/>
          <w:bCs/>
          <w:color w:val="000000"/>
          <w:sz w:val="24"/>
          <w:szCs w:val="24"/>
        </w:rPr>
      </w:r>
      <w:r/>
    </w:p>
    <w:p>
      <w:pPr>
        <w:pStyle w:val="1218"/>
        <w:ind w:firstLine="360"/>
        <w:spacing w:before="0" w:after="0" w:line="440" w:lineRule="exact"/>
        <w:rPr>
          <w:rFonts w:hint="eastAsia"/>
          <w:b w:val="0"/>
          <w:bCs w:val="0"/>
          <w:color w:val="000000"/>
          <w:sz w:val="24"/>
          <w:szCs w:val="24"/>
        </w:rPr>
      </w:pPr>
      <w:r/>
      <w:bookmarkStart w:id="113" w:name="_Hlt26670482"/>
      <w:r/>
      <w:bookmarkEnd w:id="113"/>
      <w:r/>
      <w:bookmarkStart w:id="114" w:name="_Hlt26670486"/>
      <w:r/>
      <w:bookmarkEnd w:id="114"/>
      <w:r/>
      <w:bookmarkStart w:id="115" w:name="_Hlt26954848"/>
      <w:r/>
      <w:bookmarkEnd w:id="115"/>
      <w:r/>
      <w:bookmarkStart w:id="116" w:name="_Hlt26954846"/>
      <w:r/>
      <w:bookmarkEnd w:id="116"/>
      <w:r/>
      <w:bookmarkStart w:id="117" w:name="_Hlt26954842"/>
      <w:r/>
      <w:bookmarkEnd w:id="117"/>
      <w:r/>
      <w:bookmarkStart w:id="118" w:name="_Hlt26954731"/>
      <w:r/>
      <w:bookmarkEnd w:id="118"/>
      <w:r/>
      <w:bookmarkStart w:id="119" w:name="_Hlt26668983"/>
      <w:r/>
      <w:bookmarkEnd w:id="119"/>
      <w:r/>
      <w:bookmarkStart w:id="120" w:name="_Hlt26954844"/>
      <w:r/>
      <w:bookmarkEnd w:id="120"/>
      <w:r/>
      <w:bookmarkStart w:id="121" w:name="_Hlt26670425"/>
      <w:r/>
      <w:bookmarkEnd w:id="121"/>
      <w:r/>
      <w:bookmarkStart w:id="122" w:name="_Hlt26670403"/>
      <w:r/>
      <w:bookmarkEnd w:id="122"/>
      <w:r>
        <w:rPr>
          <w:rFonts w:hint="eastAsia"/>
          <w:b w:val="0"/>
          <w:bCs w:val="0"/>
          <w:color w:val="000000"/>
          <w:sz w:val="24"/>
          <w:szCs w:val="24"/>
        </w:rPr>
        <w:t xml:space="preserve">13、技术要求响应及偏离表、商务要求响应及偏离表</w:t>
      </w:r>
      <w:r>
        <w:rPr>
          <w:rFonts w:hint="eastAsia"/>
          <w:b w:val="0"/>
          <w:bCs w:val="0"/>
          <w:color w:val="000000"/>
          <w:sz w:val="24"/>
          <w:szCs w:val="24"/>
        </w:rPr>
      </w:r>
      <w:r/>
    </w:p>
    <w:p>
      <w:pPr>
        <w:pStyle w:val="1214"/>
        <w:ind w:firstLine="480"/>
        <w:spacing w:line="440" w:lineRule="exact"/>
        <w:rPr>
          <w:rFonts w:hint="eastAsia"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ascii="宋体" w:hAnsi="Arial" w:cs="宋体"/>
          <w:color w:val="000000"/>
          <w:sz w:val="24"/>
          <w:szCs w:val="24"/>
          <w:lang w:val="zh-CN"/>
        </w:rPr>
        <w:t xml:space="preserve"> </w:t>
      </w:r>
      <w:r>
        <w:rPr>
          <w:rFonts w:hint="eastAsia" w:ascii="宋体" w:hAnsi="Arial" w:cs="宋体"/>
          <w:color w:val="000000"/>
          <w:sz w:val="24"/>
          <w:szCs w:val="24"/>
          <w:lang w:val="zh-CN"/>
        </w:rPr>
        <w:t xml:space="preserve">投标人需对招标文件中的技术要求与商务要求逐项作出响应或偏离，并说明原因。</w:t>
      </w:r>
      <w:r>
        <w:rPr>
          <w:rFonts w:hint="eastAsia" w:ascii="宋体" w:hAnsi="Arial" w:cs="宋体"/>
          <w:color w:val="000000"/>
          <w:sz w:val="24"/>
          <w:szCs w:val="24"/>
          <w:lang w:val="zh-CN"/>
        </w:rPr>
      </w:r>
      <w:r/>
    </w:p>
    <w:p>
      <w:pPr>
        <w:pStyle w:val="1214"/>
        <w:ind w:firstLine="480"/>
        <w:spacing w:line="44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rPr>
          <w:rFonts w:ascii="宋体" w:hAnsi="Arial" w:cs="宋体"/>
          <w:color w:val="000000"/>
          <w:sz w:val="24"/>
          <w:szCs w:val="24"/>
          <w:lang w:val="zh-CN"/>
        </w:rPr>
      </w:r>
      <w:r/>
    </w:p>
    <w:p>
      <w:pPr>
        <w:pStyle w:val="1218"/>
        <w:ind w:firstLine="360"/>
        <w:spacing w:before="0" w:after="0" w:line="440" w:lineRule="exact"/>
        <w:rPr>
          <w:rFonts w:hint="eastAsia"/>
          <w:b w:val="0"/>
          <w:bCs w:val="0"/>
          <w:color w:val="000000"/>
          <w:sz w:val="24"/>
          <w:szCs w:val="24"/>
        </w:rPr>
      </w:pPr>
      <w:r/>
      <w:bookmarkStart w:id="123" w:name="_Toc49090510"/>
      <w:r/>
      <w:bookmarkStart w:id="124" w:name="_Toc14577359"/>
      <w:r>
        <w:rPr>
          <w:rFonts w:hint="eastAsia"/>
          <w:b w:val="0"/>
          <w:bCs w:val="0"/>
          <w:color w:val="000000"/>
          <w:sz w:val="24"/>
          <w:szCs w:val="24"/>
        </w:rPr>
        <w:t xml:space="preserve">14、投标函和开标一览表</w:t>
      </w:r>
      <w:r>
        <w:rPr>
          <w:rFonts w:hint="eastAsia"/>
          <w:b w:val="0"/>
          <w:bCs w:val="0"/>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投标人应按照招标文件中提供的格式完整、正确填写投标函、开标一览表。</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r>
        <w:rPr>
          <w:rFonts w:hint="eastAsia" w:ascii="宋体" w:hAnsi="宋体"/>
          <w:color w:val="000000"/>
          <w:sz w:val="24"/>
          <w:szCs w:val="24"/>
        </w:rPr>
      </w:r>
      <w:r/>
    </w:p>
    <w:p>
      <w:pPr>
        <w:pStyle w:val="1218"/>
        <w:ind w:firstLine="360"/>
        <w:spacing w:before="0" w:after="0" w:line="440" w:lineRule="exact"/>
        <w:rPr>
          <w:rFonts w:hint="eastAsia"/>
          <w:b w:val="0"/>
          <w:bCs w:val="0"/>
          <w:color w:val="000000"/>
          <w:sz w:val="24"/>
          <w:szCs w:val="24"/>
        </w:rPr>
      </w:pPr>
      <w:r/>
      <w:bookmarkEnd w:id="123"/>
      <w:r/>
      <w:bookmarkEnd w:id="124"/>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b w:val="0"/>
          <w:bCs w:val="0"/>
          <w:color w:val="000000"/>
          <w:sz w:val="24"/>
          <w:szCs w:val="24"/>
        </w:rPr>
        <w:t xml:space="preserve">15、投标有效期</w:t>
      </w:r>
      <w:bookmarkEnd w:id="128"/>
      <w:r/>
      <w:bookmarkEnd w:id="129"/>
      <w:r>
        <w:rPr>
          <w:rFonts w:hint="eastAsia"/>
          <w:b w:val="0"/>
          <w:bCs w:val="0"/>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w:t>
      </w:r>
      <w:r>
        <w:rPr>
          <w:rFonts w:hint="eastAsia" w:ascii="宋体" w:hAnsi="宋体"/>
          <w:color w:val="000000"/>
          <w:sz w:val="24"/>
        </w:rPr>
        <w:t xml:space="preserve">招标</w:t>
      </w:r>
      <w:r>
        <w:rPr>
          <w:rFonts w:hint="eastAsia" w:ascii="宋体" w:hAnsi="宋体"/>
          <w:bCs/>
          <w:color w:val="000000"/>
          <w:sz w:val="24"/>
          <w:szCs w:val="24"/>
        </w:rPr>
        <w:t xml:space="preserve">人或代理机构规定的开标之日后</w:t>
      </w:r>
      <w:r>
        <w:rPr>
          <w:rFonts w:hint="eastAsia" w:ascii="仿宋_GB2312" w:hAnsi="仿宋_GB2312"/>
          <w:bCs/>
          <w:color w:val="000000"/>
          <w:sz w:val="24"/>
          <w:szCs w:val="24"/>
        </w:rPr>
        <w:t xml:space="preserve">六十（60）天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rPr>
          <w:rFonts w:hint="eastAsia" w:ascii="宋体" w:hAnsi="宋体"/>
          <w:bCs/>
          <w:color w:val="000000"/>
          <w:sz w:val="24"/>
          <w:szCs w:val="24"/>
        </w:rPr>
      </w:r>
      <w:r/>
    </w:p>
    <w:p>
      <w:pPr>
        <w:pStyle w:val="1218"/>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16、投标有效期的延长</w:t>
      </w:r>
      <w:r>
        <w:rPr>
          <w:rFonts w:hint="eastAsia"/>
          <w:b w:val="0"/>
          <w:bCs w:val="0"/>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 在特殊情况下，</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rPr>
          <w:rFonts w:hint="eastAsia" w:ascii="宋体" w:hAnsi="宋体"/>
          <w:bCs/>
          <w:color w:val="000000"/>
          <w:sz w:val="24"/>
          <w:szCs w:val="24"/>
        </w:rPr>
      </w:r>
      <w:r/>
    </w:p>
    <w:p>
      <w:pPr>
        <w:pStyle w:val="1217"/>
        <w:ind w:firstLine="361"/>
        <w:spacing w:before="120" w:after="120" w:line="440" w:lineRule="exact"/>
        <w:rPr>
          <w:rFonts w:hint="eastAsia"/>
          <w:color w:val="000000"/>
          <w:sz w:val="24"/>
          <w:szCs w:val="24"/>
        </w:rPr>
      </w:pPr>
      <w:r/>
      <w:bookmarkStart w:id="130" w:name="_Hlt26954739"/>
      <w:r/>
      <w:bookmarkEnd w:id="130"/>
      <w:r/>
      <w:bookmarkStart w:id="131" w:name="_Hlt26954852"/>
      <w:r/>
      <w:bookmarkEnd w:id="131"/>
      <w:r/>
      <w:bookmarkStart w:id="132" w:name="_Toc20823296"/>
      <w:r/>
      <w:bookmarkStart w:id="133" w:name="_Toc16938540"/>
      <w:r/>
      <w:bookmarkStart w:id="134" w:name="_Toc120614217"/>
      <w:r/>
      <w:bookmarkStart w:id="135" w:name="_Toc513029224"/>
      <w:r>
        <w:rPr>
          <w:rFonts w:hint="eastAsia"/>
          <w:color w:val="000000"/>
          <w:sz w:val="24"/>
          <w:szCs w:val="24"/>
        </w:rPr>
        <w:t xml:space="preserve">四、投标文件的递交</w:t>
      </w:r>
      <w:bookmarkEnd w:id="132"/>
      <w:r/>
      <w:bookmarkEnd w:id="133"/>
      <w:r/>
      <w:bookmarkEnd w:id="134"/>
      <w:r/>
      <w:bookmarkEnd w:id="135"/>
      <w:r>
        <w:rPr>
          <w:rFonts w:hint="eastAsia"/>
          <w:color w:val="000000"/>
          <w:sz w:val="24"/>
          <w:szCs w:val="24"/>
        </w:rPr>
      </w:r>
      <w:r/>
    </w:p>
    <w:p>
      <w:pPr>
        <w:pStyle w:val="1218"/>
        <w:ind w:firstLine="480"/>
        <w:spacing w:before="0" w:after="0" w:line="440" w:lineRule="exact"/>
        <w:rPr>
          <w:rFonts w:hint="eastAsia" w:ascii="黑体"/>
          <w:b w:val="0"/>
          <w:bCs w:val="0"/>
          <w:color w:val="000000"/>
          <w:sz w:val="24"/>
          <w:szCs w:val="24"/>
        </w:rPr>
      </w:pPr>
      <w:r/>
      <w:bookmarkStart w:id="136" w:name="_Toc20823297"/>
      <w:r/>
      <w:bookmarkStart w:id="137" w:name="_Toc462564084"/>
      <w:r/>
      <w:bookmarkStart w:id="138" w:name="_Toc16938541"/>
      <w:r/>
      <w:bookmarkStart w:id="139" w:name="_Toc513029225"/>
      <w:r>
        <w:rPr>
          <w:rFonts w:hint="eastAsia"/>
          <w:b w:val="0"/>
          <w:bCs w:val="0"/>
          <w:color w:val="000000"/>
          <w:sz w:val="24"/>
          <w:szCs w:val="24"/>
        </w:rPr>
        <w:t xml:space="preserve">17、</w:t>
      </w:r>
      <w:r>
        <w:rPr>
          <w:rFonts w:hint="eastAsia" w:ascii="黑体"/>
          <w:b w:val="0"/>
          <w:bCs w:val="0"/>
          <w:color w:val="000000"/>
          <w:sz w:val="24"/>
          <w:szCs w:val="24"/>
        </w:rPr>
        <w:t xml:space="preserve">投标文件</w:t>
      </w:r>
      <w:bookmarkEnd w:id="136"/>
      <w:r/>
      <w:bookmarkEnd w:id="137"/>
      <w:r/>
      <w:bookmarkEnd w:id="138"/>
      <w:r/>
      <w:bookmarkEnd w:id="139"/>
      <w:r>
        <w:rPr>
          <w:rFonts w:hint="eastAsia" w:ascii="黑体"/>
          <w:b w:val="0"/>
          <w:bCs w:val="0"/>
          <w:color w:val="000000"/>
          <w:sz w:val="24"/>
          <w:szCs w:val="24"/>
        </w:rPr>
        <w:t xml:space="preserve">的递交</w:t>
      </w:r>
      <w:r>
        <w:rPr>
          <w:rFonts w:hint="eastAsia" w:ascii="黑体"/>
          <w:b w:val="0"/>
          <w:bCs w:val="0"/>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电子投标文件的递交</w:t>
      </w:r>
      <w:r>
        <w:rPr>
          <w:rFonts w:hint="eastAsia" w:ascii="宋体" w:hAnsi="宋体"/>
          <w:bCs/>
          <w:color w:val="000000"/>
          <w:sz w:val="24"/>
          <w:szCs w:val="24"/>
        </w:rPr>
      </w:r>
      <w:r/>
    </w:p>
    <w:p>
      <w:pPr>
        <w:pStyle w:val="1334"/>
        <w:ind w:left="525"/>
        <w:spacing w:line="440" w:lineRule="exact"/>
        <w:rPr>
          <w:rFonts w:hint="eastAsia" w:ascii="宋体" w:hAnsi="宋体"/>
          <w:bCs/>
          <w:color w:val="000000"/>
          <w:sz w:val="24"/>
          <w:szCs w:val="24"/>
        </w:rPr>
      </w:pP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w:t>
      </w:r>
      <w:r>
        <w:rPr>
          <w:rFonts w:hint="eastAsia" w:ascii="宋体" w:hAnsi="宋体"/>
          <w:bCs/>
          <w:color w:val="000000"/>
          <w:sz w:val="24"/>
          <w:szCs w:val="24"/>
        </w:rPr>
      </w:r>
      <w:r/>
    </w:p>
    <w:p>
      <w:pPr>
        <w:pStyle w:val="1334"/>
        <w:spacing w:line="440" w:lineRule="exact"/>
        <w:rPr>
          <w:rFonts w:hint="eastAsia" w:ascii="宋体" w:hAnsi="宋体"/>
          <w:bCs/>
          <w:color w:val="000000"/>
          <w:sz w:val="24"/>
          <w:szCs w:val="24"/>
        </w:rPr>
      </w:pPr>
      <w:r>
        <w:rPr>
          <w:rFonts w:hint="eastAsia" w:ascii="宋体" w:hAnsi="宋体"/>
          <w:bCs/>
          <w:color w:val="000000"/>
          <w:sz w:val="24"/>
          <w:szCs w:val="24"/>
        </w:rPr>
        <w:t xml:space="preserve">标文件。</w:t>
      </w:r>
      <w:bookmarkStart w:id="140" w:name="_Toc16938542"/>
      <w:r/>
      <w:bookmarkStart w:id="141" w:name="_Toc513029226"/>
      <w:r/>
      <w:bookmarkStart w:id="142" w:name="_Toc20823298"/>
      <w:r>
        <w:rPr>
          <w:rFonts w:hint="eastAsia" w:ascii="宋体" w:hAnsi="宋体"/>
          <w:bCs/>
          <w:color w:val="000000"/>
          <w:sz w:val="24"/>
          <w:szCs w:val="24"/>
        </w:rPr>
      </w:r>
      <w:r/>
    </w:p>
    <w:p>
      <w:pPr>
        <w:pStyle w:val="1218"/>
        <w:ind w:firstLine="360"/>
        <w:spacing w:before="0" w:after="0" w:line="440" w:lineRule="exact"/>
        <w:rPr>
          <w:rFonts w:hint="eastAsia"/>
          <w:b w:val="0"/>
          <w:color w:val="000000"/>
          <w:sz w:val="24"/>
          <w:szCs w:val="24"/>
        </w:rPr>
      </w:pPr>
      <w:r>
        <w:rPr>
          <w:rFonts w:hint="eastAsia"/>
          <w:b w:val="0"/>
          <w:color w:val="000000"/>
          <w:sz w:val="24"/>
          <w:szCs w:val="24"/>
        </w:rPr>
        <w:t xml:space="preserve">18、投标截止</w:t>
      </w:r>
      <w:bookmarkEnd w:id="140"/>
      <w:r/>
      <w:bookmarkEnd w:id="141"/>
      <w:r/>
      <w:bookmarkEnd w:id="142"/>
      <w:r>
        <w:rPr>
          <w:rFonts w:hint="eastAsia"/>
          <w:b w:val="0"/>
          <w:color w:val="000000"/>
          <w:sz w:val="24"/>
          <w:szCs w:val="24"/>
        </w:rPr>
        <w:t xml:space="preserve">时间</w:t>
      </w:r>
      <w:r>
        <w:rPr>
          <w:rFonts w:hint="eastAsia"/>
          <w:b w:val="0"/>
          <w:color w:val="000000"/>
          <w:sz w:val="24"/>
          <w:szCs w:val="24"/>
        </w:rPr>
      </w:r>
      <w:r/>
    </w:p>
    <w:p>
      <w:pPr>
        <w:pStyle w:val="1214"/>
        <w:ind w:firstLine="480"/>
        <w:spacing w:line="440" w:lineRule="exact"/>
        <w:rPr>
          <w:rFonts w:hint="eastAsia" w:ascii="宋体" w:hAnsi="宋体"/>
          <w:bCs/>
          <w:i/>
          <w:color w:val="000000"/>
          <w:sz w:val="24"/>
          <w:szCs w:val="24"/>
          <w:u w:val="single"/>
        </w:rPr>
      </w:pPr>
      <w:r>
        <w:rPr>
          <w:rFonts w:hint="eastAsia" w:ascii="宋体" w:hAnsi="宋体"/>
          <w:i/>
          <w:color w:val="000000"/>
          <w:sz w:val="24"/>
          <w:szCs w:val="24"/>
          <w:u w:val="single"/>
        </w:rPr>
        <w:t xml:space="preserve">18.1</w:t>
      </w:r>
      <w:r>
        <w:rPr>
          <w:rFonts w:hint="eastAsia" w:ascii="宋体" w:hAnsi="宋体"/>
          <w:bCs/>
          <w:i/>
          <w:color w:val="000000"/>
          <w:sz w:val="24"/>
          <w:szCs w:val="24"/>
          <w:u w:val="single"/>
        </w:rPr>
        <w:t xml:space="preserve"> 投标人上传电子投标文件的时间不得迟于招标公告中规定的投标截止时间。</w:t>
      </w:r>
      <w:r>
        <w:rPr>
          <w:rFonts w:hint="eastAsia" w:ascii="宋体" w:hAnsi="宋体"/>
          <w:bCs/>
          <w:i/>
          <w:color w:val="000000"/>
          <w:sz w:val="24"/>
          <w:szCs w:val="24"/>
          <w:u w:val="single"/>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18.2</w:t>
      </w:r>
      <w:r>
        <w:rPr>
          <w:rFonts w:hint="eastAsia" w:ascii="宋体" w:hAnsi="宋体"/>
          <w:bCs/>
          <w:color w:val="000000"/>
          <w:sz w:val="24"/>
          <w:szCs w:val="24"/>
        </w:rPr>
        <w:t xml:space="preserve"> </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rPr>
      </w:r>
      <w:r/>
    </w:p>
    <w:p>
      <w:pPr>
        <w:pStyle w:val="1218"/>
        <w:ind w:firstLine="360"/>
        <w:spacing w:before="0" w:after="0" w:line="440" w:lineRule="exact"/>
        <w:rPr>
          <w:rFonts w:hint="eastAsia"/>
          <w:b w:val="0"/>
          <w:bCs w:val="0"/>
          <w:color w:val="000000"/>
          <w:sz w:val="24"/>
          <w:szCs w:val="24"/>
        </w:rPr>
      </w:pPr>
      <w:r/>
      <w:bookmarkStart w:id="143" w:name="_Toc16938543"/>
      <w:r/>
      <w:bookmarkStart w:id="144" w:name="_Toc513029227"/>
      <w:r/>
      <w:bookmarkStart w:id="145" w:name="_Toc20823299"/>
      <w:r>
        <w:rPr>
          <w:rFonts w:hint="eastAsia"/>
          <w:b w:val="0"/>
          <w:bCs w:val="0"/>
          <w:color w:val="000000"/>
          <w:sz w:val="24"/>
          <w:szCs w:val="24"/>
        </w:rPr>
        <w:t xml:space="preserve">19、投标文件</w:t>
      </w:r>
      <w:bookmarkEnd w:id="143"/>
      <w:r/>
      <w:bookmarkEnd w:id="144"/>
      <w:r/>
      <w:bookmarkEnd w:id="145"/>
      <w:r>
        <w:rPr>
          <w:rFonts w:hint="eastAsia"/>
          <w:b w:val="0"/>
          <w:bCs w:val="0"/>
          <w:color w:val="000000"/>
          <w:sz w:val="24"/>
          <w:szCs w:val="24"/>
        </w:rPr>
        <w:t xml:space="preserve">的拒收</w:t>
      </w:r>
      <w:r>
        <w:rPr>
          <w:rFonts w:hint="eastAsia"/>
          <w:b w:val="0"/>
          <w:bCs w:val="0"/>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19.1</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拒绝接收在其规定的投标截止时间后上传的任何投标文件。</w:t>
      </w:r>
      <w:r>
        <w:rPr>
          <w:rFonts w:hint="eastAsia" w:ascii="宋体" w:hAnsi="宋体"/>
          <w:bCs/>
          <w:color w:val="000000"/>
          <w:sz w:val="24"/>
          <w:szCs w:val="24"/>
        </w:rPr>
      </w:r>
      <w:r/>
    </w:p>
    <w:p>
      <w:pPr>
        <w:pStyle w:val="1218"/>
        <w:ind w:firstLine="360"/>
        <w:spacing w:before="0" w:after="0" w:line="440" w:lineRule="exact"/>
        <w:rPr>
          <w:rFonts w:hint="eastAsia"/>
          <w:b w:val="0"/>
          <w:bCs w:val="0"/>
          <w:color w:val="000000"/>
          <w:sz w:val="24"/>
          <w:szCs w:val="24"/>
        </w:rPr>
      </w:pPr>
      <w:r/>
      <w:bookmarkStart w:id="146" w:name="_Toc20823300"/>
      <w:r/>
      <w:bookmarkStart w:id="147" w:name="_Toc513029228"/>
      <w:r/>
      <w:bookmarkStart w:id="148" w:name="_Toc16938544"/>
      <w:r>
        <w:rPr>
          <w:rFonts w:hint="eastAsia"/>
          <w:b w:val="0"/>
          <w:bCs w:val="0"/>
          <w:color w:val="000000"/>
          <w:sz w:val="24"/>
          <w:szCs w:val="24"/>
        </w:rPr>
        <w:t xml:space="preserve">20、投标文件的撤回和修改</w:t>
      </w:r>
      <w:bookmarkEnd w:id="146"/>
      <w:r/>
      <w:bookmarkEnd w:id="147"/>
      <w:r/>
      <w:bookmarkEnd w:id="148"/>
      <w:r>
        <w:rPr>
          <w:rFonts w:hint="eastAsia"/>
          <w:b w:val="0"/>
          <w:bCs w:val="0"/>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20.1 投标文件的撤回</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21.1.1 电子投标文件的撤回</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 投标文件的修改</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rPr>
          <w:rFonts w:hint="eastAsia" w:ascii="宋体" w:hAnsi="宋体"/>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 在投标截止时间之后，投标人不得对其电子投标文件作任何修改。</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 在投标截止时间至招标文件中规定的投标有效期满之间的这段时间内，投标人不得撤回其投标。</w:t>
      </w:r>
      <w:r>
        <w:rPr>
          <w:rFonts w:hint="eastAsia" w:ascii="宋体" w:hAnsi="宋体"/>
          <w:bCs/>
          <w:color w:val="000000"/>
          <w:sz w:val="24"/>
          <w:szCs w:val="24"/>
        </w:rPr>
      </w:r>
      <w:r/>
    </w:p>
    <w:p>
      <w:pPr>
        <w:pStyle w:val="1217"/>
        <w:ind w:firstLine="361"/>
        <w:spacing w:before="120" w:after="120" w:line="440" w:lineRule="exact"/>
        <w:rPr>
          <w:rFonts w:hint="eastAsia"/>
          <w:color w:val="000000"/>
          <w:sz w:val="24"/>
          <w:szCs w:val="24"/>
        </w:rPr>
      </w:pPr>
      <w:r/>
      <w:bookmarkStart w:id="149" w:name="_Toc120614218"/>
      <w:r/>
      <w:bookmarkStart w:id="150" w:name="_Toc513029229"/>
      <w:r/>
      <w:bookmarkStart w:id="151" w:name="_Toc20823301"/>
      <w:r/>
      <w:bookmarkStart w:id="152" w:name="_Toc16938545"/>
      <w:r>
        <w:rPr>
          <w:rFonts w:hint="eastAsia"/>
          <w:color w:val="000000"/>
          <w:sz w:val="24"/>
          <w:szCs w:val="24"/>
        </w:rPr>
        <w:t xml:space="preserve">五、开标与评标</w:t>
      </w:r>
      <w:bookmarkEnd w:id="149"/>
      <w:r/>
      <w:bookmarkEnd w:id="150"/>
      <w:r/>
      <w:bookmarkEnd w:id="151"/>
      <w:r/>
      <w:bookmarkEnd w:id="152"/>
      <w:r>
        <w:rPr>
          <w:rFonts w:hint="eastAsia"/>
          <w:color w:val="000000"/>
          <w:sz w:val="24"/>
          <w:szCs w:val="24"/>
        </w:rPr>
      </w:r>
      <w:r/>
    </w:p>
    <w:p>
      <w:pPr>
        <w:pStyle w:val="1218"/>
        <w:ind w:firstLine="360"/>
        <w:spacing w:before="0" w:after="0" w:line="440" w:lineRule="exact"/>
        <w:rPr>
          <w:rFonts w:hint="eastAsia"/>
          <w:b w:val="0"/>
          <w:bCs w:val="0"/>
          <w:color w:val="000000"/>
          <w:sz w:val="24"/>
          <w:szCs w:val="24"/>
        </w:rPr>
      </w:pPr>
      <w:r/>
      <w:bookmarkStart w:id="153" w:name="_Toc513029230"/>
      <w:r/>
      <w:bookmarkStart w:id="154" w:name="_Toc16938546"/>
      <w:r/>
      <w:bookmarkStart w:id="155" w:name="_Toc20823302"/>
      <w:r>
        <w:rPr>
          <w:rFonts w:hint="eastAsia"/>
          <w:b w:val="0"/>
          <w:bCs w:val="0"/>
          <w:color w:val="000000"/>
          <w:sz w:val="24"/>
          <w:szCs w:val="24"/>
        </w:rPr>
        <w:t xml:space="preserve">21、开标</w:t>
      </w:r>
      <w:bookmarkEnd w:id="153"/>
      <w:r/>
      <w:bookmarkEnd w:id="154"/>
      <w:r/>
      <w:bookmarkEnd w:id="155"/>
      <w:r>
        <w:rPr>
          <w:rFonts w:hint="eastAsia"/>
          <w:b w:val="0"/>
          <w:bCs w:val="0"/>
          <w:color w:val="000000"/>
          <w:sz w:val="24"/>
          <w:szCs w:val="24"/>
        </w:rPr>
      </w:r>
      <w:r/>
    </w:p>
    <w:p>
      <w:pPr>
        <w:pStyle w:val="1214"/>
        <w:ind w:firstLine="360"/>
        <w:spacing w:line="440" w:lineRule="exact"/>
        <w:rPr>
          <w:rFonts w:hint="eastAsia"/>
          <w:color w:val="000000"/>
          <w:sz w:val="24"/>
          <w:szCs w:val="24"/>
        </w:rPr>
      </w:pPr>
      <w:r>
        <w:rPr>
          <w:rFonts w:hint="eastAsia" w:ascii="宋体" w:hAnsi="宋体"/>
          <w:color w:val="000000"/>
          <w:sz w:val="24"/>
          <w:szCs w:val="24"/>
        </w:rPr>
        <w:t xml:space="preserve">21.1</w:t>
      </w:r>
      <w:r>
        <w:rPr>
          <w:rFonts w:hint="eastAsia" w:ascii="宋体" w:hAnsi="宋体"/>
          <w:bCs/>
          <w:color w:val="000000"/>
          <w:sz w:val="24"/>
          <w:szCs w:val="24"/>
        </w:rPr>
        <w:t xml:space="preserve"> </w:t>
      </w:r>
      <w:r>
        <w:rPr>
          <w:rFonts w:hint="eastAsia" w:ascii="宋体" w:hAnsi="宋体"/>
          <w:color w:val="000000"/>
          <w:sz w:val="24"/>
          <w:szCs w:val="24"/>
        </w:rPr>
        <w:t xml:space="preserve">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1218"/>
        <w:ind w:firstLine="360"/>
        <w:spacing w:before="0" w:after="0" w:line="440" w:lineRule="exact"/>
        <w:rPr>
          <w:rFonts w:hint="eastAsia"/>
          <w:b w:val="0"/>
          <w:bCs w:val="0"/>
          <w:color w:val="000000"/>
          <w:sz w:val="24"/>
          <w:szCs w:val="24"/>
        </w:rPr>
      </w:pPr>
      <w:r/>
      <w:bookmarkStart w:id="156" w:name="_Toc20823303"/>
      <w:r/>
      <w:bookmarkStart w:id="157" w:name="_Toc513029231"/>
      <w:r/>
      <w:bookmarkStart w:id="158" w:name="_Toc16938547"/>
      <w:r>
        <w:rPr>
          <w:rFonts w:hint="eastAsia"/>
          <w:b w:val="0"/>
          <w:bCs w:val="0"/>
          <w:color w:val="000000"/>
          <w:sz w:val="24"/>
          <w:szCs w:val="24"/>
        </w:rPr>
        <w:t xml:space="preserve">22、评标委员会</w:t>
      </w:r>
      <w:r>
        <w:rPr>
          <w:rFonts w:hint="eastAsia"/>
          <w:b w:val="0"/>
          <w:bCs w:val="0"/>
          <w:color w:val="000000"/>
          <w:sz w:val="24"/>
          <w:szCs w:val="24"/>
        </w:rPr>
      </w:r>
      <w:r/>
    </w:p>
    <w:p>
      <w:pPr>
        <w:pStyle w:val="1214"/>
        <w:spacing w:line="44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开标后，代理机构将立即组织评标委员会（以下简称评委会）进行评标。</w:t>
      </w:r>
      <w:r>
        <w:rPr>
          <w:rFonts w:hint="eastAsia" w:ascii="宋体" w:hAnsi="宋体"/>
          <w:b/>
          <w:color w:val="000000"/>
          <w:sz w:val="24"/>
          <w:szCs w:val="24"/>
        </w:rPr>
      </w:r>
      <w:r/>
    </w:p>
    <w:p>
      <w:pPr>
        <w:pStyle w:val="1214"/>
        <w:spacing w:line="44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w:t>
      </w:r>
      <w:r>
        <w:rPr>
          <w:rFonts w:hint="eastAsia" w:ascii="宋体" w:hAnsi="宋体"/>
          <w:color w:val="000000"/>
          <w:sz w:val="24"/>
        </w:rPr>
        <w:t xml:space="preserve">招标</w:t>
      </w:r>
      <w:r>
        <w:rPr>
          <w:rFonts w:hint="eastAsia" w:ascii="宋体" w:hAnsi="宋体"/>
          <w:color w:val="000000"/>
          <w:sz w:val="24"/>
          <w:szCs w:val="24"/>
        </w:rPr>
        <w:t xml:space="preserve">人代表和有关技术、经济等方面的专家组成，且人员构成符合政府有关规定。</w:t>
      </w:r>
      <w:r>
        <w:rPr>
          <w:rFonts w:hint="eastAsia" w:ascii="宋体" w:hAnsi="宋体"/>
          <w:color w:val="000000"/>
          <w:sz w:val="24"/>
          <w:szCs w:val="24"/>
        </w:rPr>
      </w:r>
      <w:r/>
    </w:p>
    <w:p>
      <w:pPr>
        <w:pStyle w:val="1214"/>
        <w:spacing w:line="44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rPr>
          <w:rFonts w:hint="eastAsia" w:ascii="宋体" w:hAnsi="宋体"/>
          <w:color w:val="000000"/>
          <w:sz w:val="24"/>
          <w:szCs w:val="24"/>
        </w:rPr>
      </w:r>
      <w:r/>
    </w:p>
    <w:p>
      <w:pPr>
        <w:pStyle w:val="1218"/>
        <w:ind w:firstLine="360"/>
        <w:spacing w:before="0" w:after="0" w:line="440" w:lineRule="exact"/>
        <w:rPr>
          <w:rFonts w:hint="eastAsia" w:ascii="黑体"/>
          <w:b w:val="0"/>
          <w:bCs w:val="0"/>
          <w:color w:val="000000"/>
          <w:sz w:val="24"/>
          <w:szCs w:val="24"/>
        </w:rPr>
      </w:pPr>
      <w:r>
        <w:rPr>
          <w:rFonts w:hint="eastAsia" w:ascii="黑体"/>
          <w:b w:val="0"/>
          <w:bCs w:val="0"/>
          <w:color w:val="000000"/>
          <w:sz w:val="24"/>
          <w:szCs w:val="24"/>
        </w:rPr>
        <w:t xml:space="preserve">23、评标过程的保密与公正</w:t>
      </w:r>
      <w:r>
        <w:rPr>
          <w:rFonts w:hint="eastAsia" w:ascii="黑体"/>
          <w:b w:val="0"/>
          <w:bCs w:val="0"/>
          <w:color w:val="000000"/>
          <w:sz w:val="24"/>
          <w:szCs w:val="24"/>
        </w:rPr>
      </w:r>
      <w:r/>
    </w:p>
    <w:p>
      <w:pPr>
        <w:pStyle w:val="1214"/>
        <w:ind w:firstLine="480"/>
        <w:spacing w:line="440" w:lineRule="exact"/>
        <w:rPr>
          <w:rFonts w:hint="eastAsia" w:ascii="宋体" w:hAnsi="宋体"/>
          <w:bCs/>
          <w:color w:val="000000"/>
          <w:sz w:val="24"/>
          <w:szCs w:val="24"/>
        </w:rPr>
      </w:pPr>
      <w:r/>
      <w:bookmarkEnd w:id="156"/>
      <w:r/>
      <w:bookmarkEnd w:id="157"/>
      <w:r/>
      <w:bookmarkEnd w:id="158"/>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w:t>
      </w:r>
      <w:r>
        <w:rPr>
          <w:rFonts w:hint="eastAsia" w:ascii="宋体" w:hAnsi="宋体"/>
          <w:color w:val="000000"/>
          <w:sz w:val="24"/>
        </w:rPr>
        <w:t xml:space="preserve">招标</w:t>
      </w:r>
      <w:r>
        <w:rPr>
          <w:rFonts w:hint="eastAsia" w:ascii="宋体" w:hAnsi="宋体"/>
          <w:bCs/>
          <w:color w:val="000000"/>
          <w:sz w:val="24"/>
          <w:szCs w:val="24"/>
        </w:rPr>
        <w:t xml:space="preserve">人、评委、</w:t>
      </w:r>
      <w:r>
        <w:rPr>
          <w:rFonts w:hint="eastAsia" w:ascii="宋体" w:hAnsi="宋体"/>
          <w:color w:val="000000"/>
          <w:sz w:val="24"/>
          <w:szCs w:val="24"/>
        </w:rPr>
        <w:t xml:space="preserve">代理机构</w:t>
      </w:r>
      <w:r>
        <w:rPr>
          <w:rFonts w:hint="eastAsia" w:ascii="宋体" w:hAnsi="宋体"/>
          <w:bCs/>
          <w:color w:val="000000"/>
          <w:sz w:val="24"/>
          <w:szCs w:val="24"/>
        </w:rPr>
        <w:t xml:space="preserve">均不得向投标人或与评标无关的其他人员透露。</w:t>
      </w:r>
      <w:r>
        <w:rPr>
          <w:rFonts w:hint="eastAsia" w:ascii="宋体" w:hAnsi="宋体"/>
          <w:bCs/>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代理机构和评标委员会不向未中标的投标人解释未中标原因，也不公布评标过程中的相关细节。</w:t>
      </w:r>
      <w:r>
        <w:rPr>
          <w:rFonts w:hint="eastAsia"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1218"/>
        <w:ind w:firstLine="360"/>
        <w:spacing w:before="0" w:after="0" w:line="440" w:lineRule="exact"/>
        <w:rPr>
          <w:rFonts w:hint="eastAsia"/>
          <w:b w:val="0"/>
          <w:bCs w:val="0"/>
          <w:color w:val="000000"/>
          <w:sz w:val="24"/>
          <w:szCs w:val="24"/>
        </w:rPr>
      </w:pPr>
      <w:r/>
      <w:bookmarkStart w:id="159" w:name="_Toc20823304"/>
      <w:r/>
      <w:bookmarkStart w:id="160" w:name="_Toc513029232"/>
      <w:r/>
      <w:bookmarkStart w:id="161" w:name="_Toc16938548"/>
      <w:r>
        <w:rPr>
          <w:rFonts w:hint="eastAsia"/>
          <w:b w:val="0"/>
          <w:bCs w:val="0"/>
          <w:color w:val="000000"/>
          <w:sz w:val="24"/>
          <w:szCs w:val="24"/>
        </w:rPr>
        <w:t xml:space="preserve">24、投标文件的澄清</w:t>
      </w:r>
      <w:bookmarkEnd w:id="159"/>
      <w:r/>
      <w:bookmarkEnd w:id="160"/>
      <w:r/>
      <w:bookmarkEnd w:id="161"/>
      <w:r>
        <w:rPr>
          <w:rFonts w:hint="eastAsia"/>
          <w:b w:val="0"/>
          <w:bCs w:val="0"/>
          <w:color w:val="000000"/>
          <w:sz w:val="24"/>
          <w:szCs w:val="24"/>
        </w:rPr>
      </w:r>
      <w:r/>
    </w:p>
    <w:p>
      <w:pPr>
        <w:pStyle w:val="1214"/>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1214"/>
        <w:spacing w:line="44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rPr>
          <w:rFonts w:hint="eastAsia" w:ascii="宋体" w:hAnsi="宋体"/>
          <w:color w:val="000000"/>
          <w:sz w:val="24"/>
          <w:szCs w:val="24"/>
        </w:rPr>
      </w:r>
      <w:r/>
    </w:p>
    <w:p>
      <w:pPr>
        <w:pStyle w:val="1218"/>
        <w:ind w:firstLine="360"/>
        <w:spacing w:before="0" w:after="0" w:line="440" w:lineRule="exact"/>
        <w:rPr>
          <w:rFonts w:hint="eastAsia"/>
          <w:b w:val="0"/>
          <w:bCs w:val="0"/>
          <w:color w:val="000000"/>
          <w:sz w:val="24"/>
          <w:szCs w:val="24"/>
        </w:rPr>
      </w:pPr>
      <w:r/>
      <w:bookmarkStart w:id="162" w:name="_Toc16938549"/>
      <w:r/>
      <w:bookmarkStart w:id="163" w:name="_Toc513029233"/>
      <w:r/>
      <w:bookmarkStart w:id="164" w:name="_Toc20823305"/>
      <w:r>
        <w:rPr>
          <w:rFonts w:hint="eastAsia"/>
          <w:b w:val="0"/>
          <w:bCs w:val="0"/>
          <w:color w:val="000000"/>
          <w:sz w:val="24"/>
          <w:szCs w:val="24"/>
        </w:rPr>
        <w:t xml:space="preserve">25、对投标文件的初审</w:t>
      </w:r>
      <w:bookmarkEnd w:id="162"/>
      <w:r/>
      <w:bookmarkEnd w:id="163"/>
      <w:r/>
      <w:bookmarkEnd w:id="164"/>
      <w:r>
        <w:rPr>
          <w:rFonts w:hint="eastAsia"/>
          <w:b w:val="0"/>
          <w:bCs w:val="0"/>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25.1.1 资格审查：依据法律法规和招标文件的规定，由</w:t>
      </w:r>
      <w:r>
        <w:rPr>
          <w:rFonts w:hint="eastAsia" w:ascii="宋体" w:hAnsi="宋体"/>
          <w:color w:val="000000"/>
          <w:sz w:val="24"/>
        </w:rPr>
        <w:t xml:space="preserve">招标</w:t>
      </w:r>
      <w:r>
        <w:rPr>
          <w:rFonts w:hint="eastAsia" w:ascii="宋体" w:hAnsi="宋体"/>
          <w:bCs/>
          <w:color w:val="000000"/>
          <w:sz w:val="24"/>
          <w:szCs w:val="24"/>
        </w:rPr>
        <w:t xml:space="preserve">人对投标文件中的资格证明文件进行审查。资格审查的结论，</w:t>
      </w:r>
      <w:r>
        <w:rPr>
          <w:rFonts w:hint="eastAsia" w:ascii="宋体" w:hAnsi="宋体"/>
          <w:color w:val="000000"/>
          <w:sz w:val="24"/>
        </w:rPr>
        <w:t xml:space="preserve">招标</w:t>
      </w:r>
      <w:r>
        <w:rPr>
          <w:rFonts w:hint="eastAsia" w:ascii="宋体" w:hAnsi="宋体"/>
          <w:bCs/>
          <w:color w:val="000000"/>
          <w:sz w:val="24"/>
          <w:szCs w:val="24"/>
        </w:rPr>
        <w:t xml:space="preserve">人以书面形式向评委会进行反馈。</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rPr>
        <w:t xml:space="preserve">招标</w:t>
      </w:r>
      <w:r>
        <w:rPr>
          <w:rFonts w:hint="eastAsia" w:ascii="宋体" w:hAnsi="宋体"/>
          <w:bCs/>
          <w:color w:val="000000"/>
          <w:sz w:val="24"/>
          <w:szCs w:val="24"/>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接受联合体的项目，两个以上的自然人、法人或者其他组织组成一个联合体，以一个投标人的身份共同参加政府活动的,联合体成员存在不良信用记录的，视同联合体存在不良应用记录。</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rPr>
          <w:rFonts w:hint="eastAsia" w:ascii="宋体" w:hAnsi="宋体"/>
          <w:bCs/>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rPr>
      </w:r>
      <w:r/>
    </w:p>
    <w:p>
      <w:pPr>
        <w:pStyle w:val="1214"/>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rPr>
          <w:rFonts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rPr>
          <w:rFonts w:hint="eastAsia" w:ascii="宋体" w:hAnsi="宋体"/>
          <w:bCs/>
          <w:color w:val="000000"/>
          <w:sz w:val="24"/>
          <w:szCs w:val="24"/>
        </w:rPr>
      </w:r>
      <w:r/>
    </w:p>
    <w:p>
      <w:pPr>
        <w:pStyle w:val="1214"/>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rPr>
          <w:rFonts w:ascii="宋体" w:hAnsi="宋体"/>
          <w:bCs/>
          <w:color w:val="000000"/>
          <w:sz w:val="24"/>
          <w:szCs w:val="24"/>
        </w:rPr>
      </w:r>
      <w:r/>
    </w:p>
    <w:p>
      <w:pPr>
        <w:pStyle w:val="1214"/>
        <w:ind w:firstLine="420"/>
        <w:spacing w:line="440" w:lineRule="exact"/>
        <w:rPr>
          <w:rFonts w:hint="eastAsia" w:ascii="宋体" w:hAnsi="宋体"/>
          <w:b/>
          <w:bCs/>
          <w:color w:val="000000"/>
          <w:sz w:val="24"/>
          <w:szCs w:val="24"/>
        </w:rPr>
      </w:pPr>
      <w:r/>
      <w:bookmarkStart w:id="165" w:name="_Toc20823306"/>
      <w:r/>
      <w:bookmarkStart w:id="166" w:name="_Toc513029234"/>
      <w:r/>
      <w:bookmarkStart w:id="167" w:name="_Toc16938550"/>
      <w:r>
        <w:rPr>
          <w:rFonts w:hint="eastAsia" w:ascii="宋体" w:hAnsi="宋体"/>
          <w:b/>
          <w:bCs/>
          <w:color w:val="000000"/>
          <w:sz w:val="24"/>
          <w:szCs w:val="24"/>
        </w:rPr>
        <w:t xml:space="preserve">25.6投标人在开、评标全过程中应保持通讯畅通，及时登录苏采云系统查阅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并安排专人与代理机构及评标委员会联系。</w:t>
      </w:r>
      <w:r>
        <w:rPr>
          <w:rFonts w:hint="eastAsia" w:ascii="宋体" w:hAnsi="宋体"/>
          <w:b/>
          <w:bCs/>
          <w:color w:val="000000"/>
          <w:sz w:val="24"/>
          <w:szCs w:val="24"/>
        </w:rPr>
      </w:r>
      <w:r/>
    </w:p>
    <w:p>
      <w:pPr>
        <w:pStyle w:val="1218"/>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26、</w:t>
      </w:r>
      <w:bookmarkEnd w:id="165"/>
      <w:r/>
      <w:bookmarkEnd w:id="166"/>
      <w:r/>
      <w:bookmarkEnd w:id="167"/>
      <w:r>
        <w:rPr>
          <w:rFonts w:hint="eastAsia"/>
          <w:b w:val="0"/>
          <w:bCs w:val="0"/>
          <w:color w:val="000000"/>
          <w:sz w:val="24"/>
          <w:szCs w:val="24"/>
        </w:rPr>
        <w:t xml:space="preserve">无效投标条款和废标条款</w:t>
      </w:r>
      <w:r>
        <w:rPr>
          <w:rFonts w:hint="eastAsia"/>
          <w:b w:val="0"/>
          <w:bCs w:val="0"/>
          <w:color w:val="000000"/>
          <w:sz w:val="24"/>
          <w:szCs w:val="24"/>
        </w:rPr>
      </w:r>
      <w:r/>
    </w:p>
    <w:p>
      <w:pPr>
        <w:pStyle w:val="1214"/>
        <w:ind w:left="479"/>
        <w:spacing w:line="440" w:lineRule="exact"/>
        <w:rPr>
          <w:rFonts w:hint="eastAsia" w:ascii="宋体" w:hAnsi="宋体"/>
          <w:bCs/>
          <w:color w:val="000000"/>
          <w:sz w:val="24"/>
          <w:szCs w:val="24"/>
        </w:rPr>
      </w:pPr>
      <w:r/>
      <w:bookmarkStart w:id="168" w:name="_Toc16938551"/>
      <w:r/>
      <w:bookmarkStart w:id="169" w:name="_Toc20823307"/>
      <w:r/>
      <w:bookmarkStart w:id="170" w:name="_Toc513029235"/>
      <w:r>
        <w:rPr>
          <w:rFonts w:hint="eastAsia" w:ascii="宋体" w:hAnsi="宋体"/>
          <w:bCs/>
          <w:color w:val="000000"/>
          <w:sz w:val="24"/>
          <w:szCs w:val="24"/>
        </w:rPr>
        <w:t xml:space="preserve">26.1无效投标条款</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26.1.2 投标人未按照招标文件要求上传电子投标文件的。</w:t>
      </w:r>
      <w:r>
        <w:rPr>
          <w:rFonts w:hint="eastAsia"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26.1.3同一投标人提交两个（含两个）以上不同的投标报价的。</w:t>
      </w:r>
      <w:r>
        <w:rPr>
          <w:rFonts w:hint="eastAsia"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26.1.4投标人不具备招标文件中规定资格要求的。</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26.1.5投标人的报价超过了最高限价的。</w:t>
      </w:r>
      <w:r>
        <w:rPr>
          <w:rFonts w:hint="eastAsia" w:ascii="宋体" w:hAnsi="宋体"/>
          <w:bCs/>
          <w:color w:val="000000"/>
          <w:sz w:val="24"/>
          <w:szCs w:val="24"/>
        </w:rPr>
      </w:r>
      <w:r/>
    </w:p>
    <w:p>
      <w:pPr>
        <w:pStyle w:val="1214"/>
        <w:ind w:firstLine="480"/>
        <w:spacing w:line="440" w:lineRule="exact"/>
        <w:rPr>
          <w:rFonts w:hint="eastAsia" w:ascii="宋体" w:hAnsi="宋体"/>
          <w:bCs/>
          <w:i/>
          <w:color w:val="000000"/>
          <w:sz w:val="24"/>
          <w:szCs w:val="24"/>
          <w:u w:val="single"/>
        </w:rPr>
      </w:pPr>
      <w:r>
        <w:rPr>
          <w:rFonts w:hint="eastAsia" w:ascii="宋体" w:hAnsi="宋体"/>
          <w:bCs/>
          <w:color w:val="000000"/>
          <w:sz w:val="24"/>
          <w:szCs w:val="24"/>
        </w:rPr>
        <w:t xml:space="preserve">26.1.6未通过符合性审查的。</w:t>
      </w:r>
      <w:r>
        <w:rPr>
          <w:rFonts w:hint="eastAsia" w:ascii="宋体" w:hAnsi="宋体"/>
          <w:bCs/>
          <w:i/>
          <w:color w:val="000000"/>
          <w:sz w:val="24"/>
          <w:szCs w:val="24"/>
          <w:u w:val="single"/>
        </w:rPr>
      </w:r>
      <w:r/>
    </w:p>
    <w:p>
      <w:pPr>
        <w:pStyle w:val="1214"/>
        <w:ind w:firstLine="360"/>
        <w:spacing w:line="440" w:lineRule="exact"/>
        <w:rPr>
          <w:rFonts w:hint="eastAsia" w:ascii="宋体" w:hAnsi="宋体"/>
          <w:bCs/>
          <w:i/>
          <w:color w:val="000000"/>
          <w:sz w:val="24"/>
          <w:szCs w:val="24"/>
          <w:u w:val="single"/>
        </w:rPr>
      </w:pPr>
      <w:r>
        <w:rPr>
          <w:rFonts w:hint="eastAsia" w:ascii="宋体" w:hAnsi="宋体"/>
          <w:bCs/>
          <w:color w:val="000000"/>
          <w:sz w:val="24"/>
          <w:szCs w:val="24"/>
        </w:rPr>
        <w:t xml:space="preserve"> 26.1.7不符合招标文件中规定的实质性要求和条件的（</w:t>
      </w:r>
      <w:r>
        <w:rPr>
          <w:rFonts w:hint="eastAsia" w:ascii="宋体" w:hAnsi="宋体"/>
          <w:bCs/>
          <w:i/>
          <w:color w:val="000000"/>
          <w:sz w:val="24"/>
          <w:szCs w:val="24"/>
          <w:u w:val="single"/>
        </w:rPr>
        <w:t xml:space="preserve">本招标文件中斜体且有下划线部分为实质性要求和条件）。</w:t>
      </w:r>
      <w:r>
        <w:rPr>
          <w:rFonts w:hint="eastAsia" w:ascii="宋体" w:hAnsi="宋体"/>
          <w:bCs/>
          <w:i/>
          <w:color w:val="000000"/>
          <w:sz w:val="24"/>
          <w:szCs w:val="24"/>
          <w:u w:val="single"/>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26.1.8 单位负责人为同一人或者存在直接控股、管理关系的不同供应商，参加同一合同项下的政府采购活动的。</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26.1.9投标人被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26.1.10投标文件含有人不能接受的附加条件的。</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26.1.11评标委员会认为投标人的报价明显低于其他通过符合性审查投标人的报价，有可能影响产品质量或者不能诚信履约的，将通过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26.1.12投标文件未按照招标文件要求加盖CA</w:t>
      </w:r>
      <w:r>
        <w:rPr>
          <w:rFonts w:ascii="宋体" w:hAnsi="宋体"/>
          <w:bCs/>
          <w:color w:val="000000"/>
          <w:sz w:val="24"/>
          <w:szCs w:val="24"/>
        </w:rPr>
        <w:t xml:space="preserve">电子公章的</w:t>
      </w:r>
      <w:r>
        <w:rPr>
          <w:rFonts w:hint="eastAsia" w:ascii="宋体" w:hAnsi="宋体"/>
          <w:bCs/>
          <w:color w:val="000000"/>
          <w:sz w:val="24"/>
          <w:szCs w:val="24"/>
        </w:rPr>
        <w:t xml:space="preserve">。</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26.1.13其他法律、法规及本招标文件规定的属无效投标的情形。</w:t>
      </w:r>
      <w:r>
        <w:rPr>
          <w:rFonts w:hint="eastAsia"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26.2废标条款</w:t>
      </w:r>
      <w:r>
        <w:rPr>
          <w:rFonts w:hint="eastAsia"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26.2.1符合专业条件的投标人或者对招标文件作实质响应的投标人不足三</w:t>
      </w:r>
      <w:r>
        <w:rPr>
          <w:rFonts w:hint="eastAsia" w:ascii="宋体" w:hAnsi="宋体"/>
          <w:bCs/>
          <w:color w:val="000000"/>
          <w:sz w:val="24"/>
          <w:szCs w:val="24"/>
        </w:rPr>
      </w:r>
      <w:r/>
    </w:p>
    <w:p>
      <w:pPr>
        <w:pStyle w:val="1214"/>
        <w:spacing w:line="440" w:lineRule="exact"/>
        <w:rPr>
          <w:rFonts w:hint="eastAsia" w:ascii="宋体" w:hAnsi="宋体"/>
          <w:bCs/>
          <w:color w:val="000000"/>
          <w:sz w:val="24"/>
          <w:szCs w:val="24"/>
        </w:rPr>
      </w:pPr>
      <w:r>
        <w:rPr>
          <w:rFonts w:hint="eastAsia" w:ascii="宋体" w:hAnsi="宋体"/>
          <w:bCs/>
          <w:color w:val="000000"/>
          <w:sz w:val="24"/>
          <w:szCs w:val="24"/>
        </w:rPr>
        <w:t xml:space="preserve">家的。</w:t>
      </w:r>
      <w:r>
        <w:rPr>
          <w:rFonts w:hint="eastAsia"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26.2.2出现影响公正的违法、违规行为的。</w:t>
      </w:r>
      <w:r>
        <w:rPr>
          <w:rFonts w:hint="eastAsia"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26.2.3因重大变故，任务取消的。</w:t>
      </w:r>
      <w:r>
        <w:rPr>
          <w:rFonts w:hint="eastAsia"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w:t>
      </w:r>
      <w:r>
        <w:rPr>
          <w:rFonts w:hint="eastAsia" w:ascii="宋体" w:hAnsi="宋体"/>
          <w:bCs/>
          <w:color w:val="000000"/>
          <w:sz w:val="24"/>
          <w:szCs w:val="24"/>
        </w:rPr>
      </w:r>
      <w:r/>
    </w:p>
    <w:p>
      <w:pPr>
        <w:pStyle w:val="1214"/>
        <w:spacing w:line="440" w:lineRule="exact"/>
        <w:rPr>
          <w:rFonts w:ascii="宋体" w:hAnsi="宋体"/>
          <w:bCs/>
          <w:color w:val="000000"/>
          <w:sz w:val="24"/>
          <w:szCs w:val="24"/>
        </w:rPr>
      </w:pPr>
      <w:r>
        <w:rPr>
          <w:rFonts w:hint="eastAsia" w:ascii="宋体" w:hAnsi="宋体"/>
          <w:bCs/>
          <w:color w:val="000000"/>
          <w:sz w:val="24"/>
          <w:szCs w:val="24"/>
        </w:rPr>
        <w:t xml:space="preserve">行。</w:t>
      </w:r>
      <w:r>
        <w:rPr>
          <w:rFonts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rPr>
          <w:rFonts w:hint="eastAsia" w:ascii="宋体" w:hAnsi="宋体"/>
          <w:bCs/>
          <w:color w:val="000000"/>
          <w:sz w:val="24"/>
          <w:szCs w:val="24"/>
        </w:rPr>
      </w:r>
      <w:r/>
    </w:p>
    <w:p>
      <w:pPr>
        <w:pStyle w:val="1214"/>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26.3 投标截止时间结束后参加投标的投标人不足三家的处理：</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26.3.1如出现投标截止时间结束后参加投标的投标人或者在评标期间对招标文件做出实质响应的投标人不足三家情况，按政府相关规定执行。</w:t>
      </w:r>
      <w:r>
        <w:rPr>
          <w:rFonts w:hint="eastAsia" w:ascii="宋体" w:hAnsi="宋体"/>
          <w:bCs/>
          <w:color w:val="000000"/>
          <w:sz w:val="24"/>
          <w:szCs w:val="24"/>
        </w:rPr>
      </w:r>
      <w:r/>
    </w:p>
    <w:p>
      <w:pPr>
        <w:pStyle w:val="1217"/>
        <w:ind w:firstLine="360"/>
        <w:keepLines w:val="0"/>
        <w:keepNext w:val="0"/>
        <w:spacing w:before="120" w:after="120" w:line="440" w:lineRule="exact"/>
        <w:rPr>
          <w:rFonts w:hint="eastAsia" w:ascii="宋体" w:hAnsi="宋体"/>
          <w:b w:val="0"/>
          <w:color w:val="000000"/>
          <w:sz w:val="24"/>
          <w:szCs w:val="24"/>
        </w:rPr>
      </w:pPr>
      <w:r>
        <w:rPr>
          <w:rFonts w:hint="eastAsia" w:ascii="宋体" w:hAnsi="宋体"/>
          <w:b w:val="0"/>
          <w:color w:val="000000"/>
          <w:sz w:val="24"/>
          <w:szCs w:val="24"/>
        </w:rPr>
        <w:t xml:space="preserve">26.4</w:t>
      </w:r>
      <w:bookmarkStart w:id="171" w:name="_Toc120614219"/>
      <w:r>
        <w:rPr>
          <w:rFonts w:hint="eastAsia" w:ascii="宋体" w:hAnsi="宋体"/>
          <w:b w:val="0"/>
          <w:color w:val="000000"/>
          <w:sz w:val="24"/>
          <w:szCs w:val="24"/>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b w:val="0"/>
          <w:color w:val="000000"/>
          <w:sz w:val="24"/>
          <w:szCs w:val="24"/>
        </w:rPr>
      </w:r>
      <w:r/>
    </w:p>
    <w:p>
      <w:pPr>
        <w:pStyle w:val="1217"/>
        <w:ind w:firstLine="361"/>
        <w:keepLines w:val="0"/>
        <w:keepNext w:val="0"/>
        <w:spacing w:before="120" w:after="120" w:line="440" w:lineRule="exact"/>
        <w:rPr>
          <w:rFonts w:hint="eastAsia" w:ascii="宋体" w:hAnsi="宋体"/>
          <w:bCs w:val="0"/>
          <w:color w:val="000000"/>
          <w:sz w:val="24"/>
          <w:szCs w:val="24"/>
          <w:highlight w:val="none"/>
        </w:rPr>
      </w:pPr>
      <w:r>
        <w:rPr>
          <w:rFonts w:hint="eastAsia" w:ascii="宋体" w:hAnsi="宋体"/>
          <w:bCs w:val="0"/>
          <w:color w:val="000000"/>
          <w:sz w:val="24"/>
          <w:szCs w:val="24"/>
          <w:highlight w:val="none"/>
        </w:rPr>
        <w:t xml:space="preserve">评标委员会启动异常低价投标(响应)审查的情形和具体要求:</w:t>
      </w:r>
      <w:r>
        <w:rPr>
          <w:rFonts w:hint="eastAsia" w:ascii="宋体" w:hAnsi="宋体"/>
          <w:bCs w:val="0"/>
          <w:color w:val="000000"/>
          <w:sz w:val="24"/>
          <w:szCs w:val="24"/>
          <w:highlight w:val="none"/>
        </w:rPr>
      </w:r>
      <w:r/>
    </w:p>
    <w:p>
      <w:pPr>
        <w:pStyle w:val="1217"/>
        <w:ind w:firstLine="361"/>
        <w:keepLines w:val="0"/>
        <w:keepNext w:val="0"/>
        <w:spacing w:before="120" w:after="120" w:line="440" w:lineRule="exact"/>
        <w:rPr>
          <w:rFonts w:hint="eastAsia" w:ascii="宋体" w:hAnsi="宋体"/>
          <w:bCs w:val="0"/>
          <w:color w:val="000000"/>
          <w:sz w:val="24"/>
          <w:szCs w:val="24"/>
          <w:highlight w:val="none"/>
        </w:rPr>
      </w:pPr>
      <w:r>
        <w:rPr>
          <w:rFonts w:hint="eastAsia" w:ascii="宋体" w:hAnsi="宋体"/>
          <w:bCs w:val="0"/>
          <w:color w:val="000000"/>
          <w:sz w:val="24"/>
          <w:szCs w:val="24"/>
          <w:highlight w:val="none"/>
        </w:rPr>
        <w:t xml:space="preserve">政府采购评审中出现下列情形之一的，评审委员会应当启动异常低价投标（响应）审查程序： </w:t>
      </w:r>
      <w:r>
        <w:rPr>
          <w:rFonts w:hint="eastAsia" w:ascii="宋体" w:hAnsi="宋体"/>
          <w:bCs w:val="0"/>
          <w:color w:val="000000"/>
          <w:sz w:val="24"/>
          <w:szCs w:val="24"/>
          <w:highlight w:val="none"/>
        </w:rPr>
      </w:r>
      <w:r/>
    </w:p>
    <w:p>
      <w:pPr>
        <w:pStyle w:val="1217"/>
        <w:ind w:firstLine="361"/>
        <w:keepLines w:val="0"/>
        <w:keepNext w:val="0"/>
        <w:spacing w:before="120" w:after="120" w:line="440" w:lineRule="exact"/>
        <w:rPr>
          <w:rFonts w:hint="eastAsia" w:ascii="宋体" w:hAnsi="宋体"/>
          <w:bCs w:val="0"/>
          <w:color w:val="000000"/>
          <w:sz w:val="24"/>
          <w:szCs w:val="24"/>
          <w:highlight w:val="none"/>
        </w:rPr>
      </w:pPr>
      <w:r>
        <w:rPr>
          <w:rFonts w:hint="eastAsia" w:ascii="宋体" w:hAnsi="宋体"/>
          <w:bCs w:val="0"/>
          <w:color w:val="000000"/>
          <w:sz w:val="24"/>
          <w:szCs w:val="24"/>
          <w:highlight w:val="none"/>
        </w:rPr>
        <w:t xml:space="preserve">（1）投标报价低于全部通过符合性审查供应商投标报价平均值65%的，即投标报价&lt;全部通过符合性审查供应商投标报价平均值×65%；</w:t>
      </w:r>
      <w:r>
        <w:rPr>
          <w:rFonts w:hint="eastAsia" w:ascii="宋体" w:hAnsi="宋体"/>
          <w:bCs w:val="0"/>
          <w:color w:val="000000"/>
          <w:sz w:val="24"/>
          <w:szCs w:val="24"/>
          <w:highlight w:val="none"/>
        </w:rPr>
      </w:r>
      <w:r/>
    </w:p>
    <w:p>
      <w:pPr>
        <w:pStyle w:val="1217"/>
        <w:ind w:firstLine="361"/>
        <w:keepLines w:val="0"/>
        <w:keepNext w:val="0"/>
        <w:spacing w:before="120" w:after="120" w:line="440" w:lineRule="exact"/>
        <w:rPr>
          <w:rFonts w:hint="eastAsia" w:ascii="宋体" w:hAnsi="宋体"/>
          <w:bCs w:val="0"/>
          <w:color w:val="000000"/>
          <w:sz w:val="24"/>
          <w:szCs w:val="24"/>
          <w:highlight w:val="none"/>
        </w:rPr>
      </w:pPr>
      <w:r>
        <w:rPr>
          <w:rFonts w:hint="eastAsia" w:ascii="宋体" w:hAnsi="宋体"/>
          <w:bCs w:val="0"/>
          <w:color w:val="000000"/>
          <w:sz w:val="24"/>
          <w:szCs w:val="24"/>
          <w:highlight w:val="none"/>
        </w:rPr>
        <w:t xml:space="preserve">（2）投标报价低于通过符合性审查的次低报价供应商投标报价65%的，即投标报价&lt;通过符合性审查的次低报价供应商投标报价×65%；</w:t>
      </w:r>
      <w:r>
        <w:rPr>
          <w:rFonts w:hint="eastAsia" w:ascii="宋体" w:hAnsi="宋体"/>
          <w:bCs w:val="0"/>
          <w:color w:val="000000"/>
          <w:sz w:val="24"/>
          <w:szCs w:val="24"/>
          <w:highlight w:val="none"/>
        </w:rPr>
      </w:r>
      <w:r/>
    </w:p>
    <w:p>
      <w:pPr>
        <w:pStyle w:val="1217"/>
        <w:ind w:firstLine="361"/>
        <w:keepLines w:val="0"/>
        <w:keepNext w:val="0"/>
        <w:spacing w:before="120" w:after="120" w:line="440" w:lineRule="exact"/>
        <w:rPr>
          <w:rFonts w:hint="eastAsia" w:ascii="宋体" w:hAnsi="宋体"/>
          <w:bCs w:val="0"/>
          <w:color w:val="000000"/>
          <w:sz w:val="24"/>
          <w:szCs w:val="24"/>
          <w:highlight w:val="none"/>
        </w:rPr>
      </w:pPr>
      <w:r>
        <w:rPr>
          <w:rFonts w:hint="eastAsia" w:ascii="宋体" w:hAnsi="宋体"/>
          <w:bCs w:val="0"/>
          <w:color w:val="000000"/>
          <w:sz w:val="24"/>
          <w:szCs w:val="24"/>
          <w:highlight w:val="none"/>
        </w:rPr>
        <w:t xml:space="preserve">（3）投标报价低于采购项目最高限价65%的，即投标报价&lt;采购项目最高限价×65%；</w:t>
      </w:r>
      <w:r>
        <w:rPr>
          <w:rFonts w:hint="eastAsia" w:ascii="宋体" w:hAnsi="宋体"/>
          <w:bCs w:val="0"/>
          <w:color w:val="000000"/>
          <w:sz w:val="24"/>
          <w:szCs w:val="24"/>
          <w:highlight w:val="none"/>
        </w:rPr>
      </w:r>
      <w:r/>
    </w:p>
    <w:p>
      <w:pPr>
        <w:pStyle w:val="1217"/>
        <w:ind w:firstLine="361"/>
        <w:keepLines w:val="0"/>
        <w:keepNext w:val="0"/>
        <w:spacing w:before="120" w:after="120" w:line="440" w:lineRule="exact"/>
        <w:rPr>
          <w:rFonts w:hint="eastAsia" w:ascii="宋体" w:hAnsi="宋体"/>
          <w:bCs w:val="0"/>
          <w:color w:val="000000"/>
          <w:sz w:val="24"/>
          <w:szCs w:val="24"/>
          <w:highlight w:val="none"/>
        </w:rPr>
      </w:pPr>
      <w:r>
        <w:rPr>
          <w:rFonts w:hint="eastAsia" w:ascii="宋体" w:hAnsi="宋体"/>
          <w:bCs w:val="0"/>
          <w:color w:val="000000"/>
          <w:sz w:val="24"/>
          <w:szCs w:val="24"/>
          <w:highlight w:val="none"/>
        </w:rPr>
        <w:t xml:space="preserve">（4）评委会基于专业判断，认为供应商报价过低，有可能影响产品质量或者不能诚信履约的其他情形。</w:t>
      </w:r>
      <w:r>
        <w:rPr>
          <w:rFonts w:hint="eastAsia" w:ascii="宋体" w:hAnsi="宋体"/>
          <w:bCs w:val="0"/>
          <w:color w:val="000000"/>
          <w:sz w:val="24"/>
          <w:szCs w:val="24"/>
          <w:highlight w:val="none"/>
        </w:rPr>
      </w:r>
      <w:r/>
    </w:p>
    <w:p>
      <w:pPr>
        <w:pStyle w:val="1217"/>
        <w:ind w:firstLine="361"/>
        <w:keepLines w:val="0"/>
        <w:keepNext w:val="0"/>
        <w:spacing w:before="120" w:after="120" w:line="440" w:lineRule="exact"/>
        <w:rPr>
          <w:rFonts w:hint="eastAsia" w:ascii="宋体" w:hAnsi="宋体"/>
          <w:bCs w:val="0"/>
          <w:color w:val="000000"/>
          <w:sz w:val="24"/>
          <w:szCs w:val="24"/>
          <w:highlight w:val="none"/>
        </w:rPr>
      </w:pPr>
      <w:r>
        <w:rPr>
          <w:rFonts w:hint="eastAsia" w:ascii="宋体" w:hAnsi="宋体"/>
          <w:bCs w:val="0"/>
          <w:color w:val="000000"/>
          <w:sz w:val="24"/>
          <w:szCs w:val="24"/>
          <w:highlight w:val="none"/>
        </w:rPr>
        <w:t xml:space="preserve">(二)启动异常低价投标(响应)审查后，评标委员会应</w:t>
      </w:r>
      <w:r>
        <w:rPr>
          <w:rFonts w:hint="eastAsia" w:ascii="宋体" w:hAnsi="宋体"/>
          <w:bCs w:val="0"/>
          <w:color w:val="000000"/>
          <w:sz w:val="24"/>
          <w:szCs w:val="24"/>
          <w:highlight w:val="none"/>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bCs w:val="0"/>
          <w:color w:val="000000"/>
          <w:sz w:val="24"/>
          <w:szCs w:val="24"/>
          <w:highlight w:val="none"/>
        </w:rPr>
      </w:r>
      <w:r/>
    </w:p>
    <w:p>
      <w:pPr>
        <w:pStyle w:val="1217"/>
        <w:ind w:firstLine="361"/>
        <w:spacing w:before="120" w:after="120" w:line="440" w:lineRule="exact"/>
        <w:rPr>
          <w:rFonts w:hint="eastAsia"/>
          <w:color w:val="000000"/>
          <w:sz w:val="24"/>
          <w:szCs w:val="24"/>
        </w:rPr>
      </w:pPr>
      <w:r>
        <w:rPr>
          <w:rFonts w:hint="eastAsia"/>
          <w:color w:val="000000"/>
          <w:sz w:val="24"/>
          <w:szCs w:val="24"/>
        </w:rPr>
        <w:t xml:space="preserve">六、</w:t>
      </w:r>
      <w:bookmarkEnd w:id="168"/>
      <w:r/>
      <w:bookmarkEnd w:id="169"/>
      <w:r/>
      <w:bookmarkEnd w:id="170"/>
      <w:r>
        <w:rPr>
          <w:rFonts w:hint="eastAsia"/>
          <w:color w:val="000000"/>
          <w:sz w:val="24"/>
          <w:szCs w:val="24"/>
        </w:rPr>
        <w:t xml:space="preserve">定标</w:t>
      </w:r>
      <w:bookmarkEnd w:id="171"/>
      <w:r>
        <w:rPr>
          <w:rFonts w:hint="eastAsia"/>
          <w:color w:val="000000"/>
          <w:sz w:val="24"/>
          <w:szCs w:val="24"/>
        </w:rPr>
      </w:r>
      <w:r/>
    </w:p>
    <w:p>
      <w:pPr>
        <w:pStyle w:val="1218"/>
        <w:ind w:firstLine="480"/>
        <w:spacing w:before="0" w:after="0" w:line="440" w:lineRule="exact"/>
        <w:rPr>
          <w:rFonts w:hint="eastAsia" w:ascii="黑体" w:hAnsi="宋体"/>
          <w:b w:val="0"/>
          <w:color w:val="000000"/>
          <w:sz w:val="24"/>
          <w:szCs w:val="24"/>
        </w:rPr>
      </w:pPr>
      <w:r/>
      <w:bookmarkStart w:id="172" w:name="_Toc513029238"/>
      <w:r/>
      <w:bookmarkStart w:id="173" w:name="_Toc20823310"/>
      <w:r/>
      <w:bookmarkStart w:id="174" w:name="_Toc16938554"/>
      <w:r>
        <w:rPr>
          <w:rFonts w:hint="eastAsia" w:ascii="黑体" w:hAnsi="宋体"/>
          <w:b w:val="0"/>
          <w:color w:val="000000"/>
          <w:sz w:val="24"/>
          <w:szCs w:val="24"/>
        </w:rPr>
        <w:t xml:space="preserve">27、</w:t>
      </w:r>
      <w:bookmarkEnd w:id="172"/>
      <w:r>
        <w:rPr>
          <w:rFonts w:hint="eastAsia" w:ascii="黑体" w:hAnsi="宋体"/>
          <w:b w:val="0"/>
          <w:color w:val="000000"/>
          <w:sz w:val="24"/>
          <w:szCs w:val="24"/>
        </w:rPr>
        <w:t xml:space="preserve">确定</w:t>
      </w:r>
      <w:bookmarkEnd w:id="173"/>
      <w:r/>
      <w:bookmarkEnd w:id="174"/>
      <w:r>
        <w:rPr>
          <w:rFonts w:hint="eastAsia" w:ascii="黑体" w:hAnsi="宋体"/>
          <w:b w:val="0"/>
          <w:color w:val="000000"/>
          <w:sz w:val="24"/>
          <w:szCs w:val="24"/>
        </w:rPr>
        <w:t xml:space="preserve">中标单位</w:t>
      </w:r>
      <w:r>
        <w:rPr>
          <w:rFonts w:hint="eastAsia" w:ascii="黑体" w:hAnsi="宋体"/>
          <w:b w:val="0"/>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27.1中标候选人的选取原则和数量见招标文件第五章规定。 </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27.2 </w:t>
      </w:r>
      <w:r>
        <w:rPr>
          <w:rFonts w:hint="eastAsia" w:ascii="宋体" w:hAnsi="宋体"/>
          <w:color w:val="000000"/>
          <w:sz w:val="24"/>
        </w:rPr>
        <w:t xml:space="preserve">招标</w:t>
      </w:r>
      <w:r>
        <w:rPr>
          <w:rFonts w:hint="eastAsia" w:ascii="宋体" w:hAnsi="宋体"/>
          <w:bCs/>
          <w:color w:val="000000"/>
          <w:sz w:val="24"/>
          <w:szCs w:val="24"/>
        </w:rPr>
        <w:t xml:space="preserve">人应根据评委会推荐的中标候选人确定中标人。</w:t>
      </w:r>
      <w:r>
        <w:rPr>
          <w:rFonts w:hint="eastAsia" w:ascii="宋体" w:hAnsi="宋体"/>
          <w:bCs/>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代理机构将在“江苏政府网”、“扬中政府网”发布中标公告，公告期限为1个工作日。</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27.4.2向</w:t>
      </w:r>
      <w:r>
        <w:rPr>
          <w:rFonts w:hint="eastAsia" w:ascii="宋体" w:hAnsi="宋体"/>
          <w:color w:val="000000"/>
          <w:sz w:val="24"/>
        </w:rPr>
        <w:t xml:space="preserve">招标</w:t>
      </w:r>
      <w:r>
        <w:rPr>
          <w:rFonts w:hint="eastAsia" w:ascii="宋体" w:hAnsi="宋体"/>
          <w:color w:val="000000"/>
          <w:sz w:val="24"/>
          <w:szCs w:val="24"/>
        </w:rPr>
        <w:t xml:space="preserve">人、代理机构行贿或者提供其他不正当利益的。</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27.4.4与</w:t>
      </w:r>
      <w:r>
        <w:rPr>
          <w:rFonts w:hint="eastAsia" w:ascii="宋体" w:hAnsi="宋体"/>
          <w:color w:val="000000"/>
          <w:sz w:val="24"/>
        </w:rPr>
        <w:t xml:space="preserve">招标</w:t>
      </w:r>
      <w:r>
        <w:rPr>
          <w:rFonts w:hint="eastAsia" w:ascii="宋体" w:hAnsi="宋体"/>
          <w:color w:val="000000"/>
          <w:sz w:val="24"/>
          <w:szCs w:val="24"/>
        </w:rPr>
        <w:t xml:space="preserve">人或者其他投标人恶意串通的。</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27.4.5采取不正当手段诋毁、排挤其他投标人的。</w:t>
      </w:r>
      <w:r>
        <w:rPr>
          <w:rFonts w:hint="eastAsia" w:ascii="宋体" w:hAnsi="宋体"/>
          <w:color w:val="000000"/>
          <w:sz w:val="24"/>
          <w:szCs w:val="24"/>
        </w:rPr>
      </w:r>
      <w:r/>
    </w:p>
    <w:p>
      <w:pPr>
        <w:pStyle w:val="1214"/>
        <w:ind w:firstLine="480"/>
        <w:spacing w:line="440" w:lineRule="exact"/>
        <w:rPr>
          <w:rFonts w:ascii="宋体" w:hAnsi="宋体"/>
          <w:color w:val="000000"/>
          <w:sz w:val="24"/>
          <w:szCs w:val="24"/>
        </w:rPr>
      </w:pPr>
      <w:r/>
      <w:bookmarkStart w:id="175"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1218"/>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28、质疑处理</w:t>
      </w:r>
      <w:bookmarkEnd w:id="175"/>
      <w:r>
        <w:rPr>
          <w:rFonts w:hint="eastAsia" w:ascii="黑体" w:hAnsi="宋体"/>
          <w:b w:val="0"/>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28.1 提出质疑的投标人应当是参与所质疑项目活动的投标人。潜在投标人依法获取其可质疑的文件的，可以对文件提出质疑。</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28.2投标人认为文件、过程和结果使自己的权益受到损害的，可以在知道或应知其权益受到损害之日起七个工作日内，以书面形式根据下述28.4条款的规定向代理机构或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rPr>
        <w:t xml:space="preserve">招标</w:t>
      </w:r>
      <w:r>
        <w:rPr>
          <w:rFonts w:hint="eastAsia" w:ascii="宋体" w:hAnsi="宋体"/>
          <w:color w:val="000000"/>
          <w:sz w:val="24"/>
          <w:szCs w:val="24"/>
        </w:rPr>
        <w:t xml:space="preserve">人提出质疑。上述应知其权益受到损害之日，是指：</w:t>
      </w:r>
      <w:r>
        <w:rPr>
          <w:rFonts w:hint="eastAsia" w:ascii="宋体" w:hAnsi="宋体"/>
          <w:color w:val="000000"/>
          <w:sz w:val="24"/>
          <w:szCs w:val="24"/>
        </w:rPr>
      </w:r>
      <w:r/>
    </w:p>
    <w:p>
      <w:pPr>
        <w:pStyle w:val="1214"/>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对可以质疑的文件提出质疑的，为收到文件之日或者文件公告期限届满之日；</w:t>
      </w:r>
      <w:r>
        <w:rPr>
          <w:rFonts w:hint="eastAsia" w:hAnsi="宋体" w:cs="宋体"/>
          <w:color w:val="000000"/>
          <w:sz w:val="24"/>
          <w:szCs w:val="24"/>
        </w:rPr>
      </w:r>
      <w:r/>
    </w:p>
    <w:p>
      <w:pPr>
        <w:pStyle w:val="1214"/>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对过程提出质疑的，为各程序环节结束之日；</w:t>
      </w:r>
      <w:r>
        <w:rPr>
          <w:rFonts w:hint="eastAsia" w:hAnsi="宋体" w:cs="宋体"/>
          <w:color w:val="000000"/>
          <w:sz w:val="24"/>
          <w:szCs w:val="24"/>
        </w:rPr>
      </w:r>
      <w:r/>
    </w:p>
    <w:p>
      <w:pPr>
        <w:pStyle w:val="1214"/>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1214"/>
        <w:ind w:firstLine="480"/>
        <w:spacing w:line="440" w:lineRule="exact"/>
        <w:rPr>
          <w:rFonts w:hint="eastAsia" w:hAnsi="宋体" w:cs="宋体"/>
          <w:color w:val="000000"/>
          <w:sz w:val="24"/>
          <w:szCs w:val="24"/>
        </w:rPr>
      </w:pPr>
      <w:r>
        <w:rPr>
          <w:rFonts w:hint="eastAsia" w:hAnsi="宋体" w:cs="宋体"/>
          <w:color w:val="000000"/>
          <w:sz w:val="24"/>
          <w:szCs w:val="24"/>
        </w:rPr>
        <w:t xml:space="preserve">投标人应当在法定质疑期内一次性提出针对同一程序环节的质疑。投标人如在法定期限内对同一程序环节提出多次质疑的，代理机构、</w:t>
      </w:r>
      <w:r>
        <w:rPr>
          <w:rFonts w:hint="eastAsia" w:ascii="宋体" w:hAnsi="宋体"/>
          <w:color w:val="000000"/>
          <w:sz w:val="24"/>
        </w:rPr>
        <w:t xml:space="preserve">招标</w:t>
      </w:r>
      <w:r>
        <w:rPr>
          <w:rFonts w:hAnsi="宋体" w:cs="宋体"/>
          <w:color w:val="000000"/>
          <w:sz w:val="24"/>
          <w:szCs w:val="24"/>
        </w:rPr>
        <w:t xml:space="preserve">人</w:t>
      </w:r>
      <w:r>
        <w:rPr>
          <w:rFonts w:hint="eastAsia" w:hAnsi="宋体" w:cs="宋体"/>
          <w:color w:val="000000"/>
          <w:sz w:val="24"/>
          <w:szCs w:val="24"/>
        </w:rPr>
        <w:t xml:space="preserve">将只对投标人第一次质疑作出答复。</w:t>
      </w:r>
      <w:r>
        <w:rPr>
          <w:rFonts w:hint="eastAsia" w:hAnsi="宋体" w:cs="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olor w:val="000000"/>
          <w:sz w:val="24"/>
          <w:szCs w:val="24"/>
        </w:rPr>
      </w:r>
      <w:r/>
    </w:p>
    <w:p>
      <w:pPr>
        <w:pStyle w:val="1214"/>
        <w:ind w:firstLine="480"/>
        <w:spacing w:line="440" w:lineRule="exact"/>
        <w:rPr>
          <w:rFonts w:hint="eastAsia" w:ascii="宋体" w:hAnsi="宋体"/>
          <w:b/>
          <w:color w:val="000000"/>
          <w:sz w:val="24"/>
          <w:szCs w:val="24"/>
        </w:rPr>
      </w:pPr>
      <w:r>
        <w:rPr>
          <w:rFonts w:hint="eastAsia" w:ascii="宋体" w:hAnsi="宋体"/>
          <w:color w:val="000000"/>
          <w:sz w:val="24"/>
          <w:szCs w:val="24"/>
        </w:rPr>
        <w:t xml:space="preserve">28.4投标人（含潜在投标人）对</w:t>
      </w:r>
      <w:r>
        <w:rPr>
          <w:rFonts w:ascii="宋体" w:hAnsi="宋体"/>
          <w:color w:val="000000"/>
          <w:sz w:val="24"/>
          <w:szCs w:val="24"/>
        </w:rPr>
        <w:t xml:space="preserve">方式、</w:t>
      </w:r>
      <w:r>
        <w:rPr>
          <w:rFonts w:hint="eastAsia" w:ascii="宋体" w:hAnsi="宋体"/>
          <w:color w:val="000000"/>
          <w:sz w:val="24"/>
          <w:szCs w:val="24"/>
        </w:rPr>
        <w:t xml:space="preserve">招标文件中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w:t>
      </w:r>
      <w:r>
        <w:rPr>
          <w:rFonts w:hint="eastAsia" w:ascii="宋体" w:hAnsi="宋体"/>
          <w:color w:val="000000"/>
          <w:sz w:val="24"/>
        </w:rPr>
        <w:t xml:space="preserve">招标</w:t>
      </w:r>
      <w:r>
        <w:rPr>
          <w:rFonts w:ascii="宋体" w:hAnsi="宋体"/>
          <w:color w:val="000000"/>
          <w:sz w:val="24"/>
          <w:szCs w:val="24"/>
        </w:rPr>
        <w:t xml:space="preserve">人提出，由</w:t>
      </w:r>
      <w:r>
        <w:rPr>
          <w:rFonts w:hint="eastAsia" w:ascii="宋体" w:hAnsi="宋体"/>
          <w:color w:val="000000"/>
          <w:sz w:val="24"/>
        </w:rPr>
        <w:t xml:space="preserve">招标</w:t>
      </w:r>
      <w:r>
        <w:rPr>
          <w:rFonts w:ascii="宋体" w:hAnsi="宋体"/>
          <w:color w:val="000000"/>
          <w:sz w:val="24"/>
          <w:szCs w:val="24"/>
        </w:rPr>
        <w:t xml:space="preserve">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代理机构</w:t>
      </w:r>
      <w:r>
        <w:rPr>
          <w:rFonts w:ascii="宋体" w:hAnsi="宋体"/>
          <w:color w:val="000000"/>
          <w:sz w:val="24"/>
          <w:szCs w:val="24"/>
        </w:rPr>
        <w:t xml:space="preserve">提出，由</w:t>
      </w:r>
      <w:r>
        <w:rPr>
          <w:rFonts w:hint="eastAsia" w:ascii="宋体" w:hAnsi="宋体"/>
          <w:color w:val="000000"/>
          <w:sz w:val="24"/>
          <w:szCs w:val="24"/>
        </w:rPr>
        <w:t xml:space="preserve">代理机构负责</w:t>
      </w:r>
      <w:r>
        <w:rPr>
          <w:rFonts w:ascii="宋体" w:hAnsi="宋体"/>
          <w:color w:val="000000"/>
          <w:sz w:val="24"/>
          <w:szCs w:val="24"/>
        </w:rPr>
        <w:t xml:space="preserve">答复。</w:t>
      </w:r>
      <w:r>
        <w:rPr>
          <w:rFonts w:hint="eastAsia" w:ascii="宋体" w:hAnsi="宋体"/>
          <w:b/>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代理机构及</w:t>
      </w:r>
      <w:r>
        <w:rPr>
          <w:rFonts w:hint="eastAsia" w:ascii="宋体" w:hAnsi="宋体"/>
          <w:color w:val="000000"/>
          <w:sz w:val="24"/>
        </w:rPr>
        <w:t xml:space="preserve">招标</w:t>
      </w:r>
      <w:r>
        <w:rPr>
          <w:rFonts w:hint="eastAsia" w:ascii="宋体" w:hAnsi="宋体"/>
          <w:color w:val="000000"/>
          <w:sz w:val="24"/>
          <w:szCs w:val="24"/>
        </w:rPr>
        <w:t xml:space="preserve">人只接收以纸质原件形式送达的质疑,建议投标人尽量通过邮寄方式提交质疑（</w:t>
      </w:r>
      <w:r>
        <w:rPr>
          <w:rFonts w:hint="eastAsia" w:ascii="宋体" w:hAnsi="宋体"/>
          <w:color w:val="000000"/>
          <w:sz w:val="24"/>
        </w:rPr>
        <w:t xml:space="preserve">招标</w:t>
      </w:r>
      <w:r>
        <w:rPr>
          <w:rFonts w:hint="eastAsia" w:ascii="宋体" w:hAnsi="宋体"/>
          <w:color w:val="000000"/>
          <w:sz w:val="24"/>
          <w:szCs w:val="24"/>
        </w:rPr>
        <w:t xml:space="preserve">人和代理机构不接受未填写快递运单的快件）。</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rPr>
        <w:t xml:space="preserve">招标</w:t>
      </w:r>
      <w:r>
        <w:rPr>
          <w:rFonts w:hint="eastAsia" w:ascii="宋体" w:hAnsi="宋体"/>
          <w:color w:val="000000"/>
          <w:sz w:val="24"/>
          <w:szCs w:val="24"/>
        </w:rPr>
        <w:t xml:space="preserve">人质疑接收人及联系方式见招标文件第一章。</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28.5.1 内容不符合《政府质疑和投诉办法》第十二条规定的质疑。</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28.5.2 超出政府法定期限的质疑。</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28.5.4 未参加投标活动的投标人或在投标活动中自身权益未受到损害的投标人所提出的质疑。</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28.5.5投标人组成联合体参加投标，联合体中任何一方或多方未按要求签字、盖章、加盖公章的质疑。</w:t>
      </w:r>
      <w:r>
        <w:rPr>
          <w:rFonts w:hint="eastAsia" w:ascii="宋体" w:hAnsi="宋体"/>
          <w:color w:val="000000"/>
          <w:sz w:val="24"/>
          <w:szCs w:val="24"/>
        </w:rPr>
      </w:r>
      <w:r/>
    </w:p>
    <w:p>
      <w:pPr>
        <w:pStyle w:val="1214"/>
        <w:ind w:firstLine="468"/>
        <w:spacing w:line="440" w:lineRule="exact"/>
        <w:rPr>
          <w:rFonts w:hint="eastAsia" w:ascii="宋体" w:hAnsi="宋体"/>
          <w:color w:val="000000"/>
          <w:sz w:val="24"/>
          <w:szCs w:val="24"/>
        </w:rPr>
      </w:pPr>
      <w:r>
        <w:rPr>
          <w:rFonts w:hint="eastAsia" w:ascii="宋体" w:hAnsi="宋体"/>
          <w:color w:val="000000"/>
          <w:sz w:val="24"/>
          <w:szCs w:val="24"/>
        </w:rPr>
        <w:t xml:space="preserve">28.6 投标人提出书面质疑必须有理、有据，不得捏造事实、提供虚假材料进行恶意质疑。否则，一经查实，</w:t>
      </w:r>
      <w:r>
        <w:rPr>
          <w:rFonts w:hint="eastAsia" w:ascii="宋体" w:hAnsi="宋体"/>
          <w:color w:val="000000"/>
          <w:sz w:val="24"/>
        </w:rPr>
        <w:t xml:space="preserve">招标</w:t>
      </w:r>
      <w:r>
        <w:rPr>
          <w:rFonts w:hint="eastAsia" w:ascii="宋体" w:hAnsi="宋体"/>
          <w:color w:val="000000"/>
          <w:sz w:val="24"/>
          <w:szCs w:val="24"/>
        </w:rPr>
        <w:t xml:space="preserve">人或代理机构有权依据政府的有关规定，报请政府监管部门对该投标人进行相应的行政处罚和记录该投标人的失信信息。</w:t>
      </w:r>
      <w:r>
        <w:rPr>
          <w:rFonts w:hint="eastAsia" w:ascii="宋体" w:hAnsi="宋体"/>
          <w:color w:val="000000"/>
          <w:sz w:val="24"/>
          <w:szCs w:val="24"/>
        </w:rPr>
      </w:r>
      <w:r/>
    </w:p>
    <w:p>
      <w:pPr>
        <w:pStyle w:val="1218"/>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29、中标通知书</w:t>
      </w:r>
      <w:r>
        <w:rPr>
          <w:rFonts w:hint="eastAsia" w:ascii="黑体" w:hAnsi="宋体"/>
          <w:b w:val="0"/>
          <w:color w:val="000000"/>
          <w:sz w:val="24"/>
          <w:szCs w:val="24"/>
        </w:rPr>
      </w:r>
      <w:r/>
    </w:p>
    <w:p>
      <w:pPr>
        <w:pStyle w:val="1214"/>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rPr>
      </w:r>
      <w:r/>
    </w:p>
    <w:p>
      <w:pPr>
        <w:pStyle w:val="1214"/>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w:t>
      </w:r>
      <w:r>
        <w:rPr>
          <w:rFonts w:hint="eastAsia" w:ascii="宋体" w:hAnsi="宋体"/>
          <w:color w:val="000000"/>
          <w:sz w:val="24"/>
        </w:rPr>
        <w:t xml:space="preserve">招标</w:t>
      </w:r>
      <w:r>
        <w:rPr>
          <w:rFonts w:hint="eastAsia" w:ascii="宋体" w:hAnsi="宋体"/>
          <w:color w:val="000000"/>
          <w:sz w:val="24"/>
          <w:szCs w:val="24"/>
        </w:rPr>
        <w:t xml:space="preserve">人和中标人均具有法律效力。中标通知书发出后，</w:t>
      </w:r>
      <w:r>
        <w:rPr>
          <w:rFonts w:hint="eastAsia" w:ascii="宋体" w:hAnsi="宋体"/>
          <w:color w:val="000000"/>
          <w:sz w:val="24"/>
        </w:rPr>
        <w:t xml:space="preserve">招标</w:t>
      </w:r>
      <w:r>
        <w:rPr>
          <w:rFonts w:hint="eastAsia" w:ascii="宋体" w:hAnsi="宋体"/>
          <w:color w:val="000000"/>
          <w:sz w:val="24"/>
          <w:szCs w:val="24"/>
        </w:rPr>
        <w:t xml:space="preserve">人改变中标结果的，或者中标人放弃中标项目的，应当依法承担法律责任。</w:t>
      </w:r>
      <w:r>
        <w:rPr>
          <w:rFonts w:hint="eastAsia" w:ascii="宋体" w:hAnsi="宋体"/>
          <w:color w:val="000000"/>
          <w:sz w:val="24"/>
          <w:szCs w:val="24"/>
        </w:rPr>
      </w:r>
      <w:r/>
    </w:p>
    <w:p>
      <w:pPr>
        <w:pStyle w:val="1217"/>
        <w:ind w:firstLine="361"/>
        <w:spacing w:before="120" w:after="120" w:line="440" w:lineRule="exact"/>
        <w:rPr>
          <w:rFonts w:hint="eastAsia"/>
          <w:color w:val="000000"/>
          <w:sz w:val="24"/>
          <w:szCs w:val="24"/>
        </w:rPr>
      </w:pPr>
      <w:r/>
      <w:bookmarkStart w:id="176" w:name="_Toc120614220"/>
      <w:r/>
      <w:bookmarkStart w:id="177" w:name="_Toc513029236"/>
      <w:r/>
      <w:bookmarkStart w:id="178" w:name="_Toc16938552"/>
      <w:r/>
      <w:bookmarkStart w:id="179" w:name="_Toc20823308"/>
      <w:r>
        <w:rPr>
          <w:rFonts w:hint="eastAsia"/>
          <w:color w:val="000000"/>
          <w:sz w:val="24"/>
          <w:szCs w:val="24"/>
        </w:rPr>
        <w:t xml:space="preserve">七、授予合同</w:t>
      </w:r>
      <w:bookmarkEnd w:id="176"/>
      <w:r>
        <w:rPr>
          <w:rFonts w:hint="eastAsia"/>
          <w:color w:val="000000"/>
          <w:sz w:val="24"/>
          <w:szCs w:val="24"/>
        </w:rPr>
      </w:r>
      <w:r/>
    </w:p>
    <w:p>
      <w:pPr>
        <w:pStyle w:val="1218"/>
        <w:ind w:firstLine="480"/>
        <w:spacing w:before="0" w:after="0" w:line="440" w:lineRule="exact"/>
        <w:rPr>
          <w:rFonts w:hint="eastAsia" w:ascii="黑体" w:hAnsi="宋体"/>
          <w:b w:val="0"/>
          <w:color w:val="000000"/>
          <w:sz w:val="24"/>
          <w:szCs w:val="24"/>
        </w:rPr>
      </w:pPr>
      <w:r/>
      <w:bookmarkEnd w:id="177"/>
      <w:r/>
      <w:bookmarkEnd w:id="178"/>
      <w:r/>
      <w:bookmarkEnd w:id="179"/>
      <w:r/>
      <w:bookmarkStart w:id="180" w:name="_Toc16938553"/>
      <w:r/>
      <w:bookmarkStart w:id="181" w:name="_Toc20823309"/>
      <w:r/>
      <w:bookmarkStart w:id="182" w:name="_Toc513029237"/>
      <w:r>
        <w:rPr>
          <w:rFonts w:hint="eastAsia" w:ascii="黑体" w:hAnsi="宋体"/>
          <w:b w:val="0"/>
          <w:color w:val="000000"/>
          <w:sz w:val="24"/>
          <w:szCs w:val="24"/>
        </w:rPr>
        <w:t xml:space="preserve">30. 签订合同</w:t>
      </w:r>
      <w:r>
        <w:rPr>
          <w:rFonts w:hint="eastAsia" w:ascii="黑体" w:hAnsi="宋体"/>
          <w:b w:val="0"/>
          <w:color w:val="000000"/>
          <w:sz w:val="24"/>
          <w:szCs w:val="24"/>
        </w:rPr>
      </w:r>
      <w:r/>
    </w:p>
    <w:p>
      <w:pPr>
        <w:pStyle w:val="1214"/>
        <w:ind w:firstLine="600"/>
        <w:spacing w:line="44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.l中标人应当在中标通知书发出之日起十五日内，按照招标文件确定的事项与</w:t>
      </w:r>
      <w:r>
        <w:rPr>
          <w:rFonts w:hint="eastAsia" w:ascii="宋体" w:hAnsi="宋体"/>
          <w:color w:val="000000"/>
          <w:sz w:val="24"/>
        </w:rPr>
        <w:t xml:space="preserve">招标</w:t>
      </w:r>
      <w:r>
        <w:rPr>
          <w:rFonts w:hint="eastAsia" w:ascii="宋体" w:hAnsi="宋体"/>
          <w:color w:val="000000"/>
          <w:sz w:val="24"/>
          <w:szCs w:val="24"/>
        </w:rPr>
        <w:t xml:space="preserve">人签订政府合同。</w:t>
      </w:r>
      <w:r>
        <w:rPr>
          <w:rFonts w:hint="eastAsia" w:ascii="宋体" w:hAnsi="宋体"/>
          <w:color w:val="000000"/>
          <w:sz w:val="24"/>
          <w:szCs w:val="24"/>
        </w:rPr>
      </w:r>
      <w:r/>
    </w:p>
    <w:p>
      <w:pPr>
        <w:pStyle w:val="1214"/>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1214"/>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w:t>
      </w:r>
      <w:r>
        <w:rPr>
          <w:rFonts w:hint="eastAsia" w:ascii="宋体" w:hAnsi="宋体"/>
          <w:color w:val="000000"/>
          <w:sz w:val="24"/>
        </w:rPr>
        <w:t xml:space="preserve">招标</w:t>
      </w:r>
      <w:r>
        <w:rPr>
          <w:rFonts w:hint="eastAsia" w:ascii="宋体" w:hAnsi="宋体"/>
          <w:color w:val="000000"/>
          <w:sz w:val="24"/>
          <w:szCs w:val="24"/>
        </w:rPr>
        <w:t xml:space="preserve">人同意，中标人也不得采用分包的形式履行合同，否则</w:t>
      </w:r>
      <w:r>
        <w:rPr>
          <w:rFonts w:hint="eastAsia" w:ascii="宋体" w:hAnsi="宋体"/>
          <w:color w:val="000000"/>
          <w:sz w:val="24"/>
        </w:rPr>
        <w:t xml:space="preserve">招标</w:t>
      </w:r>
      <w:r>
        <w:rPr>
          <w:rFonts w:hint="eastAsia" w:ascii="宋体" w:hAnsi="宋体"/>
          <w:color w:val="000000"/>
          <w:sz w:val="24"/>
          <w:szCs w:val="24"/>
        </w:rPr>
        <w:t xml:space="preserve">人有权终止合同。转包或分包造成人损失的，中标人应承担相应赔偿责任。</w:t>
      </w:r>
      <w:r>
        <w:rPr>
          <w:rFonts w:hint="eastAsia" w:ascii="宋体" w:hAnsi="宋体"/>
          <w:color w:val="000000"/>
          <w:sz w:val="24"/>
          <w:szCs w:val="24"/>
        </w:rPr>
      </w:r>
      <w:r/>
    </w:p>
    <w:p>
      <w:pPr>
        <w:pStyle w:val="1218"/>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31、服务（包含与服务相关的货物）的追加</w:t>
      </w:r>
      <w:r>
        <w:rPr>
          <w:rFonts w:hint="eastAsia" w:ascii="黑体" w:hAnsi="宋体"/>
          <w:b w:val="0"/>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31.1政府合同履行中，</w:t>
      </w:r>
      <w:r>
        <w:rPr>
          <w:rFonts w:hint="eastAsia" w:ascii="宋体" w:hAnsi="宋体"/>
          <w:color w:val="000000"/>
          <w:sz w:val="24"/>
        </w:rPr>
        <w:t xml:space="preserve">招标</w:t>
      </w:r>
      <w:r>
        <w:rPr>
          <w:rFonts w:hint="eastAsia" w:ascii="宋体" w:hAnsi="宋体"/>
          <w:color w:val="000000"/>
          <w:sz w:val="24"/>
          <w:szCs w:val="24"/>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rPr>
      </w:r>
      <w:r/>
    </w:p>
    <w:p>
      <w:pPr>
        <w:pStyle w:val="1218"/>
        <w:ind w:firstLine="480"/>
        <w:spacing w:before="0" w:after="0" w:line="440" w:lineRule="exact"/>
        <w:rPr>
          <w:rFonts w:ascii="黑体" w:hAnsi="宋体"/>
          <w:b w:val="0"/>
          <w:color w:val="000000"/>
          <w:sz w:val="24"/>
          <w:szCs w:val="24"/>
        </w:rPr>
      </w:pPr>
      <w:r/>
      <w:bookmarkEnd w:id="180"/>
      <w:r/>
      <w:bookmarkEnd w:id="181"/>
      <w:r/>
      <w:bookmarkEnd w:id="182"/>
      <w:r/>
      <w:bookmarkStart w:id="183" w:name="_Toc16938558"/>
      <w:r/>
      <w:bookmarkStart w:id="184" w:name="_Toc513029242"/>
      <w:r/>
      <w:bookmarkStart w:id="185" w:name="_Toc120614221"/>
      <w:r/>
      <w:bookmarkStart w:id="186" w:name="_Toc20823314"/>
      <w:r/>
      <w:bookmarkStart w:id="187" w:name="_Toc479757207"/>
      <w:r>
        <w:rPr>
          <w:rFonts w:hint="eastAsia" w:ascii="黑体" w:hAnsi="宋体"/>
          <w:b w:val="0"/>
          <w:color w:val="000000"/>
          <w:sz w:val="24"/>
          <w:szCs w:val="24"/>
        </w:rPr>
        <w:t xml:space="preserve">32、政府履约资金扶持政策</w:t>
      </w:r>
      <w:r>
        <w:rPr>
          <w:rFonts w:ascii="黑体" w:hAnsi="宋体"/>
          <w:b w:val="0"/>
          <w:color w:val="000000"/>
          <w:sz w:val="24"/>
          <w:szCs w:val="24"/>
        </w:rPr>
      </w:r>
      <w:r/>
    </w:p>
    <w:p>
      <w:pPr>
        <w:pStyle w:val="1229"/>
        <w:spacing w:line="440" w:lineRule="exact"/>
        <w:rPr>
          <w:rFonts w:hint="eastAsia"/>
          <w:color w:val="000000"/>
          <w:sz w:val="24"/>
          <w:szCs w:val="24"/>
        </w:rPr>
      </w:pPr>
      <w:r>
        <w:rPr>
          <w:rFonts w:hint="eastAsia"/>
          <w:color w:val="000000"/>
          <w:sz w:val="24"/>
          <w:szCs w:val="24"/>
        </w:rPr>
        <w:t xml:space="preserve">中标人可凭政府采购合同办理融资贷款，详情请查阅江苏政府采购网站“政采贷”栏目。</w:t>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p>
    <w:p>
      <w:pPr>
        <w:pStyle w:val="1229"/>
        <w:spacing w:line="440" w:lineRule="exact"/>
        <w:rPr>
          <w:rFonts w:hint="eastAsia"/>
          <w:color w:val="000000"/>
          <w:sz w:val="24"/>
          <w:szCs w:val="24"/>
        </w:rPr>
      </w:pPr>
      <w:r>
        <w:rPr>
          <w:rFonts w:hint="eastAsia"/>
          <w:color w:val="000000"/>
          <w:sz w:val="24"/>
          <w:szCs w:val="24"/>
        </w:rPr>
      </w:r>
      <w:r/>
    </w:p>
    <w:p>
      <w:pPr>
        <w:pStyle w:val="1215"/>
        <w:spacing w:before="120" w:after="120" w:line="440" w:lineRule="exact"/>
        <w:rPr>
          <w:rFonts w:hint="eastAsia" w:ascii="黑体" w:eastAsia="黑体"/>
          <w:bCs/>
          <w:color w:val="000000"/>
          <w:sz w:val="44"/>
        </w:rPr>
      </w:pPr>
      <w:r>
        <w:rPr>
          <w:rFonts w:hint="eastAsia" w:ascii="黑体" w:eastAsia="黑体"/>
          <w:bCs/>
          <w:color w:val="000000"/>
          <w:sz w:val="32"/>
          <w:szCs w:val="32"/>
        </w:rPr>
        <w:t xml:space="preserve">第三章  合同</w:t>
      </w:r>
      <w:bookmarkEnd w:id="183"/>
      <w:r/>
      <w:bookmarkEnd w:id="184"/>
      <w:r/>
      <w:bookmarkEnd w:id="185"/>
      <w:r/>
      <w:bookmarkEnd w:id="186"/>
      <w:r/>
      <w:bookmarkEnd w:id="187"/>
      <w:r>
        <w:rPr>
          <w:rFonts w:hint="eastAsia" w:ascii="黑体" w:eastAsia="黑体"/>
          <w:bCs/>
          <w:color w:val="000000"/>
          <w:sz w:val="32"/>
          <w:szCs w:val="32"/>
        </w:rPr>
        <w:t xml:space="preserve">文本</w:t>
      </w:r>
      <w:r>
        <w:rPr>
          <w:rFonts w:hint="eastAsia" w:ascii="黑体" w:eastAsia="黑体"/>
          <w:bCs/>
          <w:color w:val="000000"/>
          <w:sz w:val="44"/>
        </w:rPr>
      </w:r>
      <w:r/>
    </w:p>
    <w:p>
      <w:pPr>
        <w:pStyle w:val="1214"/>
        <w:ind w:firstLine="480"/>
        <w:spacing w:line="440" w:lineRule="exact"/>
        <w:rPr>
          <w:rFonts w:hint="eastAsia" w:ascii="宋体" w:hAnsi="宋体"/>
          <w:bCs/>
          <w:color w:val="000000"/>
          <w:sz w:val="24"/>
        </w:rPr>
      </w:pPr>
      <w:r/>
      <w:bookmarkStart w:id="188" w:name="_Toc16938559"/>
      <w:r/>
      <w:bookmarkStart w:id="189" w:name="_Toc513029243"/>
      <w:r/>
      <w:bookmarkStart w:id="190" w:name="_Toc20823315"/>
      <w:r>
        <w:rPr>
          <w:rFonts w:hint="eastAsia" w:ascii="宋体" w:hAnsi="宋体"/>
          <w:bCs/>
          <w:color w:val="000000"/>
          <w:sz w:val="24"/>
        </w:rPr>
        <w:t xml:space="preserve">以下为中标后签定本项目合同的通用条款，中标人不得提出实质性的修改。</w:t>
      </w:r>
      <w:r>
        <w:rPr>
          <w:rFonts w:hint="eastAsia" w:ascii="宋体" w:hAnsi="宋体"/>
          <w:bCs/>
          <w:color w:val="000000"/>
          <w:sz w:val="24"/>
        </w:rPr>
      </w:r>
      <w:r/>
    </w:p>
    <w:p>
      <w:pPr>
        <w:pStyle w:val="1336"/>
        <w:jc w:val="both"/>
        <w:spacing w:before="0" w:beforeAutospacing="0" w:after="0" w:afterAutospacing="0"/>
        <w:widowControl w:val="off"/>
        <w:rPr>
          <w:rFonts w:ascii="仿宋_GB2312" w:eastAsia="仿宋_GB2312" w:cs="仿宋_GB2312"/>
          <w:b/>
          <w:bCs/>
          <w:color w:val="000000"/>
          <w:position w:val="120"/>
        </w:rPr>
      </w:pPr>
      <w:r>
        <w:rPr>
          <w:rFonts w:ascii="Times New Roman" w:hAnsi="Times New Roman" w:eastAsia="宋体" w:cs="Times New Roman"/>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336"/>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336"/>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14"/>
                            </w:pPr>
                            <w:r/>
                            <w:r/>
                          </w:p>
                        </w:txbxContent>
                      </wps:txbx>
                      <wps:bodyPr wrap="square" upright="1"/>
                    </wps:wsp>
                  </a:graphicData>
                </a:graphic>
              </wp:anchor>
            </w:drawing>
          </mc:Choice>
          <mc:Fallback>
            <w:pict>
              <v:shape id="shape 13" o:spid="_x0000_s13" o:spt="202" type="#_x0000_t202" style="position:absolute;z-index:25165824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336"/>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336"/>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14"/>
                      </w:pPr>
                      <w:r/>
                      <w:r/>
                    </w:p>
                  </w:txbxContent>
                </v:textbox>
              </v:shape>
            </w:pict>
          </mc:Fallback>
        </mc:AlternateContent>
      </w:r>
      <w:r>
        <w:rPr>
          <w:rFonts w:hint="eastAsia" w:ascii="仿宋_GB2312" w:eastAsia="仿宋_GB2312" w:cs="仿宋_GB2312"/>
          <w:b/>
          <w:bCs/>
          <w:color w:val="000000"/>
          <w:position w:val="120"/>
        </w:rPr>
        <w:t xml:space="preserve">合同编号：YZCJJ2026-0xx</w:t>
      </w:r>
      <w:r>
        <w:rPr>
          <w:rFonts w:ascii="仿宋_GB2312" w:eastAsia="仿宋_GB2312" w:cs="仿宋_GB2312"/>
          <w:b/>
          <w:bCs/>
          <w:color w:val="000000"/>
          <w:position w:val="120"/>
        </w:rPr>
      </w:r>
      <w:r/>
    </w:p>
    <w:p>
      <w:pPr>
        <w:pStyle w:val="1336"/>
        <w:jc w:val="center"/>
        <w:spacing w:before="600" w:beforeAutospacing="0" w:after="1200" w:afterAutospacing="0"/>
        <w:widowControl w:val="off"/>
        <w:rPr>
          <w:rFonts w:hint="eastAsia" w:ascii="黑体" w:eastAsia="黑体" w:cs="黑体"/>
          <w:b/>
          <w:bCs/>
          <w:color w:val="000000"/>
          <w:sz w:val="72"/>
          <w:szCs w:val="72"/>
          <w:lang w:bidi="ar"/>
        </w:rPr>
      </w:pPr>
      <w:r>
        <w:rPr>
          <w:rFonts w:hint="eastAsia" w:ascii="黑体" w:eastAsia="黑体" w:cs="黑体"/>
          <w:b/>
          <w:bCs/>
          <w:color w:val="000000"/>
          <w:sz w:val="72"/>
          <w:szCs w:val="72"/>
          <w:lang w:bidi="ar"/>
        </w:rPr>
        <w:t xml:space="preserve">扬中市政府采购合同</w:t>
      </w:r>
      <w:r>
        <w:rPr>
          <w:rFonts w:hint="eastAsia" w:ascii="黑体" w:eastAsia="黑体" w:cs="黑体"/>
          <w:b/>
          <w:bCs/>
          <w:color w:val="000000"/>
          <w:sz w:val="72"/>
          <w:szCs w:val="72"/>
          <w:lang w:bidi="ar"/>
        </w:rPr>
      </w:r>
      <w:r/>
    </w:p>
    <w:p>
      <w:pPr>
        <w:pStyle w:val="1336"/>
        <w:ind w:firstLine="960"/>
        <w:jc w:val="both"/>
        <w:spacing w:before="0" w:beforeAutospacing="0" w:after="0" w:afterAutospacing="0" w:line="840" w:lineRule="auto"/>
        <w:widowControl w:val="off"/>
        <w:rPr>
          <w:rFonts w:hint="eastAsia" w:ascii="黑体" w:eastAsia="黑体" w:cs="黑体"/>
          <w:color w:val="000000"/>
          <w:sz w:val="32"/>
          <w:szCs w:val="32"/>
          <w:u w:val="single"/>
        </w:rPr>
      </w:pPr>
      <w:r>
        <w:rPr>
          <w:rFonts w:hint="eastAsia" w:ascii="黑体" w:eastAsia="黑体" w:cs="黑体"/>
          <w:color w:val="000000"/>
          <w:sz w:val="32"/>
          <w:szCs w:val="32"/>
          <w:lang w:bidi="ar"/>
        </w:rPr>
        <w:t xml:space="preserve">项目名称：</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u w:val="single"/>
        </w:rPr>
      </w:r>
      <w:r/>
    </w:p>
    <w:p>
      <w:pPr>
        <w:pStyle w:val="1336"/>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项目编号：</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336"/>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招标人：</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336"/>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中标单位：</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336"/>
        <w:jc w:val="both"/>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r>
      <w:r/>
    </w:p>
    <w:p>
      <w:pPr>
        <w:pStyle w:val="1336"/>
        <w:jc w:val="center"/>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r>
      <w:r/>
    </w:p>
    <w:p>
      <w:pPr>
        <w:pStyle w:val="1336"/>
        <w:jc w:val="center"/>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t xml:space="preserve">江苏金居工程项目管理有限公司</w:t>
      </w:r>
      <w:r>
        <w:rPr>
          <w:rFonts w:hint="eastAsia" w:ascii="黑体" w:eastAsia="黑体" w:cs="黑体"/>
          <w:color w:val="000000"/>
          <w:sz w:val="32"/>
          <w:szCs w:val="32"/>
          <w:lang w:bidi="ar"/>
        </w:rPr>
      </w:r>
      <w:r/>
    </w:p>
    <w:p>
      <w:pPr>
        <w:pStyle w:val="1336"/>
        <w:jc w:val="center"/>
        <w:spacing w:before="0" w:beforeAutospacing="0" w:after="0" w:afterAutospacing="0" w:line="360" w:lineRule="auto"/>
        <w:widowControl w:val="off"/>
        <w:rPr>
          <w:b/>
          <w:bCs/>
          <w:color w:val="000000"/>
          <w:sz w:val="32"/>
          <w:szCs w:val="32"/>
        </w:rPr>
      </w:pPr>
      <w:r>
        <w:rPr>
          <w:rFonts w:hint="eastAsia" w:ascii="黑体" w:eastAsia="黑体" w:cs="黑体"/>
          <w:color w:val="000000"/>
          <w:sz w:val="32"/>
          <w:szCs w:val="32"/>
          <w:lang w:bidi="ar"/>
        </w:rPr>
        <w:t xml:space="preserve">二○二六年  月    日</w:t>
      </w:r>
      <w:r>
        <w:rPr>
          <w:b/>
          <w:bCs/>
          <w:color w:val="000000"/>
          <w:sz w:val="32"/>
          <w:szCs w:val="32"/>
        </w:rPr>
      </w:r>
      <w:r/>
    </w:p>
    <w:p>
      <w:pPr>
        <w:pStyle w:val="1252"/>
        <w:spacing w:line="440" w:lineRule="exact"/>
        <w:rPr>
          <w:rFonts w:hAnsi="宋体"/>
          <w:color w:val="000000"/>
          <w:sz w:val="24"/>
          <w:szCs w:val="24"/>
        </w:rPr>
      </w:pPr>
      <w:r>
        <w:rPr>
          <w:rFonts w:hAnsi="宋体"/>
          <w:color w:val="000000"/>
          <w:sz w:val="24"/>
          <w:szCs w:val="24"/>
        </w:rPr>
      </w:r>
      <w:r/>
    </w:p>
    <w:p>
      <w:pPr>
        <w:pStyle w:val="1252"/>
        <w:spacing w:line="440" w:lineRule="exact"/>
        <w:rPr>
          <w:rFonts w:hint="eastAsia" w:hAnsi="宋体"/>
          <w:color w:val="000000"/>
          <w:sz w:val="24"/>
          <w:szCs w:val="24"/>
        </w:rPr>
      </w:pPr>
      <w:r>
        <w:rPr>
          <w:rFonts w:hAnsi="宋体"/>
          <w:color w:val="000000"/>
          <w:sz w:val="24"/>
          <w:szCs w:val="24"/>
        </w:rPr>
        <w:t xml:space="preserve">项目名称：</w:t>
      </w:r>
      <w:r>
        <w:rPr>
          <w:rFonts w:hint="eastAsia" w:hAnsi="宋体"/>
          <w:color w:val="000000"/>
          <w:sz w:val="24"/>
          <w:szCs w:val="24"/>
        </w:rPr>
        <w:t xml:space="preserve">扬中市S238扬中一桥货车动态称重监测设施项目</w:t>
      </w:r>
      <w:r>
        <w:rPr>
          <w:rFonts w:hint="eastAsia" w:hAnsi="宋体"/>
          <w:color w:val="000000"/>
          <w:sz w:val="24"/>
          <w:szCs w:val="24"/>
        </w:rPr>
      </w:r>
      <w:r/>
    </w:p>
    <w:p>
      <w:pPr>
        <w:pStyle w:val="1252"/>
        <w:spacing w:line="440" w:lineRule="exact"/>
        <w:rPr>
          <w:rFonts w:hAnsi="宋体"/>
          <w:color w:val="000000"/>
          <w:sz w:val="24"/>
          <w:szCs w:val="24"/>
        </w:rPr>
      </w:pPr>
      <w:r>
        <w:rPr>
          <w:rFonts w:hAnsi="宋体"/>
          <w:color w:val="000000"/>
          <w:sz w:val="24"/>
          <w:szCs w:val="24"/>
        </w:rPr>
        <w:t xml:space="preserve">项目编号：</w:t>
      </w:r>
      <w:r>
        <w:rPr>
          <w:rFonts w:hint="eastAsia" w:hAnsi="宋体"/>
          <w:color w:val="000000"/>
          <w:sz w:val="24"/>
          <w:szCs w:val="24"/>
          <w:lang w:eastAsia="zh-CN"/>
        </w:rPr>
        <w:t xml:space="preserve">JSZC-321182-JJGS-G2026-0013</w:t>
      </w:r>
      <w:r>
        <w:rPr>
          <w:rFonts w:hint="eastAsia" w:hAnsi="宋体"/>
          <w:color w:val="000000"/>
          <w:sz w:val="24"/>
          <w:szCs w:val="24"/>
        </w:rPr>
        <w:t xml:space="preserve">    </w:t>
      </w:r>
      <w:r>
        <w:rPr>
          <w:rFonts w:hAnsi="宋体"/>
          <w:color w:val="000000"/>
          <w:sz w:val="24"/>
          <w:szCs w:val="24"/>
        </w:rPr>
      </w:r>
      <w:r/>
    </w:p>
    <w:p>
      <w:pPr>
        <w:pStyle w:val="1252"/>
        <w:spacing w:line="440" w:lineRule="exact"/>
        <w:rPr>
          <w:rFonts w:hint="eastAsia" w:hAnsi="宋体"/>
          <w:color w:val="000000"/>
          <w:sz w:val="24"/>
          <w:szCs w:val="24"/>
          <w:u w:val="single"/>
        </w:rPr>
      </w:pPr>
      <w:r>
        <w:rPr>
          <w:rFonts w:hAnsi="宋体"/>
          <w:color w:val="000000"/>
          <w:sz w:val="24"/>
          <w:szCs w:val="24"/>
        </w:rPr>
        <w:t xml:space="preserve">甲方：（买方）</w:t>
      </w:r>
      <w:r>
        <w:rPr>
          <w:rFonts w:hint="eastAsia" w:hAnsi="宋体"/>
          <w:color w:val="000000"/>
          <w:sz w:val="24"/>
          <w:szCs w:val="24"/>
          <w:u w:val="single"/>
        </w:rPr>
        <w:t xml:space="preserve">扬中市交通运输局</w:t>
      </w:r>
      <w:r>
        <w:rPr>
          <w:rFonts w:hint="eastAsia" w:hAnsi="宋体"/>
          <w:color w:val="000000"/>
          <w:sz w:val="24"/>
          <w:szCs w:val="24"/>
          <w:u w:val="single"/>
        </w:rPr>
      </w:r>
      <w:r/>
    </w:p>
    <w:p>
      <w:pPr>
        <w:pStyle w:val="1252"/>
        <w:spacing w:line="440" w:lineRule="exact"/>
        <w:rPr>
          <w:rFonts w:hAnsi="宋体"/>
          <w:color w:val="000000"/>
          <w:sz w:val="24"/>
          <w:szCs w:val="24"/>
        </w:rPr>
      </w:pPr>
      <w:r>
        <w:rPr>
          <w:rFonts w:hAnsi="宋体"/>
          <w:color w:val="000000"/>
          <w:sz w:val="24"/>
          <w:szCs w:val="24"/>
        </w:rPr>
        <w:t xml:space="preserve">乙方：（卖方）________</w:t>
      </w:r>
      <w:r>
        <w:rPr>
          <w:rFonts w:hAnsi="宋体"/>
          <w:color w:val="000000"/>
          <w:sz w:val="24"/>
          <w:szCs w:val="24"/>
        </w:rPr>
      </w:r>
      <w:r/>
    </w:p>
    <w:p>
      <w:pPr>
        <w:pStyle w:val="1252"/>
        <w:spacing w:line="44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u w:val="single"/>
        </w:rPr>
        <w:t xml:space="preserve"> 扬中市S238扬中一桥货车动态称重监测设施项目</w:t>
      </w:r>
      <w:r>
        <w:rPr>
          <w:rFonts w:hint="eastAsia" w:hAnsi="宋体"/>
          <w:color w:val="000000"/>
          <w:sz w:val="24"/>
          <w:szCs w:val="24"/>
        </w:rPr>
        <w:t xml:space="preserve">（项目编号：</w:t>
      </w:r>
      <w:r>
        <w:rPr>
          <w:rFonts w:hint="eastAsia" w:hAnsi="宋体"/>
          <w:color w:val="000000"/>
          <w:sz w:val="24"/>
          <w:szCs w:val="24"/>
          <w:lang w:eastAsia="zh-CN"/>
        </w:rPr>
        <w:t xml:space="preserve">JSZC-321182-JJGS-G2026-0013</w:t>
      </w:r>
      <w:r>
        <w:rPr>
          <w:rFonts w:hint="eastAsia" w:hAnsi="宋体"/>
          <w:color w:val="000000"/>
          <w:sz w:val="24"/>
          <w:szCs w:val="24"/>
        </w:rPr>
        <w:t xml:space="preserve">）</w:t>
      </w:r>
      <w:r>
        <w:rPr>
          <w:rFonts w:hAnsi="宋体"/>
          <w:color w:val="000000"/>
          <w:sz w:val="24"/>
          <w:szCs w:val="24"/>
        </w:rPr>
        <w:t xml:space="preserve">公开招标的结果，签署本合同。</w:t>
      </w:r>
      <w:r>
        <w:rPr>
          <w:rFonts w:hAnsi="宋体"/>
          <w:b/>
          <w:color w:val="000000"/>
          <w:sz w:val="24"/>
          <w:szCs w:val="24"/>
        </w:rPr>
      </w:r>
      <w:r/>
    </w:p>
    <w:p>
      <w:pPr>
        <w:pStyle w:val="1252"/>
        <w:spacing w:line="44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1252"/>
        <w:ind w:firstLine="480"/>
        <w:spacing w:line="44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olor w:val="000000"/>
          <w:sz w:val="24"/>
          <w:szCs w:val="24"/>
        </w:rPr>
        <w:t xml:space="preserve">扬中市S238扬中一桥货车动态称重监测设施项目；</w:t>
      </w:r>
      <w:r>
        <w:rPr>
          <w:rFonts w:hAnsi="宋体"/>
          <w:color w:val="000000"/>
          <w:sz w:val="24"/>
          <w:szCs w:val="24"/>
        </w:rPr>
      </w:r>
      <w:r/>
    </w:p>
    <w:p>
      <w:pPr>
        <w:pStyle w:val="1252"/>
        <w:ind w:firstLine="480"/>
        <w:spacing w:line="44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标的质量：合格；</w:t>
      </w:r>
      <w:r>
        <w:rPr>
          <w:rFonts w:hint="eastAsia" w:hAnsi="宋体"/>
          <w:color w:val="000000"/>
          <w:sz w:val="24"/>
          <w:szCs w:val="24"/>
        </w:rPr>
      </w:r>
      <w:r/>
    </w:p>
    <w:p>
      <w:pPr>
        <w:pStyle w:val="1252"/>
        <w:ind w:firstLine="480"/>
        <w:spacing w:line="440" w:lineRule="exact"/>
        <w:rPr>
          <w:rFonts w:hint="eastAsia" w:hAnsi="宋体"/>
          <w:color w:val="000000"/>
          <w:sz w:val="24"/>
          <w:szCs w:val="24"/>
        </w:rPr>
      </w:pPr>
      <w:r>
        <w:rPr>
          <w:rFonts w:hint="eastAsia" w:hAnsi="宋体"/>
          <w:color w:val="000000"/>
          <w:sz w:val="24"/>
          <w:szCs w:val="24"/>
        </w:rPr>
        <w:t xml:space="preserve">1.3 标的数量（规模）：具体详见需求；</w:t>
      </w:r>
      <w:r>
        <w:rPr>
          <w:rFonts w:hint="eastAsia" w:hAnsi="宋体"/>
          <w:color w:val="000000"/>
          <w:sz w:val="24"/>
          <w:szCs w:val="24"/>
        </w:rPr>
      </w:r>
      <w:r/>
    </w:p>
    <w:p>
      <w:pPr>
        <w:pStyle w:val="1252"/>
        <w:ind w:firstLine="480"/>
        <w:spacing w:line="440" w:lineRule="exact"/>
        <w:rPr>
          <w:rFonts w:hint="eastAsia" w:hAnsi="宋体"/>
          <w:color w:val="000000"/>
          <w:sz w:val="24"/>
          <w:szCs w:val="24"/>
        </w:rPr>
      </w:pPr>
      <w:r>
        <w:rPr>
          <w:rFonts w:hint="eastAsia" w:hAnsi="宋体"/>
          <w:color w:val="000000"/>
          <w:sz w:val="24"/>
          <w:szCs w:val="24"/>
        </w:rPr>
        <w:t xml:space="preserve">1.4 履行时间（期限）：        ；</w:t>
      </w:r>
      <w:r>
        <w:rPr>
          <w:rFonts w:hint="eastAsia" w:hAnsi="宋体"/>
          <w:color w:val="000000"/>
          <w:sz w:val="24"/>
          <w:szCs w:val="24"/>
        </w:rPr>
      </w:r>
      <w:r/>
    </w:p>
    <w:p>
      <w:pPr>
        <w:pStyle w:val="1252"/>
        <w:ind w:firstLine="480"/>
        <w:spacing w:line="440" w:lineRule="exact"/>
        <w:rPr>
          <w:rFonts w:hAnsi="宋体"/>
          <w:color w:val="000000"/>
          <w:sz w:val="24"/>
          <w:szCs w:val="24"/>
        </w:rPr>
      </w:pPr>
      <w:r>
        <w:rPr>
          <w:rFonts w:hint="eastAsia" w:hAnsi="宋体"/>
          <w:color w:val="000000"/>
          <w:sz w:val="24"/>
          <w:szCs w:val="24"/>
        </w:rPr>
        <w:t xml:space="preserve">1.5 履行地点：扬中市；</w:t>
      </w:r>
      <w:r>
        <w:rPr>
          <w:rFonts w:hAnsi="宋体"/>
          <w:color w:val="000000"/>
          <w:sz w:val="24"/>
          <w:szCs w:val="24"/>
        </w:rPr>
      </w:r>
      <w:r/>
    </w:p>
    <w:p>
      <w:pPr>
        <w:pStyle w:val="1252"/>
        <w:ind w:firstLine="480"/>
        <w:spacing w:line="44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6质保期限：自设备验收合格之日起2年；</w:t>
      </w:r>
      <w:r>
        <w:rPr>
          <w:rFonts w:hAnsi="宋体"/>
          <w:color w:val="000000"/>
          <w:sz w:val="24"/>
          <w:szCs w:val="24"/>
        </w:rPr>
      </w:r>
      <w:r/>
    </w:p>
    <w:p>
      <w:pPr>
        <w:pStyle w:val="1252"/>
        <w:ind w:firstLine="480"/>
        <w:spacing w:line="440" w:lineRule="exact"/>
        <w:rPr>
          <w:rFonts w:hint="eastAsia" w:hAnsi="宋体"/>
          <w:color w:val="000000"/>
          <w:sz w:val="24"/>
          <w:szCs w:val="24"/>
        </w:rPr>
      </w:pPr>
      <w:r>
        <w:rPr>
          <w:rFonts w:hint="eastAsia" w:hAnsi="宋体"/>
          <w:color w:val="000000"/>
          <w:sz w:val="24"/>
          <w:szCs w:val="24"/>
        </w:rPr>
        <w:t xml:space="preserve">1.7履行方式：详见合同、招标文件、投标文件等。</w:t>
      </w:r>
      <w:r>
        <w:rPr>
          <w:rFonts w:hint="eastAsia" w:hAnsi="宋体"/>
          <w:color w:val="000000"/>
          <w:sz w:val="24"/>
          <w:szCs w:val="24"/>
        </w:rPr>
      </w:r>
      <w:r/>
    </w:p>
    <w:p>
      <w:pPr>
        <w:pStyle w:val="1252"/>
        <w:spacing w:line="440" w:lineRule="exact"/>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252"/>
        <w:ind w:left="479" w:firstLine="69"/>
        <w:spacing w:line="440" w:lineRule="exact"/>
        <w:rPr>
          <w:rFonts w:hint="eastAsia" w:hAnsi="宋体"/>
          <w:color w:val="000000"/>
          <w:sz w:val="24"/>
          <w:szCs w:val="24"/>
        </w:rPr>
      </w:pPr>
      <w:r>
        <w:rPr>
          <w:rFonts w:hAnsi="宋体"/>
          <w:color w:val="000000"/>
          <w:sz w:val="24"/>
          <w:szCs w:val="24"/>
        </w:rPr>
        <w:t xml:space="preserve">2.1 本合同金额为（大写）：____________________________________</w:t>
      </w:r>
      <w:r>
        <w:rPr>
          <w:rFonts w:hint="eastAsia" w:hAnsi="宋体"/>
          <w:color w:val="000000"/>
          <w:sz w:val="24"/>
          <w:szCs w:val="24"/>
        </w:rPr>
        <w:t xml:space="preserve">圆</w:t>
      </w:r>
      <w:r>
        <w:rPr>
          <w:rFonts w:hint="eastAsia" w:hAnsi="宋体"/>
          <w:color w:val="000000"/>
          <w:sz w:val="24"/>
          <w:szCs w:val="24"/>
        </w:rPr>
      </w:r>
      <w:r/>
    </w:p>
    <w:p>
      <w:pPr>
        <w:pStyle w:val="1252"/>
        <w:spacing w:line="440" w:lineRule="exact"/>
        <w:rPr>
          <w:rFonts w:hAnsi="宋体"/>
          <w:color w:val="000000"/>
          <w:sz w:val="24"/>
          <w:szCs w:val="24"/>
        </w:rPr>
      </w:pPr>
      <w:r>
        <w:rPr>
          <w:rFonts w:hAnsi="宋体"/>
          <w:color w:val="000000"/>
          <w:sz w:val="24"/>
          <w:szCs w:val="24"/>
        </w:rPr>
        <w:t xml:space="preserve">（_______________元）人民币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1252"/>
        <w:ind w:firstLine="480"/>
        <w:spacing w:line="440" w:lineRule="exact"/>
        <w:rPr>
          <w:rFonts w:hAnsi="宋体"/>
          <w:color w:val="000000"/>
          <w:sz w:val="24"/>
          <w:szCs w:val="24"/>
        </w:rPr>
      </w:pPr>
      <w:r>
        <w:rPr>
          <w:rFonts w:hint="eastAsia" w:hAnsi="宋体"/>
          <w:color w:val="000000"/>
          <w:sz w:val="24"/>
          <w:szCs w:val="24"/>
        </w:rPr>
        <w:t xml:space="preserve">2.2</w:t>
      </w:r>
      <w:r>
        <w:rPr>
          <w:rFonts w:hint="eastAsia" w:hAnsi="宋体"/>
          <w:color w:val="000000"/>
          <w:sz w:val="24"/>
          <w:szCs w:val="24"/>
          <w:lang w:val="zh-TW" w:eastAsia="zh-TW"/>
        </w:rPr>
        <w:t xml:space="preserve">本合同总价中应包括设备费、配套附件费、包装费、运输费、运输过程保险费、安装及调试费、质量保险费、培训费、货物本身已支付或将支付的增值税、营业税、进口税和其他税费以及其它交付使用前的所有费用。</w:t>
      </w:r>
      <w:r>
        <w:rPr>
          <w:rFonts w:hAnsi="宋体"/>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b/>
          <w:color w:val="000000"/>
          <w:sz w:val="24"/>
          <w:szCs w:val="24"/>
        </w:rPr>
        <w:t xml:space="preserve">三、质量保证</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3.1乙方所提供的货物必须完全符合相关质量标准，经正确安装，正常使用和维护保养条件下，在其使用寿命周期内应具有预期的性能。</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3.2乙方在所供货物最终验收后提供 </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年免费质量保证，在质量保证期内，乙方履行保修义务并免收材料和人工等一切费用，由于乙方原因产生的任何不足或故障，由乙方负责完善相关内容，乙方提供终身维修服务。</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3.3设备的的质量保证期从设备安装调试后无质量问题能够正常使用，双方签订安装验收报告单后开始计算。</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3.4在设备整个使用期，乙方应确保设备正常使用。在接到甲方维修请求后，应及时派人到达现场实施维修排除故障，最长周期不得超过48小时。</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3.5乙方应对甲方操作人员提供免费操作和维修培训，要求能够对设备进行熟练的操作,能排除一般性故障,能够完成设备的日常维护和保养，并提供必要的操作手册和维修资料，培训期间的相关费用由乙方承担。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3.6乙方应按招标文件规定的时间向甲方提供服务（包含与服务相关的货物）的有关技术资料。</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3.7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 w:val="24"/>
          <w:szCs w:val="24"/>
        </w:rPr>
      </w:r>
      <w:r/>
    </w:p>
    <w:p>
      <w:pPr>
        <w:pStyle w:val="1252"/>
        <w:spacing w:line="440" w:lineRule="exact"/>
        <w:rPr>
          <w:rFonts w:hAnsi="宋体"/>
          <w:b/>
          <w:color w:val="000000"/>
          <w:sz w:val="24"/>
          <w:szCs w:val="24"/>
        </w:rPr>
      </w:pPr>
      <w:r>
        <w:rPr>
          <w:rFonts w:hint="eastAsia" w:hAnsi="宋体"/>
          <w:b/>
          <w:color w:val="000000"/>
          <w:sz w:val="24"/>
          <w:szCs w:val="24"/>
        </w:rPr>
        <w:t xml:space="preserve">四、</w:t>
      </w:r>
      <w:r>
        <w:rPr>
          <w:rFonts w:hAnsi="宋体"/>
          <w:b/>
          <w:color w:val="000000"/>
          <w:sz w:val="24"/>
          <w:szCs w:val="24"/>
        </w:rPr>
        <w:t xml:space="preserve">技术资料</w:t>
      </w:r>
      <w:r>
        <w:rPr>
          <w:rFonts w:hAnsi="宋体"/>
          <w:b/>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4.1乙方应按招标文件规定的时间向甲方提供与合同标的有关的技术资料，包括但不限于提供货物时必须提供设备的合格证、检测报告、原材料出厂证明以及使用及维修所需的全部技术资料。</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4.3乙方提供销售的设备（包括零部件、附件、备品备件），必须符合中华人民共和国有关法律、法规，符合本行业同类产品的一般标准。经甲乙双方认可修改的相关产品规格与标准同等有效。</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4.4甲方对设备规格型号有异议的应在收货后3日内以书面形式向供方提出，未提出视为认同。</w:t>
      </w:r>
      <w:r>
        <w:rPr>
          <w:rFonts w:hint="eastAsia" w:ascii="宋体" w:hAnsi="宋体" w:cs="Courier New"/>
          <w:color w:val="000000"/>
          <w:sz w:val="24"/>
          <w:szCs w:val="24"/>
        </w:rPr>
      </w:r>
      <w:r/>
    </w:p>
    <w:p>
      <w:pPr>
        <w:pStyle w:val="1252"/>
        <w:ind w:left="410" w:hanging="410"/>
        <w:spacing w:line="440" w:lineRule="exact"/>
        <w:rPr>
          <w:rFonts w:hAnsi="宋体"/>
          <w:b/>
          <w:color w:val="000000"/>
          <w:sz w:val="24"/>
          <w:szCs w:val="24"/>
        </w:rPr>
      </w:pPr>
      <w:r>
        <w:rPr>
          <w:rFonts w:hint="eastAsia" w:hAnsi="宋体"/>
          <w:b/>
          <w:color w:val="000000"/>
          <w:sz w:val="24"/>
          <w:szCs w:val="24"/>
        </w:rPr>
        <w:t xml:space="preserve">五</w:t>
      </w:r>
      <w:r>
        <w:rPr>
          <w:rFonts w:hAnsi="宋体"/>
          <w:b/>
          <w:color w:val="000000"/>
          <w:sz w:val="24"/>
          <w:szCs w:val="24"/>
        </w:rPr>
        <w:t xml:space="preserve">、知识产权</w:t>
      </w:r>
      <w:r>
        <w:rPr>
          <w:rFonts w:hint="eastAsia" w:hAnsi="宋体"/>
          <w:b/>
          <w:color w:val="000000"/>
          <w:sz w:val="24"/>
          <w:szCs w:val="24"/>
        </w:rPr>
        <w:t xml:space="preserve">、</w:t>
      </w:r>
      <w:r>
        <w:rPr>
          <w:rFonts w:hAnsi="宋体"/>
          <w:b/>
          <w:color w:val="000000"/>
          <w:sz w:val="24"/>
          <w:szCs w:val="24"/>
        </w:rPr>
        <w:t xml:space="preserve">产权担保</w:t>
      </w:r>
      <w:r>
        <w:rPr>
          <w:rFonts w:hAnsi="宋体"/>
          <w:b/>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5.1乙方应保证甲方在使用、接受本合同标的或其任何一部分时不受第三方提出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5.2 乙方保证所交付的合同标的的所有权完全属于乙方且无任何抵押、查封等产权瑕疵。</w:t>
      </w:r>
      <w:r>
        <w:rPr>
          <w:rFonts w:hint="eastAsia" w:ascii="宋体" w:hAnsi="宋体" w:cs="Courier New"/>
          <w:color w:val="000000"/>
          <w:sz w:val="24"/>
          <w:szCs w:val="24"/>
        </w:rPr>
      </w:r>
      <w:r/>
    </w:p>
    <w:p>
      <w:pPr>
        <w:pStyle w:val="1252"/>
        <w:ind w:left="410" w:hanging="410"/>
        <w:spacing w:line="440" w:lineRule="exact"/>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☑本项目不收取履约保证金。</w:t>
      </w:r>
      <w:r>
        <w:rPr>
          <w:rFonts w:hint="eastAsia" w:ascii="宋体" w:hAnsi="宋体"/>
          <w:bCs/>
          <w:color w:val="000000"/>
          <w:sz w:val="24"/>
          <w:szCs w:val="24"/>
        </w:rPr>
      </w:r>
      <w:r/>
    </w:p>
    <w:p>
      <w:pPr>
        <w:pStyle w:val="1214"/>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□本项目中标投标人应提交政府采购合同金额XX%的履约保证金(不得超过政府采购合同金额的 10%)，履约保证金应以支票、汇票、本票、保函、保险保单等非现金形式缴纳或提交。支持和鼓励中标投标人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color w:val="000000"/>
          <w:sz w:val="24"/>
          <w:szCs w:val="24"/>
        </w:rPr>
      </w:r>
      <w:r/>
    </w:p>
    <w:p>
      <w:pPr>
        <w:pStyle w:val="1214"/>
        <w:spacing w:line="44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7.2乙方应当按照响应文件中提供的分包意向协议履行合同。</w:t>
      </w:r>
      <w:r>
        <w:rPr>
          <w:rFonts w:hint="eastAsia" w:ascii="宋体" w:hAnsi="宋体"/>
          <w:color w:val="000000"/>
          <w:sz w:val="24"/>
          <w:szCs w:val="24"/>
        </w:rPr>
      </w:r>
      <w:r/>
    </w:p>
    <w:p>
      <w:pPr>
        <w:pStyle w:val="1214"/>
        <w:ind w:firstLine="480"/>
        <w:spacing w:line="44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1252"/>
        <w:spacing w:line="44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1214"/>
        <w:ind w:left="479"/>
        <w:spacing w:before="120" w:after="120" w:line="44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8.1合同款项的支付方式及进度安排</w:t>
      </w:r>
      <w:r>
        <w:rPr>
          <w:rFonts w:hint="eastAsia" w:ascii="宋体" w:hAnsi="宋体" w:cs="Courier New"/>
          <w:bCs/>
          <w:color w:val="000000"/>
          <w:sz w:val="24"/>
          <w:szCs w:val="24"/>
        </w:rPr>
      </w:r>
      <w:r/>
    </w:p>
    <w:p>
      <w:pPr>
        <w:pStyle w:val="1214"/>
        <w:ind w:left="719" w:hanging="240"/>
        <w:jc w:val="left"/>
        <w:spacing w:before="120" w:after="120" w:line="44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8.2预付款支付：乙方是否（需要/不需要）预付款</w:t>
      </w:r>
      <w:r>
        <w:rPr>
          <w:rFonts w:hint="eastAsia" w:ascii="宋体" w:hAnsi="宋体" w:cs="Courier New"/>
          <w:bCs/>
          <w:color w:val="000000"/>
          <w:sz w:val="24"/>
          <w:szCs w:val="24"/>
        </w:rPr>
      </w:r>
      <w:r/>
    </w:p>
    <w:p>
      <w:pPr>
        <w:pStyle w:val="1214"/>
        <w:ind w:firstLine="482"/>
        <w:jc w:val="left"/>
        <w:spacing w:before="120" w:after="120" w:line="360" w:lineRule="auto"/>
        <w:rPr>
          <w:rFonts w:hint="eastAsia" w:ascii="宋体" w:hAnsi="宋体" w:cs="Courier New"/>
          <w:bCs/>
          <w:color w:val="000000"/>
          <w:sz w:val="24"/>
          <w:szCs w:val="24"/>
          <w:highlight w:val="none"/>
          <w:lang w:val="zh-TW"/>
        </w:rPr>
      </w:pPr>
      <w:r>
        <w:rPr>
          <w:rFonts w:hint="eastAsia" w:ascii="宋体" w:hAnsi="宋体" w:cs="Courier New"/>
          <w:b/>
          <w:color w:val="000000"/>
          <w:sz w:val="24"/>
          <w:szCs w:val="24"/>
          <w:highlight w:val="none"/>
        </w:rPr>
        <w:t xml:space="preserve">8.3</w:t>
      </w:r>
      <w:r>
        <w:rPr>
          <w:rFonts w:hint="eastAsia" w:ascii="宋体" w:hAnsi="宋体" w:cs="Courier New"/>
          <w:bCs/>
          <w:color w:val="000000"/>
          <w:sz w:val="24"/>
          <w:szCs w:val="24"/>
          <w:highlight w:val="none"/>
        </w:rPr>
        <w:t xml:space="preserve">若需要预付款的，甲方自收到乙方发票之日起10个工作日内，付至合同价的</w:t>
      </w:r>
      <w:r>
        <w:rPr>
          <w:rFonts w:hint="eastAsia" w:ascii="宋体" w:hAnsi="宋体" w:cs="Courier New"/>
          <w:bCs/>
          <w:color w:val="000000"/>
          <w:sz w:val="24"/>
          <w:szCs w:val="24"/>
          <w:highlight w:val="none"/>
          <w:u w:val="single"/>
        </w:rPr>
        <w:t xml:space="preserve">30%</w:t>
      </w:r>
      <w:r>
        <w:rPr>
          <w:rFonts w:hint="eastAsia" w:ascii="宋体" w:hAnsi="宋体" w:cs="Courier New"/>
          <w:bCs/>
          <w:color w:val="000000"/>
          <w:sz w:val="24"/>
          <w:szCs w:val="24"/>
          <w:highlight w:val="none"/>
        </w:rPr>
        <w:t xml:space="preserve">（预付款金额为</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元）；甲方根据市级财政实际拨付的进度支付款项，至竣工验收合格后，支付至合同总价的 80%，审计结束后，付至审定价的97%，缺陷责任期满后，付清余款。具体支付进度以财政拨付款项为准。</w:t>
      </w:r>
      <w:r>
        <w:rPr>
          <w:rFonts w:hint="eastAsia" w:ascii="宋体" w:hAnsi="宋体" w:cs="Courier New"/>
          <w:bCs/>
          <w:color w:val="000000"/>
          <w:sz w:val="24"/>
          <w:szCs w:val="24"/>
          <w:highlight w:val="none"/>
          <w:lang w:val="zh-TW"/>
        </w:rPr>
      </w:r>
      <w:r/>
    </w:p>
    <w:p>
      <w:pPr>
        <w:pStyle w:val="1214"/>
        <w:ind w:firstLine="480"/>
        <w:jc w:val="left"/>
        <w:spacing w:before="120" w:after="120" w:line="440" w:lineRule="exact"/>
        <w:rPr>
          <w:rFonts w:hint="eastAsia" w:ascii="宋体" w:hAnsi="宋体" w:cs="Courier New"/>
          <w:b/>
          <w:color w:val="000000"/>
          <w:sz w:val="24"/>
          <w:szCs w:val="24"/>
          <w:highlight w:val="none"/>
          <w:lang w:val="zh-TW"/>
        </w:rPr>
      </w:pPr>
      <w:r>
        <w:rPr>
          <w:rFonts w:hint="eastAsia" w:ascii="宋体" w:hAnsi="宋体" w:cs="宋体"/>
          <w:bCs/>
          <w:color w:val="000000"/>
          <w:sz w:val="24"/>
          <w:szCs w:val="24"/>
          <w:highlight w:val="none"/>
        </w:rPr>
        <w:t xml:space="preserve">若不需要预付款，甲方根据市级财政实际拨付的进度支付款项</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至竣工验收合格后，支付</w:t>
      </w:r>
      <w:r>
        <w:rPr>
          <w:rFonts w:ascii="宋体" w:hAnsi="宋体" w:cs="宋体"/>
          <w:bCs/>
          <w:color w:val="000000"/>
          <w:sz w:val="24"/>
          <w:szCs w:val="24"/>
          <w:highlight w:val="none"/>
        </w:rPr>
        <w:t xml:space="preserve">合同总价的 80%</w:t>
      </w:r>
      <w:r>
        <w:rPr>
          <w:rFonts w:hint="eastAsia" w:ascii="宋体" w:hAnsi="宋体" w:cs="宋体"/>
          <w:bCs/>
          <w:color w:val="000000"/>
          <w:sz w:val="24"/>
          <w:szCs w:val="24"/>
          <w:highlight w:val="none"/>
        </w:rPr>
        <w:t xml:space="preserve">，审计结束后，付至审定价的</w:t>
      </w:r>
      <w:r>
        <w:rPr>
          <w:rFonts w:hint="eastAsia" w:ascii="宋体" w:hAnsi="宋体" w:cs="宋体"/>
          <w:bCs/>
          <w:color w:val="000000"/>
          <w:sz w:val="24"/>
          <w:szCs w:val="24"/>
          <w:highlight w:val="none"/>
          <w:u w:val="single"/>
        </w:rPr>
        <w:t xml:space="preserve">97%</w:t>
      </w:r>
      <w:r>
        <w:rPr>
          <w:rFonts w:hint="eastAsia" w:ascii="宋体" w:hAnsi="宋体" w:cs="宋体"/>
          <w:bCs/>
          <w:color w:val="000000"/>
          <w:sz w:val="24"/>
          <w:szCs w:val="24"/>
          <w:highlight w:val="none"/>
        </w:rPr>
        <w:t xml:space="preserve">，缺陷责任期满后，付清余款。具体支付进度以财政拨付款项为准。</w:t>
      </w:r>
      <w:r>
        <w:rPr>
          <w:rFonts w:hint="eastAsia" w:ascii="宋体" w:hAnsi="宋体" w:cs="Courier New"/>
          <w:b/>
          <w:color w:val="000000"/>
          <w:sz w:val="24"/>
          <w:szCs w:val="24"/>
          <w:highlight w:val="none"/>
          <w:lang w:val="zh-TW"/>
        </w:rPr>
      </w:r>
      <w:r/>
    </w:p>
    <w:p>
      <w:pPr>
        <w:pStyle w:val="1214"/>
        <w:ind w:firstLine="480"/>
        <w:jc w:val="left"/>
        <w:spacing w:before="120" w:after="120" w:line="440" w:lineRule="exact"/>
        <w:rPr>
          <w:rFonts w:hint="eastAsia" w:ascii="宋体" w:hAnsi="宋体"/>
          <w:color w:val="000000"/>
          <w:sz w:val="24"/>
          <w:szCs w:val="24"/>
        </w:rPr>
      </w:pPr>
      <w:r>
        <w:rPr>
          <w:rFonts w:hint="eastAsia" w:ascii="宋体" w:hAnsi="宋体" w:cs="Courier New"/>
          <w:bCs/>
          <w:color w:val="000000"/>
          <w:sz w:val="24"/>
          <w:szCs w:val="24"/>
        </w:rPr>
        <w:t xml:space="preserve">8.4</w:t>
      </w:r>
      <w:r>
        <w:rPr>
          <w:rFonts w:hint="eastAsia" w:ascii="宋体" w:hAnsi="宋体"/>
          <w:color w:val="000000"/>
          <w:sz w:val="24"/>
          <w:szCs w:val="24"/>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甲方开票信息：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名称: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纳税号: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单位银行账号户名: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开户行: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账号: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单位地址: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项目负责 联系人: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乙方开票信息：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名称: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纳税号: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单位银行账号户名: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开户行: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账号: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单位地址: </w:t>
      </w:r>
      <w:r>
        <w:rPr>
          <w:rFonts w:hint="eastAsia" w:ascii="宋体" w:hAnsi="宋体"/>
          <w:color w:val="000000"/>
          <w:sz w:val="24"/>
          <w:szCs w:val="24"/>
        </w:rPr>
      </w:r>
      <w:r/>
    </w:p>
    <w:p>
      <w:pPr>
        <w:pStyle w:val="1214"/>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rPr>
      </w:r>
      <w:r/>
    </w:p>
    <w:p>
      <w:pPr>
        <w:pStyle w:val="1214"/>
        <w:spacing w:line="44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1214"/>
        <w:ind w:firstLine="480"/>
        <w:spacing w:line="44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1252"/>
        <w:spacing w:line="440" w:lineRule="exact"/>
        <w:rPr>
          <w:rFonts w:hAnsi="宋体"/>
          <w:b/>
          <w:color w:val="000000"/>
          <w:sz w:val="24"/>
          <w:szCs w:val="24"/>
        </w:rPr>
      </w:pPr>
      <w:r>
        <w:rPr>
          <w:rFonts w:hint="eastAsia" w:hAnsi="宋体"/>
          <w:b/>
          <w:color w:val="000000"/>
          <w:sz w:val="24"/>
          <w:szCs w:val="24"/>
        </w:rPr>
        <w:t xml:space="preserve">十、货物的包装、发运及运输</w:t>
      </w:r>
      <w:r>
        <w:rPr>
          <w:rFonts w:hAnsi="宋体"/>
          <w:b/>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10.2使用说明书、质量检验证明书、随配附件和工具以及清单一并附于货物内。</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10.3乙方在货物发运手续办理完毕后24小时内或货到甲方48小时前通知甲方，以准备接货。</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10.4 货物在交付甲方前发生的风险均由乙方负责。</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10.5货物在规定的交付期限内由乙方送达甲方指定的地点视为交付，乙方同时需通知甲方货物已送达。</w:t>
      </w:r>
      <w:r>
        <w:rPr>
          <w:rFonts w:hint="eastAsia" w:ascii="宋体" w:hAnsi="宋体"/>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十一、双方的权利和义务</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11.1甲方权利和义务</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（1）负责技术指导，并配合监理对施工全过程进行质量监督。</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（2）对监理审核的工程确认后向乙方支付工程款。</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（3）对监理审核后的工程调整事项进行审批。</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（4）如乙方在施工过程中不能按照招标文件响应的承诺或合同约定履约，采购人将保留另行发包或部分另行发包的权利。</w:t>
      </w:r>
      <w:r>
        <w:rPr>
          <w:rFonts w:hint="eastAsia" w:hAnsi="宋体"/>
          <w:bCs/>
          <w:color w:val="000000"/>
          <w:sz w:val="24"/>
          <w:szCs w:val="24"/>
        </w:rPr>
      </w:r>
      <w:r/>
    </w:p>
    <w:p>
      <w:pPr>
        <w:pStyle w:val="1252"/>
        <w:ind w:left="601" w:hanging="120"/>
        <w:spacing w:line="440" w:lineRule="exact"/>
        <w:rPr>
          <w:rFonts w:hint="eastAsia" w:hAnsi="宋体"/>
          <w:bCs/>
          <w:color w:val="000000"/>
          <w:sz w:val="24"/>
          <w:szCs w:val="24"/>
        </w:rPr>
      </w:pPr>
      <w:r>
        <w:rPr>
          <w:rFonts w:hint="eastAsia" w:hAnsi="宋体"/>
          <w:bCs/>
          <w:color w:val="000000"/>
          <w:sz w:val="24"/>
          <w:szCs w:val="24"/>
        </w:rPr>
        <w:t xml:space="preserve">11.2乙方权利和义务</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（1）严格按定点定位的地点和工程量清单组织施工，保质、保量、按期完成施工任务，如发现违规行为，将停止付款。</w:t>
      </w:r>
      <w:r>
        <w:rPr>
          <w:rFonts w:hint="eastAsia" w:hAnsi="宋体"/>
          <w:bCs/>
          <w:color w:val="000000"/>
          <w:sz w:val="24"/>
          <w:szCs w:val="24"/>
        </w:rPr>
      </w:r>
      <w:r/>
    </w:p>
    <w:p>
      <w:pPr>
        <w:pStyle w:val="1252"/>
        <w:ind w:left="479"/>
        <w:spacing w:line="440" w:lineRule="exact"/>
        <w:rPr>
          <w:rFonts w:hint="eastAsia" w:hAnsi="宋体"/>
          <w:bCs/>
          <w:color w:val="000000"/>
          <w:sz w:val="24"/>
          <w:szCs w:val="24"/>
        </w:rPr>
      </w:pPr>
      <w:r>
        <w:rPr>
          <w:rFonts w:hint="eastAsia" w:hAnsi="宋体"/>
          <w:bCs/>
          <w:color w:val="000000"/>
          <w:sz w:val="24"/>
          <w:szCs w:val="24"/>
        </w:rPr>
        <w:t xml:space="preserve">（2）明确项目负责人            ，对加强施工管理和施工安全负全责。未经</w:t>
      </w:r>
      <w:r>
        <w:rPr>
          <w:rFonts w:hint="eastAsia" w:hAnsi="宋体"/>
          <w:bCs/>
          <w:color w:val="000000"/>
          <w:sz w:val="24"/>
          <w:szCs w:val="24"/>
        </w:rPr>
      </w:r>
      <w:r/>
    </w:p>
    <w:p>
      <w:pPr>
        <w:pStyle w:val="1252"/>
        <w:spacing w:line="440" w:lineRule="exact"/>
        <w:rPr>
          <w:rFonts w:hint="eastAsia" w:hAnsi="宋体"/>
          <w:bCs/>
          <w:color w:val="000000"/>
          <w:sz w:val="24"/>
          <w:szCs w:val="24"/>
        </w:rPr>
      </w:pPr>
      <w:r>
        <w:rPr>
          <w:rFonts w:hint="eastAsia" w:hAnsi="宋体"/>
          <w:bCs/>
          <w:color w:val="000000"/>
          <w:sz w:val="24"/>
          <w:szCs w:val="24"/>
        </w:rPr>
        <w:t xml:space="preserve">采购人同意，乙方不得更换项目负责人，否则应赔偿采购人的损失。</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（3）在施工过程中，若确需调整事项，应提交监理审核，经甲方审批后方可调整，乙方不得随意改变设计。</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（4）认真做好施工记录，工程竣工或甲方要求提供相关资料时，应及时提交真实完整的施工原始资料和工程决算正式票据，以便于项目审计。</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（6）现场施工配合与协调</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承包人在实施和完成承建合同工程及修复缺陷过程中的一切作业应保证甲方免于承担因承包人借用、占用或影响作业等所引起的索赔、诉讼费、损害赔偿及其他开支。</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（7）对现场作业和施工方法负责</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rPr>
          <w:rFonts w:hint="eastAsia" w:hAnsi="宋体"/>
          <w:bCs/>
          <w:color w:val="000000"/>
          <w:sz w:val="24"/>
          <w:szCs w:val="24"/>
        </w:rPr>
      </w:r>
      <w:r/>
    </w:p>
    <w:p>
      <w:pPr>
        <w:pStyle w:val="1252"/>
        <w:ind w:left="479"/>
        <w:spacing w:line="440" w:lineRule="exact"/>
        <w:rPr>
          <w:rFonts w:hint="eastAsia" w:hAnsi="宋体"/>
          <w:bCs/>
          <w:color w:val="000000"/>
          <w:sz w:val="24"/>
          <w:szCs w:val="24"/>
        </w:rPr>
      </w:pPr>
      <w:r>
        <w:rPr>
          <w:rFonts w:hint="eastAsia" w:hAnsi="宋体"/>
          <w:bCs/>
          <w:color w:val="000000"/>
          <w:sz w:val="24"/>
          <w:szCs w:val="24"/>
        </w:rPr>
        <w:t xml:space="preserve">（8）对公众利益损害负责</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rPr>
          <w:rFonts w:hint="eastAsia" w:hAnsi="宋体"/>
          <w:bCs/>
          <w:color w:val="000000"/>
          <w:sz w:val="24"/>
          <w:szCs w:val="24"/>
        </w:rPr>
      </w:r>
      <w:r/>
    </w:p>
    <w:p>
      <w:pPr>
        <w:pStyle w:val="1252"/>
        <w:ind w:left="479"/>
        <w:spacing w:line="440" w:lineRule="exact"/>
        <w:rPr>
          <w:rFonts w:hint="eastAsia" w:hAnsi="宋体"/>
          <w:bCs/>
          <w:color w:val="000000"/>
          <w:sz w:val="24"/>
          <w:szCs w:val="24"/>
        </w:rPr>
      </w:pPr>
      <w:r>
        <w:rPr>
          <w:rFonts w:hint="eastAsia" w:hAnsi="宋体"/>
          <w:bCs/>
          <w:color w:val="000000"/>
          <w:sz w:val="24"/>
          <w:szCs w:val="24"/>
        </w:rPr>
        <w:t xml:space="preserve">（9）对工程施工质量负终身责任</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承包人对合同工程的施工质量负终身责任，承包人的法定代表人是工程施工质量的终身责任人。</w:t>
      </w:r>
      <w:r>
        <w:rPr>
          <w:rFonts w:hint="eastAsia" w:hAnsi="宋体"/>
          <w:bCs/>
          <w:color w:val="000000"/>
          <w:sz w:val="24"/>
          <w:szCs w:val="24"/>
        </w:rPr>
      </w:r>
      <w:r/>
    </w:p>
    <w:p>
      <w:pPr>
        <w:pStyle w:val="1252"/>
        <w:ind w:left="479"/>
        <w:spacing w:line="440" w:lineRule="exact"/>
        <w:rPr>
          <w:rFonts w:hint="eastAsia" w:hAnsi="宋体"/>
          <w:bCs/>
          <w:color w:val="000000"/>
          <w:sz w:val="24"/>
          <w:szCs w:val="24"/>
        </w:rPr>
      </w:pPr>
      <w:r>
        <w:rPr>
          <w:rFonts w:hint="eastAsia" w:hAnsi="宋体"/>
          <w:bCs/>
          <w:color w:val="000000"/>
          <w:sz w:val="24"/>
          <w:szCs w:val="24"/>
        </w:rPr>
        <w:t xml:space="preserve">（10）饮用水及施工、生活用电等由乙方自行解决。</w:t>
      </w:r>
      <w:r>
        <w:rPr>
          <w:rFonts w:hint="eastAsia" w:hAnsi="宋体"/>
          <w:bCs/>
          <w:color w:val="000000"/>
          <w:sz w:val="24"/>
          <w:szCs w:val="24"/>
        </w:rPr>
      </w:r>
      <w:r/>
    </w:p>
    <w:p>
      <w:pPr>
        <w:pStyle w:val="1252"/>
        <w:ind w:left="479"/>
        <w:spacing w:line="440" w:lineRule="exact"/>
        <w:rPr>
          <w:rFonts w:hint="eastAsia" w:hAnsi="宋体"/>
          <w:bCs/>
          <w:color w:val="000000"/>
          <w:sz w:val="24"/>
          <w:szCs w:val="24"/>
        </w:rPr>
      </w:pPr>
      <w:r>
        <w:rPr>
          <w:rFonts w:hint="eastAsia" w:hAnsi="宋体"/>
          <w:bCs/>
          <w:color w:val="000000"/>
          <w:sz w:val="24"/>
          <w:szCs w:val="24"/>
        </w:rPr>
        <w:t xml:space="preserve">（11）乙方施工场地及临时建设用地应经甲方同意就近安排，不得破坏或影响</w:t>
      </w:r>
      <w:r>
        <w:rPr>
          <w:rFonts w:hint="eastAsia" w:hAnsi="宋体"/>
          <w:bCs/>
          <w:color w:val="000000"/>
          <w:sz w:val="24"/>
          <w:szCs w:val="24"/>
        </w:rPr>
      </w:r>
      <w:r/>
    </w:p>
    <w:p>
      <w:pPr>
        <w:pStyle w:val="1252"/>
        <w:spacing w:line="440" w:lineRule="exact"/>
        <w:rPr>
          <w:rFonts w:hint="eastAsia" w:hAnsi="宋体"/>
          <w:bCs/>
          <w:color w:val="000000"/>
          <w:sz w:val="24"/>
          <w:szCs w:val="24"/>
        </w:rPr>
      </w:pPr>
      <w:r>
        <w:rPr>
          <w:rFonts w:hint="eastAsia" w:hAnsi="宋体"/>
          <w:bCs/>
          <w:color w:val="000000"/>
          <w:sz w:val="24"/>
          <w:szCs w:val="24"/>
        </w:rPr>
        <w:t xml:space="preserve">周围环境，并自行解决临时建设设施。</w:t>
      </w:r>
      <w:r>
        <w:rPr>
          <w:rFonts w:hint="eastAsia" w:hAnsi="宋体"/>
          <w:bCs/>
          <w:color w:val="000000"/>
          <w:sz w:val="24"/>
          <w:szCs w:val="24"/>
        </w:rPr>
      </w:r>
      <w:r/>
    </w:p>
    <w:p>
      <w:pPr>
        <w:pStyle w:val="1252"/>
        <w:ind w:left="479"/>
        <w:spacing w:line="440" w:lineRule="exact"/>
        <w:rPr>
          <w:rFonts w:hint="eastAsia" w:hAnsi="宋体"/>
          <w:bCs/>
          <w:color w:val="000000"/>
          <w:sz w:val="24"/>
          <w:szCs w:val="24"/>
        </w:rPr>
      </w:pPr>
      <w:r>
        <w:rPr>
          <w:rFonts w:hint="eastAsia" w:hAnsi="宋体"/>
          <w:bCs/>
          <w:color w:val="000000"/>
          <w:sz w:val="24"/>
          <w:szCs w:val="24"/>
        </w:rPr>
        <w:t xml:space="preserve">（12）工程竣工未移交甲方前，负责对现场的一切设施和工程成品进行保护。</w:t>
      </w:r>
      <w:r>
        <w:rPr>
          <w:rFonts w:hint="eastAsia" w:hAnsi="宋体"/>
          <w:bCs/>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十二、关于工程施工及隐蔽工程验收的约定</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12.1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12.2全部工程实施完毕后，乙方应及时整编上报各类竣工资料和质量评定资料，将施工临时设施、建筑垃圾、生活垃圾全部清理出现场后申请甲方、监理进行竣工验收。甲方自接到验收通知后组织验收。验收合格后办理移交手续。</w:t>
      </w:r>
      <w:r>
        <w:rPr>
          <w:rFonts w:hint="eastAsia" w:hAnsi="宋体"/>
          <w:bCs/>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十三、关于材料供应的约定</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rPr>
          <w:rFonts w:hint="eastAsia" w:hAnsi="宋体"/>
          <w:bCs/>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十四、关于对施工人员要求的约定</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所有乙方施工人员必须服从甲方代表及监理的管理，甲方有权要求乙方撤换不服从管理的乙方人员。</w:t>
      </w:r>
      <w:r>
        <w:rPr>
          <w:rFonts w:hint="eastAsia" w:hAnsi="宋体"/>
          <w:bCs/>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十五、有关安全生产的约定</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rPr>
          <w:rFonts w:hint="eastAsia" w:hAnsi="宋体"/>
          <w:bCs/>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十六、项目验收</w:t>
      </w:r>
      <w:r>
        <w:rPr>
          <w:rFonts w:hint="eastAsia" w:hAnsi="宋体"/>
          <w:b/>
          <w:color w:val="000000"/>
          <w:sz w:val="24"/>
          <w:szCs w:val="24"/>
        </w:rPr>
      </w:r>
      <w:r/>
    </w:p>
    <w:p>
      <w:pPr>
        <w:pStyle w:val="1252"/>
        <w:ind w:left="601" w:hanging="120"/>
        <w:spacing w:line="440" w:lineRule="exact"/>
        <w:rPr>
          <w:rFonts w:hint="eastAsia" w:hAnsi="宋体"/>
          <w:bCs/>
          <w:color w:val="000000"/>
          <w:sz w:val="24"/>
          <w:szCs w:val="24"/>
        </w:rPr>
      </w:pPr>
      <w:r>
        <w:rPr>
          <w:rFonts w:hint="eastAsia" w:hAnsi="宋体"/>
          <w:bCs/>
          <w:color w:val="000000"/>
          <w:sz w:val="24"/>
          <w:szCs w:val="24"/>
        </w:rPr>
        <w:t xml:space="preserve">16.1 甲方依法组织履约验收工作。</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16.2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bCs/>
          <w:color w:val="000000"/>
          <w:sz w:val="24"/>
          <w:szCs w:val="24"/>
        </w:rPr>
      </w:r>
      <w:r/>
    </w:p>
    <w:p>
      <w:pPr>
        <w:pStyle w:val="1252"/>
        <w:ind w:left="601" w:hanging="120"/>
        <w:spacing w:line="440" w:lineRule="exact"/>
        <w:rPr>
          <w:rFonts w:hint="eastAsia" w:hAnsi="宋体"/>
          <w:bCs/>
          <w:color w:val="000000"/>
          <w:sz w:val="24"/>
          <w:szCs w:val="24"/>
        </w:rPr>
      </w:pPr>
      <w:r>
        <w:rPr>
          <w:rFonts w:hint="eastAsia" w:hAnsi="宋体"/>
          <w:bCs/>
          <w:color w:val="000000"/>
          <w:sz w:val="24"/>
          <w:szCs w:val="24"/>
        </w:rPr>
        <w:t xml:space="preserve">16.3 对于实际使用人和甲方分离的项目，甲方邀请实际使用人参与验收。</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16.4 如有必要，甲方邀请参加本项目的其他供应商或第三方专业机构及专家参与验收，相关意见将作为验收书的参考资料。</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16.6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bCs/>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十七、违约责任</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17.1甲方无正当理由拒绝接受乙方提供的合同标的的，甲方向乙方偿付拒绝接受合同价款总值</w:t>
      </w:r>
      <w:r>
        <w:rPr>
          <w:rFonts w:hint="eastAsia" w:hAnsi="宋体"/>
          <w:bCs/>
          <w:color w:val="000000"/>
          <w:sz w:val="24"/>
          <w:szCs w:val="24"/>
          <w:u w:val="single"/>
        </w:rPr>
        <w:t xml:space="preserve"> 百分之一 </w:t>
      </w:r>
      <w:r>
        <w:rPr>
          <w:rFonts w:hint="eastAsia" w:hAnsi="宋体"/>
          <w:bCs/>
          <w:color w:val="000000"/>
          <w:sz w:val="24"/>
          <w:szCs w:val="24"/>
        </w:rPr>
        <w:t xml:space="preserve">的违约金。</w:t>
      </w:r>
      <w:r>
        <w:rPr>
          <w:rFonts w:hint="eastAsia" w:hAnsi="宋体"/>
          <w:bCs/>
          <w:color w:val="000000"/>
          <w:sz w:val="24"/>
          <w:szCs w:val="24"/>
        </w:rPr>
      </w:r>
      <w:r/>
    </w:p>
    <w:p>
      <w:pPr>
        <w:pStyle w:val="1252"/>
        <w:ind w:firstLine="480"/>
        <w:spacing w:line="440" w:lineRule="exact"/>
        <w:rPr>
          <w:rFonts w:hint="eastAsia" w:hAnsi="宋体"/>
          <w:b/>
          <w:color w:val="000000"/>
          <w:sz w:val="24"/>
          <w:szCs w:val="24"/>
        </w:rPr>
      </w:pPr>
      <w:r>
        <w:rPr>
          <w:rFonts w:hint="eastAsia" w:hAnsi="宋体"/>
          <w:bCs/>
          <w:color w:val="000000"/>
          <w:sz w:val="24"/>
          <w:szCs w:val="24"/>
        </w:rPr>
        <w:t xml:space="preserve">17.2 乙方逾期交付合同标的的，乙方应按逾期交付合同总额每日</w:t>
      </w:r>
      <w:r>
        <w:rPr>
          <w:rFonts w:hint="eastAsia" w:hAnsi="宋体"/>
          <w:bCs/>
          <w:color w:val="000000"/>
          <w:sz w:val="24"/>
          <w:szCs w:val="24"/>
          <w:u w:val="single"/>
        </w:rPr>
        <w:t xml:space="preserve"> 千分之二</w:t>
      </w:r>
      <w:r>
        <w:rPr>
          <w:rFonts w:hint="eastAsia" w:hAnsi="宋体"/>
          <w:bCs/>
          <w:color w:val="000000"/>
          <w:sz w:val="24"/>
          <w:szCs w:val="24"/>
        </w:rPr>
        <w:t xml:space="preserve"> 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u w:val="single"/>
        </w:rPr>
        <w:t xml:space="preserve"> 百分之一 </w:t>
      </w:r>
      <w:r>
        <w:rPr>
          <w:rFonts w:hint="eastAsia" w:hAnsi="宋体"/>
          <w:bCs/>
          <w:color w:val="000000"/>
          <w:sz w:val="24"/>
          <w:szCs w:val="24"/>
        </w:rPr>
        <w:t xml:space="preserve">的违约金，如造成甲方损失超过违约金的，超出部分由乙方继续承担赔偿责任。</w:t>
      </w:r>
      <w:r>
        <w:rPr>
          <w:rFonts w:hint="eastAsia" w:hAnsi="宋体"/>
          <w:b/>
          <w:color w:val="000000"/>
          <w:sz w:val="24"/>
          <w:szCs w:val="24"/>
        </w:rPr>
        <w:t xml:space="preserve"> </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17.3若因乙方自身原因（含人员、设备、资金、管理、施工组织等乙方因素）导致本项目无法继续实施、中途停工、无法按期完工或终止履约，造成甲方一切经济损失、工期延误损失、第三方索赔损失、二次施工费用、审计及管理费用等，全部由乙方承担并足额赔付。</w:t>
      </w:r>
      <w:r>
        <w:rPr>
          <w:rFonts w:hint="eastAsia" w:hAnsi="宋体"/>
          <w:bCs/>
          <w:color w:val="000000"/>
          <w:sz w:val="24"/>
          <w:szCs w:val="24"/>
        </w:rPr>
      </w:r>
      <w:r/>
    </w:p>
    <w:p>
      <w:pPr>
        <w:pStyle w:val="1252"/>
        <w:ind w:firstLine="480"/>
        <w:spacing w:line="440" w:lineRule="exact"/>
        <w:rPr>
          <w:rFonts w:hAnsi="宋体"/>
          <w:bCs/>
          <w:color w:val="000000"/>
          <w:sz w:val="24"/>
          <w:szCs w:val="24"/>
        </w:rPr>
      </w:pPr>
      <w:r>
        <w:rPr>
          <w:rFonts w:hint="eastAsia" w:hAnsi="宋体"/>
          <w:bCs/>
          <w:color w:val="000000"/>
          <w:sz w:val="24"/>
          <w:szCs w:val="24"/>
        </w:rPr>
        <w:t xml:space="preserve">17.4项目施工过程中，如因乙方原因无法继续完成剩余施工内容、主动退场、无力履约的，乙方须无条件对施工现场进行全面清理、恢复原状、拆除临时设施、平整复原场地，确保施工现场恢复至施工前原貌，所产生一切费用由乙方自行承担。</w:t>
      </w:r>
      <w:r>
        <w:rPr>
          <w:rFonts w:hAnsi="宋体"/>
          <w:bCs/>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17.5因乙方违约导致甲方另行招标、重新组织施工产生的差价损失、工期延误损失、监管处罚损失等，甲方有权从已付款项或未结款项中直接扣除，不足部分有权向乙方追偿。</w:t>
      </w:r>
      <w:r>
        <w:rPr>
          <w:rFonts w:hint="eastAsia" w:hAnsi="宋体"/>
          <w:bCs/>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十八、不可抗力事件处理</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18.1在合同有效期内，任何一方因不可抗力事件导致不能履行合同，则合同履行期可延长，其延长期与不可抗力影响期相同。</w:t>
      </w:r>
      <w:r>
        <w:rPr>
          <w:rFonts w:hint="eastAsia" w:hAnsi="宋体"/>
          <w:bCs/>
          <w:color w:val="000000"/>
          <w:sz w:val="24"/>
          <w:szCs w:val="24"/>
        </w:rPr>
      </w:r>
      <w:r/>
    </w:p>
    <w:p>
      <w:pPr>
        <w:pStyle w:val="1252"/>
        <w:ind w:left="601" w:hanging="120"/>
        <w:spacing w:line="440" w:lineRule="exact"/>
        <w:rPr>
          <w:rFonts w:hint="eastAsia" w:hAnsi="宋体"/>
          <w:color w:val="000000"/>
          <w:sz w:val="24"/>
          <w:szCs w:val="24"/>
        </w:rPr>
      </w:pPr>
      <w:r>
        <w:rPr>
          <w:rFonts w:hint="eastAsia" w:hAnsi="宋体"/>
          <w:bCs/>
          <w:color w:val="000000"/>
          <w:sz w:val="24"/>
          <w:szCs w:val="24"/>
        </w:rPr>
        <w:t xml:space="preserve">18.2不可抗力事件发生后，应立即通知对方，并寄送有关权威机构出具的证</w:t>
      </w:r>
      <w:r>
        <w:rPr>
          <w:rFonts w:hint="eastAsia" w:hAnsi="宋体"/>
          <w:bCs/>
          <w:color w:val="000000"/>
          <w:sz w:val="24"/>
          <w:szCs w:val="24"/>
        </w:rPr>
      </w:r>
      <w:r/>
    </w:p>
    <w:p>
      <w:pPr>
        <w:pStyle w:val="1252"/>
        <w:ind w:left="0" w:firstLine="0"/>
        <w:spacing w:line="440" w:lineRule="exact"/>
        <w:rPr>
          <w:rFonts w:hint="eastAsia" w:hAnsi="宋体"/>
          <w:color w:val="000000"/>
          <w:sz w:val="24"/>
          <w:szCs w:val="24"/>
          <w:highlight w:val="none"/>
        </w:rPr>
      </w:pPr>
      <w:r>
        <w:rPr>
          <w:rFonts w:hint="eastAsia" w:hAnsi="宋体"/>
          <w:bCs/>
          <w:color w:val="000000"/>
          <w:sz w:val="24"/>
          <w:szCs w:val="24"/>
        </w:rPr>
        <w:t xml:space="preserve">明。</w:t>
      </w:r>
      <w:r/>
    </w:p>
    <w:p>
      <w:pPr>
        <w:pStyle w:val="1252"/>
        <w:ind w:left="601" w:hanging="120"/>
        <w:spacing w:line="440" w:lineRule="exact"/>
        <w:rPr>
          <w:rFonts w:hint="eastAsia" w:hAnsi="宋体"/>
          <w:bCs/>
          <w:color w:val="000000"/>
          <w:sz w:val="24"/>
          <w:szCs w:val="24"/>
        </w:rPr>
      </w:pPr>
      <w:r>
        <w:rPr>
          <w:rFonts w:hint="eastAsia" w:hAnsi="宋体"/>
          <w:bCs/>
          <w:color w:val="000000"/>
          <w:sz w:val="24"/>
          <w:szCs w:val="24"/>
        </w:rPr>
        <w:t xml:space="preserve">18.3不可抗力事件延续120天以上，双方应通过友好协商，确定是否继续履行</w:t>
      </w:r>
      <w:r>
        <w:rPr>
          <w:rFonts w:hint="eastAsia" w:hAnsi="宋体"/>
          <w:bCs/>
          <w:color w:val="000000"/>
          <w:sz w:val="24"/>
          <w:szCs w:val="24"/>
        </w:rPr>
      </w:r>
      <w:r/>
    </w:p>
    <w:p>
      <w:pPr>
        <w:pStyle w:val="1252"/>
        <w:spacing w:line="440" w:lineRule="exact"/>
        <w:rPr>
          <w:rFonts w:hint="eastAsia" w:hAnsi="宋体"/>
          <w:bCs/>
          <w:color w:val="000000"/>
          <w:sz w:val="24"/>
          <w:szCs w:val="24"/>
        </w:rPr>
      </w:pPr>
      <w:r>
        <w:rPr>
          <w:rFonts w:hint="eastAsia" w:hAnsi="宋体"/>
          <w:bCs/>
          <w:color w:val="000000"/>
          <w:sz w:val="24"/>
          <w:szCs w:val="24"/>
        </w:rPr>
        <w:t xml:space="preserve">合同。</w:t>
      </w:r>
      <w:r>
        <w:rPr>
          <w:rFonts w:hint="eastAsia" w:hAnsi="宋体"/>
          <w:bCs/>
          <w:color w:val="000000"/>
          <w:sz w:val="24"/>
          <w:szCs w:val="24"/>
        </w:rPr>
      </w:r>
      <w:r/>
    </w:p>
    <w:p>
      <w:pPr>
        <w:pStyle w:val="1252"/>
        <w:ind w:left="602" w:hanging="602"/>
        <w:spacing w:line="440" w:lineRule="exact"/>
        <w:rPr>
          <w:rFonts w:hint="eastAsia" w:hAnsi="宋体"/>
          <w:b/>
          <w:color w:val="000000"/>
          <w:sz w:val="24"/>
          <w:szCs w:val="24"/>
        </w:rPr>
      </w:pPr>
      <w:r>
        <w:rPr>
          <w:rFonts w:hint="eastAsia" w:hAnsi="宋体"/>
          <w:b/>
          <w:color w:val="000000"/>
          <w:sz w:val="24"/>
          <w:szCs w:val="24"/>
        </w:rPr>
        <w:t xml:space="preserve">十九、解决争议的方法</w:t>
      </w:r>
      <w:r>
        <w:rPr>
          <w:rFonts w:hint="eastAsia" w:hAnsi="宋体"/>
          <w:b/>
          <w:color w:val="000000"/>
          <w:sz w:val="24"/>
          <w:szCs w:val="24"/>
        </w:rPr>
      </w:r>
      <w:r/>
    </w:p>
    <w:p>
      <w:pPr>
        <w:pStyle w:val="1252"/>
        <w:ind w:firstLine="480"/>
        <w:spacing w:line="440" w:lineRule="exact"/>
        <w:rPr>
          <w:rFonts w:hint="eastAsia" w:hAnsi="宋体"/>
          <w:bCs/>
          <w:color w:val="000000"/>
          <w:sz w:val="24"/>
          <w:szCs w:val="24"/>
        </w:rPr>
      </w:pPr>
      <w:r>
        <w:rPr>
          <w:rFonts w:hint="eastAsia" w:hAnsi="宋体"/>
          <w:bCs/>
          <w:color w:val="000000"/>
          <w:sz w:val="24"/>
          <w:szCs w:val="24"/>
        </w:rPr>
        <w:t xml:space="preserve">19.1甲乙双方在合同履行过程中发生争议，应通过友好协商方式解决，如协商不能达成协议，可向项目实施地所在法院提起诉讼，诉讼费由败诉方承担。</w:t>
      </w:r>
      <w:r>
        <w:rPr>
          <w:rFonts w:hint="eastAsia" w:hAnsi="宋体"/>
          <w:bCs/>
          <w:color w:val="000000"/>
          <w:sz w:val="24"/>
          <w:szCs w:val="24"/>
        </w:rPr>
      </w:r>
      <w:r/>
    </w:p>
    <w:p>
      <w:pPr>
        <w:pStyle w:val="1252"/>
        <w:ind w:left="602" w:hanging="602"/>
        <w:spacing w:line="440" w:lineRule="exact"/>
        <w:rPr>
          <w:rFonts w:hAnsi="宋体"/>
          <w:b/>
          <w:color w:val="000000"/>
          <w:sz w:val="24"/>
          <w:szCs w:val="24"/>
        </w:rPr>
      </w:pPr>
      <w:r>
        <w:rPr>
          <w:rFonts w:hint="eastAsia" w:hAnsi="宋体"/>
          <w:b/>
          <w:color w:val="000000"/>
          <w:sz w:val="24"/>
          <w:szCs w:val="24"/>
        </w:rPr>
        <w:t xml:space="preserve">二十</w:t>
      </w:r>
      <w:r>
        <w:rPr>
          <w:rFonts w:hAnsi="宋体"/>
          <w:b/>
          <w:color w:val="000000"/>
          <w:sz w:val="24"/>
          <w:szCs w:val="24"/>
        </w:rPr>
        <w:t xml:space="preserve">、合同生效及其它</w:t>
      </w:r>
      <w:r>
        <w:rPr>
          <w:rFonts w:hAnsi="宋体"/>
          <w:b/>
          <w:color w:val="000000"/>
          <w:sz w:val="24"/>
          <w:szCs w:val="24"/>
        </w:rPr>
      </w:r>
      <w:r/>
    </w:p>
    <w:p>
      <w:pPr>
        <w:pStyle w:val="1252"/>
        <w:ind w:left="599" w:hanging="120"/>
        <w:spacing w:line="440" w:lineRule="exact"/>
        <w:rPr>
          <w:rFonts w:hint="eastAsia" w:hAnsi="宋体"/>
          <w:color w:val="000000"/>
          <w:sz w:val="24"/>
          <w:szCs w:val="24"/>
        </w:rPr>
      </w:pPr>
      <w:r>
        <w:rPr>
          <w:rFonts w:hint="eastAsia" w:hAnsi="宋体"/>
          <w:color w:val="000000"/>
          <w:sz w:val="24"/>
          <w:szCs w:val="24"/>
        </w:rPr>
        <w:t xml:space="preserve">20.1由于非乙方的原因导致合同期延长，甲、乙双方应按约定签定补充协</w:t>
      </w:r>
      <w:r>
        <w:rPr>
          <w:rFonts w:hint="eastAsia" w:hAnsi="宋体"/>
          <w:color w:val="000000"/>
          <w:sz w:val="24"/>
          <w:szCs w:val="24"/>
        </w:rPr>
      </w:r>
      <w:r/>
    </w:p>
    <w:p>
      <w:pPr>
        <w:pStyle w:val="1252"/>
        <w:spacing w:line="440" w:lineRule="exact"/>
        <w:rPr>
          <w:rFonts w:hAnsi="宋体"/>
          <w:color w:val="000000"/>
          <w:sz w:val="24"/>
          <w:szCs w:val="24"/>
        </w:rPr>
      </w:pPr>
      <w:r>
        <w:rPr>
          <w:rFonts w:hint="eastAsia" w:hAnsi="宋体"/>
          <w:color w:val="000000"/>
          <w:sz w:val="24"/>
          <w:szCs w:val="24"/>
        </w:rPr>
        <w:t xml:space="preserve">议。</w:t>
      </w:r>
      <w:r>
        <w:rPr>
          <w:rFonts w:hAnsi="宋体"/>
          <w:color w:val="000000"/>
          <w:sz w:val="24"/>
          <w:szCs w:val="24"/>
        </w:rPr>
      </w:r>
      <w:r/>
    </w:p>
    <w:p>
      <w:pPr>
        <w:pStyle w:val="1252"/>
        <w:ind w:left="599" w:hanging="120"/>
        <w:spacing w:line="440" w:lineRule="exact"/>
        <w:rPr>
          <w:rFonts w:hint="eastAsia" w:hAnsi="宋体"/>
          <w:color w:val="000000"/>
          <w:sz w:val="24"/>
          <w:szCs w:val="24"/>
        </w:rPr>
      </w:pPr>
      <w:r>
        <w:rPr>
          <w:rFonts w:hint="eastAsia" w:hAnsi="宋体"/>
          <w:color w:val="000000"/>
          <w:sz w:val="24"/>
          <w:szCs w:val="24"/>
        </w:rPr>
        <w:t xml:space="preserve">20.2若实际成交量或合同期因故发生重大变化，双方均可提出合同变更请</w:t>
      </w:r>
      <w:r>
        <w:rPr>
          <w:rFonts w:hint="eastAsia" w:hAnsi="宋体"/>
          <w:color w:val="000000"/>
          <w:sz w:val="24"/>
          <w:szCs w:val="24"/>
        </w:rPr>
      </w:r>
      <w:r/>
    </w:p>
    <w:p>
      <w:pPr>
        <w:pStyle w:val="1252"/>
        <w:spacing w:line="440" w:lineRule="exact"/>
        <w:rPr>
          <w:rFonts w:hAnsi="宋体"/>
          <w:color w:val="000000"/>
          <w:sz w:val="24"/>
          <w:szCs w:val="24"/>
        </w:rPr>
      </w:pPr>
      <w:r>
        <w:rPr>
          <w:rFonts w:hint="eastAsia" w:hAnsi="宋体"/>
          <w:color w:val="000000"/>
          <w:sz w:val="24"/>
          <w:szCs w:val="24"/>
        </w:rPr>
        <w:t xml:space="preserve">求并应签订补充协议，但所有补充协议总金额不得超过原合同总金额的10%。</w:t>
      </w:r>
      <w:r>
        <w:rPr>
          <w:rFonts w:hAnsi="宋体"/>
          <w:color w:val="000000"/>
          <w:sz w:val="24"/>
          <w:szCs w:val="24"/>
        </w:rPr>
      </w:r>
      <w:r/>
    </w:p>
    <w:p>
      <w:pPr>
        <w:pStyle w:val="1252"/>
        <w:ind w:left="599" w:hanging="120"/>
        <w:spacing w:line="440" w:lineRule="exact"/>
        <w:rPr>
          <w:rFonts w:hint="eastAsia" w:hAnsi="宋体"/>
          <w:color w:val="000000"/>
          <w:sz w:val="24"/>
          <w:szCs w:val="24"/>
        </w:rPr>
      </w:pPr>
      <w:r>
        <w:rPr>
          <w:rFonts w:hint="eastAsia" w:hAnsi="宋体"/>
          <w:color w:val="000000"/>
          <w:sz w:val="24"/>
          <w:szCs w:val="24"/>
        </w:rPr>
        <w:t xml:space="preserve">20.3甲方招标文件、乙方投标文件、会议记录均为本合同的组成部分，具</w:t>
      </w:r>
      <w:r>
        <w:rPr>
          <w:rFonts w:hint="eastAsia" w:hAnsi="宋体"/>
          <w:color w:val="000000"/>
          <w:sz w:val="24"/>
          <w:szCs w:val="24"/>
        </w:rPr>
      </w:r>
      <w:r/>
    </w:p>
    <w:p>
      <w:pPr>
        <w:pStyle w:val="1252"/>
        <w:spacing w:line="440" w:lineRule="exact"/>
        <w:rPr>
          <w:rFonts w:hAnsi="宋体"/>
          <w:color w:val="000000"/>
          <w:sz w:val="24"/>
          <w:szCs w:val="24"/>
        </w:rPr>
      </w:pPr>
      <w:r>
        <w:rPr>
          <w:rFonts w:hint="eastAsia" w:hAnsi="宋体"/>
          <w:color w:val="000000"/>
          <w:sz w:val="24"/>
          <w:szCs w:val="24"/>
        </w:rPr>
        <w:t xml:space="preserve">有同等法律效力。</w:t>
      </w:r>
      <w:r>
        <w:rPr>
          <w:rFonts w:hAnsi="宋体"/>
          <w:color w:val="000000"/>
          <w:sz w:val="24"/>
          <w:szCs w:val="24"/>
        </w:rPr>
      </w:r>
      <w:r/>
    </w:p>
    <w:p>
      <w:pPr>
        <w:pStyle w:val="1252"/>
        <w:ind w:left="599" w:hanging="120"/>
        <w:spacing w:line="440" w:lineRule="exact"/>
        <w:rPr>
          <w:rFonts w:hint="eastAsia" w:hAnsi="宋体"/>
          <w:color w:val="000000"/>
          <w:sz w:val="24"/>
          <w:szCs w:val="24"/>
        </w:rPr>
      </w:pPr>
      <w:r>
        <w:rPr>
          <w:rFonts w:hint="eastAsia" w:hAnsi="宋体"/>
          <w:color w:val="000000"/>
          <w:sz w:val="24"/>
          <w:szCs w:val="24"/>
        </w:rPr>
        <w:t xml:space="preserve">20.4本合同经各方签字盖章即生效，并自签订之日起七个工作日内，政府</w:t>
      </w:r>
      <w:r>
        <w:rPr>
          <w:rFonts w:hint="eastAsia" w:hAnsi="宋体"/>
          <w:color w:val="000000"/>
          <w:sz w:val="24"/>
          <w:szCs w:val="24"/>
        </w:rPr>
      </w:r>
      <w:r/>
    </w:p>
    <w:p>
      <w:pPr>
        <w:pStyle w:val="1252"/>
        <w:spacing w:line="440" w:lineRule="exact"/>
        <w:rPr>
          <w:rFonts w:hAnsi="宋体"/>
          <w:color w:val="000000"/>
          <w:sz w:val="24"/>
          <w:szCs w:val="24"/>
        </w:rPr>
      </w:pPr>
      <w:r>
        <w:rPr>
          <w:rFonts w:hint="eastAsia" w:hAnsi="宋体"/>
          <w:color w:val="000000"/>
          <w:sz w:val="24"/>
          <w:szCs w:val="24"/>
        </w:rPr>
        <w:t xml:space="preserve">代理机构须将合同报政府监督管理部门备案，加盖“扬中市政府备案章”。</w:t>
      </w:r>
      <w:r>
        <w:rPr>
          <w:rFonts w:hAnsi="宋体"/>
          <w:color w:val="000000"/>
          <w:sz w:val="24"/>
          <w:szCs w:val="24"/>
        </w:rPr>
      </w:r>
      <w:r/>
    </w:p>
    <w:p>
      <w:pPr>
        <w:pStyle w:val="1252"/>
        <w:ind w:left="599" w:hanging="120"/>
        <w:spacing w:line="440" w:lineRule="exact"/>
        <w:rPr>
          <w:rFonts w:hint="eastAsia" w:hAnsi="宋体"/>
          <w:color w:val="000000"/>
          <w:sz w:val="24"/>
          <w:szCs w:val="24"/>
        </w:rPr>
      </w:pPr>
      <w:r>
        <w:rPr>
          <w:rFonts w:hint="eastAsia" w:hAnsi="宋体"/>
          <w:color w:val="000000"/>
          <w:sz w:val="24"/>
          <w:szCs w:val="24"/>
        </w:rPr>
        <w:t xml:space="preserve">20.5本合同一式陆份，甲方、乙方各执2份、政府代理机构、政府监督管</w:t>
      </w:r>
      <w:r>
        <w:rPr>
          <w:rFonts w:hint="eastAsia" w:hAnsi="宋体"/>
          <w:color w:val="000000"/>
          <w:sz w:val="24"/>
          <w:szCs w:val="24"/>
        </w:rPr>
      </w:r>
      <w:r/>
    </w:p>
    <w:p>
      <w:pPr>
        <w:pStyle w:val="1252"/>
        <w:spacing w:line="440" w:lineRule="exact"/>
        <w:rPr>
          <w:rFonts w:hAnsi="宋体"/>
          <w:color w:val="000000"/>
          <w:sz w:val="24"/>
          <w:szCs w:val="24"/>
        </w:rPr>
      </w:pPr>
      <w:r>
        <w:rPr>
          <w:rFonts w:hint="eastAsia" w:hAnsi="宋体"/>
          <w:color w:val="000000"/>
          <w:sz w:val="24"/>
          <w:szCs w:val="24"/>
        </w:rPr>
        <w:t xml:space="preserve">理部门各执1份。</w:t>
      </w:r>
      <w:r>
        <w:rPr>
          <w:rFonts w:hAnsi="宋体"/>
          <w:color w:val="000000"/>
          <w:sz w:val="24"/>
          <w:szCs w:val="24"/>
        </w:rPr>
      </w:r>
      <w:r/>
    </w:p>
    <w:p>
      <w:pPr>
        <w:pStyle w:val="1214"/>
        <w:spacing w:line="440" w:lineRule="exact"/>
        <w:rPr>
          <w:rFonts w:ascii="宋体" w:hAnsi="宋体" w:cs="Courier New"/>
          <w:color w:val="000000"/>
          <w:sz w:val="24"/>
          <w:szCs w:val="24"/>
        </w:rPr>
      </w:pPr>
      <w:r>
        <w:rPr>
          <w:rFonts w:hint="eastAsia" w:ascii="宋体" w:hAnsi="宋体" w:cs="Courier New"/>
          <w:color w:val="000000"/>
          <w:sz w:val="24"/>
          <w:szCs w:val="24"/>
        </w:rPr>
        <w:t xml:space="preserve">甲方：（盖章）　　　　   　　      乙方：（盖章）</w:t>
      </w:r>
      <w:r>
        <w:rPr>
          <w:rFonts w:ascii="宋体" w:hAnsi="宋体" w:cs="Courier New"/>
          <w:color w:val="000000"/>
          <w:sz w:val="24"/>
          <w:szCs w:val="24"/>
        </w:rPr>
      </w:r>
      <w:r/>
    </w:p>
    <w:p>
      <w:pPr>
        <w:pStyle w:val="1214"/>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代表：（签字）</w:t>
      </w:r>
      <w:r>
        <w:rPr>
          <w:rFonts w:ascii="宋体" w:hAnsi="宋体" w:cs="Courier New"/>
          <w:color w:val="000000"/>
          <w:sz w:val="24"/>
          <w:szCs w:val="24"/>
        </w:rPr>
      </w:r>
      <w:r/>
    </w:p>
    <w:p>
      <w:pPr>
        <w:pStyle w:val="1214"/>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地址：</w:t>
      </w:r>
      <w:r>
        <w:rPr>
          <w:rFonts w:ascii="宋体" w:hAnsi="宋体" w:cs="Courier New"/>
          <w:color w:val="000000"/>
          <w:sz w:val="24"/>
          <w:szCs w:val="24"/>
        </w:rPr>
      </w:r>
      <w:r/>
    </w:p>
    <w:p>
      <w:pPr>
        <w:pStyle w:val="1214"/>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 年 月 日                签约日期： 年 月 日</w:t>
      </w:r>
      <w:r>
        <w:rPr>
          <w:rFonts w:ascii="宋体" w:hAnsi="宋体" w:cs="Courier New"/>
          <w:color w:val="000000"/>
          <w:sz w:val="24"/>
          <w:szCs w:val="24"/>
        </w:rPr>
      </w:r>
      <w:r/>
    </w:p>
    <w:p>
      <w:pPr>
        <w:pStyle w:val="1214"/>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代理（加盖公章）： </w:t>
      </w:r>
      <w:r>
        <w:rPr>
          <w:rFonts w:ascii="宋体" w:hAnsi="宋体" w:cs="Courier New"/>
          <w:color w:val="000000"/>
          <w:sz w:val="24"/>
          <w:szCs w:val="24"/>
        </w:rPr>
      </w:r>
      <w:r/>
    </w:p>
    <w:p>
      <w:pPr>
        <w:pStyle w:val="1214"/>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w:t>
      </w:r>
      <w:r>
        <w:rPr>
          <w:rFonts w:ascii="宋体" w:hAnsi="宋体" w:cs="Courier New"/>
          <w:color w:val="000000"/>
          <w:sz w:val="24"/>
          <w:szCs w:val="24"/>
        </w:rPr>
      </w:r>
      <w:r/>
    </w:p>
    <w:p>
      <w:pPr>
        <w:pStyle w:val="1214"/>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w:t>
      </w:r>
      <w:r>
        <w:rPr>
          <w:rFonts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签约日期： 年 月 日         </w:t>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附件：廉政合同、安全生产合同</w:t>
      </w:r>
      <w:r>
        <w:rPr>
          <w:rFonts w:hint="eastAsia" w:ascii="宋体" w:hAnsi="宋体" w:cs="Courier New"/>
          <w:color w:val="000000"/>
          <w:sz w:val="24"/>
          <w:szCs w:val="24"/>
        </w:rPr>
      </w:r>
      <w:r/>
    </w:p>
    <w:p>
      <w:pPr>
        <w:pStyle w:val="1214"/>
        <w:jc w:val="center"/>
        <w:spacing w:line="440" w:lineRule="exact"/>
        <w:rPr>
          <w:rFonts w:hint="eastAsia" w:ascii="宋体" w:hAnsi="宋体" w:cs="Courier New"/>
          <w:b/>
          <w:bCs/>
          <w:color w:val="000000"/>
          <w:sz w:val="32"/>
          <w:szCs w:val="32"/>
        </w:rPr>
      </w:pPr>
      <w:r>
        <w:rPr>
          <w:rFonts w:hint="eastAsia" w:ascii="宋体" w:hAnsi="宋体" w:cs="Courier New"/>
          <w:b/>
          <w:bCs/>
          <w:color w:val="000000"/>
          <w:sz w:val="32"/>
          <w:szCs w:val="32"/>
        </w:rPr>
      </w:r>
      <w:r/>
    </w:p>
    <w:p>
      <w:pPr>
        <w:pStyle w:val="1214"/>
        <w:jc w:val="center"/>
        <w:spacing w:line="440" w:lineRule="exact"/>
        <w:rPr>
          <w:rFonts w:hint="eastAsia" w:ascii="宋体" w:hAnsi="宋体" w:cs="Courier New"/>
          <w:b/>
          <w:bCs/>
          <w:color w:val="000000"/>
          <w:sz w:val="32"/>
          <w:szCs w:val="32"/>
        </w:rPr>
      </w:pPr>
      <w:r>
        <w:rPr>
          <w:rFonts w:hint="eastAsia" w:ascii="宋体" w:hAnsi="宋体" w:cs="Courier New"/>
          <w:b/>
          <w:bCs/>
          <w:color w:val="000000"/>
          <w:sz w:val="32"/>
          <w:szCs w:val="32"/>
        </w:rPr>
        <w:t xml:space="preserve">廉 政 合 同</w:t>
      </w:r>
      <w:r>
        <w:rPr>
          <w:rFonts w:hint="eastAsia" w:ascii="宋体" w:hAnsi="宋体" w:cs="Courier New"/>
          <w:b/>
          <w:bCs/>
          <w:color w:val="000000"/>
          <w:sz w:val="32"/>
          <w:szCs w:val="32"/>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                                （项目名称）的项目法人                     (项目法人名称，以下简称“发包人”)与该项目的施工单位                      (施工单位名称，以下简称“承包人”)，特订立如下合同。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发包人和承包人双方的权利和义务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严格遵守党的政策规定和国家有关法律法规及交通运输部的有关规定。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严格执行                                （项目名称） 施工合同文件，自觉按合同办事。</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 双方的业务活动坚持公开、公正、诚信、透明的原则(法律认定的商业秘密和合同文件另有规定除外)，不得损害国家和集体利益，不得违反工程建设管理规章制度。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 建立健全廉政制度，开展廉政教育。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发现对方在业务活动中有违反廉政规定的行为，有及时提醒对方纠正的权利和义务。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(6) 发现对方严重违反本合同义务条款的行为，有向其上级有关部门举报、建议给予处理并要求告知处理结果的权利。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发包人的义务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发包人及其工作人员不得索要或接受承包人的礼金、有价证券和物品，不得让承包人报销任何应由发包人或发包人工作人员个人支付的费用等。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发包人工作人员不得参加承包人安排的超标准宴请和娱乐活动；不得接受承包人提供的通讯工具、交通工具和办公用品等。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(3)发包人及其工作人员不得要求或者接受承包人为其住房装修、婚丧嫁娶活 动、配偶子女的工作安排以及出国出境、旅游等提供方便等。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 发包人工作人员及其配偶、子女不得从事与发包人工程有关的材料设备供应、工程分包、劳务等经济活动等。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发包人及其工作人员不得以任何理由向承包人推荐分包单位或推销材料，不得要求承包人购买合同规定外的材料和设备。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(6) 发包人工作人员要秉公办事，不准营私舞弊，不准利用职权从事各种个人有偿中介活动和安排个人施工队伍。</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 承包人的义务</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承包人不得以任何理由向发包人及其工作人员行贿或馈赠礼金、有价证券、礼品。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承包人不得以任何名义为发包人及其工作人员报销应由发包人单位或个人支付的任何费用。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 承包人不得以任何理由安排发包人工作人员参加超标准宴请及娱乐活动。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 承包人不得为发包人单位和个人购置或提供通信工具、交通工具和办公用品等。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 违约责任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发包人及其工作人员违反本合同第 1、2 条，按管理权限，依据有关规定给予党纪、政纪或组织处理；涉嫌犯罪的，移交司法机关追究刑事责任；给承包人单位造成经济损失的，应予以赔偿。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承包人及其工作人员违反本合同第 1、3 条，按管理权限，依据有关规定 给予党纪、政纪或组织处理；给发包人单位造成经济损失的，应予以赔偿；情节严重的，发包人建议交通运输主管部门给予承包人一至三年内不得进入其主管的公路建设市场的处罚。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双方约定：本合同由双方或双方上级单位的纪检监察部门负责监督执行。由发包人或发包人上级单位的纪检监察部门约请承包人或承包人上级单位纪检监察 部门对本合同执行情况进行检查，提出在本合同规定范围内的裁定意见。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6. 本合同有效期为发包人和承包人签署之日起至该工程项目竣工验收后止。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7. 本合同作为                                （项目名称） 施工合同的附件，与工程施工合同具有同等的法律效力，经合同双方签署后立即生效。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8. 本合同一式六份，由发包人和承包人各执两份，送交发包人和承包人的监督单位各一份。</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发包人：(盖单位章) </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法定代表人或其委托代理人：(签字)</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日期：    年   月    日</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承包人： (盖单位章) </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法定代表人或其委托代理人：(签字)</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日期：    年   月    日</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jc w:val="center"/>
        <w:spacing w:line="440" w:lineRule="exact"/>
        <w:rPr>
          <w:rFonts w:hint="eastAsia" w:ascii="宋体" w:hAnsi="宋体" w:cs="Courier New"/>
          <w:b/>
          <w:bCs/>
          <w:color w:val="000000"/>
          <w:sz w:val="36"/>
          <w:szCs w:val="36"/>
        </w:rPr>
      </w:pPr>
      <w:r>
        <w:rPr>
          <w:rFonts w:hint="eastAsia" w:ascii="宋体" w:hAnsi="宋体" w:cs="Courier New"/>
          <w:b/>
          <w:bCs/>
          <w:color w:val="000000"/>
          <w:sz w:val="36"/>
          <w:szCs w:val="36"/>
        </w:rPr>
        <w:t xml:space="preserve">安全生产合同</w:t>
      </w:r>
      <w:r>
        <w:rPr>
          <w:rFonts w:hint="eastAsia" w:ascii="宋体" w:hAnsi="宋体" w:cs="Courier New"/>
          <w:b/>
          <w:bCs/>
          <w:color w:val="000000"/>
          <w:sz w:val="36"/>
          <w:szCs w:val="36"/>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为在扬中市S238扬中一桥货车动态称重监测设施项目(项目名称) 施工合同的实施过程中创造安全、高效的施工环境，切实搞好本项目的安全管理工作，本项目发包人           (发包 人名称，以下简称“发包人”)与承包人                             (承包人名称，以下简称“承包人”) 特此签订安全生产合同：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1.发包人职责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严格遵守国家有关安全生产的法律法规，认真执行工程承包合同中的有关安全要求。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按照“安全第一、预防为主”和坚持“管生产必须管安全”的原则进行安全生产管理，做到生产与安全工作同时计划、布置、检查、总结和评比。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 重要的安全设施必须坚持与主体工程“三同时”的原则，即：同时设计、审批，同时施工，同时验收，投入使用。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 定期召开安全生产调度会，及时传达中央及地方有关安全生产的精神。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组织对承包人施工现场进行安全生产检查，监督承包人及时处理发现的各种安全隐患。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2.承包人职责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严格遵守《中华人民共和国安全生产法》、《建设工程安全生产管理条例》等国家有关安全生产的法律法规《公路水运工程安全生产监督管理办法》《公路工 程施工安全技术规程》和《公路筑养路机械操作规程》等有关安全生产的规定。认真执行工程承包合同中的有关安全要求。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坚持“安全第一、预防为主”和“管生产必须管安全”的原则，加强安全生产宣传教育，增强全员安全生产意识，建立健全各项安全生产的管理机构和安全生产 管理制度，配备专职及兼职安全检查人员，有组织有领导地开展安全生产活动。各级领导、工程技术人员、生产管理人员和具体操作人员，必须熟悉和遵守本合同的 各项规定，做到生产与安全工作同时计划、布置、检查、总结和评比。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(3)建立健全安全生产责任制。从派往项目实施的项目经理到生产工 人(包括临 时雇请的民工)的安全生产管理系统必须做到纵向到底，一环不漏；各职能部门、人 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 作及预防事故的发生。安全机构人员有权按有关规定发布指令，并采取保护性措施防止事故发生。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(4)承包人在任何时候都应采取各种合理的预防措施，防止其员工发生任何违法、违禁、暴力或妨碍治安的行为。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 工种的人员，经过专业培训，获得《安全操作合格证》后，方准持证上岗。施工现 场如出现特种作业无证操作现象时，项目经理必须承担管理责任。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(6) 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(7) 操作人员上岗，必须按规定穿戴防护用品。施工负责人和安全检查员应随时检查劳动防护用品的穿戴情况，不按规定穿戴防护用品的人员不得上岗。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(8) 所有施工机具设备和高空作业的设备均应定期检查，并有安全员的签字记录，保证其经常处于完好状态；不合格的机具、设备和劳动保护用品严禁使用。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(9) 施工中采用新技术、新工艺、新设备、新材料时，必须制定相应的安全技术措施，施工现场必须具有相关的安全标志牌。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(10) 承包人必须按照本工程项目特点，组织制定本工程实施中的生产安全事 故应急救援预案；如果发生安全事故，应按照《国务院关于特大安全事故行政责任 追究的规定》以及其他有关规定，及时上报有关部门，并坚持“四不放过”的原则， 严肃处理相关责任人。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(11) 安全生产费用按照《公路水运工程安全生产监督管理办法》的相关规定使用和管理。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3.违约责任如因发包人或承包人违约造成安全事故，将依法追究责任。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 本合同由双方法定代表人或其授权的代理人签署并加盖单位章后生效，全部工程竣工验收后失效。 </w:t>
      </w:r>
      <w:r>
        <w:rPr>
          <w:rFonts w:hint="eastAsia" w:ascii="宋体" w:hAnsi="宋体" w:cs="Courier New"/>
          <w:color w:val="000000"/>
          <w:sz w:val="24"/>
          <w:szCs w:val="24"/>
        </w:rPr>
      </w:r>
      <w:r/>
    </w:p>
    <w:p>
      <w:pPr>
        <w:pStyle w:val="1214"/>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本合同一式六份，合同双方各执三份。</w:t>
      </w:r>
      <w:r>
        <w:rPr>
          <w:rFonts w:hint="eastAsia" w:ascii="宋体" w:hAnsi="宋体" w:cs="Courier New"/>
          <w:color w:val="000000"/>
          <w:sz w:val="24"/>
          <w:szCs w:val="24"/>
        </w:rPr>
      </w:r>
      <w:r/>
    </w:p>
    <w:p>
      <w:pPr>
        <w:spacing w:line="440" w:lineRule="exact"/>
        <w:rPr>
          <w:rFonts w:hint="eastAsia" w:ascii="宋体" w:hAnsi="宋体" w:cs="Courier New"/>
          <w:color w:val="000000"/>
          <w:sz w:val="24"/>
          <w:szCs w:val="24"/>
        </w:rPr>
      </w:pPr>
      <w:r>
        <w:rPr>
          <w:rFonts w:hint="eastAsia" w:ascii="宋体" w:hAnsi="宋体" w:cs="Courier New"/>
          <w:color w:val="000000"/>
          <w:sz w:val="24"/>
          <w:szCs w:val="24"/>
        </w:rPr>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发包人：(盖单位章) </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法定代表人或其委托代理人：(签字)</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日期：    年   月    日</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承包人： (盖单位章) </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法定代表人或其委托代理人：(签字)</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日期：    年   月    日</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214"/>
        <w:rPr>
          <w:color w:val="000000"/>
        </w:rPr>
      </w:pPr>
      <w:r>
        <w:rPr>
          <w:color w:val="000000"/>
        </w:rPr>
      </w:r>
      <w:r/>
    </w:p>
    <w:p>
      <w:pPr>
        <w:pStyle w:val="1252"/>
        <w:jc w:val="center"/>
        <w:spacing w:before="120" w:after="120" w:line="440" w:lineRule="exact"/>
        <w:rPr>
          <w:rFonts w:hint="eastAsia" w:hAnsi="宋体"/>
          <w:color w:val="000000"/>
          <w:sz w:val="24"/>
          <w:szCs w:val="24"/>
        </w:rPr>
      </w:pPr>
      <w:r/>
      <w:bookmarkEnd w:id="188"/>
      <w:r/>
      <w:bookmarkEnd w:id="189"/>
      <w:r/>
      <w:bookmarkEnd w:id="190"/>
      <w:r/>
      <w:bookmarkStart w:id="191" w:name="_Hlt16619350"/>
      <w:r/>
      <w:bookmarkStart w:id="192" w:name="_Toc20823346"/>
      <w:r/>
      <w:bookmarkStart w:id="193" w:name="_Toc16938590"/>
      <w:r/>
      <w:bookmarkStart w:id="194" w:name="_Toc120614244"/>
      <w:r/>
      <w:bookmarkStart w:id="195" w:name="_Toc462564139"/>
      <w:r/>
      <w:bookmarkStart w:id="196" w:name="_Toc479757211"/>
      <w:r>
        <w:rPr>
          <w:rFonts w:hint="eastAsia" w:ascii="黑体" w:eastAsia="黑体"/>
          <w:bCs/>
          <w:color w:val="000000"/>
          <w:sz w:val="32"/>
          <w:szCs w:val="32"/>
        </w:rPr>
        <w:t xml:space="preserve">第</w:t>
      </w:r>
      <w:bookmarkEnd w:id="191"/>
      <w:r>
        <w:rPr>
          <w:rFonts w:hint="eastAsia" w:ascii="黑体" w:eastAsia="黑体"/>
          <w:bCs/>
          <w:color w:val="000000"/>
          <w:sz w:val="32"/>
          <w:szCs w:val="32"/>
        </w:rPr>
        <w:t xml:space="preserve">四章 招标需求</w:t>
      </w:r>
      <w:bookmarkEnd w:id="192"/>
      <w:r/>
      <w:bookmarkEnd w:id="193"/>
      <w:r/>
      <w:bookmarkEnd w:id="194"/>
      <w:r>
        <w:rPr>
          <w:rFonts w:hint="eastAsia" w:hAnsi="宋体"/>
          <w:color w:val="000000"/>
          <w:sz w:val="24"/>
          <w:szCs w:val="24"/>
        </w:rPr>
      </w:r>
      <w:r/>
    </w:p>
    <w:p>
      <w:pPr>
        <w:pStyle w:val="1214"/>
        <w:spacing w:line="360" w:lineRule="auto"/>
        <w:rPr>
          <w:rFonts w:hint="eastAsia" w:ascii="宋体" w:hAnsi="宋体" w:cs="宋体"/>
          <w:b/>
          <w:bCs/>
          <w:color w:val="000000"/>
          <w:sz w:val="24"/>
          <w:szCs w:val="24"/>
        </w:rPr>
      </w:pPr>
      <w:r/>
      <w:bookmarkStart w:id="197" w:name="_Toc49090575"/>
      <w:r/>
      <w:bookmarkStart w:id="198" w:name="_Toc26554093"/>
      <w:r>
        <w:rPr>
          <w:rFonts w:hint="eastAsia" w:ascii="宋体" w:hAnsi="宋体" w:cs="宋体"/>
          <w:b/>
          <w:bCs/>
          <w:color w:val="000000"/>
          <w:sz w:val="24"/>
          <w:szCs w:val="24"/>
        </w:rPr>
        <w:t xml:space="preserve">项目属性:货物类项目。</w:t>
      </w:r>
      <w:bookmarkStart w:id="199" w:name="_Toc120614281"/>
      <w:r>
        <w:rPr>
          <w:rFonts w:hint="eastAsia" w:ascii="宋体" w:hAnsi="宋体" w:cs="宋体"/>
          <w:b/>
          <w:bCs/>
          <w:color w:val="000000"/>
          <w:sz w:val="24"/>
          <w:szCs w:val="24"/>
        </w:rPr>
      </w:r>
      <w:r/>
    </w:p>
    <w:p>
      <w:pPr>
        <w:pStyle w:val="1292"/>
        <w:spacing w:line="360" w:lineRule="auto"/>
        <w:tabs>
          <w:tab w:val="center" w:pos="4153" w:leader="none"/>
          <w:tab w:val="right" w:pos="8306" w:leader="none"/>
        </w:tabs>
        <w:rPr>
          <w:rFonts w:hint="eastAsia" w:ascii="宋体" w:hAnsi="宋体" w:cs="宋体"/>
          <w:bCs/>
          <w:color w:val="000000"/>
          <w:sz w:val="24"/>
          <w:szCs w:val="24"/>
        </w:rPr>
      </w:pPr>
      <w:r/>
      <w:bookmarkStart w:id="200" w:name="_Hlk163494064"/>
      <w:r/>
      <w:bookmarkStart w:id="201" w:name="_Toc24651"/>
      <w:r>
        <w:rPr>
          <w:rFonts w:hint="eastAsia" w:ascii="宋体" w:hAnsi="宋体" w:cs="宋体"/>
          <w:bCs/>
          <w:color w:val="000000"/>
          <w:sz w:val="24"/>
          <w:szCs w:val="24"/>
        </w:rPr>
        <w:t xml:space="preserve">一、项目概述</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bookmarkStart w:id="202" w:name="_Hlk136249171"/>
      <w:r>
        <w:rPr>
          <w:rFonts w:hint="eastAsia" w:ascii="宋体" w:hAnsi="宋体" w:cs="宋体"/>
          <w:bCs/>
          <w:color w:val="000000"/>
          <w:sz w:val="24"/>
          <w:szCs w:val="24"/>
        </w:rPr>
        <w:t xml:space="preserve">随着经济的发展，通行车辆数量及重量不断激增，已远远超出其承受负荷，特别是超限超载车辆的通行对道路、桥梁、渡口等会造成不同程度的损伤，道路的车流量已大幅增加，同时货运车辆也大幅增加，时有超限超载车辆通行，对道路交通运输安全造成很大的隐患，对超载超限车辆的监控管理已迫在眉睫，十分必要。</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本次扬中市S238扬中一桥货车动态称重监测设施的实施，充分响应了江苏省普通公路货车动态监测设施布局规划及建设计划要求，大力推进科技治超信息化系统落地，进一步夯实来之不易的治超成果。</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建成投入使用后，将可对经过监测点的货运车辆进行双向24小时不停车自动检测，判断是否存在超限超载行为，然后采用检测数据记录资料作为证据，实现对非法超限超载行为实施不漏网精准稽查和布控，能更有效遏制道路交通安全事故发生，同时也可缓解交通运输一线执法力量不足问题。</w:t>
      </w:r>
      <w:r>
        <w:rPr>
          <w:rFonts w:hint="eastAsia" w:ascii="宋体" w:hAnsi="宋体" w:cs="宋体"/>
          <w:bCs/>
          <w:color w:val="000000"/>
          <w:sz w:val="24"/>
          <w:szCs w:val="24"/>
        </w:rPr>
      </w:r>
      <w:r/>
    </w:p>
    <w:p>
      <w:pPr>
        <w:pStyle w:val="1292"/>
        <w:spacing w:line="360" w:lineRule="auto"/>
        <w:tabs>
          <w:tab w:val="center" w:pos="4153" w:leader="none"/>
          <w:tab w:val="right" w:pos="8306" w:leader="none"/>
        </w:tabs>
        <w:rPr>
          <w:rFonts w:hint="eastAsia" w:ascii="宋体" w:hAnsi="宋体" w:cs="宋体"/>
          <w:bCs/>
          <w:color w:val="000000"/>
          <w:sz w:val="24"/>
          <w:szCs w:val="24"/>
        </w:rPr>
      </w:pPr>
      <w:r/>
      <w:bookmarkEnd w:id="202"/>
      <w:r>
        <w:rPr>
          <w:rFonts w:hint="eastAsia" w:ascii="宋体" w:hAnsi="宋体" w:cs="宋体"/>
          <w:bCs/>
          <w:color w:val="000000"/>
          <w:sz w:val="24"/>
          <w:szCs w:val="24"/>
        </w:rPr>
        <w:t xml:space="preserve">二、建设内容</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bookmarkStart w:id="203" w:name="_Hlk136249296"/>
      <w:r>
        <w:rPr>
          <w:rFonts w:hint="eastAsia" w:ascii="宋体" w:hAnsi="宋体" w:cs="宋体"/>
          <w:bCs/>
          <w:color w:val="000000"/>
          <w:sz w:val="24"/>
          <w:szCs w:val="24"/>
        </w:rPr>
        <w:t xml:space="preserve">项目建设内容包括动态称重子系统、车牌车貌识别子系统、视频监控子系统、信息发布子系统、超限综合管控平台、配套工程等几大块内容。</w:t>
      </w:r>
      <w:r>
        <w:rPr>
          <w:rFonts w:hint="eastAsia" w:ascii="宋体" w:hAnsi="宋体" w:cs="宋体"/>
          <w:bCs/>
          <w:color w:val="000000"/>
          <w:sz w:val="24"/>
          <w:szCs w:val="24"/>
        </w:rPr>
      </w:r>
      <w:r/>
    </w:p>
    <w:p>
      <w:pPr>
        <w:pStyle w:val="1292"/>
        <w:spacing w:line="360" w:lineRule="auto"/>
        <w:tabs>
          <w:tab w:val="center" w:pos="4153" w:leader="none"/>
          <w:tab w:val="right" w:pos="8306" w:leader="none"/>
        </w:tabs>
        <w:rPr>
          <w:rFonts w:hint="eastAsia" w:ascii="宋体" w:hAnsi="宋体" w:cs="宋体"/>
          <w:bCs/>
          <w:color w:val="000000"/>
          <w:sz w:val="24"/>
          <w:szCs w:val="24"/>
        </w:rPr>
      </w:pPr>
      <w:r/>
      <w:bookmarkEnd w:id="203"/>
      <w:r>
        <w:rPr>
          <w:rFonts w:hint="eastAsia" w:ascii="宋体" w:hAnsi="宋体" w:cs="宋体"/>
          <w:bCs/>
          <w:color w:val="000000"/>
          <w:sz w:val="24"/>
          <w:szCs w:val="24"/>
        </w:rPr>
        <w:t xml:space="preserve">三、服务要求</w:t>
      </w:r>
      <w:bookmarkEnd w:id="200"/>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1、供应商对该工程所使用的全部材料、配件及工程质量负责，缺陷责任期间除人为损坏，其他质量问题24小时内到位维修。</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2、在免费缺陷责任期内，供应商须对由于工程本身质量原因造成的任何缺损进行免费修补或更换。 </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3、供应商必须保证项目负责人亲临现场进行巡视、指导，检查施工进度和质量；施工时间内项目施工员必须全程驻留工地。 </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4、未经采购人同意供应商不得更换项目负责人及管理班子人员。 </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5、材料进场、垃圾外运时需注意对业主方道路、道板及绿化的保护，如有损坏，施工方应恢复原样，相关维修费由供应商自理。 </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6、供应商在施工过程中注意对已完工的成品保护，保证交付采购人使用的工程符合验收标准。</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pPr>
      <w:r>
        <w:rPr>
          <w:rFonts w:hint="eastAsia" w:ascii="宋体" w:hAnsi="宋体" w:cs="宋体"/>
          <w:bCs/>
          <w:color w:val="000000"/>
          <w:sz w:val="24"/>
          <w:szCs w:val="24"/>
        </w:rPr>
        <w:t xml:space="preserve">7、供应商可以提供的其他服务措施和承诺；</w:t>
      </w:r>
      <w:r>
        <w:rPr>
          <w:rFonts w:hint="eastAsia" w:ascii="宋体" w:hAnsi="宋体" w:cs="宋体"/>
          <w:bCs/>
          <w:color w:val="000000"/>
          <w:sz w:val="24"/>
          <w:szCs w:val="24"/>
        </w:rPr>
      </w:r>
      <w:r/>
    </w:p>
    <w:p>
      <w:pPr>
        <w:pStyle w:val="1292"/>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四、采购清单</w:t>
      </w:r>
      <w:bookmarkEnd w:id="201"/>
      <w:r>
        <w:rPr>
          <w:rFonts w:hint="eastAsia" w:ascii="宋体" w:hAnsi="宋体" w:cs="宋体"/>
          <w:bCs/>
          <w:color w:val="000000"/>
          <w:sz w:val="24"/>
          <w:szCs w:val="24"/>
        </w:rPr>
        <w:t xml:space="preserve">及性能参数</w:t>
      </w:r>
      <w:r>
        <w:rPr>
          <w:rFonts w:hint="eastAsia" w:ascii="宋体" w:hAnsi="宋体" w:cs="宋体"/>
          <w:bCs/>
          <w:color w:val="000000"/>
          <w:sz w:val="24"/>
          <w:szCs w:val="24"/>
        </w:rPr>
      </w:r>
      <w:r/>
    </w:p>
    <w:tbl>
      <w:tblPr>
        <w:tblW w:w="13949" w:type="dxa"/>
        <w:tblInd w:w="-15" w:type="dxa"/>
        <w:tblLayout w:type="fixed"/>
        <w:tblCellMar>
          <w:left w:w="108" w:type="dxa"/>
          <w:top w:w="0" w:type="dxa"/>
          <w:right w:w="108" w:type="dxa"/>
          <w:bottom w:w="0" w:type="dxa"/>
        </w:tblCellMar>
        <w:tblLook w:val="04A0" w:firstRow="1" w:lastRow="0" w:firstColumn="1" w:lastColumn="0" w:noHBand="0" w:noVBand="1"/>
      </w:tblPr>
      <w:tblGrid>
        <w:gridCol w:w="790"/>
        <w:gridCol w:w="982"/>
        <w:gridCol w:w="9573"/>
        <w:gridCol w:w="876"/>
        <w:gridCol w:w="795"/>
        <w:gridCol w:w="933"/>
      </w:tblGrid>
      <w:tr>
        <w:trPr>
          <w:trHeight w:val="375"/>
        </w:trPr>
        <w:tc>
          <w:tcPr>
            <w:shd w:val="clear" w:color="auto" w:fill="bfbfb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bookmarkStart w:id="204" w:name="_Toc29535"/>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设备名称</w:t>
            </w:r>
            <w:r>
              <w:rPr>
                <w:rFonts w:hint="eastAsia" w:ascii="宋体" w:hAnsi="宋体" w:cs="宋体"/>
                <w:b/>
                <w:bCs/>
                <w:color w:val="000000"/>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相关要求</w:t>
            </w:r>
            <w:r>
              <w:rPr>
                <w:rFonts w:hint="eastAsia" w:ascii="宋体" w:hAnsi="宋体" w:cs="宋体"/>
                <w:b/>
                <w:bCs/>
                <w:color w:val="000000"/>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shd w:val="clear" w:color="auto" w:fill="bfbfbf"/>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备注</w:t>
            </w:r>
            <w:r>
              <w:rPr>
                <w:rFonts w:hint="eastAsia" w:ascii="宋体" w:hAnsi="宋体" w:cs="宋体"/>
                <w:b/>
                <w:bCs/>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1</w:t>
            </w:r>
            <w:r>
              <w:rPr>
                <w:rFonts w:hint="eastAsia" w:ascii="宋体" w:hAnsi="宋体" w:cs="宋体"/>
                <w:b/>
                <w:bCs/>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13159" w:type="dxa"/>
            <w:vAlign w:val="center"/>
            <w:textDirection w:val="lrTb"/>
            <w:noWrap/>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动态称重子系统</w:t>
            </w:r>
            <w:r>
              <w:rPr>
                <w:rFonts w:hint="eastAsia" w:ascii="宋体" w:hAnsi="宋体" w:cs="宋体"/>
                <w:b/>
                <w:bCs/>
                <w:color w:val="000000"/>
                <w:sz w:val="24"/>
                <w:szCs w:val="24"/>
              </w:rPr>
            </w:r>
            <w:r/>
          </w:p>
        </w:tc>
      </w:tr>
      <w:tr>
        <w:trPr>
          <w:trHeight w:val="29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称重平板主体</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1、精度动态5级，首次检定最大允许误差±2.50％，使用中检验最大允许误差±5.00％；机动车道覆盖；</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2、车辆称重车速速度范围0.5-100km/h；</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3、称重台与公路路面一体化安装方式不影响车辆通行；</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整体式结构，承载面板同测力结构部分完全固化，无活动构件；通过车辆的单轴轴重40t；称重台面可按道路实际宽度定制，覆盖整个检测道路横断面，无检测死角；相邻台面之间采用“无缝”拼接技术，保证车辆在碾压台面接缝行驶时也可准确检测；在允许轴重下车辆总重量不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5、称重平板具有抗盐雾性能。符合国标GB/T2423《电工电子产品环境试验》的相关要求规定；秤台抗盐雾性能通过连续喷雾不低于1200h盐雾测试合格；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★6、具备轴组载荷称重功能，能够对单轴载荷、双轴载荷、三轴载荷、四轴载荷分别进行测量，每轴的检测误差不大于±2.5%；</w:t>
            </w:r>
            <w:r>
              <w:rPr>
                <w:rFonts w:hint="eastAsia" w:ascii="宋体" w:hAnsi="宋体" w:cs="宋体"/>
                <w:b/>
                <w:bCs/>
                <w:color w:val="000000"/>
                <w:sz w:val="24"/>
                <w:szCs w:val="24"/>
                <w:lang w:bidi="ar"/>
              </w:rPr>
              <w:t xml:space="preserve">（提供法定计量机构出具的检测报告加盖公章）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★7、称重平板强度高，最大过载能力强。满足以300%F.S（120t）施加载荷，连续加载不低于65万次后秤台无永久性变形，无任何裂纹产生，测试结果参考 GB/T 3075-2021 中规定的试验方法原理；</w:t>
            </w:r>
            <w:r>
              <w:rPr>
                <w:rFonts w:hint="eastAsia" w:ascii="宋体" w:hAnsi="宋体" w:cs="宋体"/>
                <w:b/>
                <w:bCs/>
                <w:color w:val="000000"/>
                <w:sz w:val="24"/>
                <w:szCs w:val="24"/>
                <w:lang w:bidi="ar"/>
              </w:rPr>
              <w:t xml:space="preserve">（提供第三方检验机构出具的合格的检验报告加盖公章）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★8、称重平板刚度大，耐疲劳。疲劳试验满足称重设备加载40t载荷不低于6800万次，称重台面变形小，无裂纹产生，测试结果判定为合格（试验后称重台面变形量在设计允许范围内，无裂纹产生）或“参考 GB/T 3075-2021中试验方法原理”进行等效测试；</w:t>
            </w:r>
            <w:r>
              <w:rPr>
                <w:rFonts w:hint="eastAsia" w:ascii="宋体" w:hAnsi="宋体" w:cs="宋体"/>
                <w:b/>
                <w:bCs/>
                <w:color w:val="000000"/>
                <w:sz w:val="24"/>
                <w:szCs w:val="24"/>
                <w:lang w:bidi="ar"/>
              </w:rPr>
              <w:t xml:space="preserve">（提供第三方检验机构出具的合格的检验报告加盖公章）</w:t>
            </w:r>
            <w:r>
              <w:rPr>
                <w:rFonts w:hint="eastAsia" w:ascii="宋体" w:hAnsi="宋体" w:cs="宋体"/>
                <w:b/>
                <w:bCs/>
                <w:color w:val="000000"/>
                <w:sz w:val="24"/>
                <w:szCs w:val="24"/>
                <w:lang w:bidi="ar"/>
              </w:rPr>
              <w:br w:type="textWrapping" w:clear="all"/>
            </w:r>
            <w:r>
              <w:rPr>
                <w:rFonts w:hint="eastAsia" w:ascii="宋体" w:hAnsi="宋体" w:cs="宋体"/>
                <w:color w:val="000000"/>
                <w:sz w:val="24"/>
                <w:szCs w:val="24"/>
                <w:lang w:bidi="ar"/>
              </w:rPr>
              <w:t xml:space="preserve">★9、称重平板主体具备识别三轴牵引车+三轴六线挂车、三轴牵引车+四轴八线挂车大件运输车辆的轴数、轴线数的功能，并能准确输出识别结果；</w:t>
            </w:r>
            <w:r>
              <w:rPr>
                <w:rFonts w:hint="eastAsia" w:ascii="宋体" w:hAnsi="宋体" w:cs="宋体"/>
                <w:b/>
                <w:bCs/>
                <w:color w:val="000000"/>
                <w:sz w:val="24"/>
                <w:szCs w:val="24"/>
                <w:lang w:bidi="ar"/>
              </w:rPr>
              <w:t xml:space="preserve">（提供法定计量机构出具的检测报告）</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车道</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核心产品</w:t>
            </w:r>
            <w:r>
              <w:rPr>
                <w:rFonts w:hint="eastAsia" w:ascii="宋体" w:hAnsi="宋体" w:cs="宋体"/>
                <w:color w:val="000000"/>
                <w:sz w:val="24"/>
                <w:szCs w:val="24"/>
              </w:rPr>
            </w:r>
            <w:r/>
          </w:p>
        </w:tc>
      </w:tr>
      <w:tr>
        <w:trPr>
          <w:trHeight w:val="22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称重传感器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1、电阻应变式称重传感器；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2、绝缘等级不小于5000MΩ（50 VDC）；</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3、灵敏度不小于1.5mv/v；</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4、抗腐蚀性能符合GB/T 2</w:t>
            </w:r>
            <w:r>
              <w:rPr>
                <w:rFonts w:hint="eastAsia" w:ascii="宋体" w:hAnsi="宋体" w:cs="宋体"/>
                <w:color w:val="000000"/>
                <w:sz w:val="24"/>
                <w:szCs w:val="24"/>
                <w:lang w:bidi="ar"/>
              </w:rPr>
              <w:t xml:space="preserve">423的相关要求规定，测试时间不少于840h,实验结果无腐蚀、无损坏、无故障，功能正常使用，检验合格。                                                                                        ★5、抗疲劳检测符GB/T 7723-2017的相关要求规定，测试施加载荷20000kg、频率5Hz的条件下满负荷下经过不少于5000万次的循环加载疲劳试验后，传感器无损坏，无变形，紧固件无松动，秤体所属仪表显示正常，检验合格或通过；</w:t>
            </w:r>
            <w:r>
              <w:rPr>
                <w:rFonts w:hint="eastAsia" w:ascii="宋体" w:hAnsi="宋体" w:cs="宋体"/>
                <w:b/>
                <w:bCs/>
                <w:color w:val="000000"/>
                <w:sz w:val="24"/>
                <w:szCs w:val="24"/>
                <w:lang w:bidi="ar"/>
              </w:rPr>
              <w:t xml:space="preserve">（提供第三方检验机构出具的合格的检验报告加盖公章）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lang w:bidi="ar"/>
              </w:rPr>
              <w:t xml:space="preserve">核心产品</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大件车型识别传感器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形式:压电式;最小检测轴重:100KG;防护等级:≥IP68。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大件车型识别模块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最大检测通道数:8通道/4通道</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99"/>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称重数据处理单元</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1、车辆总重量的准确度等级5级;独立壳体，具有硬件铅封装置，可防止人为篡改计量参数。</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★2、内核：具有工业级嵌入式内核、搭载实时操作系统；</w:t>
            </w:r>
            <w:r>
              <w:rPr>
                <w:rFonts w:hint="eastAsia" w:ascii="宋体" w:hAnsi="宋体" w:cs="宋体"/>
                <w:b/>
                <w:bCs/>
                <w:color w:val="000000"/>
                <w:sz w:val="24"/>
                <w:szCs w:val="24"/>
                <w:highlight w:val="none"/>
                <w:lang w:bidi="ar"/>
              </w:rPr>
              <w:t xml:space="preserve">（提供第三方检验机构出具的合格的检验报告加盖公章）</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★3、通过以下电磁兼容试验合格：①静电放电抗扰度能力符合GB/T 17626.2-2018的要求；②射频电磁场辐射抗扰度能力符合GB/T 17626.3-2023的要求；③电快速瞬变脉冲群抗扰度能力符合GB/T </w:t>
            </w:r>
            <w:r>
              <w:rPr>
                <w:rFonts w:hint="eastAsia" w:ascii="宋体" w:hAnsi="宋体" w:cs="宋体"/>
                <w:color w:val="000000"/>
                <w:sz w:val="24"/>
                <w:szCs w:val="24"/>
                <w:highlight w:val="none"/>
                <w:lang w:bidi="ar"/>
              </w:rPr>
              <w:t xml:space="preserve">17626.4-2018的要求；④浪涌（冲击）抗扰度能力符合GB/T 17626.5-2019的要求；⑤射频场感应的传导骚扰抗扰度能力符合GB/T 17626.6-2017的要求； ⑥工频磁场抗扰度能力符合GB/T 17626.8-2006的要求；⑦脉冲磁场抗扰度能力符合 GB/T 17626.9-2025的要求； ⑧电压暂降、短时中断和电压变化的抗扰度能力符合 GB/T 17626.11-2023 的要求（适用于额定输入电流每相≤16A的设备）；⑨电压波动抗扰度符合GB/T17626.14-2005的要求</w:t>
            </w:r>
            <w:r>
              <w:rPr>
                <w:rFonts w:hint="eastAsia" w:ascii="宋体" w:hAnsi="宋体" w:cs="宋体"/>
                <w:b/>
                <w:bCs/>
                <w:color w:val="000000"/>
                <w:sz w:val="24"/>
                <w:szCs w:val="24"/>
                <w:highlight w:val="none"/>
                <w:lang w:bidi="ar"/>
              </w:rPr>
              <w:t xml:space="preserve">；（提供第三方检验机构出具的合格的检验报告加盖公章）</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核心产品</w:t>
            </w:r>
            <w:r>
              <w:rPr>
                <w:rFonts w:hint="eastAsia" w:ascii="宋体" w:hAnsi="宋体" w:cs="宋体"/>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动态称重工作站</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硬件部分:处理器:IntelI7;双硬盘:500G/7200转+120G固态硬盘;内存:8G;网络:10/100M/1000M自适应网卡X2;软件部分:操作系统:WindowsXP/7;全天候连续工作;断电后来电自动开机并自动加载监测系统;远程维护模块及远程管理系统。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线圈</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检测线圈:采用FVN1.5平方高温导线;含施工。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车辆检测器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8通道</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402"/>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路侧智能机柜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1、机柜钢板厚度1.5mm碳钢喷塑，高度不低于1.8m;机柜门锁采用防盗锁;机柜内置温控器和轴流风扇。</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智能安全保护模块：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要求为软硬件一体机≤1.5U，双电源，内置显示屏，通讯接口包含RJ45、4G、WIFI，标配网络防雷接口≥6路、接地通路接口≥2路、漏电监测接口≥6路、RS485接口≥6路、RS232串口≥1路、USB接口≥2路、HDMI接口≥1路、电源输出接口≥6路16A国标五孔插座；</w:t>
            </w:r>
            <w:r>
              <w:rPr>
                <w:rFonts w:hint="eastAsia" w:ascii="宋体" w:hAnsi="宋体" w:cs="宋体"/>
                <w:b/>
                <w:bCs/>
                <w:color w:val="000000"/>
                <w:sz w:val="24"/>
                <w:szCs w:val="24"/>
                <w:lang w:bidi="ar"/>
              </w:rPr>
              <w:t xml:space="preserve">（提供产品完整实物且体现接口的清晰照片并加盖公章加盖公章）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3、具有电涌保护功能支持网络和电源系统防雷击防浪涌；</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★4、路侧智能机柜内安装的信号电涌保护器（SPD）应符合GB/T 18802.21-2016《低压电涌保护器 第21部分：电信和信号网络的电涌保护器（SPD）性能要求和试验方法》的要求，其冲击耐受能力（1.2/50μs-8/20μs）应不低于10kV/5kA。</w:t>
            </w:r>
            <w:r>
              <w:rPr>
                <w:rFonts w:hint="eastAsia" w:ascii="宋体" w:hAnsi="宋体" w:cs="宋体"/>
                <w:b/>
                <w:bCs/>
                <w:color w:val="000000"/>
                <w:sz w:val="24"/>
                <w:szCs w:val="24"/>
                <w:lang w:bidi="ar"/>
              </w:rPr>
              <w:t xml:space="preserve">（提供第三方检验机构出具的合格检验报告，加盖公章）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★5、产品符合GB/T 18802.11-2020《低压电涌保护器(SPD)第11部分:低压电源系统的电涌保护器性能要求和试验方法》：电压保护水平Up≤1.6kV，标称放电电流In(8/20μs)≥20kA，最大放电电流Imax(8/20μs)≥40kA</w:t>
            </w:r>
            <w:r>
              <w:rPr>
                <w:rFonts w:hint="eastAsia" w:ascii="宋体" w:hAnsi="宋体" w:cs="宋体"/>
                <w:b/>
                <w:bCs/>
                <w:color w:val="000000"/>
                <w:sz w:val="24"/>
                <w:szCs w:val="24"/>
                <w:lang w:bidi="ar"/>
              </w:rPr>
              <w:t xml:space="preserve">；（提供第三方检验机构出具的合格的检验报告加盖公章）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内置触控显示屏，可显示监测状态、设备信息和告警信息等，屏显内容包含：告警信息、防雷器状态、防雷器温度、防雷器寿命、雷击浪涌次数、接地通断、漏电流、温度、湿度、烟雾、水浸、安装单位、联系人、联系电话；</w:t>
            </w:r>
            <w:r>
              <w:rPr>
                <w:rFonts w:hint="eastAsia" w:ascii="宋体" w:hAnsi="宋体" w:cs="宋体"/>
                <w:b/>
                <w:bCs/>
                <w:color w:val="000000"/>
                <w:sz w:val="24"/>
                <w:szCs w:val="24"/>
                <w:lang w:bidi="ar"/>
              </w:rPr>
              <w:t xml:space="preserve">（提供以上各项屏显内容的清晰照片并加盖公章）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★7、支持监测指标实时查询、数据分析、视频监控、设备管理、告警阈值管理、触发器管理、工单管理、多级用户权限管理；</w:t>
            </w:r>
            <w:r>
              <w:rPr>
                <w:rFonts w:hint="eastAsia" w:ascii="宋体" w:hAnsi="宋体" w:cs="宋体"/>
                <w:b/>
                <w:bCs/>
                <w:color w:val="000000"/>
                <w:sz w:val="24"/>
                <w:szCs w:val="24"/>
                <w:lang w:bidi="ar"/>
              </w:rPr>
              <w:t xml:space="preserve">（提供以上各项软件功能截图并加盖公章）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8、网络防雷接口支持POE供电，可为监控摄像头远程供电，管理平台可实时查看监控画面，支持对视频流的网络传输进行优化整形，降低网络传输引发的视频卡顿风险；</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9、运维方式支持管理平台查询、故障报修、管理派发工单；</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10、支持设备漏电监测，当漏电监测接口所连接设备的漏电流≤25mA时就可触发报警；</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11、双电源支持自动切换，AB路电源切换延时≤10ms，切换时输出端负载不重启不断电；</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12、RS485接口支持接入第三方温湿度、烟感、水浸等传感器，支持RS232串口和RJ45网口两种方式远程控制；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13、电源输入AC220，额定电流≥32A，额定功率≥7000W；</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含基础</w:t>
            </w:r>
            <w:r>
              <w:rPr>
                <w:rFonts w:hint="eastAsia" w:ascii="宋体" w:hAnsi="宋体" w:cs="宋体"/>
                <w:color w:val="000000"/>
                <w:sz w:val="24"/>
                <w:szCs w:val="24"/>
              </w:rPr>
            </w:r>
            <w:r/>
          </w:p>
        </w:tc>
      </w:tr>
      <w:tr>
        <w:trPr>
          <w:trHeight w:val="284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1.10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防盗笼</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1.尺寸:定制;材质:不锈钢。</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2.多光谱融合检测技术：设备内置集成可见光、红外热成像、UV探测器三种类型探测器。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支持视频图形和物理光谱感知AI算法模型等技术融合(前端内置AI算力芯片)，内置集成紫外检测、高温检测、火焰检测、周界检测多种智能分析算法，支持电弧电火花、被测物体温度突变、明火等火灾隐患事件预警监测，能快速判定出火源点并提前发出预警信息。</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 4.AI多普防火预警探测器</w:t>
            </w:r>
            <w:r>
              <w:rPr>
                <w:rFonts w:hint="eastAsia" w:ascii="宋体" w:hAnsi="宋体" w:cs="宋体"/>
                <w:b/>
                <w:bCs/>
                <w:color w:val="000000"/>
                <w:sz w:val="24"/>
                <w:szCs w:val="24"/>
                <w:lang w:bidi="ar"/>
              </w:rPr>
              <w:t xml:space="preserve">提供基于GB 12791-2006《点型紫外火焰探测器》标准检测的第三方专业权威检测报告加盖公章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5.主控芯片：≥双核1.2GHz，算力：≥1.2Tops</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6.存储：RAM：≥1GB，ROM：≥8GB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 ★可见光探测器：2.8mm镜头；音视频参数：可见光分辨率：最高分辨率可达2560*1440。</w:t>
            </w:r>
            <w:r>
              <w:rPr>
                <w:rFonts w:hint="eastAsia" w:ascii="宋体" w:hAnsi="宋体" w:cs="宋体"/>
                <w:b/>
                <w:bCs/>
                <w:color w:val="000000"/>
                <w:sz w:val="24"/>
                <w:szCs w:val="24"/>
                <w:lang w:bidi="ar"/>
              </w:rPr>
              <w:t xml:space="preserve">（提供经第三方专业检测机构认证出具的产品检测报告并加盖公章）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 ★热成像探测器：测温范围≥-10℃~120℃，最高精度≤±5℃。</w:t>
            </w:r>
            <w:r>
              <w:rPr>
                <w:rFonts w:hint="eastAsia" w:ascii="宋体" w:hAnsi="宋体" w:cs="宋体"/>
                <w:b/>
                <w:bCs/>
                <w:color w:val="000000"/>
                <w:sz w:val="24"/>
                <w:szCs w:val="24"/>
                <w:lang w:bidi="ar"/>
              </w:rPr>
              <w:t xml:space="preserve">（提供经第三方专业检测机构认证出具的产品检测报告并加盖公章）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 ★UV探测器：探测角度≥100°，探测距离≥15米。</w:t>
            </w:r>
            <w:r>
              <w:rPr>
                <w:rFonts w:hint="eastAsia" w:ascii="宋体" w:hAnsi="宋体" w:cs="宋体"/>
                <w:b/>
                <w:bCs/>
                <w:color w:val="000000"/>
                <w:sz w:val="24"/>
                <w:szCs w:val="24"/>
                <w:lang w:bidi="ar"/>
              </w:rPr>
              <w:t xml:space="preserve">（提供经第三方专业检测机构认证出具的产品检测报告并加盖公章）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10.  紫外光谱火焰探测：支持对明火/低温火苗/淡色火苗/电火花识别检测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11. 温度检测：支持实时全屏测温、最高温、最低温、平均温检测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12.  测温范围：支持自定义20个点、线、面和区域测温，支持可见光通道显示温度</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13.  温度突升检测：记录被检测区域内的温度值突然升高的趋势变化产生火情提前预警信号</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14.火焰识别：支持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15.行为分析：支持人形绊线入侵、人形区域入侵、移动侦测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16. 报警联动：支持报警语音、联动补光灯、IO报警输出、火警指示灯</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17. Wifi/蓝牙模块：支持蓝牙5.0、支持WiFi6、工作频段2.4GHz、5GHz</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18. 4G模块：选配，支持FDD-LTE/TDD-LTE，CAT 1，通信速率：5Mbps/10Mbps</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19.通信协议： TCP/IP、DHCP、FTP、NTP、RTSP、DNS</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20.接口协议：支持ONVIF、GB/T28181-2016、MQTT、HTTP</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21. 音频接口：1路音频输入/1路音频入输出,内置MIC/扬声器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22.报警I/O：1路报警输入/1路报警输出</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23.网络接口：1个RJ45 10M/100M自适应以太网口</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24.RS485：支持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25.兼容DC12V/DC24V供电方式，兼容POE供电</w:t>
            </w:r>
            <w:r>
              <w:rPr>
                <w:rFonts w:hint="eastAsia" w:ascii="宋体" w:hAnsi="宋体" w:cs="宋体"/>
                <w:color w:val="000000"/>
                <w:sz w:val="24"/>
                <w:szCs w:val="24"/>
                <w:lang w:bidi="ar"/>
              </w:rPr>
              <w:br w:type="textWrapping" w:clear="all"/>
            </w:r>
            <w:r>
              <w:rPr>
                <w:rFonts w:hint="eastAsia" w:ascii="宋体" w:hAnsi="宋体" w:cs="宋体"/>
                <w:b/>
                <w:bCs/>
                <w:color w:val="000000"/>
                <w:sz w:val="24"/>
                <w:szCs w:val="24"/>
                <w:lang w:bidi="ar"/>
              </w:rPr>
              <w:t xml:space="preserve">26. ★ 需提供设备功能性演示，演示内容：（1）明火检测：≤8cm打火机火苗，在距设备7米范围内可快速识别并发出声光报警；（2）电弧/电火花检测：用电弧打火棒模拟电火花，在距设备≥20米距离内触发可精准识别并发出声光报警。（供应商根据系统要求在系统上传演示视频，大小不超过单个50M,整体不超过300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称重数据采集软件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含称重数据采集、异常驾驶识别、称重数据传输等。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称重系统检定费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含首检，两年5次。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其他辅材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线管、零星线缆、终端盒、熔接等。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2</w:t>
            </w:r>
            <w:r>
              <w:rPr>
                <w:rFonts w:hint="eastAsia" w:ascii="宋体" w:hAnsi="宋体" w:cs="宋体"/>
                <w:b/>
                <w:bCs/>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13159"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车牌车貌识别子系统</w:t>
            </w:r>
            <w:r>
              <w:rPr>
                <w:rFonts w:hint="eastAsia" w:ascii="宋体" w:hAnsi="宋体" w:cs="宋体"/>
                <w:b/>
                <w:bCs/>
                <w:color w:val="000000"/>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高清环保抓拍摄像机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ascii="宋体" w:hAnsi="宋体" w:cs="宋体"/>
                <w:color w:val="000000"/>
                <w:sz w:val="24"/>
                <w:szCs w:val="24"/>
                <w:lang w:bidi="ar"/>
              </w:rPr>
              <w:t xml:space="preserve">含配件，不低于900 万像素，支持识别改装牛眼灯车牌，车头抓拍相机支持人脸抠图</w:t>
            </w: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 张图片抓拍</w:t>
            </w:r>
            <w:r>
              <w:rPr>
                <w:rFonts w:hint="eastAsia" w:ascii="宋体" w:hAnsi="宋体" w:cs="宋体"/>
                <w:color w:val="000000"/>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高清球型摄像机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1、不低于400 万像素，含配件。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车头过车监控</w:t>
            </w:r>
            <w:r>
              <w:rPr>
                <w:rFonts w:hint="eastAsia" w:ascii="宋体" w:hAnsi="宋体" w:cs="宋体"/>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交通秩序车牌抓拍摄像机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1、不低于900 万像素，支持识别改装牛眼灯车牌。</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2、支持识别矿石车帆布和载货状态。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3、支持道路塌陷检测。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抓拍车头</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智能管理终端</w:t>
            </w: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9573" w:type="dxa"/>
            <w:vAlign w:val="center"/>
            <w:textDirection w:val="lrTb"/>
            <w:noWrap/>
          </w:tcPr>
          <w:p>
            <w:pPr>
              <w:pStyle w:val="1214"/>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网络接口： ≥8 个 RJ45 100M 网口，2 个 RJ45 1000M 网口；处理能力：可接入不少于 12 路高清网络摄像机；含一块 4T 硬盘。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一体补光灯</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补光距离 16m 以上；回电时间：&lt;60ms，满足相机 2 张连拍需求；闪光灯寿命：≥1000 万次；光通量：18001m。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称重抓拍L 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利旧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利旧</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称重抓拍L 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借用交通流量调查点杆件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借用</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称重抓拍L 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φ205X10，净空不小于 6.5m，横臂不小于 11m，含预埋件。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称重抓拍L 杆基础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1.5m*1.5m*2m，C25 以上混凝土。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信号、数据防雷模块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电压保护水平 Up：1.0KV</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接口形式：RJ45。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2.10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电源防雷器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最大持续电压保护：AC275V；</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保护水平（8/20 μs）：1200v。</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挂杆机箱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箱体采用Q235 工程级冷轧碳钢板；含 32A 空开、插座、接线端子等；尺寸： ≥600*550*450mm。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其他辅材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线管、零星线缆、终端盒、熔接等。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3</w:t>
            </w:r>
            <w:r>
              <w:rPr>
                <w:rFonts w:hint="eastAsia" w:ascii="宋体" w:hAnsi="宋体" w:cs="宋体"/>
                <w:b/>
                <w:bCs/>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13159"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信息发布子系统</w:t>
            </w:r>
            <w:r>
              <w:rPr>
                <w:rFonts w:hint="eastAsia" w:ascii="宋体" w:hAnsi="宋体" w:cs="宋体"/>
                <w:b/>
                <w:bCs/>
                <w:color w:val="000000"/>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告知显示屏（一）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式样：F 型，双基色。解析度：384×192。像素点间距：10mm。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面积尺寸：3.84m（宽） × 1.92m（高）。</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亮度： ≥8000cd/m2。换帧速度： ≥60 帧/秒。</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使用寿命： ≥100000 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告知显示屏（二）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参考旧屏规格参数。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光纤收发器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双纤，千兆，1 光 1 电。</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交换机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千兆8 口交换机。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高清球型摄像机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含配件，不低于 400 万像素。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枪式监控摄像机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含配件，不低于 400 万像素。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F 型立柱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φ377X10，净高 6m，含预埋件，含挂杆机箱。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F 型立柱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利旧</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F 型立柱基础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2.2m*2.2m*2.2m，C25 以上混凝土。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3.10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挂杆机箱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箱体采用 Q235 工程级冷轧碳钢板；含 32A 空开、插座、接线端子等；尺寸： ≥600*550*450mm。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75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枪式监控摄像机杆件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φ 180X4，净空不小于 6.5m，横杆长度 3m，含预埋件。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含挂杆机箱</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枪式监控摄像机杆件基础</w:t>
            </w: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957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1m*1m*1.2m，C25 以上混凝土。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信号、数据防雷模块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电压保护水平 Up：1.0KV</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接口形式：RJ45。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电源防雷器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最大持续电压保护：AC275V；</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保护水平（8/20 μs）：1200v。</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其他辅材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线管、零星线缆、终端盒、熔接等。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4</w:t>
            </w:r>
            <w:r>
              <w:rPr>
                <w:rFonts w:hint="eastAsia" w:ascii="宋体" w:hAnsi="宋体" w:cs="宋体"/>
                <w:b/>
                <w:bCs/>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13159"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供电通信子系统</w:t>
            </w:r>
            <w:r>
              <w:rPr>
                <w:rFonts w:hint="eastAsia" w:ascii="宋体" w:hAnsi="宋体" w:cs="宋体"/>
                <w:b/>
                <w:bCs/>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超五类</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 芯</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强力电缆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YJV223*16mm2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电力电缆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RVV3*10mm2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2.5mm</w:t>
            </w:r>
            <w:r>
              <w:rPr>
                <w:rStyle w:val="1353"/>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RVVP2*1.5mm2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手井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0.8m*0.8m*1m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硅芯管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Ф50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钢管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Ф50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4.10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管线施工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供电接入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原电表接入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两年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租用运营商专线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 年专线租赁费用，带宽不低于 100M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两年</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其他辅材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线、管、终端盒、熔接、钢管等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5</w:t>
            </w:r>
            <w:r>
              <w:rPr>
                <w:rFonts w:hint="eastAsia" w:ascii="宋体" w:hAnsi="宋体" w:cs="宋体"/>
                <w:b/>
                <w:bCs/>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13159"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路面改造</w:t>
            </w:r>
            <w:r>
              <w:rPr>
                <w:rFonts w:hint="eastAsia" w:ascii="宋体" w:hAnsi="宋体" w:cs="宋体"/>
                <w:b/>
                <w:bCs/>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vMerge w:val="restart"/>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原路面挖除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挖除 12cm 沥青层</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m3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挖除 18cm 水稳上基层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m3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挖除 18cm 水稳下基层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m3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混凝土垫层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12cm 厚度，C25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m3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混凝土路面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36cm 厚度，C50，含过渡搭接段</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m3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4cm 改性沥青 SMA-13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沥青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8cm 改性沥青 SUP-25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改性乳化沥青粘层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钢筋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型号详见图纸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路面施工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浇筑，养护、打磨等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路侧排水管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Ф300，PVC，波纹，加强筋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路侧排水井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1200*60*80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5.10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辅材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接头等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排水管路施工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6</w:t>
            </w: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12226"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路侧及后台配套设施</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站端管理平台接入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原指挥研判平台接入及新增功能模块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路侧防火墙</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 个千兆自适应 RJ45（含 1*MGMT），1 个管理口，2 个千兆 combo 口，1 个 console 口，1 个 USB3.0 口，无风扇设计，冗余电源；吞吐量≥1Gbps；最大并发会话数≥100 万；每秒新增会话数≥2 万；</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支持链路探测功能：能够在每个接口上以 ICMP/TCP/UDP 协议探测目标主机可达性，探测链路是否有效。</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路侧 UPS</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≥3KVA，断电后主设备 15 分钟内正常关机，监控及 NVR 运行大于 1 小时，供电恢复后正常运行。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路侧电池机柜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不低于 1.5 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硬盘录像机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 个 RJ4510M/100M/1000M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自适应以太网口；8 盘位以上</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网络视频输入 24 路，网络视频接 40Mbps。</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存储硬盘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容量：4TB；转速：7200 转；</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接口类型：SATA6Gb/s；</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尺寸：3.5 寸企业级。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服务器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2路2U机架式，可放入42U标准机柜;实配内存≥32GBDDR4 2999MHz;千兆电口≥2，万兆光口≥2，550w 电源≥2支持24根DDR4内存，最高速率2933MT/s，支持RDIMM或LRDIMM，最大容量3.0TB;支持12根英特尔@傲腾”数据中心级持久内存(DCPMM)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配置≥8个3.5寸热插拔硬盘槽位;≥1个标配SASRAID阵列卡(不占用PCIe扩展槽);≥2GB缓存，支持缓存数据保护，且后备保护时间不受限制;提供≥8个标准PCIE3.0插槽;支持后部独立的管理端口;标配1个串口。</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存储硬盘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4T，服务器数据存储专用。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5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工业级交换机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★1、千兆电口≥24个，千兆SFP光口≥8个，万兆SFP+光口≥4个（需配置光模块与接入工业交换机对接），1个CLI控制口，支持不低于100~240V双工业级AC电源输入，设备具有继电器告警输出口，</w:t>
            </w:r>
            <w:r>
              <w:rPr>
                <w:rFonts w:hint="eastAsia" w:ascii="宋体" w:hAnsi="宋体" w:cs="宋体"/>
                <w:b/>
                <w:bCs/>
                <w:color w:val="000000"/>
                <w:sz w:val="24"/>
                <w:szCs w:val="24"/>
                <w:lang w:bidi="ar"/>
              </w:rPr>
              <w:t xml:space="preserve">以上要求需提供设备实物照片并加盖公章；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2、交换容量≥500Gbps，包转发率≥130Mpps；</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★3、支持三层路由功能，支持Rip/Ospf动态路由，Vrrp虚拟路由，DHCP server；支持EAPS/MEAPS环网保护（自愈时间小于20毫秒）</w:t>
            </w:r>
            <w:r>
              <w:rPr>
                <w:rFonts w:hint="eastAsia" w:ascii="宋体" w:hAnsi="宋体" w:cs="宋体"/>
                <w:b/>
                <w:bCs/>
                <w:color w:val="000000"/>
                <w:sz w:val="24"/>
                <w:szCs w:val="24"/>
                <w:lang w:bidi="ar"/>
              </w:rPr>
              <w:t xml:space="preserve">（提供第三方检验机构出具的合格的检验报告加盖公章）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4、考虑项目长期性建设投资需要，产品必须支持IPv6，需提供官网截图和链接证明；</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5、持DOS防攻击功能，提供包括Pingflood.SYNflood、Landattack、Teardrop、带非法Flags 的 TCP 攻击在内的诸多攻击的防御手段。能丢弃相应的 dos 攻击报文，从而保证交换机的网络带宽不被消耗殆尽</w:t>
            </w:r>
            <w:r>
              <w:rPr>
                <w:rFonts w:hint="eastAsia" w:ascii="宋体" w:hAnsi="宋体" w:cs="宋体"/>
                <w:b/>
                <w:bCs/>
                <w:color w:val="000000"/>
                <w:sz w:val="24"/>
                <w:szCs w:val="24"/>
                <w:lang w:bidi="ar"/>
              </w:rPr>
              <w:t xml:space="preserve">。（提供第三方检验机构出具的合格的检验报告加盖公章）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6、支持通过手机 APP 进行远程管理,查看网络拓扑结构，交换机在线状态及历史告警信息，方便用户管理。</w:t>
            </w:r>
            <w:r>
              <w:rPr>
                <w:rFonts w:hint="eastAsia" w:ascii="宋体" w:hAnsi="宋体" w:cs="宋体"/>
                <w:b/>
                <w:bCs/>
                <w:color w:val="000000"/>
                <w:sz w:val="24"/>
                <w:szCs w:val="24"/>
                <w:lang w:bidi="ar"/>
              </w:rPr>
              <w:t xml:space="preserve">（提供第三方检验机构出具的合格的检验报告加盖公章）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7、设备支持硬件继电器告警功能，直观告知设备的掉电情况，并通过网管系统远程送达手机终端；</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★8、产品支持长期工作温度-40~85℃，满足防护等级 IP40，满足IK05级别的冲击防护能力（提供第三方检验机构出具的合格的检验报告），产品可在工信部查询入网许可</w:t>
            </w:r>
            <w:r>
              <w:rPr>
                <w:rFonts w:hint="eastAsia" w:ascii="宋体" w:hAnsi="宋体" w:cs="宋体"/>
                <w:b/>
                <w:bCs/>
                <w:color w:val="000000"/>
                <w:sz w:val="24"/>
                <w:szCs w:val="24"/>
                <w:lang w:bidi="ar"/>
              </w:rPr>
              <w:t xml:space="preserve">（提供链接与截图加盖公章）；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6.10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液晶显示器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显示器:23寸;屏幕比例:16:9;屏幕刷新率≥60Hz。</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监控相机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机柜防盗监控。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其他辅材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线管、零星线缆、终端盒、熔接等。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7</w:t>
            </w: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12226"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联合执法配套设施</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执法办公电脑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八核，i7，16G，256GSSD，1TBSATA，23 英寸。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8</w:t>
            </w:r>
            <w:r>
              <w:rPr>
                <w:rFonts w:hint="eastAsia" w:ascii="宋体" w:hAnsi="宋体" w:cs="宋体"/>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0555"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交通安全设施</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临时交通组织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满足相关施工交通组织安全标准规范要求。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热熔标线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在称重区域设置 15cm、长 115m 禁止变化车道线；在称重区前后设置警示标线；在称重区前方绘制“前方称重 ”路面文字，路面文字按照字高 600cm，字宽 200cm，纵向间距 400cm。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据实计量</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预告标志牌 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显示内容“前方 200 米称重检测电子抓拍 ”，标志版面尺寸 300cm*210cm，字膜和底膜为Ⅳ类结构反光膜。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预告标志牌 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显示内容“前方 2000 米称重检测电子抓拍 ”，标志版面尺寸 300cm*210cm，字膜和底膜为Ⅳ类结构反光膜。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预告标志牌杆件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悬臂式，净高 6m。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预告标志牌基础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1.6m*2m*2.1m，C25 以上混凝土。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75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非机动车道货车禁行标志牌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附着抓拍L 杆上</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禁令标志牌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附着抓拍L 杆上，圆形禁止跨道标志φ800mm。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电子抓拍提示牌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附着预告标志牌杆件立柱上，内容“前方路段监控抓拍 ”，标牌尺寸 2250mm*1300mm。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vMerge w:val="restart"/>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8.10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补光照明路灯</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H=10m、P=2*90W 单挑臂低杆照明；照明区域内光照度应均匀、无暗区；在距离补光装置 20m 处，基准轴上的光照度应小于等于 50lx；</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光照度应不小于基准轴上光照度的 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9</w:t>
            </w:r>
            <w:r>
              <w:rPr>
                <w:rFonts w:hint="eastAsia" w:ascii="宋体" w:hAnsi="宋体" w:cs="宋体"/>
                <w:b/>
                <w:bCs/>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13159" w:type="dxa"/>
            <w:vAlign w:val="center"/>
            <w:textDirection w:val="lrTb"/>
            <w:noWrap w:val="false"/>
          </w:tcPr>
          <w:p>
            <w:pPr>
              <w:pStyle w:val="1214"/>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安装调试</w:t>
            </w:r>
            <w:r>
              <w:rPr>
                <w:rFonts w:hint="eastAsia" w:ascii="宋体" w:hAnsi="宋体" w:cs="宋体"/>
                <w:b/>
                <w:bCs/>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vMerge w:val="restart"/>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系统安装与综合联调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1.含称重、抓拍、监控、显示屏等设施安装与综合联调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573" w:type="dxa"/>
            <w:vAlign w:val="center"/>
            <w:textDirection w:val="lrTb"/>
            <w:noWrap w:val="false"/>
          </w:tcPr>
          <w:p>
            <w:pPr>
              <w:pStyle w:val="121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2.含对接省、市级治超软件平台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1214"/>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1292"/>
        <w:ind w:firstLine="482"/>
        <w:spacing w:line="360" w:lineRule="auto"/>
        <w:tabs>
          <w:tab w:val="center" w:pos="4153" w:leader="none"/>
          <w:tab w:val="right" w:pos="8306" w:leader="none"/>
        </w:tabs>
        <w:rPr>
          <w:rFonts w:hint="eastAsia" w:ascii="宋体" w:hAnsi="宋体" w:cs="宋体"/>
          <w:b/>
          <w:color w:val="000000"/>
          <w:sz w:val="24"/>
          <w:szCs w:val="24"/>
        </w:rPr>
      </w:pPr>
      <w:r>
        <w:rPr>
          <w:rFonts w:hint="eastAsia" w:ascii="宋体" w:hAnsi="宋体" w:cs="宋体"/>
          <w:b/>
          <w:color w:val="000000"/>
          <w:sz w:val="24"/>
          <w:szCs w:val="24"/>
        </w:rPr>
        <w:t xml:space="preserve">注：使用综合评分法的采购项目，核心产品提供相同品牌产品且通过资格审查、符合性审查的不同投标人参加同一合同项下投标的，按一家投标</w:t>
      </w:r>
      <w:r>
        <w:rPr>
          <w:rFonts w:hint="eastAsia" w:ascii="宋体" w:hAnsi="宋体" w:cs="宋体"/>
          <w:b/>
          <w:color w:val="000000"/>
          <w:sz w:val="24"/>
          <w:szCs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b/>
          <w:color w:val="000000"/>
          <w:sz w:val="24"/>
          <w:szCs w:val="24"/>
        </w:rPr>
      </w:r>
      <w:r/>
    </w:p>
    <w:p>
      <w:pPr>
        <w:pStyle w:val="1292"/>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r>
      <w:r/>
    </w:p>
    <w:p>
      <w:pPr>
        <w:pStyle w:val="1292"/>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r>
      <w:r/>
    </w:p>
    <w:p>
      <w:pPr>
        <w:pStyle w:val="1292"/>
        <w:spacing w:line="360" w:lineRule="auto"/>
        <w:tabs>
          <w:tab w:val="center" w:pos="4153" w:leader="none"/>
          <w:tab w:val="right" w:pos="8306" w:leader="none"/>
        </w:tabs>
        <w:rPr>
          <w:rFonts w:hint="eastAsia" w:ascii="宋体" w:hAnsi="宋体" w:cs="宋体"/>
          <w:bCs/>
          <w:color w:val="000000"/>
          <w:sz w:val="24"/>
          <w:szCs w:val="24"/>
        </w:rPr>
        <w:sectPr>
          <w:footnotePr/>
          <w:endnotePr/>
          <w:type w:val="nextPage"/>
          <w:pgSz w:w="16837" w:h="11905" w:orient="landscape"/>
          <w:pgMar w:top="1803" w:right="1440" w:bottom="1418" w:left="1440" w:header="851" w:footer="992" w:gutter="0"/>
          <w:cols w:num="1" w:sep="0" w:space="1701" w:equalWidth="1"/>
          <w:docGrid w:linePitch="360"/>
          <w:titlePg/>
        </w:sectPr>
      </w:pPr>
      <w:r>
        <w:rPr>
          <w:rFonts w:hint="eastAsia" w:ascii="宋体" w:hAnsi="宋体" w:cs="宋体"/>
          <w:bCs/>
          <w:color w:val="000000"/>
          <w:sz w:val="24"/>
          <w:szCs w:val="24"/>
        </w:rPr>
      </w:r>
      <w:r/>
    </w:p>
    <w:p>
      <w:pPr>
        <w:pStyle w:val="1292"/>
        <w:spacing w:line="360" w:lineRule="auto"/>
        <w:tabs>
          <w:tab w:val="center" w:pos="4153" w:leader="none"/>
          <w:tab w:val="right" w:pos="8306" w:leader="none"/>
        </w:tabs>
        <w:rPr>
          <w:rFonts w:hint="eastAsia" w:ascii="宋体" w:hAnsi="宋体"/>
          <w:b/>
          <w:color w:val="000000"/>
          <w:sz w:val="24"/>
        </w:rPr>
      </w:pPr>
      <w:r/>
      <w:bookmarkEnd w:id="204"/>
      <w:r>
        <w:rPr>
          <w:rFonts w:hint="eastAsia" w:ascii="宋体" w:hAnsi="宋体" w:cs="宋体"/>
          <w:b/>
          <w:color w:val="000000"/>
          <w:sz w:val="24"/>
          <w:szCs w:val="24"/>
        </w:rPr>
        <w:t xml:space="preserve">五、</w:t>
      </w:r>
      <w:r>
        <w:rPr>
          <w:rFonts w:hint="eastAsia" w:ascii="宋体" w:hAnsi="宋体"/>
          <w:b/>
          <w:color w:val="000000"/>
          <w:sz w:val="24"/>
        </w:rPr>
        <w:t xml:space="preserve">基本服务要求 </w:t>
      </w:r>
      <w:r>
        <w:rPr>
          <w:rFonts w:hint="eastAsia" w:ascii="宋体" w:hAnsi="宋体"/>
          <w:b/>
          <w:color w:val="000000"/>
          <w:sz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1、所供的项目服务、货物必须遵守国家颁布标准和有关规定。所供的货物是全新、未使用过的产品，材质、规格型号、技术参数必须遵守国家颁布标准和有关规定。</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2、项目验收要求：</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项目的验收包括初步验收、试运行和最终验收。</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1）项目初验</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项目初验前，中标方应首先对系统进行自测，并将系统自测报告提交采购方和监理方审查。中标方依本合同约定向采购方提交成果及相关文档，并向采购方提出初验申请。采购方接到中标方初验申请后，组织相关单位进行初验，初验合格后联合签署初验报告。费用由中标人承担。验收包括:数量、外观、质量、产品合格证、装箱单及包装。所有产品无瑕疵和缺陷，质量为合格品，同时有明确的制造厂商。中标人对质量问题负责包退、包换和包修，因此发生的费用由中标人负责。</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2）试运行</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初验合格后，系统进入试运行，试运行时间为1个月。</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3）终验</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系统通过试运行后，中标方向采购方提出终验申请，采购方组织相关单位进行系统的终验</w:t>
      </w:r>
      <w:r>
        <w:rPr>
          <w:rFonts w:hint="eastAsia" w:ascii="宋体" w:hAnsi="宋体" w:cs="宋体"/>
          <w:bCs/>
          <w:color w:val="000000"/>
          <w:sz w:val="24"/>
          <w:szCs w:val="24"/>
        </w:rPr>
        <w:t xml:space="preserve">。系统终验通过，进入正式运行阶段。系统终验合格的条件必须至少满足以下三个要求：已提供了合同要求的全部设备、软件和资料；试运行时性能满足合同及招标文件、中标方投标文件要求；性能测试和试运行验收时出现的问题已被解决。试运行合格后，采购人有权委托第三方检测机构对项目进行检测，如有第三方检测需在检测合格后由采购人组织验收。中标人应保证其货物在正常使用时，其使用寿命期内应具有良好的性能。货物最终验收后，投标人应对由于设计、工艺或材料的缺陷而发生的任何不足或质量问题负责(经法定检验机构检验)，并承担由此引起的一切后果。</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3、在保修期内由于系统本身质量原因造成的任何损伤或损坏，中标人须免费负责维护、修理或更换。</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4、质量保证期自项目正式验收合格之日开始计算；由于本项目的特殊性（必须满足业务7*24小时不间断工作），质量保证期内，在接到系统故障通知后，投标人必须在1小时内响应。对于影响平台系统正常运行的严重故障，投标人工程师及其它相关技术人员必须在在接到故障通知后2小时内赶到现场，查找原因，提出解决方案，并工作直至故障修妥完全恢复正常服务为止，一般要求保证系统在4小时之内修复，并需要提供确保承诺实现的措施。</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5、为保证系统正常、安全地运行，技术支持力量和优良的服务是系统正常、安全运行的保障。投标人应据此制定系统详细的技术支持与服务方案，包括服务内容、服务方式、服务响应时间、应急措施及组织结构等。</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6、在质量保证期结束前，须由中标单位工程师和采购人代表进行一次全面检查，任何缺陷必须由中标单位负责修改。在修改之后，中标单位应将缺陷原因、修改内容、完成修改及恢复正常的时间和日期等报告给采购人。</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7、质量保证期结束后，中标单位应保证以优惠价格优先对采购人进行系统技术支持和维护。质保期内，投标人接到保修请求，应在2小时内响应，4小时内维修人员到达现场，必要时应向采购人提供应急备用设备。</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8、成交人应提供电话免费咨询服务。成交人应免费为采购人提供操作培训，包括但不限于货物的基本性能、保养与管理、常见故障的排除、紧急情况的处理等并提供培训手册。</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9、成交人所提供的产品需经采购人确认后方可供货。</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cs="宋体"/>
          <w:bCs/>
          <w:color w:val="000000"/>
          <w:sz w:val="24"/>
          <w:szCs w:val="24"/>
        </w:rPr>
        <w:outlineLvl w:val="1"/>
      </w:pPr>
      <w:r>
        <w:rPr>
          <w:rFonts w:hint="eastAsia" w:ascii="宋体" w:hAnsi="宋体" w:cs="宋体"/>
          <w:bCs/>
          <w:color w:val="000000"/>
          <w:sz w:val="24"/>
          <w:szCs w:val="24"/>
        </w:rPr>
        <w:t xml:space="preserve">10、供应商提供的服务人员须是公司正式员工。磋商响应中提供明确的的服务人员名单，其技术能力满足采购人运行要求。供应商应确保人员固定，如有人员变动需提前一个月书面提交变更原因，且变更后人员入职时间及技术能力不低于原服务人员。技术团队应具有相关的服务经验，维保期2年内要求派驻至少2名驻场人员，且具备相关的资质证书。</w:t>
      </w:r>
      <w:r>
        <w:rPr>
          <w:rFonts w:hint="eastAsia" w:ascii="宋体" w:hAnsi="宋体" w:cs="宋体"/>
          <w:bCs/>
          <w:color w:val="000000"/>
          <w:sz w:val="24"/>
          <w:szCs w:val="24"/>
        </w:rPr>
      </w:r>
      <w:r/>
    </w:p>
    <w:p>
      <w:pPr>
        <w:pStyle w:val="1292"/>
        <w:ind w:firstLine="480"/>
        <w:spacing w:line="360" w:lineRule="auto"/>
        <w:tabs>
          <w:tab w:val="center" w:pos="4153" w:leader="none"/>
          <w:tab w:val="right" w:pos="8306" w:leader="none"/>
        </w:tabs>
        <w:rPr>
          <w:rFonts w:hint="eastAsia" w:ascii="宋体" w:hAnsi="宋体" w:eastAsia="宋体" w:cs="宋体"/>
          <w:bCs/>
          <w:color w:val="000000"/>
          <w:sz w:val="24"/>
          <w:szCs w:val="24"/>
          <w:lang w:val="en-US" w:eastAsia="zh-CN"/>
        </w:rPr>
        <w:outlineLvl w:val="1"/>
      </w:pPr>
      <w:r>
        <w:rPr>
          <w:rFonts w:hint="eastAsia" w:ascii="宋体" w:hAnsi="宋体" w:cs="宋体"/>
          <w:bCs/>
          <w:color w:val="000000"/>
          <w:sz w:val="24"/>
          <w:szCs w:val="24"/>
        </w:rPr>
        <w:t xml:space="preserve">11、成交人在履行合同过程中，一切事故的责任由成交单位自行承担</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p>
      <w:pPr>
        <w:pStyle w:val="1292"/>
        <w:spacing w:line="360" w:lineRule="auto"/>
        <w:tabs>
          <w:tab w:val="center" w:pos="4153" w:leader="none"/>
          <w:tab w:val="right" w:pos="8306" w:leader="none"/>
        </w:tabs>
        <w:rPr>
          <w:rFonts w:hint="eastAsia" w:ascii="宋体" w:hAnsi="宋体" w:cs="宋体"/>
          <w:b/>
          <w:color w:val="000000"/>
          <w:sz w:val="24"/>
          <w:szCs w:val="24"/>
        </w:rPr>
        <w:outlineLvl w:val="1"/>
      </w:pPr>
      <w:r>
        <w:rPr>
          <w:rFonts w:hint="eastAsia" w:ascii="宋体" w:hAnsi="宋体" w:cs="宋体"/>
          <w:b/>
          <w:color w:val="000000"/>
          <w:sz w:val="24"/>
          <w:szCs w:val="24"/>
        </w:rPr>
        <w:t xml:space="preserve">六、其他要求</w:t>
      </w:r>
      <w:r>
        <w:rPr>
          <w:rFonts w:hint="eastAsia" w:ascii="宋体" w:hAnsi="宋体" w:cs="宋体"/>
          <w:b/>
          <w:color w:val="000000"/>
          <w:sz w:val="24"/>
          <w:szCs w:val="24"/>
        </w:rPr>
      </w:r>
      <w:r/>
    </w:p>
    <w:p>
      <w:pPr>
        <w:pStyle w:val="1292"/>
        <w:ind w:firstLine="480"/>
        <w:spacing w:line="360" w:lineRule="auto"/>
        <w:tabs>
          <w:tab w:val="center" w:pos="4153" w:leader="none"/>
          <w:tab w:val="right" w:pos="8306" w:leader="none"/>
        </w:tabs>
        <w:rPr>
          <w:rFonts w:ascii="宋体" w:hAnsi="宋体" w:cs="宋体"/>
          <w:bCs/>
          <w:color w:val="000000"/>
          <w:sz w:val="24"/>
          <w:szCs w:val="24"/>
        </w:rPr>
      </w:pPr>
      <w:r>
        <w:rPr>
          <w:rFonts w:hint="eastAsia" w:ascii="宋体" w:hAnsi="宋体" w:cs="宋体"/>
          <w:bCs/>
          <w:color w:val="000000"/>
          <w:sz w:val="24"/>
          <w:szCs w:val="24"/>
        </w:rPr>
        <w:t xml:space="preserve">各投标人请提供实施方案与技术措施、质量管理体系及保证措施、应急响应方案、技术培训方案、售后服务方案、平台对接、文明施工保证体系及保证措施等、往期案例分析、节能环保，拟投入本项目人员需具备相应的资质证书。</w:t>
      </w:r>
      <w:r>
        <w:rPr>
          <w:rFonts w:ascii="宋体" w:hAnsi="宋体" w:cs="宋体"/>
          <w:bCs/>
          <w:color w:val="000000"/>
          <w:sz w:val="24"/>
          <w:szCs w:val="24"/>
        </w:rPr>
      </w:r>
      <w:r/>
    </w:p>
    <w:p>
      <w:pPr>
        <w:pStyle w:val="1215"/>
        <w:spacing w:before="145" w:after="145" w:line="440" w:lineRule="exact"/>
        <w:rPr>
          <w:rFonts w:hint="eastAsia" w:ascii="黑体" w:eastAsia="黑体"/>
          <w:bCs/>
          <w:color w:val="000000"/>
          <w:sz w:val="32"/>
          <w:szCs w:val="32"/>
        </w:rPr>
      </w:pPr>
      <w:r>
        <w:rPr>
          <w:rFonts w:hint="eastAsia" w:ascii="黑体" w:eastAsia="黑体"/>
          <w:bCs/>
          <w:color w:val="000000"/>
          <w:sz w:val="32"/>
          <w:szCs w:val="32"/>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4"/>
        <w:rPr>
          <w:rFonts w:hint="eastAsia"/>
          <w:color w:val="000000"/>
        </w:rPr>
      </w:pPr>
      <w:r>
        <w:rPr>
          <w:rFonts w:hint="eastAsia"/>
          <w:color w:val="000000"/>
        </w:rPr>
      </w:r>
      <w:r/>
    </w:p>
    <w:p>
      <w:pPr>
        <w:pStyle w:val="1215"/>
        <w:spacing w:before="145" w:after="145" w:line="440" w:lineRule="exact"/>
        <w:rPr>
          <w:rFonts w:hint="eastAsia" w:ascii="黑体" w:eastAsia="黑体"/>
          <w:b/>
          <w:color w:val="000000"/>
          <w:sz w:val="32"/>
          <w:szCs w:val="32"/>
        </w:rPr>
      </w:pPr>
      <w:r>
        <w:rPr>
          <w:rFonts w:hint="eastAsia" w:ascii="黑体" w:eastAsia="黑体"/>
          <w:b/>
          <w:color w:val="000000"/>
          <w:sz w:val="32"/>
          <w:szCs w:val="32"/>
        </w:rPr>
        <w:t xml:space="preserve">第五章  评标方法与评标标准</w:t>
      </w:r>
      <w:r>
        <w:rPr>
          <w:rFonts w:hint="eastAsia" w:ascii="黑体" w:eastAsia="黑体"/>
          <w:b/>
          <w:color w:val="000000"/>
          <w:sz w:val="32"/>
          <w:szCs w:val="32"/>
        </w:rPr>
      </w:r>
      <w:r/>
    </w:p>
    <w:p>
      <w:pPr>
        <w:pStyle w:val="1214"/>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rPr>
      </w:r>
      <w:r/>
    </w:p>
    <w:p>
      <w:pPr>
        <w:pStyle w:val="1316"/>
        <w:ind w:firstLine="441"/>
        <w:spacing w:before="0" w:after="0" w:line="440" w:lineRule="exact"/>
        <w:rPr>
          <w:rFonts w:hint="eastAsia" w:ascii="宋体" w:hAnsi="宋体"/>
          <w:b/>
          <w:color w:val="000000"/>
        </w:rPr>
      </w:pPr>
      <w:r>
        <w:rPr>
          <w:rFonts w:hint="eastAsia" w:ascii="宋体" w:hAnsi="宋体"/>
          <w:b/>
          <w:color w:val="000000"/>
        </w:rPr>
        <w:t xml:space="preserve">政府政策功能落实</w:t>
      </w:r>
      <w:r>
        <w:rPr>
          <w:rFonts w:hint="eastAsia" w:ascii="宋体" w:hAnsi="宋体"/>
          <w:b/>
          <w:color w:val="000000"/>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1214"/>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1214"/>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（2）投标人需按照采购文件的要求提供相应的《中小企业声明函》。</w:t>
      </w:r>
      <w:r>
        <w:rPr>
          <w:rFonts w:hint="eastAsia" w:ascii="宋体" w:hAnsi="宋体"/>
          <w:color w:val="000000"/>
          <w:sz w:val="24"/>
          <w:szCs w:val="24"/>
        </w:rPr>
      </w:r>
      <w:r/>
    </w:p>
    <w:p>
      <w:pPr>
        <w:pStyle w:val="1214"/>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1214"/>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214"/>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1214"/>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投标人如不提供上述证明文件，价格将不做相应扣除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6%</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20</w:t>
      </w:r>
      <w:r>
        <w:rPr>
          <w:rFonts w:hint="eastAsia" w:ascii="宋体" w:hAnsi="宋体"/>
          <w:color w:val="000000"/>
          <w:sz w:val="24"/>
          <w:szCs w:val="24"/>
          <w:u w:val="single"/>
        </w:rPr>
        <w:t xml:space="preserve">%</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7、采购本国产品的支持政策</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7.3本项目政府采购活动中既有本国产品又有非本国产品参与竞争的，依法对本国产品给予价格评审优惠，对本国产品的报价给予20%的价格扣除，用扣除后的价格参与评审。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7.4当采购项目或者采购包中含有多种产品，投标人为该采购项目或者采购包提供的符合本国产品标准的产品成本之和占该投标人提供的全部产品成本之和的比例达到80%以上时（投标人需在“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7.5投标人需按照招标文件的要求提供《关于符合本国产品标准的声明函》（以下简称《声明函》），如不提供将不享受本国产品价格评审优惠。</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rPr>
      </w:r>
      <w:r/>
    </w:p>
    <w:p>
      <w:pPr>
        <w:pStyle w:val="121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szCs w:val="24"/>
        </w:rPr>
      </w:r>
      <w:r/>
    </w:p>
    <w:p>
      <w:pPr>
        <w:pStyle w:val="1316"/>
        <w:ind w:firstLine="482"/>
        <w:spacing w:before="0" w:after="0" w:line="440" w:lineRule="exact"/>
        <w:rPr>
          <w:rFonts w:hint="eastAsia" w:ascii="宋体" w:hAnsi="宋体"/>
          <w:b/>
          <w:color w:val="000000"/>
        </w:rPr>
      </w:pPr>
      <w:r>
        <w:rPr>
          <w:rFonts w:hint="eastAsia" w:ascii="宋体" w:hAnsi="宋体"/>
          <w:b/>
          <w:color w:val="000000"/>
        </w:rPr>
        <w:t xml:space="preserve">评标方法与评标标准</w:t>
      </w:r>
      <w:r>
        <w:rPr>
          <w:rFonts w:hint="eastAsia" w:ascii="宋体" w:hAnsi="宋体"/>
          <w:b/>
          <w:color w:val="000000"/>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1.评标方法：综合评分法，总分值为100分。</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2.评分计算办法：评分计算得分均保留二位小数，评标项目每项最高得分均不得超过该项设定的总分值，最低分为0分。</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3.综合评分法评价的主要内容有：供应商报价情况、技术部分、商务部分等。</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4.综合评分各因素所占分值为：</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（1）最终报价                      30分 </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（2）技术部分                      54分 </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（3）商务部分                      16分 </w:t>
      </w:r>
      <w:r>
        <w:rPr>
          <w:rFonts w:hint="eastAsia" w:ascii="宋体" w:hAnsi="宋体"/>
          <w:color w:val="000000"/>
          <w:sz w:val="24"/>
          <w:szCs w:val="24"/>
        </w:rPr>
      </w:r>
      <w:r/>
    </w:p>
    <w:p>
      <w:pPr>
        <w:pStyle w:val="1351"/>
        <w:ind w:firstLine="0"/>
        <w:jc w:val="left"/>
        <w:rPr>
          <w:rFonts w:hint="eastAsia"/>
          <w:color w:val="000000"/>
          <w:lang w:val="en-US"/>
        </w:rPr>
      </w:pPr>
      <w:r>
        <w:rPr>
          <w:rFonts w:hint="eastAsia" w:ascii="宋体" w:hAnsi="宋体"/>
          <w:color w:val="000000"/>
          <w:szCs w:val="24"/>
          <w:lang w:val="en-US"/>
        </w:rPr>
        <w:t xml:space="preserve">评分办法：</w:t>
      </w:r>
      <w:r>
        <w:rPr>
          <w:rFonts w:hint="eastAsia"/>
          <w:color w:val="000000"/>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196"/>
        <w:gridCol w:w="6229"/>
        <w:gridCol w:w="955"/>
      </w:tblGrid>
      <w:tr>
        <w:trPr/>
        <w:tc>
          <w:tcPr>
            <w:tcW w:w="789" w:type="dxa"/>
            <w:vAlign w:val="top"/>
            <w:textDirection w:val="lrTb"/>
            <w:noWrap w:val="false"/>
          </w:tcPr>
          <w:p>
            <w:pPr>
              <w:pStyle w:val="1214"/>
              <w:jc w:val="center"/>
              <w:spacing w:line="440" w:lineRule="exact"/>
              <w:rPr>
                <w:b/>
                <w:bCs/>
                <w:color w:val="000000"/>
                <w:sz w:val="24"/>
                <w:szCs w:val="24"/>
              </w:rPr>
            </w:pPr>
            <w:r>
              <w:rPr>
                <w:rFonts w:hint="eastAsia"/>
                <w:b/>
                <w:bCs/>
                <w:color w:val="000000"/>
                <w:sz w:val="24"/>
                <w:szCs w:val="24"/>
              </w:rPr>
              <w:t xml:space="preserve">序号</w:t>
            </w:r>
            <w:r>
              <w:rPr>
                <w:b/>
                <w:bCs/>
                <w:color w:val="000000"/>
                <w:sz w:val="24"/>
                <w:szCs w:val="24"/>
              </w:rPr>
            </w:r>
            <w:r/>
          </w:p>
        </w:tc>
        <w:tc>
          <w:tcPr>
            <w:tcW w:w="1196" w:type="dxa"/>
            <w:vAlign w:val="top"/>
            <w:textDirection w:val="lrTb"/>
            <w:noWrap w:val="false"/>
          </w:tcPr>
          <w:p>
            <w:pPr>
              <w:pStyle w:val="1214"/>
              <w:jc w:val="center"/>
              <w:spacing w:line="440" w:lineRule="exact"/>
              <w:rPr>
                <w:b/>
                <w:bCs/>
                <w:color w:val="000000"/>
                <w:sz w:val="24"/>
                <w:szCs w:val="24"/>
              </w:rPr>
            </w:pPr>
            <w:r>
              <w:rPr>
                <w:rFonts w:hint="eastAsia"/>
                <w:b/>
                <w:bCs/>
                <w:color w:val="000000"/>
                <w:sz w:val="24"/>
                <w:szCs w:val="24"/>
              </w:rPr>
              <w:t xml:space="preserve">评分项目</w:t>
            </w:r>
            <w:r>
              <w:rPr>
                <w:b/>
                <w:bCs/>
                <w:color w:val="000000"/>
                <w:sz w:val="24"/>
                <w:szCs w:val="24"/>
              </w:rPr>
            </w:r>
            <w:r/>
          </w:p>
        </w:tc>
        <w:tc>
          <w:tcPr>
            <w:tcW w:w="6229" w:type="dxa"/>
            <w:vAlign w:val="top"/>
            <w:textDirection w:val="lrTb"/>
            <w:noWrap w:val="false"/>
          </w:tcPr>
          <w:p>
            <w:pPr>
              <w:pStyle w:val="1214"/>
              <w:jc w:val="center"/>
              <w:spacing w:line="440" w:lineRule="exact"/>
              <w:rPr>
                <w:b/>
                <w:bCs/>
                <w:color w:val="000000"/>
                <w:sz w:val="24"/>
                <w:szCs w:val="24"/>
              </w:rPr>
            </w:pPr>
            <w:r>
              <w:rPr>
                <w:rFonts w:hint="eastAsia"/>
                <w:b/>
                <w:bCs/>
                <w:color w:val="000000"/>
                <w:sz w:val="24"/>
                <w:szCs w:val="24"/>
              </w:rPr>
              <w:t xml:space="preserve">评分标准说明</w:t>
            </w:r>
            <w:r>
              <w:rPr>
                <w:b/>
                <w:bCs/>
                <w:color w:val="000000"/>
                <w:sz w:val="24"/>
                <w:szCs w:val="24"/>
              </w:rPr>
            </w:r>
            <w:r/>
          </w:p>
        </w:tc>
        <w:tc>
          <w:tcPr>
            <w:tcW w:w="955" w:type="dxa"/>
            <w:vAlign w:val="top"/>
            <w:textDirection w:val="lrTb"/>
            <w:noWrap w:val="false"/>
          </w:tcPr>
          <w:p>
            <w:pPr>
              <w:pStyle w:val="1214"/>
              <w:jc w:val="center"/>
              <w:spacing w:line="440" w:lineRule="exact"/>
              <w:rPr>
                <w:b/>
                <w:bCs/>
                <w:color w:val="000000"/>
                <w:sz w:val="24"/>
                <w:szCs w:val="24"/>
              </w:rPr>
            </w:pPr>
            <w:r>
              <w:rPr>
                <w:rFonts w:hint="eastAsia"/>
                <w:b/>
                <w:bCs/>
                <w:color w:val="000000"/>
                <w:sz w:val="24"/>
                <w:szCs w:val="24"/>
              </w:rPr>
              <w:t xml:space="preserve">分值</w:t>
            </w:r>
            <w:r>
              <w:rPr>
                <w:b/>
                <w:bCs/>
                <w:color w:val="000000"/>
                <w:sz w:val="24"/>
                <w:szCs w:val="24"/>
              </w:rPr>
            </w:r>
            <w:r/>
          </w:p>
        </w:tc>
      </w:tr>
      <w:tr>
        <w:trPr>
          <w:trHeight w:val="90"/>
        </w:trPr>
        <w:tc>
          <w:tcPr>
            <w:shd w:val="clear" w:color="auto" w:fill="d7d7d7"/>
            <w:tcW w:w="789" w:type="dxa"/>
            <w:vAlign w:val="top"/>
            <w:textDirection w:val="lrTb"/>
            <w:noWrap w:val="false"/>
          </w:tcPr>
          <w:p>
            <w:pPr>
              <w:pStyle w:val="1214"/>
              <w:jc w:val="center"/>
              <w:spacing w:line="440" w:lineRule="exact"/>
              <w:rPr>
                <w:color w:val="000000"/>
                <w:sz w:val="24"/>
                <w:szCs w:val="24"/>
              </w:rPr>
            </w:pPr>
            <w:r>
              <w:rPr>
                <w:rFonts w:hint="eastAsia"/>
                <w:b/>
                <w:bCs/>
                <w:color w:val="000000"/>
                <w:sz w:val="24"/>
                <w:szCs w:val="24"/>
              </w:rPr>
              <w:t xml:space="preserve">一</w:t>
            </w:r>
            <w:r>
              <w:rPr>
                <w:color w:val="000000"/>
                <w:sz w:val="24"/>
                <w:szCs w:val="24"/>
              </w:rPr>
            </w:r>
            <w:r/>
          </w:p>
        </w:tc>
        <w:tc>
          <w:tcPr>
            <w:gridSpan w:val="3"/>
            <w:shd w:val="clear" w:color="auto" w:fill="d7d7d7"/>
            <w:tcW w:w="8380" w:type="dxa"/>
            <w:vAlign w:val="top"/>
            <w:textDirection w:val="lrTb"/>
            <w:noWrap w:val="false"/>
          </w:tcPr>
          <w:p>
            <w:pPr>
              <w:pStyle w:val="1214"/>
              <w:jc w:val="center"/>
              <w:spacing w:line="440" w:lineRule="exact"/>
              <w:rPr>
                <w:color w:val="000000"/>
                <w:sz w:val="24"/>
                <w:szCs w:val="24"/>
              </w:rPr>
            </w:pPr>
            <w:r>
              <w:rPr>
                <w:rFonts w:hint="eastAsia"/>
                <w:b/>
                <w:bCs/>
                <w:color w:val="000000"/>
                <w:sz w:val="24"/>
                <w:szCs w:val="24"/>
              </w:rPr>
              <w:t xml:space="preserve">最终报价30分</w:t>
            </w:r>
            <w:r>
              <w:rPr>
                <w:color w:val="000000"/>
                <w:sz w:val="24"/>
                <w:szCs w:val="24"/>
              </w:rPr>
            </w:r>
            <w:r/>
          </w:p>
        </w:tc>
      </w:tr>
      <w:tr>
        <w:trPr/>
        <w:tc>
          <w:tcPr>
            <w:tcW w:w="789" w:type="dxa"/>
            <w:vAlign w:val="center"/>
            <w:textDirection w:val="lrTb"/>
            <w:noWrap w:val="false"/>
          </w:tcPr>
          <w:p>
            <w:pPr>
              <w:pStyle w:val="1214"/>
              <w:jc w:val="center"/>
              <w:spacing w:line="440" w:lineRule="exact"/>
              <w:rPr>
                <w:color w:val="000000"/>
                <w:sz w:val="24"/>
                <w:szCs w:val="24"/>
              </w:rPr>
            </w:pPr>
            <w:r>
              <w:rPr>
                <w:rFonts w:hint="eastAsia"/>
                <w:color w:val="000000"/>
                <w:sz w:val="24"/>
                <w:szCs w:val="24"/>
              </w:rPr>
              <w:t xml:space="preserve">1.1</w:t>
            </w:r>
            <w:r>
              <w:rPr>
                <w:color w:val="000000"/>
                <w:sz w:val="24"/>
                <w:szCs w:val="24"/>
              </w:rPr>
            </w:r>
            <w:r/>
          </w:p>
        </w:tc>
        <w:tc>
          <w:tcPr>
            <w:tcW w:w="1196" w:type="dxa"/>
            <w:vAlign w:val="center"/>
            <w:textDirection w:val="lrTb"/>
            <w:noWrap w:val="false"/>
          </w:tcPr>
          <w:p>
            <w:pPr>
              <w:pStyle w:val="1214"/>
              <w:jc w:val="center"/>
              <w:spacing w:line="440" w:lineRule="exact"/>
              <w:rPr>
                <w:rFonts w:hint="eastAsia"/>
                <w:color w:val="000000"/>
                <w:sz w:val="24"/>
                <w:szCs w:val="24"/>
              </w:rPr>
            </w:pPr>
            <w:r>
              <w:rPr>
                <w:rFonts w:hint="eastAsia" w:ascii="宋体" w:hAnsi="宋体"/>
                <w:color w:val="000000"/>
                <w:sz w:val="24"/>
                <w:szCs w:val="24"/>
              </w:rPr>
              <w:t xml:space="preserve">报价得分</w:t>
            </w:r>
            <w:r>
              <w:rPr>
                <w:rFonts w:hint="eastAsia"/>
                <w:color w:val="000000"/>
                <w:sz w:val="24"/>
                <w:szCs w:val="24"/>
              </w:rPr>
            </w:r>
            <w:r/>
          </w:p>
        </w:tc>
        <w:tc>
          <w:tcPr>
            <w:tcW w:w="6229" w:type="dxa"/>
            <w:vAlign w:val="top"/>
            <w:textDirection w:val="lrTb"/>
            <w:noWrap w:val="false"/>
          </w:tcPr>
          <w:p>
            <w:pPr>
              <w:pStyle w:val="1214"/>
              <w:ind w:firstLine="480"/>
              <w:jc w:val="center"/>
              <w:spacing w:line="440" w:lineRule="exact"/>
              <w:rPr>
                <w:rFonts w:ascii="宋体" w:hAnsi="宋体"/>
                <w:color w:val="000000"/>
                <w:sz w:val="24"/>
                <w:szCs w:val="24"/>
              </w:rPr>
            </w:pPr>
            <w:r>
              <w:rPr>
                <w:rFonts w:hint="eastAsia" w:ascii="宋体" w:hAnsi="宋体"/>
                <w:color w:val="000000"/>
                <w:sz w:val="24"/>
                <w:szCs w:val="24"/>
              </w:rPr>
              <w:t xml:space="preserve">报价得分公式：分别比较实质响应的投标文件中开标一览表的总报价，以最低总报价为基准价，基准价得满分，其他投标人的价格分统一按照公式计算：</w:t>
            </w:r>
            <w:r>
              <w:rPr>
                <w:rFonts w:ascii="宋体" w:hAnsi="宋体"/>
                <w:color w:val="000000"/>
                <w:sz w:val="24"/>
                <w:szCs w:val="24"/>
              </w:rPr>
            </w:r>
            <w:r/>
          </w:p>
          <w:p>
            <w:pPr>
              <w:pStyle w:val="1214"/>
              <w:jc w:val="center"/>
              <w:spacing w:line="440" w:lineRule="exact"/>
              <w:rPr>
                <w:color w:val="000000"/>
                <w:sz w:val="24"/>
                <w:szCs w:val="24"/>
              </w:rPr>
            </w:pPr>
            <w:r>
              <w:rPr>
                <w:rFonts w:hint="eastAsia" w:ascii="宋体" w:hAnsi="宋体"/>
                <w:color w:val="000000"/>
                <w:sz w:val="24"/>
                <w:szCs w:val="24"/>
              </w:rPr>
              <w:t xml:space="preserve">报价得分=(评定基准价／最终总报价)×30</w:t>
            </w:r>
            <w:r>
              <w:rPr>
                <w:color w:val="000000"/>
                <w:sz w:val="24"/>
                <w:szCs w:val="24"/>
              </w:rPr>
            </w:r>
            <w:r/>
          </w:p>
        </w:tc>
        <w:tc>
          <w:tcPr>
            <w:tcW w:w="955" w:type="dxa"/>
            <w:vAlign w:val="center"/>
            <w:textDirection w:val="lrTb"/>
            <w:noWrap w:val="false"/>
          </w:tcPr>
          <w:p>
            <w:pPr>
              <w:pStyle w:val="1214"/>
              <w:jc w:val="center"/>
              <w:spacing w:line="440" w:lineRule="exact"/>
              <w:rPr>
                <w:color w:val="000000"/>
                <w:sz w:val="24"/>
                <w:szCs w:val="24"/>
              </w:rPr>
            </w:pPr>
            <w:r>
              <w:rPr>
                <w:rFonts w:hint="eastAsia"/>
                <w:color w:val="000000"/>
                <w:sz w:val="24"/>
                <w:szCs w:val="24"/>
              </w:rPr>
              <w:t xml:space="preserve">30分</w:t>
            </w:r>
            <w:r>
              <w:rPr>
                <w:color w:val="000000"/>
                <w:sz w:val="24"/>
                <w:szCs w:val="24"/>
              </w:rPr>
            </w:r>
            <w:r/>
          </w:p>
        </w:tc>
      </w:tr>
      <w:tr>
        <w:trPr>
          <w:trHeight w:val="450"/>
        </w:trPr>
        <w:tc>
          <w:tcPr>
            <w:shd w:val="clear" w:color="auto" w:fill="d7d7d7"/>
            <w:tcW w:w="789" w:type="dxa"/>
            <w:vAlign w:val="top"/>
            <w:textDirection w:val="lrTb"/>
            <w:noWrap w:val="false"/>
          </w:tcPr>
          <w:p>
            <w:pPr>
              <w:pStyle w:val="1214"/>
              <w:jc w:val="center"/>
              <w:spacing w:line="440" w:lineRule="exact"/>
              <w:rPr>
                <w:color w:val="000000"/>
                <w:sz w:val="24"/>
                <w:szCs w:val="24"/>
              </w:rPr>
            </w:pPr>
            <w:r>
              <w:rPr>
                <w:rFonts w:hint="eastAsia"/>
                <w:color w:val="000000"/>
                <w:sz w:val="24"/>
                <w:szCs w:val="24"/>
              </w:rPr>
              <w:t xml:space="preserve">二</w:t>
            </w:r>
            <w:r>
              <w:rPr>
                <w:color w:val="000000"/>
                <w:sz w:val="24"/>
                <w:szCs w:val="24"/>
              </w:rPr>
            </w:r>
            <w:r/>
          </w:p>
        </w:tc>
        <w:tc>
          <w:tcPr>
            <w:gridSpan w:val="3"/>
            <w:shd w:val="clear" w:color="auto" w:fill="d7d7d7"/>
            <w:tcW w:w="8380" w:type="dxa"/>
            <w:vAlign w:val="top"/>
            <w:textDirection w:val="lrTb"/>
            <w:noWrap w:val="false"/>
          </w:tcPr>
          <w:p>
            <w:pPr>
              <w:pStyle w:val="1214"/>
              <w:jc w:val="center"/>
              <w:spacing w:line="440" w:lineRule="exact"/>
              <w:rPr>
                <w:color w:val="000000"/>
                <w:sz w:val="24"/>
                <w:szCs w:val="24"/>
              </w:rPr>
            </w:pPr>
            <w:r>
              <w:rPr>
                <w:rFonts w:hint="eastAsia"/>
                <w:b/>
                <w:bCs/>
                <w:color w:val="000000"/>
                <w:sz w:val="24"/>
                <w:szCs w:val="24"/>
                <w:lang w:val="zh-CN"/>
              </w:rPr>
              <w:t xml:space="preserve">技术部分</w:t>
            </w:r>
            <w:r>
              <w:rPr>
                <w:rFonts w:hint="eastAsia"/>
                <w:b/>
                <w:bCs/>
                <w:color w:val="000000"/>
                <w:sz w:val="24"/>
                <w:szCs w:val="24"/>
              </w:rPr>
              <w:t xml:space="preserve">54分</w:t>
            </w:r>
            <w:r>
              <w:rPr>
                <w:color w:val="000000"/>
                <w:sz w:val="24"/>
                <w:szCs w:val="24"/>
              </w:rPr>
            </w:r>
            <w:r/>
          </w:p>
        </w:tc>
      </w:tr>
      <w:tr>
        <w:trPr>
          <w:trHeight w:val="722"/>
        </w:trPr>
        <w:tc>
          <w:tcPr>
            <w:tcW w:w="789" w:type="dxa"/>
            <w:vAlign w:val="center"/>
            <w:textDirection w:val="lrTb"/>
            <w:noWrap w:val="false"/>
          </w:tcPr>
          <w:p>
            <w:pPr>
              <w:pStyle w:val="1214"/>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W w:w="1196"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技术响应</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b/>
                <w:bCs/>
                <w:color w:val="000000"/>
                <w:sz w:val="24"/>
                <w:szCs w:val="24"/>
              </w:rPr>
            </w:pPr>
            <w:r>
              <w:rPr>
                <w:rFonts w:hint="eastAsia" w:ascii="宋体" w:hAnsi="宋体" w:cs="宋体"/>
                <w:color w:val="000000"/>
                <w:sz w:val="24"/>
                <w:szCs w:val="24"/>
              </w:rPr>
              <w:t xml:space="preserve">根据各投标人所投采购需求中要求的功能、对招标文件各项基本技术参数要求的逐项响应情况及偏离表，投标人所提供的均满足采购需求的得满分20分。若打“★”部分有一项负偏离扣1分；其它部分的参数有一项负偏离扣0.5分，扣完20分为止。 </w:t>
            </w:r>
            <w:r>
              <w:rPr>
                <w:rFonts w:hint="eastAsia" w:ascii="宋体" w:hAnsi="宋体" w:cs="宋体"/>
                <w:color w:val="000000"/>
                <w:sz w:val="24"/>
                <w:szCs w:val="24"/>
              </w:rPr>
              <w:br w:type="textWrapping" w:clear="all"/>
            </w:r>
            <w:r>
              <w:rPr>
                <w:rFonts w:hint="eastAsia" w:ascii="宋体" w:hAnsi="宋体" w:cs="宋体"/>
                <w:b/>
                <w:bCs/>
                <w:color w:val="000000"/>
                <w:sz w:val="24"/>
                <w:szCs w:val="24"/>
              </w:rPr>
              <w:t xml:space="preserve">注：①响应供应商在技术响应（偏离表）中必须如实表述产品技术参数是否偏离。</w:t>
            </w:r>
            <w:r>
              <w:rPr>
                <w:rFonts w:hint="eastAsia" w:ascii="宋体" w:hAnsi="宋体" w:cs="宋体"/>
                <w:b/>
                <w:bCs/>
                <w:color w:val="000000"/>
                <w:sz w:val="24"/>
                <w:szCs w:val="24"/>
              </w:rPr>
            </w:r>
            <w:r/>
          </w:p>
          <w:p>
            <w:pPr>
              <w:pStyle w:val="1214"/>
              <w:ind w:firstLine="480"/>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②供应商在技术响应（偏离表）中须如实表述产品技术性能并进行响应，按照招标文件第四部分采购需求及技术性能参数要求提供相应证明文件。未响应及未按要求提供相关证明材料视为该功能参数响应负偏离，进行扣分处理。</w:t>
            </w:r>
            <w:r>
              <w:rPr>
                <w:rFonts w:hint="eastAsia" w:ascii="宋体" w:hAnsi="宋体" w:cs="宋体"/>
                <w:b/>
                <w:bCs/>
                <w:color w:val="000000"/>
                <w:sz w:val="24"/>
                <w:szCs w:val="24"/>
              </w:rPr>
            </w:r>
            <w:r/>
          </w:p>
          <w:p>
            <w:pPr>
              <w:pStyle w:val="1214"/>
              <w:ind w:firstLine="480"/>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③技术参数无要求提供相应的证明材料，响应即可，未响应或未按照要求提供佐证材料视为负偏离，进行扣分处理。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r>
      <w:tr>
        <w:trPr>
          <w:trHeight w:val="90"/>
        </w:trPr>
        <w:tc>
          <w:tcPr>
            <w:tcW w:w="789"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1196"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实施方案与技术措施</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根据各投标人提供的实施方案与技术措施综合评定，包含但不限于项目施工组织计划、项目组织机构、项目施工、工期、供货安装</w:t>
            </w:r>
            <w:r>
              <w:rPr>
                <w:rFonts w:hint="eastAsia" w:ascii="宋体" w:hAnsi="宋体" w:cs="宋体"/>
                <w:color w:val="000000"/>
                <w:sz w:val="24"/>
                <w:szCs w:val="24"/>
                <w:lang w:val="zh-CN"/>
              </w:rPr>
              <w:t xml:space="preserve">、安装调试和验收方案（包括针对调试、验收计划及保证措施和体系）</w:t>
            </w:r>
            <w:r>
              <w:rPr>
                <w:rFonts w:hint="eastAsia" w:ascii="宋体" w:hAnsi="宋体" w:cs="宋体"/>
                <w:color w:val="000000"/>
                <w:sz w:val="24"/>
                <w:szCs w:val="24"/>
              </w:rPr>
              <w:t xml:space="preserve">等计划。其中各主要部分实施及施工方法符合项目实际，有详尽的方案及措施，方案完整、方法科学、合理可行，能指导项目具体实施的得6分；方案较完整、方法较合理、可行性较好的得4分；方案不够详细，内容有一定偏差，但不影响实质性内容表达，方法部分可行的得2分；方案内容模糊，没有针对本项目工作内容制定，内容不详实、不完整、内容不全面的得1分；不提供方案的不得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color w:val="000000"/>
                <w:sz w:val="24"/>
                <w:szCs w:val="24"/>
              </w:rPr>
            </w:pPr>
            <w:r>
              <w:rPr>
                <w:rFonts w:hint="eastAsia" w:ascii="宋体" w:hAnsi="宋体" w:cs="宋体"/>
                <w:color w:val="000000"/>
                <w:sz w:val="24"/>
                <w:szCs w:val="24"/>
              </w:rPr>
              <w:t xml:space="preserve">6分</w:t>
            </w:r>
            <w:r>
              <w:rPr>
                <w:color w:val="000000"/>
                <w:sz w:val="24"/>
                <w:szCs w:val="24"/>
              </w:rPr>
            </w:r>
            <w:r/>
          </w:p>
        </w:tc>
      </w:tr>
      <w:tr>
        <w:trPr>
          <w:trHeight w:val="90"/>
        </w:trPr>
        <w:tc>
          <w:tcPr>
            <w:tcW w:w="789"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tcW w:w="1196"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质量管理体系及保证措施</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根据各投标人提供的质量管理体系及保证措施综合评定，其中主要工序有质量技术保证措施和手段，自控体系完整，能有效保证技术质量</w:t>
            </w:r>
            <w:r>
              <w:rPr>
                <w:rFonts w:hint="eastAsia" w:ascii="宋体" w:hAnsi="宋体" w:cs="宋体"/>
                <w:color w:val="000000"/>
                <w:sz w:val="24"/>
                <w:szCs w:val="24"/>
                <w:lang w:eastAsia="zh-CN"/>
              </w:rPr>
              <w:t xml:space="preserve">，且提供的产品质量有相应的证明材料支撑（包括但不限于检测报告等，提供的证明此材料能够完整覆盖本项目关键技术要求，检测依据现行有效国家标准</w:t>
            </w:r>
            <w:r>
              <w:rPr>
                <w:rFonts w:hint="eastAsia" w:ascii="宋体" w:hAnsi="宋体" w:cs="宋体"/>
                <w:color w:val="000000"/>
                <w:sz w:val="24"/>
                <w:szCs w:val="24"/>
                <w:lang w:val="en-US" w:eastAsia="zh-CN"/>
              </w:rPr>
              <w:t xml:space="preserve">/行业标准，检测项目齐全，具备相应检验检测能力等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人员配备合理且承诺的质量标准达到采购要求的得3分；主要工序有质量技术保证措施和手段，自控体系相对齐全，能保证技术质量，人员配备相对合理的得2分；主要工序有质量技术保证措施和手段，自控体系不太完整，不足以保证技术质量，人员配备相对不足的得1分；主要工序没有质量技术保证措施和手段，自控体系不完整，不能保证技术质量，人员配备不足的得0.5分；不提供方案的不得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rFonts w:hint="eastAsia"/>
                <w:color w:val="000000"/>
                <w:sz w:val="24"/>
                <w:szCs w:val="24"/>
              </w:rPr>
            </w:pPr>
            <w:r>
              <w:rPr>
                <w:rFonts w:hint="eastAsia" w:ascii="宋体" w:hAnsi="宋体" w:cs="宋体"/>
                <w:color w:val="000000"/>
                <w:sz w:val="24"/>
                <w:szCs w:val="24"/>
              </w:rPr>
              <w:t xml:space="preserve">3分</w:t>
            </w:r>
            <w:r>
              <w:rPr>
                <w:rFonts w:hint="eastAsia"/>
                <w:color w:val="000000"/>
                <w:sz w:val="24"/>
                <w:szCs w:val="24"/>
              </w:rPr>
            </w:r>
            <w:r/>
          </w:p>
        </w:tc>
      </w:tr>
      <w:tr>
        <w:trPr>
          <w:trHeight w:val="90"/>
        </w:trPr>
        <w:tc>
          <w:tcPr>
            <w:tcW w:w="789"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r>
            <w:r/>
          </w:p>
        </w:tc>
        <w:tc>
          <w:tcPr>
            <w:tcW w:w="1196"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olor w:val="000000"/>
                <w:sz w:val="24"/>
                <w:szCs w:val="24"/>
              </w:rPr>
              <w:t xml:space="preserve">应急响应方案</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对维修设备的响应和应急故障修复方案等综合评分。维修响应速度快，维修方案全面可行性强，应急故障修复方案完善得4分；方案不够详细，内容有一定偏差，但不影响实质性内容表达，方法部分可行的得2分；方案内容模糊，没有针对本项目工作内容制定，内容不详实、不完整、内容不全面的得1分；不提供方案的不得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color w:val="000000"/>
                <w:sz w:val="24"/>
                <w:szCs w:val="24"/>
              </w:rPr>
            </w:pPr>
            <w:r>
              <w:rPr>
                <w:rFonts w:hint="eastAsia" w:ascii="宋体" w:hAnsi="宋体" w:cs="宋体"/>
                <w:color w:val="000000"/>
                <w:sz w:val="24"/>
                <w:szCs w:val="24"/>
              </w:rPr>
              <w:t xml:space="preserve">4分</w:t>
            </w:r>
            <w:r>
              <w:rPr>
                <w:color w:val="000000"/>
                <w:sz w:val="24"/>
                <w:szCs w:val="24"/>
              </w:rPr>
            </w:r>
            <w:r/>
          </w:p>
        </w:tc>
      </w:tr>
      <w:tr>
        <w:trPr>
          <w:trHeight w:val="2735"/>
        </w:trPr>
        <w:tc>
          <w:tcPr>
            <w:tcW w:w="789" w:type="dxa"/>
            <w:vAlign w:val="center"/>
            <w:textDirection w:val="lrTb"/>
            <w:noWrap w:val="false"/>
          </w:tcPr>
          <w:p>
            <w:pPr>
              <w:pStyle w:val="1351"/>
              <w:ind w:firstLine="0"/>
              <w:rPr>
                <w:rFonts w:hint="eastAsia" w:ascii="宋体" w:hAnsi="宋体" w:eastAsia="宋体" w:cs="宋体"/>
                <w:color w:val="000000"/>
                <w:szCs w:val="24"/>
                <w:lang w:val="en-US"/>
              </w:rPr>
            </w:pPr>
            <w:r>
              <w:rPr>
                <w:rFonts w:hint="eastAsia" w:ascii="宋体" w:hAnsi="宋体" w:eastAsia="宋体" w:cs="宋体"/>
                <w:color w:val="000000"/>
                <w:lang w:val="en-US"/>
              </w:rPr>
              <w:t xml:space="preserve">2.5</w:t>
            </w:r>
            <w:r>
              <w:rPr>
                <w:rFonts w:hint="eastAsia" w:ascii="宋体" w:hAnsi="宋体" w:eastAsia="宋体" w:cs="宋体"/>
                <w:color w:val="000000"/>
                <w:szCs w:val="24"/>
                <w:lang w:val="en-US"/>
              </w:rPr>
            </w:r>
            <w:r/>
          </w:p>
        </w:tc>
        <w:tc>
          <w:tcPr>
            <w:tcW w:w="1196" w:type="dxa"/>
            <w:vAlign w:val="center"/>
            <w:textDirection w:val="lrTb"/>
            <w:noWrap w:val="false"/>
          </w:tcPr>
          <w:p>
            <w:pPr>
              <w:pStyle w:val="121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项目风险预测与防范、事故应急预案</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项目风险预测与防范、事故应急预案综合评定，方案考虑周全、内容详细、思路清晰、可行性好的得3分；方案考虑较周全、内容较详细、思路基本清晰、可行性较好的得2分；方案考虑不周全、内容不详细、思路不清晰、可行性较低，不符合本项目具体情况的得1分；不提供方案的不得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color w:val="000000"/>
                <w:sz w:val="24"/>
                <w:szCs w:val="24"/>
              </w:rPr>
              <w:t xml:space="preserve">3分</w:t>
            </w:r>
            <w:r>
              <w:rPr>
                <w:rFonts w:hint="eastAsia" w:ascii="宋体" w:hAnsi="宋体" w:cs="宋体"/>
                <w:color w:val="000000"/>
                <w:sz w:val="24"/>
                <w:szCs w:val="24"/>
              </w:rPr>
            </w:r>
            <w:r/>
          </w:p>
        </w:tc>
      </w:tr>
      <w:tr>
        <w:trPr>
          <w:trHeight w:val="3190"/>
        </w:trPr>
        <w:tc>
          <w:tcPr>
            <w:tcW w:w="789" w:type="dxa"/>
            <w:vAlign w:val="center"/>
            <w:textDirection w:val="lrTb"/>
            <w:noWrap w:val="false"/>
          </w:tcPr>
          <w:p>
            <w:pPr>
              <w:pStyle w:val="1351"/>
              <w:ind w:firstLine="0"/>
              <w:rPr>
                <w:rFonts w:hint="eastAsia" w:ascii="宋体" w:hAnsi="宋体" w:eastAsia="宋体" w:cs="宋体"/>
                <w:color w:val="000000"/>
                <w:szCs w:val="24"/>
                <w:lang w:val="en-US"/>
              </w:rPr>
            </w:pPr>
            <w:r>
              <w:rPr>
                <w:rFonts w:hint="eastAsia" w:ascii="宋体" w:hAnsi="宋体" w:eastAsia="宋体" w:cs="宋体"/>
                <w:color w:val="000000"/>
                <w:lang w:val="en-US"/>
              </w:rPr>
              <w:t xml:space="preserve">2.6</w:t>
            </w:r>
            <w:r>
              <w:rPr>
                <w:rFonts w:hint="eastAsia" w:ascii="宋体" w:hAnsi="宋体" w:eastAsia="宋体" w:cs="宋体"/>
                <w:color w:val="000000"/>
                <w:szCs w:val="24"/>
                <w:lang w:val="en-US"/>
              </w:rPr>
            </w:r>
            <w:r/>
          </w:p>
        </w:tc>
        <w:tc>
          <w:tcPr>
            <w:tcW w:w="1196" w:type="dxa"/>
            <w:vAlign w:val="center"/>
            <w:textDirection w:val="lrTb"/>
            <w:noWrap w:val="false"/>
          </w:tcPr>
          <w:p>
            <w:pPr>
              <w:pStyle w:val="121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技术培训方案</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技术培训方案（包括但不限于对用户的操作培训、业务功能培训等相关培训计划方案，除正常操作培训外，提出其他技术培训保障方案等）进行横向比较打分，培训方案完整、详细、可行的得2分；方案具有比较可行性、合理性、能够基本满足本项目采购需求内容，为本项目制定较完善的方案，完整和实用的得1分；有方案，但方案内容模糊，没有针对本项目主要工作内容制定，内容不详实、不完整、内容不全面的0.5分。没有内容的不得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color w:val="000000"/>
                <w:sz w:val="24"/>
                <w:szCs w:val="24"/>
              </w:rPr>
              <w:t xml:space="preserve">2分</w:t>
            </w:r>
            <w:r>
              <w:rPr>
                <w:rFonts w:hint="eastAsia" w:ascii="宋体" w:hAnsi="宋体" w:cs="宋体"/>
                <w:color w:val="000000"/>
                <w:sz w:val="24"/>
                <w:szCs w:val="24"/>
              </w:rPr>
            </w:r>
            <w:r/>
          </w:p>
        </w:tc>
      </w:tr>
      <w:tr>
        <w:trPr>
          <w:trHeight w:val="2415"/>
        </w:trPr>
        <w:tc>
          <w:tcPr>
            <w:tcW w:w="789" w:type="dxa"/>
            <w:vAlign w:val="center"/>
            <w:textDirection w:val="lrTb"/>
            <w:noWrap w:val="false"/>
          </w:tcPr>
          <w:p>
            <w:pPr>
              <w:pStyle w:val="1351"/>
              <w:ind w:firstLine="0"/>
              <w:rPr>
                <w:rFonts w:hint="eastAsia" w:ascii="宋体" w:hAnsi="宋体" w:eastAsia="宋体" w:cs="宋体"/>
                <w:color w:val="000000"/>
                <w:lang w:val="en-US"/>
              </w:rPr>
            </w:pPr>
            <w:r>
              <w:rPr>
                <w:rFonts w:hint="eastAsia" w:ascii="宋体" w:hAnsi="宋体" w:eastAsia="宋体" w:cs="宋体"/>
                <w:color w:val="000000"/>
                <w:lang w:val="en-US"/>
              </w:rPr>
              <w:t xml:space="preserve">2.7</w:t>
            </w:r>
            <w:r>
              <w:rPr>
                <w:rFonts w:hint="eastAsia" w:ascii="宋体" w:hAnsi="宋体" w:eastAsia="宋体" w:cs="宋体"/>
                <w:color w:val="000000"/>
                <w:lang w:val="en-US"/>
              </w:rPr>
            </w:r>
            <w:r/>
          </w:p>
        </w:tc>
        <w:tc>
          <w:tcPr>
            <w:tcW w:w="1196" w:type="dxa"/>
            <w:vAlign w:val="center"/>
            <w:textDirection w:val="lrTb"/>
            <w:noWrap w:val="false"/>
          </w:tcPr>
          <w:p>
            <w:pPr>
              <w:pStyle w:val="121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平台对接</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结合项目现状及现场实际特点，保障系统的对接融合能力，数据对接应遵循国家、省交通厅、市大数据局的数据对接标准，实现治超业务数据的采集、传输、清洗和入库，并满足交通行业内部信息的共享与交换。供应商提供技术实现的方案，切实可行且符合采购需求的，得6分；技术实现基本符合采购需求但合理完善性不强的，得3分；缺项或者未提供的不得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color w:val="000000"/>
                <w:sz w:val="24"/>
                <w:szCs w:val="24"/>
              </w:rPr>
            </w:pPr>
            <w:r>
              <w:rPr>
                <w:rFonts w:hint="eastAsia"/>
                <w:color w:val="000000"/>
                <w:sz w:val="24"/>
                <w:szCs w:val="24"/>
              </w:rPr>
              <w:t xml:space="preserve">6分</w:t>
            </w:r>
            <w:r>
              <w:rPr>
                <w:color w:val="000000"/>
                <w:sz w:val="24"/>
                <w:szCs w:val="24"/>
              </w:rPr>
            </w:r>
            <w:r/>
          </w:p>
        </w:tc>
      </w:tr>
      <w:tr>
        <w:trPr>
          <w:trHeight w:val="758"/>
        </w:trPr>
        <w:tc>
          <w:tcPr>
            <w:tcW w:w="789" w:type="dxa"/>
            <w:vAlign w:val="center"/>
            <w:textDirection w:val="lrTb"/>
            <w:noWrap w:val="false"/>
          </w:tcPr>
          <w:p>
            <w:pPr>
              <w:pStyle w:val="1351"/>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2.8</w:t>
            </w:r>
            <w:r>
              <w:rPr>
                <w:rFonts w:hint="eastAsia" w:ascii="宋体" w:hAnsi="宋体" w:eastAsia="宋体" w:cs="宋体"/>
                <w:color w:val="000000"/>
                <w:highlight w:val="none"/>
                <w:lang w:val="en-US"/>
              </w:rPr>
            </w:r>
            <w:r/>
          </w:p>
        </w:tc>
        <w:tc>
          <w:tcPr>
            <w:tcW w:w="1196" w:type="dxa"/>
            <w:vAlign w:val="center"/>
            <w:textDirection w:val="lrTb"/>
            <w:noWrap w:val="false"/>
          </w:tcPr>
          <w:p>
            <w:pPr>
              <w:pStyle w:val="1214"/>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w:t>
            </w:r>
            <w:r>
              <w:rPr>
                <w:rFonts w:hint="eastAsia" w:ascii="宋体" w:hAnsi="宋体" w:cs="宋体"/>
                <w:color w:val="000000"/>
                <w:sz w:val="24"/>
                <w:szCs w:val="24"/>
                <w:highlight w:val="none"/>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根据各投标人提供的针对本项目的售后服务方案（包括服务承诺、服务响应时间、服务方式、服务内容、售后人员配备、解决问题的能力、紧急故障处理预案、</w:t>
            </w:r>
            <w:r>
              <w:rPr>
                <w:rFonts w:hint="eastAsia" w:ascii="宋体" w:hAnsi="宋体" w:cs="宋体"/>
                <w:color w:val="000000"/>
                <w:sz w:val="24"/>
                <w:szCs w:val="24"/>
                <w:highlight w:val="none"/>
                <w:lang w:val="zh-CN"/>
              </w:rPr>
              <w:t xml:space="preserve">备品配件保障等</w:t>
            </w:r>
            <w:r>
              <w:rPr>
                <w:rFonts w:hint="eastAsia" w:ascii="宋体" w:hAnsi="宋体" w:cs="宋体"/>
                <w:color w:val="000000"/>
                <w:sz w:val="24"/>
                <w:szCs w:val="24"/>
                <w:highlight w:val="none"/>
              </w:rPr>
              <w:t xml:space="preserve">）以及维护期内外的后续技术支持和维护能力等内容综合评定，方案考虑周全、内容详细、思路清</w:t>
            </w:r>
            <w:r>
              <w:rPr>
                <w:rFonts w:hint="eastAsia" w:ascii="宋体" w:hAnsi="宋体" w:cs="宋体"/>
                <w:color w:val="000000"/>
                <w:sz w:val="28"/>
                <w:szCs w:val="28"/>
                <w:highlight w:val="none"/>
              </w:rPr>
              <w:t xml:space="preserve">晰</w:t>
            </w:r>
            <w:r>
              <w:rPr>
                <w:rFonts w:hint="eastAsia" w:ascii="宋体" w:hAnsi="宋体" w:cs="宋体"/>
                <w:color w:val="000000"/>
                <w:sz w:val="24"/>
                <w:szCs w:val="24"/>
                <w:highlight w:val="none"/>
              </w:rPr>
              <w:t xml:space="preserve">、可行性好的得8分；方案考虑较周全、内容较详细、思路基本清晰、可行性较好的得5分；方案考虑不周全、内容不详细、思路不清晰、可行性较低，不符合本项目具体情况的得3分；不提供方案的不得分。</w:t>
            </w:r>
            <w:r>
              <w:rPr>
                <w:rFonts w:hint="eastAsia" w:ascii="宋体" w:hAnsi="宋体" w:cs="宋体"/>
                <w:color w:val="000000"/>
                <w:sz w:val="24"/>
                <w:szCs w:val="24"/>
                <w:highlight w:val="none"/>
              </w:rPr>
            </w:r>
            <w:r/>
          </w:p>
        </w:tc>
        <w:tc>
          <w:tcPr>
            <w:tcW w:w="955" w:type="dxa"/>
            <w:vAlign w:val="center"/>
            <w:textDirection w:val="lrTb"/>
            <w:noWrap w:val="false"/>
          </w:tcPr>
          <w:p>
            <w:pPr>
              <w:pStyle w:val="1214"/>
              <w:jc w:val="center"/>
              <w:spacing w:line="440" w:lineRule="exact"/>
              <w:rPr>
                <w:color w:val="000000"/>
                <w:sz w:val="24"/>
                <w:szCs w:val="24"/>
                <w:highlight w:val="none"/>
              </w:rPr>
            </w:pPr>
            <w:r>
              <w:rPr>
                <w:rFonts w:hint="eastAsia"/>
                <w:color w:val="000000"/>
                <w:sz w:val="24"/>
                <w:szCs w:val="24"/>
                <w:highlight w:val="none"/>
              </w:rPr>
              <w:t xml:space="preserve">8分</w:t>
            </w:r>
            <w:r>
              <w:rPr>
                <w:color w:val="000000"/>
                <w:sz w:val="24"/>
                <w:szCs w:val="24"/>
                <w:highlight w:val="none"/>
              </w:rPr>
            </w:r>
            <w:r/>
          </w:p>
        </w:tc>
      </w:tr>
      <w:tr>
        <w:trPr>
          <w:trHeight w:val="2415"/>
        </w:trPr>
        <w:tc>
          <w:tcPr>
            <w:tcW w:w="789" w:type="dxa"/>
            <w:vAlign w:val="center"/>
            <w:textDirection w:val="lrTb"/>
            <w:noWrap w:val="false"/>
          </w:tcPr>
          <w:p>
            <w:pPr>
              <w:pStyle w:val="1351"/>
              <w:ind w:firstLine="0"/>
              <w:rPr>
                <w:rFonts w:hint="eastAsia" w:ascii="宋体" w:hAnsi="宋体" w:eastAsia="宋体" w:cs="宋体"/>
                <w:color w:val="000000"/>
                <w:lang w:val="en-US"/>
              </w:rPr>
            </w:pPr>
            <w:r>
              <w:rPr>
                <w:rFonts w:hint="eastAsia" w:ascii="宋体" w:hAnsi="宋体" w:eastAsia="宋体" w:cs="宋体"/>
                <w:color w:val="000000"/>
                <w:lang w:val="en-US"/>
              </w:rPr>
              <w:t xml:space="preserve">2.9</w:t>
            </w:r>
            <w:r>
              <w:rPr>
                <w:rFonts w:hint="eastAsia" w:ascii="宋体" w:hAnsi="宋体" w:eastAsia="宋体" w:cs="宋体"/>
                <w:color w:val="000000"/>
                <w:lang w:val="en-US"/>
              </w:rPr>
            </w:r>
            <w:r/>
          </w:p>
        </w:tc>
        <w:tc>
          <w:tcPr>
            <w:tcW w:w="1196" w:type="dxa"/>
            <w:vAlign w:val="center"/>
            <w:textDirection w:val="lrTb"/>
            <w:noWrap w:val="false"/>
          </w:tcPr>
          <w:p>
            <w:pPr>
              <w:pStyle w:val="121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文明施工保证体系及保证措施</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文明施工保证体系及保证措施综合评定，针对本工程项目特点，有现场文明施工计划，文明施工措施。各项措施周全、具体、有效的得2分；措施较周全、较具体、较有效的得1分；措施不周全、不具体、有效性低的得0.5分；不提供方案的不得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rFonts w:hint="eastAsia"/>
                <w:color w:val="000000"/>
                <w:sz w:val="24"/>
                <w:szCs w:val="24"/>
              </w:rPr>
            </w:pPr>
            <w:r>
              <w:rPr>
                <w:rFonts w:hint="eastAsia"/>
                <w:color w:val="000000"/>
                <w:sz w:val="24"/>
                <w:szCs w:val="24"/>
              </w:rPr>
              <w:t xml:space="preserve">2分</w:t>
            </w:r>
            <w:r>
              <w:rPr>
                <w:rFonts w:hint="eastAsia"/>
                <w:color w:val="000000"/>
                <w:sz w:val="24"/>
                <w:szCs w:val="24"/>
              </w:rPr>
            </w:r>
            <w:r/>
          </w:p>
        </w:tc>
      </w:tr>
      <w:tr>
        <w:trPr>
          <w:trHeight w:val="520"/>
        </w:trPr>
        <w:tc>
          <w:tcPr>
            <w:shd w:val="clear" w:color="auto" w:fill="d7d7d7"/>
            <w:tcW w:w="789" w:type="dxa"/>
            <w:vAlign w:val="top"/>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rPr>
            </w:r>
            <w:r/>
          </w:p>
        </w:tc>
        <w:tc>
          <w:tcPr>
            <w:gridSpan w:val="3"/>
            <w:shd w:val="clear" w:color="auto" w:fill="d7d7d7"/>
            <w:tcW w:w="8380" w:type="dxa"/>
            <w:vAlign w:val="top"/>
            <w:textDirection w:val="lrTb"/>
            <w:noWrap w:val="false"/>
          </w:tcPr>
          <w:p>
            <w:pPr>
              <w:pStyle w:val="1214"/>
              <w:jc w:val="center"/>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商务</w:t>
            </w:r>
            <w:r>
              <w:rPr>
                <w:rFonts w:hint="eastAsia" w:ascii="宋体" w:hAnsi="宋体" w:cs="宋体"/>
                <w:b/>
                <w:bCs/>
                <w:color w:val="000000"/>
                <w:sz w:val="24"/>
                <w:szCs w:val="24"/>
                <w:lang w:val="zh-CN"/>
              </w:rPr>
              <w:t xml:space="preserve">部分</w:t>
            </w:r>
            <w:r>
              <w:rPr>
                <w:rFonts w:hint="eastAsia" w:ascii="宋体" w:hAnsi="宋体" w:cs="宋体"/>
                <w:b/>
                <w:bCs/>
                <w:color w:val="000000"/>
                <w:sz w:val="24"/>
                <w:szCs w:val="24"/>
              </w:rPr>
              <w:t xml:space="preserve">16分</w:t>
            </w:r>
            <w:r>
              <w:rPr>
                <w:rFonts w:hint="eastAsia" w:ascii="宋体" w:hAnsi="宋体" w:cs="宋体"/>
                <w:color w:val="000000"/>
                <w:sz w:val="24"/>
                <w:szCs w:val="24"/>
              </w:rPr>
            </w:r>
            <w:r/>
          </w:p>
        </w:tc>
      </w:tr>
      <w:tr>
        <w:trPr>
          <w:trHeight w:val="3600"/>
        </w:trPr>
        <w:tc>
          <w:tcPr>
            <w:tcW w:w="789" w:type="dxa"/>
            <w:vAlign w:val="center"/>
            <w:textDirection w:val="lrTb"/>
            <w:noWrap w:val="false"/>
          </w:tcPr>
          <w:p>
            <w:pPr>
              <w:pStyle w:val="1214"/>
              <w:spacing w:line="440" w:lineRule="exact"/>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W w:w="1196" w:type="dxa"/>
            <w:vAlign w:val="center"/>
            <w:textDirection w:val="lrTb"/>
            <w:noWrap w:val="false"/>
          </w:tcPr>
          <w:p>
            <w:pPr>
              <w:pStyle w:val="121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往期案例分析</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响应文件中提供的承担过往期案例分析进行综合评价，对往期案例分析有针对性、分析详尽的，且有与本项目服务内容相关的、规模相当的证明材料支撑的得8分；提供了往期案例，仅对案例进行简单分析的得5分；往期未做过类似案例但针对本项目有经验分析的得3分；仅提供往期案例、无案例分析的得1分；未提供任何案例及分析的不得分。</w:t>
            </w:r>
            <w:r>
              <w:rPr>
                <w:rFonts w:hint="eastAsia" w:ascii="宋体" w:hAnsi="宋体" w:cs="宋体"/>
                <w:color w:val="000000"/>
                <w:sz w:val="24"/>
                <w:szCs w:val="24"/>
              </w:rPr>
            </w:r>
            <w:r/>
          </w:p>
          <w:p>
            <w:pPr>
              <w:pStyle w:val="1214"/>
              <w:ind w:firstLine="482"/>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注：需提供相应案例证明材料（合同及验收报告）等扫描加盖公章上传至“苏采云”系统相应位置。</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rFonts w:hint="eastAsia" w:ascii="宋体" w:hAnsi="宋体" w:cs="宋体"/>
                <w:color w:val="000000"/>
                <w:sz w:val="24"/>
                <w:szCs w:val="24"/>
              </w:rPr>
            </w:pPr>
            <w:r>
              <w:rPr>
                <w:rFonts w:hint="eastAsia"/>
                <w:color w:val="000000"/>
                <w:sz w:val="24"/>
                <w:szCs w:val="24"/>
              </w:rPr>
              <w:t xml:space="preserve">8分</w:t>
            </w:r>
            <w:r>
              <w:rPr>
                <w:rFonts w:hint="eastAsia" w:ascii="宋体" w:hAnsi="宋体" w:cs="宋体"/>
                <w:color w:val="000000"/>
                <w:sz w:val="24"/>
                <w:szCs w:val="24"/>
              </w:rPr>
            </w:r>
            <w:r/>
          </w:p>
        </w:tc>
      </w:tr>
      <w:tr>
        <w:trPr>
          <w:trHeight w:val="900"/>
        </w:trPr>
        <w:tc>
          <w:tcPr>
            <w:tcW w:w="789" w:type="dxa"/>
            <w:vAlign w:val="center"/>
            <w:textDirection w:val="lrTb"/>
            <w:noWrap w:val="false"/>
          </w:tcPr>
          <w:p>
            <w:pPr>
              <w:pStyle w:val="1214"/>
              <w:spacing w:line="440" w:lineRule="exact"/>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W w:w="1196" w:type="dxa"/>
            <w:vAlign w:val="center"/>
            <w:textDirection w:val="lrTb"/>
            <w:noWrap w:val="false"/>
          </w:tcPr>
          <w:p>
            <w:pPr>
              <w:pStyle w:val="121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人员配置</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（1）项目负责人（2分）：项目组负责人具备工程师职称的得1分，具备副高级及以上职称的得2分。</w:t>
            </w:r>
            <w:r>
              <w:rPr>
                <w:rFonts w:ascii="宋体" w:hAnsi="宋体" w:cs="宋体"/>
                <w:color w:val="000000"/>
                <w:sz w:val="24"/>
                <w:szCs w:val="24"/>
              </w:rPr>
            </w:r>
            <w:r/>
          </w:p>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拟派项目组成员（除项目负责人外）（4分）：拟派项目组成员（除项目负责人外）具备网络工程师、设备安装施工员、设备安装质量员、工程师及以上职称的每有1个得1分，本项最高得4分。（同一人员多个证书不累计）</w:t>
            </w:r>
            <w:r>
              <w:rPr>
                <w:rFonts w:hint="eastAsia" w:ascii="宋体" w:hAnsi="宋体" w:cs="宋体"/>
                <w:color w:val="000000"/>
                <w:sz w:val="24"/>
                <w:szCs w:val="24"/>
              </w:rPr>
            </w:r>
            <w:r/>
          </w:p>
          <w:p>
            <w:pPr>
              <w:pStyle w:val="1214"/>
              <w:ind w:firstLine="482"/>
              <w:spacing w:line="440" w:lineRule="exact"/>
              <w:rPr>
                <w:rFonts w:hint="eastAsia" w:ascii="宋体" w:hAnsi="宋体" w:cs="宋体"/>
                <w:b/>
                <w:bCs/>
                <w:color w:val="000000"/>
                <w:sz w:val="24"/>
                <w:szCs w:val="24"/>
              </w:rPr>
            </w:pPr>
            <w:r>
              <w:rPr>
                <w:rFonts w:ascii="宋体" w:hAnsi="宋体" w:cs="宋体"/>
                <w:b/>
                <w:bCs/>
                <w:color w:val="000000"/>
                <w:sz w:val="24"/>
                <w:szCs w:val="24"/>
              </w:rPr>
              <w:t xml:space="preserve">注：提供证书原件扫描件加盖公章上传至“苏采云”系统相应位置。拟投入项目人员必须为</w:t>
            </w:r>
            <w:r>
              <w:rPr>
                <w:rFonts w:hint="eastAsia" w:ascii="宋体" w:hAnsi="宋体" w:cs="宋体"/>
                <w:b/>
                <w:bCs/>
                <w:color w:val="000000"/>
                <w:sz w:val="24"/>
                <w:szCs w:val="24"/>
              </w:rPr>
              <w:t xml:space="preserve">该</w:t>
            </w:r>
            <w:r>
              <w:rPr>
                <w:rFonts w:ascii="宋体" w:hAnsi="宋体" w:cs="宋体"/>
                <w:b/>
                <w:bCs/>
                <w:color w:val="000000"/>
                <w:sz w:val="24"/>
                <w:szCs w:val="24"/>
              </w:rPr>
              <w:t xml:space="preserve">企业正式员工，提供近6个月以来任意一个月的社保证明材料</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tc>
        <w:tc>
          <w:tcPr>
            <w:tcW w:w="955" w:type="dxa"/>
            <w:vAlign w:val="center"/>
            <w:textDirection w:val="lrTb"/>
            <w:noWrap w:val="false"/>
          </w:tcPr>
          <w:p>
            <w:pPr>
              <w:pStyle w:val="1214"/>
              <w:jc w:val="center"/>
              <w:spacing w:line="440" w:lineRule="exact"/>
              <w:rPr>
                <w:rFonts w:ascii="宋体" w:hAnsi="宋体" w:cs="宋体"/>
                <w:b/>
                <w:bCs/>
                <w:color w:val="000000"/>
                <w:sz w:val="24"/>
                <w:szCs w:val="24"/>
              </w:rPr>
            </w:pPr>
            <w:r>
              <w:rPr>
                <w:rFonts w:hint="eastAsia" w:ascii="宋体" w:hAnsi="宋体" w:cs="宋体"/>
                <w:color w:val="000000"/>
                <w:sz w:val="24"/>
                <w:szCs w:val="24"/>
              </w:rPr>
              <w:t xml:space="preserve">6分</w:t>
            </w:r>
            <w:r>
              <w:rPr>
                <w:rFonts w:ascii="宋体" w:hAnsi="宋体" w:cs="宋体"/>
                <w:b/>
                <w:bCs/>
                <w:color w:val="000000"/>
                <w:sz w:val="24"/>
                <w:szCs w:val="24"/>
              </w:rPr>
            </w:r>
            <w:r/>
          </w:p>
        </w:tc>
      </w:tr>
      <w:tr>
        <w:trPr>
          <w:trHeight w:val="3934"/>
        </w:trPr>
        <w:tc>
          <w:tcPr>
            <w:tcW w:w="789" w:type="dxa"/>
            <w:vAlign w:val="center"/>
            <w:textDirection w:val="lrTb"/>
            <w:noWrap w:val="false"/>
          </w:tcPr>
          <w:p>
            <w:pPr>
              <w:pStyle w:val="121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3.3</w:t>
            </w:r>
            <w:r>
              <w:rPr>
                <w:rFonts w:hint="eastAsia" w:ascii="宋体" w:hAnsi="宋体" w:cs="宋体"/>
                <w:color w:val="000000"/>
                <w:sz w:val="24"/>
                <w:szCs w:val="24"/>
              </w:rPr>
            </w:r>
            <w:r/>
          </w:p>
        </w:tc>
        <w:tc>
          <w:tcPr>
            <w:tcW w:w="1196" w:type="dxa"/>
            <w:vAlign w:val="center"/>
            <w:textDirection w:val="lrTb"/>
            <w:noWrap w:val="false"/>
          </w:tcPr>
          <w:p>
            <w:pPr>
              <w:pStyle w:val="121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节能环保</w:t>
            </w:r>
            <w:r>
              <w:rPr>
                <w:rFonts w:hint="eastAsia" w:ascii="宋体" w:hAnsi="宋体" w:cs="宋体"/>
                <w:color w:val="000000"/>
                <w:sz w:val="24"/>
                <w:szCs w:val="24"/>
              </w:rPr>
            </w:r>
            <w:r/>
          </w:p>
        </w:tc>
        <w:tc>
          <w:tcPr>
            <w:tcW w:w="6229" w:type="dxa"/>
            <w:vAlign w:val="top"/>
            <w:textDirection w:val="lrTb"/>
            <w:noWrap w:val="false"/>
          </w:tcPr>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cs="宋体"/>
                <w:color w:val="000000"/>
                <w:sz w:val="24"/>
                <w:szCs w:val="24"/>
              </w:rPr>
            </w:r>
            <w:r/>
          </w:p>
          <w:p>
            <w:pPr>
              <w:pStyle w:val="121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cs="宋体"/>
                <w:color w:val="000000"/>
                <w:sz w:val="24"/>
                <w:szCs w:val="24"/>
              </w:rPr>
            </w:r>
            <w:r/>
          </w:p>
        </w:tc>
        <w:tc>
          <w:tcPr>
            <w:tcW w:w="955" w:type="dxa"/>
            <w:vAlign w:val="center"/>
            <w:textDirection w:val="lrTb"/>
            <w:noWrap w:val="false"/>
          </w:tcPr>
          <w:p>
            <w:pPr>
              <w:pStyle w:val="1214"/>
              <w:jc w:val="center"/>
              <w:spacing w:line="440" w:lineRule="exact"/>
              <w:rPr>
                <w:rFonts w:hint="eastAsia"/>
                <w:color w:val="000000"/>
                <w:sz w:val="24"/>
                <w:szCs w:val="24"/>
              </w:rPr>
            </w:pPr>
            <w:r>
              <w:rPr>
                <w:rFonts w:hint="eastAsia"/>
                <w:color w:val="000000"/>
                <w:sz w:val="24"/>
                <w:szCs w:val="24"/>
              </w:rPr>
              <w:t xml:space="preserve">2分</w:t>
            </w:r>
            <w:r>
              <w:rPr>
                <w:rFonts w:hint="eastAsia"/>
                <w:color w:val="000000"/>
                <w:sz w:val="24"/>
                <w:szCs w:val="24"/>
              </w:rPr>
            </w:r>
            <w:r/>
          </w:p>
        </w:tc>
      </w:tr>
    </w:tbl>
    <w:p>
      <w:pPr>
        <w:pStyle w:val="1214"/>
        <w:ind w:firstLine="480"/>
        <w:spacing w:line="440" w:lineRule="exact"/>
        <w:rPr>
          <w:rFonts w:ascii="宋体" w:hAnsi="宋体"/>
          <w:color w:val="000000"/>
          <w:sz w:val="24"/>
          <w:szCs w:val="24"/>
        </w:rPr>
      </w:pPr>
      <w:r>
        <w:rPr>
          <w:rFonts w:hint="eastAsia" w:ascii="宋体" w:hAnsi="宋体" w:cs="宋体"/>
          <w:color w:val="000000"/>
          <w:sz w:val="24"/>
          <w:szCs w:val="24"/>
        </w:rPr>
        <w:t xml:space="preserve">评审后按累计得分高低顺序排名。得分相同的，按最终报</w:t>
      </w:r>
      <w:r>
        <w:rPr>
          <w:rFonts w:hint="eastAsia" w:ascii="宋体" w:hAnsi="宋体"/>
          <w:color w:val="000000"/>
          <w:sz w:val="24"/>
          <w:szCs w:val="24"/>
        </w:rPr>
        <w:t xml:space="preserve">价由低到高顺序排名，得分且最终报价相同的，按</w:t>
      </w:r>
      <w:r>
        <w:rPr>
          <w:rFonts w:hint="eastAsia" w:ascii="宋体" w:hAnsi="宋体" w:cs="宋体"/>
          <w:bCs/>
          <w:color w:val="000000"/>
          <w:sz w:val="24"/>
          <w:szCs w:val="24"/>
        </w:rPr>
        <w:t xml:space="preserve">技术方案</w:t>
      </w:r>
      <w:r>
        <w:rPr>
          <w:rFonts w:hint="eastAsia" w:ascii="宋体" w:hAnsi="宋体"/>
          <w:color w:val="000000"/>
          <w:sz w:val="24"/>
          <w:szCs w:val="24"/>
        </w:rPr>
        <w:t xml:space="preserve">优劣顺序排名。</w:t>
      </w:r>
      <w:r>
        <w:rPr>
          <w:rFonts w:hint="eastAsia" w:ascii="宋体" w:hAnsi="宋体" w:cs="宋体"/>
          <w:bCs/>
          <w:color w:val="000000"/>
          <w:sz w:val="24"/>
          <w:szCs w:val="24"/>
        </w:rPr>
        <w:t xml:space="preserve">技术方案</w:t>
      </w:r>
      <w:r>
        <w:rPr>
          <w:rFonts w:hint="eastAsia" w:ascii="宋体" w:hAnsi="宋体"/>
          <w:color w:val="000000"/>
          <w:sz w:val="24"/>
          <w:szCs w:val="24"/>
        </w:rPr>
        <w:t xml:space="preserve">的优劣顺序由磋商小组按少数服从多数的原则确定。</w:t>
      </w:r>
      <w:r>
        <w:rPr>
          <w:rFonts w:ascii="宋体" w:hAnsi="宋体"/>
          <w:color w:val="000000"/>
          <w:sz w:val="24"/>
          <w:szCs w:val="24"/>
        </w:rPr>
      </w:r>
      <w:r/>
    </w:p>
    <w:p>
      <w:pPr>
        <w:pStyle w:val="1214"/>
        <w:ind w:firstLine="482"/>
        <w:jc w:val="left"/>
        <w:spacing w:line="440" w:lineRule="exact"/>
        <w:rPr>
          <w:rFonts w:hint="eastAsia" w:ascii="宋体" w:hAnsi="宋体"/>
          <w:b/>
          <w:color w:val="000000"/>
          <w:sz w:val="24"/>
          <w:szCs w:val="24"/>
        </w:rPr>
      </w:pPr>
      <w:r>
        <w:rPr>
          <w:rFonts w:hint="eastAsia" w:ascii="宋体" w:hAnsi="宋体"/>
          <w:b/>
          <w:color w:val="000000"/>
          <w:sz w:val="24"/>
          <w:szCs w:val="24"/>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83"/>
        <w:ind w:firstLine="640"/>
        <w:rPr>
          <w:rFonts w:hint="eastAsia"/>
          <w:color w:val="000000"/>
        </w:rPr>
      </w:pPr>
      <w:r>
        <w:rPr>
          <w:rFonts w:hint="eastAsia"/>
          <w:color w:val="000000"/>
        </w:rPr>
      </w:r>
      <w:r/>
    </w:p>
    <w:p>
      <w:pPr>
        <w:pStyle w:val="1214"/>
        <w:jc w:val="center"/>
        <w:keepNext/>
        <w:rPr>
          <w:rFonts w:hint="eastAsia" w:ascii="黑体" w:eastAsia="黑体"/>
          <w:bCs/>
          <w:color w:val="000000"/>
          <w:sz w:val="24"/>
          <w:szCs w:val="24"/>
        </w:rPr>
        <w:outlineLvl w:val="0"/>
      </w:pPr>
      <w:r>
        <w:rPr>
          <w:rFonts w:hint="eastAsia" w:ascii="黑体" w:eastAsia="黑体"/>
          <w:bCs/>
          <w:color w:val="000000"/>
          <w:sz w:val="32"/>
          <w:szCs w:val="32"/>
        </w:rPr>
        <w:t xml:space="preserve">第六章  投标文件格式 </w:t>
      </w:r>
      <w:r>
        <w:rPr>
          <w:rFonts w:hint="eastAsia" w:ascii="黑体" w:eastAsia="黑体"/>
          <w:bCs/>
          <w:color w:val="000000"/>
          <w:sz w:val="24"/>
          <w:szCs w:val="24"/>
        </w:rPr>
      </w:r>
      <w:r/>
    </w:p>
    <w:p>
      <w:pPr>
        <w:pStyle w:val="1214"/>
        <w:jc w:val="center"/>
        <w:rPr>
          <w:rFonts w:hint="eastAsia" w:ascii="宋体" w:hAnsi="宋体"/>
          <w:b/>
          <w:color w:val="000000"/>
          <w:sz w:val="24"/>
          <w:szCs w:val="24"/>
        </w:rPr>
      </w:pPr>
      <w:r>
        <w:rPr>
          <w:rFonts w:hint="eastAsia" w:ascii="宋体" w:hAnsi="宋体"/>
          <w:b/>
          <w:color w:val="000000"/>
          <w:sz w:val="24"/>
          <w:szCs w:val="24"/>
        </w:rPr>
      </w:r>
      <w:r/>
    </w:p>
    <w:p>
      <w:pPr>
        <w:pStyle w:val="1214"/>
        <w:jc w:val="center"/>
        <w:rPr>
          <w:rFonts w:hint="eastAsia" w:ascii="宋体" w:hAnsi="宋体"/>
          <w:b/>
          <w:color w:val="000000"/>
          <w:sz w:val="72"/>
          <w:szCs w:val="72"/>
        </w:rPr>
      </w:pPr>
      <w:r>
        <w:rPr>
          <w:rFonts w:hint="eastAsia" w:ascii="宋体" w:hAnsi="宋体"/>
          <w:b/>
          <w:color w:val="000000"/>
          <w:sz w:val="72"/>
          <w:szCs w:val="72"/>
        </w:rPr>
      </w:r>
      <w:r/>
    </w:p>
    <w:p>
      <w:pPr>
        <w:pStyle w:val="1214"/>
        <w:jc w:val="center"/>
        <w:rPr>
          <w:rFonts w:hint="eastAsia" w:ascii="宋体" w:hAnsi="宋体"/>
          <w:b/>
          <w:color w:val="000000"/>
          <w:sz w:val="72"/>
          <w:szCs w:val="72"/>
        </w:rPr>
      </w:pPr>
      <w:r>
        <w:rPr>
          <w:rFonts w:hint="eastAsia" w:ascii="宋体" w:hAnsi="宋体"/>
          <w:b/>
          <w:color w:val="000000"/>
          <w:sz w:val="72"/>
          <w:szCs w:val="72"/>
        </w:rPr>
        <w:t xml:space="preserve">投  标  文  件</w:t>
      </w:r>
      <w:r>
        <w:rPr>
          <w:rFonts w:hint="eastAsia" w:ascii="宋体" w:hAnsi="宋体"/>
          <w:b/>
          <w:color w:val="000000"/>
          <w:sz w:val="72"/>
          <w:szCs w:val="72"/>
        </w:rPr>
      </w:r>
      <w:r/>
    </w:p>
    <w:p>
      <w:pPr>
        <w:pStyle w:val="1214"/>
        <w:jc w:val="center"/>
        <w:rPr>
          <w:rFonts w:hint="eastAsia" w:ascii="宋体" w:hAnsi="宋体"/>
          <w:b/>
          <w:color w:val="000000"/>
          <w:sz w:val="32"/>
          <w:szCs w:val="32"/>
        </w:rPr>
      </w:pPr>
      <w:r>
        <w:rPr>
          <w:rFonts w:hint="eastAsia" w:ascii="宋体" w:hAnsi="宋体"/>
          <w:b/>
          <w:color w:val="000000"/>
          <w:sz w:val="32"/>
          <w:szCs w:val="32"/>
        </w:rPr>
      </w:r>
      <w:r/>
    </w:p>
    <w:p>
      <w:pPr>
        <w:pStyle w:val="1214"/>
        <w:jc w:val="center"/>
        <w:rPr>
          <w:rFonts w:hint="eastAsia" w:ascii="宋体" w:hAnsi="宋体"/>
          <w:b/>
          <w:color w:val="000000"/>
          <w:sz w:val="32"/>
          <w:szCs w:val="32"/>
        </w:rPr>
      </w:pPr>
      <w:r>
        <w:rPr>
          <w:rFonts w:hint="eastAsia" w:ascii="宋体" w:hAnsi="宋体"/>
          <w:b/>
          <w:color w:val="000000"/>
          <w:sz w:val="32"/>
          <w:szCs w:val="32"/>
        </w:rPr>
      </w:r>
      <w:r/>
    </w:p>
    <w:p>
      <w:pPr>
        <w:pStyle w:val="1214"/>
        <w:jc w:val="center"/>
        <w:rPr>
          <w:rFonts w:hint="eastAsia" w:ascii="宋体" w:hAnsi="宋体"/>
          <w:b/>
          <w:color w:val="000000"/>
          <w:sz w:val="32"/>
          <w:szCs w:val="32"/>
        </w:rPr>
      </w:pPr>
      <w:r>
        <w:rPr>
          <w:rFonts w:hint="eastAsia" w:ascii="宋体" w:hAnsi="宋体"/>
          <w:b/>
          <w:color w:val="000000"/>
          <w:sz w:val="32"/>
          <w:szCs w:val="32"/>
        </w:rPr>
      </w:r>
      <w:r/>
    </w:p>
    <w:p>
      <w:pPr>
        <w:pStyle w:val="1214"/>
        <w:jc w:val="center"/>
        <w:rPr>
          <w:rFonts w:hint="eastAsia" w:ascii="宋体" w:hAnsi="宋体"/>
          <w:b/>
          <w:color w:val="000000"/>
          <w:sz w:val="32"/>
          <w:szCs w:val="32"/>
        </w:rPr>
      </w:pPr>
      <w:r>
        <w:rPr>
          <w:rFonts w:hint="eastAsia" w:ascii="宋体" w:hAnsi="宋体"/>
          <w:b/>
          <w:color w:val="000000"/>
          <w:sz w:val="32"/>
          <w:szCs w:val="32"/>
        </w:rPr>
      </w:r>
      <w:r/>
    </w:p>
    <w:p>
      <w:pPr>
        <w:pStyle w:val="1214"/>
        <w:ind w:firstLine="1606"/>
        <w:rPr>
          <w:rFonts w:hint="eastAsia" w:ascii="宋体" w:hAnsi="宋体"/>
          <w:b/>
          <w:color w:val="000000"/>
          <w:sz w:val="32"/>
          <w:szCs w:val="32"/>
        </w:rPr>
      </w:pPr>
      <w:r>
        <w:rPr>
          <w:rFonts w:hint="eastAsia" w:ascii="宋体" w:hAnsi="宋体"/>
          <w:b/>
          <w:color w:val="000000"/>
          <w:sz w:val="32"/>
          <w:szCs w:val="32"/>
        </w:rPr>
        <w:t xml:space="preserve">项 目 名 称：</w:t>
      </w:r>
      <w:r>
        <w:rPr>
          <w:rFonts w:hint="eastAsia" w:ascii="宋体" w:hAnsi="宋体"/>
          <w:b/>
          <w:color w:val="000000"/>
          <w:sz w:val="32"/>
          <w:szCs w:val="32"/>
          <w:u w:val="single"/>
        </w:rPr>
        <w:t xml:space="preserve">扬中市S238扬中一桥货车动态称重监测设施项目</w:t>
      </w:r>
      <w:r>
        <w:rPr>
          <w:rFonts w:hint="eastAsia" w:ascii="宋体" w:hAnsi="宋体"/>
          <w:b/>
          <w:color w:val="000000"/>
          <w:sz w:val="32"/>
          <w:szCs w:val="32"/>
        </w:rPr>
      </w:r>
      <w:r/>
    </w:p>
    <w:p>
      <w:pPr>
        <w:pStyle w:val="1214"/>
        <w:ind w:firstLine="1606"/>
        <w:rPr>
          <w:rFonts w:hint="eastAsia" w:ascii="宋体" w:hAnsi="宋体" w:eastAsia="宋体"/>
          <w:b/>
          <w:color w:val="000000"/>
          <w:sz w:val="32"/>
          <w:szCs w:val="32"/>
          <w:u w:val="single"/>
          <w:lang w:eastAsia="zh-CN"/>
        </w:rPr>
      </w:pPr>
      <w:r>
        <w:rPr>
          <w:rFonts w:hint="eastAsia" w:ascii="宋体" w:hAnsi="宋体"/>
          <w:b/>
          <w:color w:val="000000"/>
          <w:sz w:val="32"/>
          <w:szCs w:val="32"/>
        </w:rPr>
        <w:t xml:space="preserve">项 目 编 号：</w:t>
      </w:r>
      <w:r>
        <w:rPr>
          <w:rFonts w:hint="eastAsia" w:ascii="宋体" w:hAnsi="宋体"/>
          <w:b/>
          <w:color w:val="000000"/>
          <w:sz w:val="32"/>
          <w:szCs w:val="32"/>
          <w:u w:val="single"/>
          <w:lang w:eastAsia="zh-CN"/>
        </w:rPr>
        <w:t xml:space="preserve">JSZC-321182-JJGS-G2026-0013</w:t>
      </w:r>
      <w:r>
        <w:rPr>
          <w:rFonts w:hint="eastAsia" w:ascii="宋体" w:hAnsi="宋体" w:eastAsia="宋体"/>
          <w:b/>
          <w:color w:val="000000"/>
          <w:sz w:val="32"/>
          <w:szCs w:val="32"/>
          <w:u w:val="single"/>
          <w:lang w:eastAsia="zh-CN"/>
        </w:rPr>
      </w:r>
      <w:r/>
    </w:p>
    <w:p>
      <w:pPr>
        <w:pStyle w:val="1214"/>
        <w:rPr>
          <w:rFonts w:hint="eastAsia" w:ascii="宋体" w:hAnsi="宋体"/>
          <w:b/>
          <w:color w:val="000000"/>
          <w:sz w:val="32"/>
          <w:szCs w:val="32"/>
          <w:u w:val="single"/>
        </w:rPr>
      </w:pPr>
      <w:r>
        <w:rPr>
          <w:rFonts w:hint="eastAsia" w:ascii="宋体" w:hAnsi="宋体"/>
          <w:b/>
          <w:color w:val="000000"/>
          <w:sz w:val="32"/>
          <w:szCs w:val="32"/>
        </w:rPr>
        <w:t xml:space="preserve">          投标人名称 ：</w:t>
      </w:r>
      <w:r>
        <w:rPr>
          <w:rFonts w:hint="eastAsia" w:ascii="宋体" w:hAnsi="宋体"/>
          <w:b/>
          <w:color w:val="000000"/>
          <w:sz w:val="32"/>
          <w:szCs w:val="32"/>
          <w:u w:val="single"/>
        </w:rPr>
        <w:t xml:space="preserve">（加盖CA电子公章）</w:t>
      </w:r>
      <w:r>
        <w:rPr>
          <w:rFonts w:hint="eastAsia" w:ascii="宋体" w:hAnsi="宋体"/>
          <w:b/>
          <w:color w:val="000000"/>
          <w:sz w:val="32"/>
          <w:szCs w:val="32"/>
          <w:u w:val="single"/>
        </w:rPr>
      </w:r>
      <w:r/>
    </w:p>
    <w:p>
      <w:pPr>
        <w:pStyle w:val="1214"/>
        <w:rPr>
          <w:rFonts w:hint="eastAsia"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rPr>
          <w:rFonts w:hint="eastAsia" w:ascii="宋体" w:hAnsi="宋体"/>
          <w:b/>
          <w:color w:val="000000"/>
          <w:sz w:val="32"/>
          <w:szCs w:val="32"/>
          <w:u w:val="single"/>
        </w:rPr>
      </w:r>
      <w:r/>
    </w:p>
    <w:p>
      <w:pPr>
        <w:pStyle w:val="121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1214"/>
        <w:spacing w:line="440" w:lineRule="exact"/>
        <w:rPr>
          <w:rFonts w:ascii="宋体" w:hAnsi="宋体"/>
          <w:color w:val="000000"/>
          <w:sz w:val="32"/>
          <w:szCs w:val="32"/>
        </w:rPr>
      </w:pPr>
      <w:r>
        <w:rPr>
          <w:rFonts w:ascii="宋体" w:hAnsi="宋体"/>
          <w:color w:val="000000"/>
          <w:sz w:val="32"/>
          <w:szCs w:val="32"/>
        </w:rPr>
      </w:r>
      <w:r/>
    </w:p>
    <w:p>
      <w:pPr>
        <w:pStyle w:val="1214"/>
        <w:rPr>
          <w:rFonts w:ascii="宋体" w:hAnsi="宋体"/>
          <w:b/>
          <w:bCs/>
          <w:color w:val="000000"/>
          <w:sz w:val="24"/>
          <w:szCs w:val="24"/>
        </w:rPr>
      </w:pPr>
      <w:r>
        <w:rPr>
          <w:rFonts w:ascii="宋体" w:hAnsi="宋体"/>
          <w:b/>
          <w:bCs/>
          <w:color w:val="000000"/>
          <w:sz w:val="24"/>
          <w:szCs w:val="24"/>
        </w:rPr>
      </w:r>
      <w:r/>
    </w:p>
    <w:p>
      <w:pPr>
        <w:pStyle w:val="1214"/>
        <w:spacing w:line="440" w:lineRule="exact"/>
        <w:rPr>
          <w:rFonts w:hint="eastAsia"/>
          <w:color w:val="000000"/>
        </w:rPr>
      </w:pPr>
      <w:r>
        <w:rPr>
          <w:rFonts w:hint="eastAsia"/>
          <w:color w:val="000000"/>
        </w:rPr>
      </w:r>
      <w:r/>
    </w:p>
    <w:p>
      <w:pPr>
        <w:pStyle w:val="1214"/>
        <w:spacing w:line="440" w:lineRule="exact"/>
        <w:rPr>
          <w:rFonts w:hint="eastAsia"/>
          <w:color w:val="000000"/>
        </w:rPr>
      </w:pPr>
      <w:r>
        <w:rPr>
          <w:rFonts w:hint="eastAsia"/>
          <w:color w:val="000000"/>
        </w:rPr>
      </w:r>
      <w:r/>
    </w:p>
    <w:p>
      <w:pPr>
        <w:pStyle w:val="1214"/>
        <w:spacing w:line="440" w:lineRule="exact"/>
        <w:rPr>
          <w:rFonts w:ascii="宋体" w:hAnsi="宋体"/>
          <w:b/>
          <w:bCs/>
          <w:color w:val="000000"/>
          <w:sz w:val="32"/>
          <w:szCs w:val="32"/>
        </w:rPr>
      </w:pPr>
      <w:r/>
      <w:bookmarkEnd w:id="197"/>
      <w:r/>
      <w:bookmarkEnd w:id="198"/>
      <w:r/>
      <w:bookmarkEnd w:id="199"/>
      <w:r/>
      <w:bookmarkStart w:id="205" w:name="_Toc26554094"/>
      <w:r/>
      <w:bookmarkStart w:id="206" w:name="_Toc49090576"/>
      <w:r/>
      <w:bookmarkStart w:id="207" w:name="_Toc120614282"/>
      <w:r>
        <w:rPr>
          <w:rFonts w:ascii="宋体" w:hAnsi="宋体"/>
          <w:b/>
          <w:bCs/>
          <w:color w:val="000000"/>
          <w:sz w:val="32"/>
          <w:szCs w:val="32"/>
        </w:rPr>
        <w:br w:type="page" w:clear="all"/>
      </w:r>
      <w:r>
        <w:rPr>
          <w:rFonts w:ascii="宋体" w:hAnsi="宋体"/>
          <w:b/>
          <w:bCs/>
          <w:color w:val="000000"/>
          <w:sz w:val="32"/>
          <w:szCs w:val="32"/>
        </w:rPr>
      </w:r>
      <w:r/>
    </w:p>
    <w:p>
      <w:pPr>
        <w:pStyle w:val="1214"/>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121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1214"/>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一、具有独立承担民事责任的能力</w:t>
      </w:r>
      <w:r>
        <w:rPr>
          <w:rFonts w:hint="eastAsia" w:ascii="宋体" w:hAnsi="宋体"/>
          <w:i/>
          <w:color w:val="000000"/>
          <w:sz w:val="24"/>
          <w:u w:val="single"/>
        </w:rPr>
      </w:r>
      <w:r/>
    </w:p>
    <w:p>
      <w:pPr>
        <w:pStyle w:val="1214"/>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二、具有良好的商业信誉和健全的财务会计制度</w:t>
      </w:r>
      <w:r>
        <w:rPr>
          <w:rFonts w:hint="eastAsia" w:ascii="宋体" w:hAnsi="宋体"/>
          <w:i/>
          <w:color w:val="000000"/>
          <w:sz w:val="24"/>
          <w:u w:val="single"/>
        </w:rPr>
      </w:r>
      <w:r/>
    </w:p>
    <w:p>
      <w:pPr>
        <w:pStyle w:val="1214"/>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三、具有履行合同所必需的设备和专业技术能力</w:t>
      </w:r>
      <w:r>
        <w:rPr>
          <w:rFonts w:hint="eastAsia" w:ascii="宋体" w:hAnsi="宋体"/>
          <w:i/>
          <w:color w:val="000000"/>
          <w:sz w:val="24"/>
          <w:u w:val="single"/>
        </w:rPr>
      </w:r>
      <w:r/>
    </w:p>
    <w:p>
      <w:pPr>
        <w:pStyle w:val="1214"/>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四、提供参加本次政府活动前三年内，在经营活动中没有重大违法记录的承诺函</w:t>
      </w:r>
      <w:r>
        <w:rPr>
          <w:rFonts w:hint="eastAsia" w:ascii="宋体" w:hAnsi="宋体"/>
          <w:i/>
          <w:color w:val="000000"/>
          <w:sz w:val="24"/>
          <w:u w:val="single"/>
        </w:rPr>
      </w:r>
      <w:r/>
    </w:p>
    <w:p>
      <w:pPr>
        <w:pStyle w:val="1214"/>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五、依法缴纳税收和社会保障资金的相关材料</w:t>
      </w:r>
      <w:r>
        <w:rPr>
          <w:rFonts w:hint="eastAsia" w:ascii="宋体" w:hAnsi="宋体"/>
          <w:i/>
          <w:color w:val="000000"/>
          <w:sz w:val="24"/>
          <w:u w:val="single"/>
        </w:rPr>
      </w:r>
      <w:r/>
    </w:p>
    <w:p>
      <w:pPr>
        <w:pStyle w:val="1214"/>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rPr>
          <w:rFonts w:hint="eastAsia" w:ascii="宋体" w:hAnsi="宋体"/>
          <w:i/>
          <w:color w:val="000000"/>
          <w:sz w:val="24"/>
          <w:u w:val="single"/>
        </w:rPr>
      </w:r>
      <w:r/>
    </w:p>
    <w:p>
      <w:pPr>
        <w:pStyle w:val="1214"/>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七、法人授权书</w:t>
      </w:r>
      <w:r>
        <w:rPr>
          <w:rFonts w:hint="eastAsia" w:ascii="宋体" w:hAnsi="宋体"/>
          <w:i/>
          <w:color w:val="000000"/>
          <w:sz w:val="24"/>
          <w:u w:val="single"/>
        </w:rPr>
      </w:r>
      <w:r/>
    </w:p>
    <w:p>
      <w:pPr>
        <w:pStyle w:val="1214"/>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八、投标函</w:t>
      </w:r>
      <w:r>
        <w:rPr>
          <w:rFonts w:hint="eastAsia" w:ascii="宋体" w:hAnsi="宋体"/>
          <w:i/>
          <w:color w:val="000000"/>
          <w:sz w:val="24"/>
          <w:u w:val="single"/>
        </w:rPr>
      </w:r>
      <w:r/>
    </w:p>
    <w:p>
      <w:pPr>
        <w:pStyle w:val="1214"/>
        <w:ind w:firstLine="480"/>
        <w:spacing w:line="440" w:lineRule="exact"/>
        <w:rPr>
          <w:rFonts w:hint="eastAsia" w:ascii="宋体" w:hAnsi="宋体"/>
          <w:iCs/>
          <w:color w:val="000000"/>
          <w:sz w:val="24"/>
        </w:rPr>
      </w:pPr>
      <w:r>
        <w:rPr>
          <w:rFonts w:hint="eastAsia" w:ascii="宋体" w:hAnsi="宋体"/>
          <w:iCs/>
          <w:color w:val="000000"/>
          <w:sz w:val="24"/>
        </w:rPr>
        <w:t xml:space="preserve">九、中小企业声明函</w:t>
      </w:r>
      <w:r>
        <w:rPr>
          <w:rFonts w:hint="eastAsia" w:ascii="宋体" w:hAnsi="宋体"/>
          <w:iCs/>
          <w:color w:val="000000"/>
          <w:sz w:val="24"/>
        </w:rPr>
      </w:r>
      <w:r/>
    </w:p>
    <w:p>
      <w:pPr>
        <w:pStyle w:val="1214"/>
        <w:ind w:firstLine="480"/>
        <w:spacing w:line="440" w:lineRule="exact"/>
        <w:rPr>
          <w:rFonts w:hint="eastAsia" w:ascii="宋体" w:hAnsi="宋体"/>
          <w:iCs/>
          <w:color w:val="000000"/>
          <w:sz w:val="24"/>
        </w:rPr>
      </w:pPr>
      <w:r>
        <w:rPr>
          <w:rFonts w:hint="eastAsia" w:ascii="宋体" w:hAnsi="宋体"/>
          <w:iCs/>
          <w:color w:val="000000"/>
          <w:sz w:val="24"/>
        </w:rPr>
        <w:t xml:space="preserve">十、残疾人福利性单位声明函</w:t>
      </w:r>
      <w:r>
        <w:rPr>
          <w:rFonts w:hint="eastAsia" w:ascii="宋体" w:hAnsi="宋体"/>
          <w:iCs/>
          <w:color w:val="000000"/>
          <w:sz w:val="24"/>
        </w:rPr>
      </w:r>
      <w:r/>
    </w:p>
    <w:p>
      <w:pPr>
        <w:pStyle w:val="1214"/>
        <w:ind w:firstLine="480"/>
        <w:spacing w:line="440" w:lineRule="exact"/>
        <w:rPr>
          <w:rFonts w:hint="eastAsia" w:ascii="宋体" w:hAnsi="宋体"/>
          <w:iCs/>
          <w:color w:val="000000"/>
          <w:sz w:val="24"/>
        </w:rPr>
      </w:pPr>
      <w:r>
        <w:rPr>
          <w:rFonts w:hint="eastAsia" w:ascii="宋体" w:hAnsi="宋体"/>
          <w:iCs/>
          <w:color w:val="000000"/>
          <w:sz w:val="24"/>
        </w:rPr>
        <w:t xml:space="preserve">十一、联合体协议</w:t>
      </w:r>
      <w:r>
        <w:rPr>
          <w:rFonts w:hint="eastAsia" w:ascii="宋体" w:hAnsi="宋体"/>
          <w:iCs/>
          <w:color w:val="000000"/>
          <w:sz w:val="24"/>
        </w:rPr>
      </w:r>
      <w:r/>
    </w:p>
    <w:p>
      <w:pPr>
        <w:pStyle w:val="1214"/>
        <w:ind w:firstLine="480"/>
        <w:spacing w:line="440" w:lineRule="exact"/>
        <w:rPr>
          <w:rFonts w:hint="eastAsia" w:ascii="宋体" w:hAnsi="宋体"/>
          <w:iCs/>
          <w:color w:val="000000"/>
          <w:sz w:val="24"/>
        </w:rPr>
      </w:pPr>
      <w:r>
        <w:rPr>
          <w:rFonts w:hint="eastAsia" w:ascii="宋体" w:hAnsi="宋体"/>
          <w:iCs/>
          <w:color w:val="000000"/>
          <w:sz w:val="24"/>
        </w:rPr>
        <w:t xml:space="preserve">十二、投标分项报价表</w:t>
      </w:r>
      <w:r>
        <w:rPr>
          <w:rFonts w:hint="eastAsia" w:ascii="宋体" w:hAnsi="宋体"/>
          <w:iCs/>
          <w:color w:val="000000"/>
          <w:sz w:val="24"/>
        </w:rPr>
      </w:r>
      <w:r/>
    </w:p>
    <w:p>
      <w:pPr>
        <w:pStyle w:val="1214"/>
        <w:ind w:firstLine="480"/>
        <w:spacing w:line="440" w:lineRule="exact"/>
        <w:rPr>
          <w:rFonts w:hint="eastAsia" w:ascii="宋体" w:hAnsi="宋体"/>
          <w:iCs/>
          <w:color w:val="000000"/>
          <w:sz w:val="24"/>
        </w:rPr>
      </w:pPr>
      <w:r>
        <w:rPr>
          <w:rFonts w:hint="eastAsia" w:ascii="宋体" w:hAnsi="宋体"/>
          <w:iCs/>
          <w:color w:val="000000"/>
          <w:sz w:val="24"/>
        </w:rPr>
        <w:t xml:space="preserve">十三、技术要求响应及偏离表</w:t>
      </w:r>
      <w:r>
        <w:rPr>
          <w:rFonts w:hint="eastAsia" w:ascii="宋体" w:hAnsi="宋体"/>
          <w:iCs/>
          <w:color w:val="000000"/>
          <w:sz w:val="24"/>
        </w:rPr>
      </w:r>
      <w:r/>
    </w:p>
    <w:p>
      <w:pPr>
        <w:pStyle w:val="1214"/>
        <w:ind w:firstLine="480"/>
        <w:spacing w:line="440" w:lineRule="exact"/>
        <w:rPr>
          <w:rFonts w:ascii="宋体" w:hAnsi="宋体"/>
          <w:iCs/>
          <w:color w:val="000000"/>
          <w:sz w:val="24"/>
        </w:rPr>
      </w:pPr>
      <w:r>
        <w:rPr>
          <w:rFonts w:hint="eastAsia" w:ascii="宋体" w:hAnsi="宋体"/>
          <w:iCs/>
          <w:color w:val="000000"/>
          <w:sz w:val="24"/>
        </w:rPr>
        <w:t xml:space="preserve">十四、商务要求响应及偏离表</w:t>
      </w:r>
      <w:r>
        <w:rPr>
          <w:rFonts w:ascii="宋体" w:hAnsi="宋体"/>
          <w:iCs/>
          <w:color w:val="000000"/>
          <w:sz w:val="24"/>
        </w:rPr>
      </w:r>
      <w:r/>
    </w:p>
    <w:p>
      <w:pPr>
        <w:pStyle w:val="1214"/>
        <w:ind w:firstLine="480"/>
        <w:spacing w:line="440" w:lineRule="exact"/>
        <w:rPr>
          <w:rFonts w:ascii="宋体" w:hAnsi="宋体"/>
          <w:i/>
          <w:color w:val="000000"/>
          <w:sz w:val="24"/>
          <w:u w:val="single"/>
        </w:rPr>
      </w:pPr>
      <w:r>
        <w:rPr>
          <w:rFonts w:hint="eastAsia" w:ascii="宋体" w:hAnsi="宋体"/>
          <w:i/>
          <w:color w:val="000000"/>
          <w:sz w:val="24"/>
          <w:u w:val="single"/>
        </w:rPr>
        <w:t xml:space="preserve">十五、开标一览表</w:t>
      </w:r>
      <w:r>
        <w:rPr>
          <w:rFonts w:ascii="宋体" w:hAnsi="宋体"/>
          <w:i/>
          <w:color w:val="000000"/>
          <w:sz w:val="24"/>
          <w:u w:val="single"/>
        </w:rPr>
      </w:r>
      <w:r/>
    </w:p>
    <w:p>
      <w:pPr>
        <w:pStyle w:val="1214"/>
        <w:ind w:firstLine="480"/>
        <w:spacing w:line="440" w:lineRule="exact"/>
        <w:rPr>
          <w:rFonts w:ascii="宋体" w:hAnsi="宋体"/>
          <w:iCs/>
          <w:color w:val="000000"/>
          <w:sz w:val="24"/>
        </w:rPr>
      </w:pPr>
      <w:r>
        <w:rPr>
          <w:rFonts w:hint="eastAsia" w:ascii="宋体" w:hAnsi="宋体"/>
          <w:iCs/>
          <w:color w:val="000000"/>
          <w:sz w:val="24"/>
        </w:rPr>
        <w:t xml:space="preserve">十六、资格承诺函</w:t>
      </w:r>
      <w:r>
        <w:rPr>
          <w:rFonts w:ascii="宋体" w:hAnsi="宋体"/>
          <w:iCs/>
          <w:color w:val="000000"/>
          <w:sz w:val="24"/>
        </w:rPr>
      </w:r>
      <w:r/>
    </w:p>
    <w:p>
      <w:pPr>
        <w:pStyle w:val="1214"/>
        <w:ind w:firstLine="480"/>
        <w:spacing w:line="440" w:lineRule="exact"/>
        <w:rPr>
          <w:rFonts w:ascii="宋体" w:hAnsi="宋体"/>
          <w:color w:val="000000"/>
          <w:sz w:val="24"/>
        </w:rPr>
      </w:pPr>
      <w:r>
        <w:rPr>
          <w:rFonts w:ascii="宋体" w:hAnsi="宋体"/>
          <w:color w:val="000000"/>
          <w:sz w:val="24"/>
        </w:rPr>
      </w:r>
      <w:r/>
    </w:p>
    <w:p>
      <w:pPr>
        <w:pStyle w:val="1214"/>
        <w:ind w:firstLine="480"/>
        <w:spacing w:line="440" w:lineRule="exact"/>
        <w:rPr>
          <w:rFonts w:ascii="宋体" w:hAnsi="宋体"/>
          <w:color w:val="000000"/>
          <w:sz w:val="24"/>
        </w:rPr>
      </w:pPr>
      <w:r>
        <w:rPr>
          <w:rFonts w:ascii="宋体" w:hAnsi="宋体"/>
          <w:color w:val="000000"/>
          <w:sz w:val="24"/>
        </w:rPr>
      </w:r>
      <w:r/>
    </w:p>
    <w:p>
      <w:pPr>
        <w:pStyle w:val="1214"/>
        <w:ind w:firstLine="480"/>
        <w:spacing w:line="440" w:lineRule="exact"/>
        <w:rPr>
          <w:rFonts w:ascii="宋体" w:hAnsi="宋体"/>
          <w:color w:val="000000"/>
          <w:sz w:val="24"/>
        </w:rPr>
      </w:pPr>
      <w:r>
        <w:rPr>
          <w:rFonts w:ascii="宋体" w:hAnsi="宋体"/>
          <w:color w:val="000000"/>
          <w:sz w:val="24"/>
        </w:rPr>
      </w:r>
      <w:r/>
    </w:p>
    <w:p>
      <w:pPr>
        <w:pStyle w:val="1214"/>
        <w:ind w:firstLine="480"/>
        <w:spacing w:line="440" w:lineRule="exact"/>
        <w:rPr>
          <w:rFonts w:ascii="宋体" w:hAnsi="宋体"/>
          <w:color w:val="000000"/>
          <w:sz w:val="24"/>
        </w:rPr>
      </w:pPr>
      <w:r>
        <w:rPr>
          <w:rFonts w:ascii="宋体" w:hAnsi="宋体"/>
          <w:color w:val="000000"/>
          <w:sz w:val="24"/>
        </w:rPr>
      </w:r>
      <w:r/>
    </w:p>
    <w:p>
      <w:pPr>
        <w:pStyle w:val="1214"/>
        <w:ind w:firstLine="480"/>
        <w:spacing w:line="440" w:lineRule="exact"/>
        <w:rPr>
          <w:rFonts w:ascii="宋体" w:hAnsi="宋体"/>
          <w:color w:val="000000"/>
          <w:sz w:val="24"/>
        </w:rPr>
      </w:pPr>
      <w:r>
        <w:rPr>
          <w:rFonts w:ascii="宋体" w:hAnsi="宋体"/>
          <w:color w:val="000000"/>
          <w:sz w:val="24"/>
        </w:rPr>
      </w:r>
      <w:r/>
    </w:p>
    <w:p>
      <w:pPr>
        <w:pStyle w:val="1214"/>
        <w:ind w:firstLine="480"/>
        <w:spacing w:line="440" w:lineRule="exact"/>
        <w:rPr>
          <w:rFonts w:ascii="宋体" w:hAnsi="宋体"/>
          <w:color w:val="000000"/>
          <w:sz w:val="24"/>
        </w:rPr>
      </w:pPr>
      <w:r>
        <w:rPr>
          <w:rFonts w:ascii="宋体" w:hAnsi="宋体"/>
          <w:color w:val="000000"/>
          <w:sz w:val="24"/>
        </w:rPr>
      </w:r>
      <w:r/>
    </w:p>
    <w:p>
      <w:pPr>
        <w:pStyle w:val="1214"/>
        <w:ind w:firstLine="480"/>
        <w:spacing w:line="440" w:lineRule="exact"/>
        <w:rPr>
          <w:rFonts w:ascii="宋体" w:hAnsi="宋体"/>
          <w:color w:val="000000"/>
          <w:sz w:val="24"/>
        </w:rPr>
      </w:pPr>
      <w:r>
        <w:rPr>
          <w:rFonts w:ascii="宋体" w:hAnsi="宋体"/>
          <w:color w:val="000000"/>
          <w:sz w:val="24"/>
        </w:rPr>
      </w:r>
      <w:r/>
    </w:p>
    <w:p>
      <w:pPr>
        <w:pStyle w:val="1214"/>
        <w:ind w:firstLine="480"/>
        <w:spacing w:line="440" w:lineRule="exact"/>
        <w:rPr>
          <w:rFonts w:ascii="宋体" w:hAnsi="宋体"/>
          <w:color w:val="000000"/>
          <w:sz w:val="24"/>
        </w:rPr>
      </w:pPr>
      <w:r>
        <w:rPr>
          <w:rFonts w:ascii="宋体" w:hAnsi="宋体"/>
          <w:color w:val="000000"/>
          <w:sz w:val="24"/>
        </w:rPr>
      </w:r>
      <w:r/>
    </w:p>
    <w:p>
      <w:pPr>
        <w:pStyle w:val="1214"/>
        <w:spacing w:line="440" w:lineRule="exac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提供2025年度财务报告（成立不满一年的提供至少一个月财务报告），或银行出具的资信证明，或财政部门认可的政府专业担保机构出具的投标担保函。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三、具有履行合同所必需的设备和专业技术能力</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四、提供参加本次政府活动前三年内，在经营活动中没有重大违法记录的承诺函</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rPr>
          <w:rFonts w:ascii="宋体" w:hAnsi="宋体"/>
          <w:bCs/>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五、依法缴纳税收和社会保障资金的相关材料</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注：①按扬财购〔202</w:t>
      </w:r>
      <w:r>
        <w:rPr>
          <w:rFonts w:hint="eastAsia" w:ascii="宋体" w:hAnsi="宋体"/>
          <w:bCs/>
          <w:color w:val="000000"/>
          <w:sz w:val="24"/>
          <w:szCs w:val="24"/>
        </w:rPr>
        <w:t xml:space="preserve">2</w:t>
      </w:r>
      <w:r>
        <w:rPr>
          <w:rFonts w:ascii="宋体" w:hAnsi="宋体"/>
          <w:bCs/>
          <w:color w:val="000000"/>
          <w:sz w:val="24"/>
          <w:szCs w:val="24"/>
        </w:rPr>
        <w:t xml:space="preserve">〕17号《关于进一步降低政府活动成本减轻政府</w:t>
      </w:r>
      <w:r>
        <w:rPr>
          <w:rFonts w:hint="eastAsia" w:ascii="宋体" w:hAnsi="宋体"/>
          <w:bCs/>
          <w:color w:val="000000"/>
          <w:sz w:val="24"/>
          <w:szCs w:val="24"/>
        </w:rPr>
        <w:t xml:space="preserve">投标人</w:t>
      </w:r>
      <w:r>
        <w:rPr>
          <w:rFonts w:ascii="宋体" w:hAnsi="宋体"/>
          <w:bCs/>
          <w:color w:val="000000"/>
          <w:sz w:val="24"/>
          <w:szCs w:val="24"/>
        </w:rPr>
        <w:t xml:space="preserve">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w:t>
      </w:r>
      <w:r>
        <w:rPr>
          <w:rFonts w:hint="eastAsia" w:ascii="宋体" w:hAnsi="宋体"/>
          <w:bCs/>
          <w:color w:val="000000"/>
          <w:sz w:val="24"/>
          <w:szCs w:val="24"/>
        </w:rPr>
        <w:t xml:space="preserve">投标人</w:t>
      </w:r>
      <w:r>
        <w:rPr>
          <w:rFonts w:ascii="宋体" w:hAnsi="宋体"/>
          <w:bCs/>
          <w:color w:val="000000"/>
          <w:sz w:val="24"/>
          <w:szCs w:val="24"/>
        </w:rPr>
        <w:t xml:space="preserve">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项相关的证明材料即可参加活动。</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②</w:t>
      </w:r>
      <w:r>
        <w:rPr>
          <w:rFonts w:hint="eastAsia" w:ascii="宋体" w:hAnsi="宋体"/>
          <w:bCs/>
          <w:color w:val="000000"/>
          <w:sz w:val="24"/>
          <w:szCs w:val="24"/>
        </w:rPr>
        <w:t xml:space="preserve">投标人</w:t>
      </w:r>
      <w:r>
        <w:rPr>
          <w:rFonts w:ascii="宋体" w:hAnsi="宋体"/>
          <w:bCs/>
          <w:color w:val="000000"/>
          <w:sz w:val="24"/>
          <w:szCs w:val="24"/>
        </w:rPr>
        <w:t xml:space="preserve">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w:t>
      </w:r>
      <w:r>
        <w:rPr>
          <w:rFonts w:ascii="宋体" w:hAnsi="宋体"/>
          <w:bCs/>
          <w:color w:val="000000"/>
          <w:sz w:val="24"/>
          <w:szCs w:val="24"/>
        </w:rPr>
      </w:r>
      <w:r/>
    </w:p>
    <w:p>
      <w:pPr>
        <w:pStyle w:val="1214"/>
        <w:ind w:firstLine="480"/>
        <w:spacing w:line="440" w:lineRule="exact"/>
        <w:rPr>
          <w:rFonts w:hint="eastAsia" w:ascii="宋体" w:hAnsi="宋体"/>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投标人</w:t>
      </w:r>
      <w:r>
        <w:rPr>
          <w:rFonts w:ascii="宋体" w:hAnsi="宋体"/>
          <w:bCs/>
          <w:color w:val="000000"/>
          <w:sz w:val="24"/>
          <w:szCs w:val="24"/>
        </w:rPr>
        <w:t xml:space="preserve">应当遵循诚实信用原则，不得作虚假承诺。</w:t>
      </w:r>
      <w:r>
        <w:rPr>
          <w:rFonts w:hint="eastAsia" w:ascii="宋体" w:hAnsi="宋体"/>
          <w:bCs/>
          <w:color w:val="000000"/>
          <w:sz w:val="24"/>
          <w:szCs w:val="24"/>
        </w:rPr>
        <w:t xml:space="preserve">投标人</w:t>
      </w:r>
      <w:r>
        <w:rPr>
          <w:rFonts w:ascii="宋体" w:hAnsi="宋体"/>
          <w:bCs/>
          <w:color w:val="000000"/>
          <w:sz w:val="24"/>
          <w:szCs w:val="24"/>
        </w:rPr>
        <w:t xml:space="preserve">承诺不实的，属于提供虚假材料谋取中标、成交，应承担相应的法律责任。</w:t>
      </w:r>
      <w:r>
        <w:rPr>
          <w:rFonts w:hint="eastAsia" w:ascii="宋体" w:hAnsi="宋体"/>
          <w:color w:val="000000"/>
          <w:sz w:val="24"/>
          <w:szCs w:val="24"/>
        </w:rPr>
      </w:r>
      <w:r/>
    </w:p>
    <w:p>
      <w:pPr>
        <w:pStyle w:val="1214"/>
        <w:numPr>
          <w:ilvl w:val="0"/>
          <w:numId w:val="6"/>
        </w:numPr>
        <w:ind w:firstLine="480"/>
        <w:spacing w:line="440" w:lineRule="exact"/>
        <w:rPr>
          <w:rFonts w:hint="eastAsia"/>
          <w:color w:val="000000"/>
        </w:rPr>
      </w:pPr>
      <w:r>
        <w:rPr>
          <w:rFonts w:hint="eastAsia" w:ascii="宋体" w:hAnsi="宋体"/>
          <w:color w:val="000000"/>
          <w:sz w:val="24"/>
          <w:szCs w:val="24"/>
        </w:rPr>
        <w:t xml:space="preserve">特定资格要求的证明文件:详见采购公告</w:t>
      </w:r>
      <w:r>
        <w:rPr>
          <w:rFonts w:hint="eastAsia"/>
          <w:color w:val="000000"/>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如果本项目申请人的特定资格要求中要求提供的，必须提供。</w:t>
      </w:r>
      <w:r>
        <w:rPr>
          <w:rFonts w:hint="eastAsia" w:ascii="宋体" w:hAnsi="宋体"/>
          <w:color w:val="000000"/>
          <w:sz w:val="24"/>
          <w:szCs w:val="24"/>
        </w:rPr>
      </w:r>
      <w:r/>
    </w:p>
    <w:p>
      <w:pPr>
        <w:pStyle w:val="1214"/>
        <w:jc w:val="center"/>
        <w:spacing w:before="145" w:after="145" w:line="440" w:lineRule="exact"/>
        <w:rPr>
          <w:rFonts w:hint="eastAsia" w:ascii="黑体" w:hAnsi="黑体" w:eastAsia="黑体"/>
          <w:i/>
          <w:color w:val="000000"/>
          <w:sz w:val="32"/>
          <w:szCs w:val="32"/>
          <w:u w:val="single"/>
        </w:rPr>
      </w:pPr>
      <w:r>
        <w:rPr>
          <w:rFonts w:hint="eastAsia" w:ascii="宋体" w:hAnsi="宋体"/>
          <w:color w:val="000000"/>
          <w:sz w:val="24"/>
          <w:szCs w:val="24"/>
        </w:rPr>
        <w:br w:type="page" w:clear="all"/>
      </w:r>
      <w:bookmarkEnd w:id="205"/>
      <w:r/>
      <w:bookmarkEnd w:id="206"/>
      <w:r/>
      <w:bookmarkEnd w:id="207"/>
      <w:r/>
      <w:bookmarkStart w:id="208" w:name="_Toc120614284"/>
      <w:r>
        <w:rPr>
          <w:rFonts w:hint="eastAsia" w:ascii="黑体" w:hAnsi="黑体" w:eastAsia="黑体"/>
          <w:i/>
          <w:color w:val="000000"/>
          <w:sz w:val="32"/>
          <w:szCs w:val="32"/>
          <w:u w:val="single"/>
        </w:rPr>
        <w:t xml:space="preserve">七、法人授权书</w:t>
      </w:r>
      <w:r>
        <w:rPr>
          <w:rFonts w:hint="eastAsia" w:ascii="黑体" w:hAnsi="黑体" w:eastAsia="黑体"/>
          <w:i/>
          <w:color w:val="000000"/>
          <w:sz w:val="32"/>
          <w:szCs w:val="32"/>
          <w:u w:val="single"/>
        </w:rPr>
      </w:r>
      <w:r/>
    </w:p>
    <w:p>
      <w:pPr>
        <w:pStyle w:val="1312"/>
        <w:ind w:firstLine="480"/>
        <w:spacing w:line="44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扬中市S238扬中一桥货车动态称重监测设施项目</w:t>
      </w:r>
      <w:r>
        <w:rPr>
          <w:rFonts w:hint="eastAsia"/>
          <w:color w:val="000000"/>
          <w:sz w:val="24"/>
          <w:szCs w:val="24"/>
        </w:rPr>
        <w:t xml:space="preserve">活动的合法代理人，以本单位名义全权处理一切与该项目有关的事务。</w:t>
      </w:r>
      <w:r>
        <w:rPr>
          <w:rFonts w:hint="eastAsia"/>
          <w:color w:val="000000"/>
          <w:sz w:val="24"/>
          <w:szCs w:val="24"/>
        </w:rPr>
      </w:r>
      <w:r/>
    </w:p>
    <w:p>
      <w:pPr>
        <w:pStyle w:val="1312"/>
        <w:ind w:firstLine="480"/>
        <w:spacing w:line="44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312"/>
        <w:ind w:firstLine="0"/>
        <w:spacing w:line="44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1312"/>
        <w:ind w:firstLine="0"/>
        <w:spacing w:line="44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1312"/>
        <w:ind w:firstLine="1200"/>
        <w:spacing w:line="44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1312"/>
        <w:ind w:firstLine="480"/>
        <w:spacing w:line="44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1312"/>
        <w:ind w:firstLine="480"/>
        <w:spacing w:line="440" w:lineRule="exact"/>
        <w:tabs>
          <w:tab w:val="left" w:pos="360" w:leader="none"/>
        </w:tabs>
        <w:rPr>
          <w:rFonts w:hint="eastAsia"/>
          <w:color w:val="000000"/>
          <w:sz w:val="24"/>
          <w:szCs w:val="24"/>
        </w:rPr>
      </w:pPr>
      <w:r>
        <w:rPr>
          <w:rFonts w:hint="eastAsia"/>
          <w:color w:val="000000"/>
          <w:sz w:val="24"/>
          <w:szCs w:val="24"/>
        </w:rPr>
        <w:t xml:space="preserve">      日期：</w:t>
      </w:r>
      <w:bookmarkStart w:id="209" w:name="_Hlt26671380"/>
      <w:r/>
      <w:bookmarkEnd w:id="209"/>
      <w:r/>
      <w:bookmarkStart w:id="210" w:name="_Hlt26955070"/>
      <w:r/>
      <w:bookmarkEnd w:id="210"/>
      <w:r/>
      <w:bookmarkStart w:id="211" w:name="_格式3__银行出具的资信证明"/>
      <w:r/>
      <w:bookmarkEnd w:id="211"/>
      <w:r>
        <w:rPr>
          <w:rFonts w:hint="eastAsia"/>
          <w:color w:val="000000"/>
          <w:sz w:val="24"/>
          <w:szCs w:val="24"/>
          <w:u w:val="single"/>
        </w:rPr>
        <w:t xml:space="preserve">                                         </w:t>
      </w:r>
      <w:r>
        <w:rPr>
          <w:rFonts w:hint="eastAsia"/>
          <w:color w:val="000000"/>
          <w:sz w:val="24"/>
          <w:szCs w:val="24"/>
        </w:rPr>
      </w:r>
      <w:r/>
    </w:p>
    <w:p>
      <w:pPr>
        <w:pStyle w:val="1229"/>
        <w:spacing w:line="440" w:lineRule="exact"/>
        <w:rPr>
          <w:rFonts w:hint="eastAsia"/>
          <w:i/>
          <w:color w:val="000000"/>
          <w:sz w:val="24"/>
          <w:szCs w:val="24"/>
          <w:u w:val="single"/>
        </w:rPr>
      </w:pPr>
      <w:r>
        <w:rPr>
          <w:rFonts w:hint="eastAsia"/>
          <w:i/>
          <w:color w:val="000000"/>
          <w:sz w:val="24"/>
          <w:szCs w:val="24"/>
          <w:u w:val="single"/>
        </w:rPr>
      </w:r>
      <w:r/>
    </w:p>
    <w:p>
      <w:pPr>
        <w:pStyle w:val="1229"/>
        <w:ind w:firstLine="0"/>
        <w:spacing w:line="440" w:lineRule="exact"/>
        <w:rPr>
          <w:rFonts w:hint="eastAsia"/>
          <w:color w:val="000000"/>
        </w:rPr>
      </w:pPr>
      <w:r>
        <w:rPr>
          <w:rFonts w:hint="eastAsia"/>
          <w:color w:val="000000"/>
        </w:rPr>
      </w:r>
      <w:r/>
    </w:p>
    <w:p>
      <w:pPr>
        <w:pStyle w:val="1214"/>
        <w:spacing w:line="440" w:lineRule="exact"/>
        <w:rPr>
          <w:rFonts w:hint="eastAsia"/>
          <w:color w:val="000000"/>
        </w:rPr>
      </w:pPr>
      <w:r>
        <w:rPr>
          <w:rFonts w:hint="eastAsia"/>
          <w:color w:val="000000"/>
        </w:rPr>
      </w:r>
      <w:r/>
    </w:p>
    <w:p>
      <w:pPr>
        <w:pStyle w:val="1214"/>
        <w:spacing w:line="440" w:lineRule="exact"/>
        <w:rPr>
          <w:rFonts w:hint="eastAsia" w:ascii="宋体" w:hAnsi="宋体"/>
          <w:bCs/>
          <w:color w:val="000000"/>
          <w:sz w:val="24"/>
        </w:rPr>
      </w:pPr>
      <w:r>
        <w:rPr>
          <w:rFonts w:hint="eastAsia" w:ascii="宋体" w:hAnsi="宋体"/>
          <w:bCs/>
          <w:color w:val="000000"/>
          <w:sz w:val="24"/>
        </w:rPr>
      </w:r>
      <w:r/>
    </w:p>
    <w:p>
      <w:pPr>
        <w:pStyle w:val="1216"/>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rPr>
          <w:rFonts w:ascii="黑体" w:hAnsi="黑体" w:eastAsia="黑体"/>
          <w:bCs w:val="0"/>
          <w:i/>
          <w:color w:val="000000"/>
          <w:sz w:val="32"/>
          <w:szCs w:val="32"/>
          <w:u w:val="single"/>
        </w:rPr>
      </w:r>
      <w:r/>
    </w:p>
    <w:p>
      <w:pPr>
        <w:pStyle w:val="1316"/>
        <w:ind w:firstLine="0"/>
        <w:spacing w:before="0" w:after="0" w:line="440" w:lineRule="exact"/>
        <w:rPr>
          <w:rFonts w:hint="eastAsia" w:ascii="宋体" w:hAnsi="宋体"/>
          <w:color w:val="000000"/>
          <w:szCs w:val="21"/>
        </w:rPr>
      </w:pPr>
      <w:r>
        <w:rPr>
          <w:rFonts w:hint="eastAsia" w:ascii="宋体" w:hAnsi="宋体"/>
          <w:color w:val="000000"/>
          <w:szCs w:val="21"/>
        </w:rPr>
        <w:t xml:space="preserve">致：代理机构</w:t>
      </w:r>
      <w:r>
        <w:rPr>
          <w:rFonts w:hint="eastAsia" w:ascii="宋体" w:hAnsi="宋体"/>
          <w:color w:val="000000"/>
          <w:szCs w:val="21"/>
        </w:rPr>
      </w:r>
      <w:r/>
    </w:p>
    <w:p>
      <w:pPr>
        <w:pStyle w:val="1316"/>
        <w:spacing w:before="0" w:after="0" w:line="440" w:lineRule="exact"/>
        <w:rPr>
          <w:rFonts w:hint="eastAsia" w:ascii="宋体" w:hAnsi="宋体"/>
          <w:color w:val="000000"/>
          <w:szCs w:val="21"/>
        </w:rPr>
      </w:pPr>
      <w:r>
        <w:rPr>
          <w:rFonts w:hint="eastAsia" w:ascii="宋体" w:hAnsi="宋体"/>
          <w:color w:val="000000"/>
          <w:szCs w:val="21"/>
        </w:rPr>
        <w:t xml:space="preserve">根据贵方的</w:t>
      </w:r>
      <w:r>
        <w:rPr>
          <w:rFonts w:hint="eastAsia" w:ascii="宋体" w:hAnsi="宋体"/>
          <w:b/>
          <w:bCs/>
          <w:color w:val="000000"/>
          <w:szCs w:val="21"/>
          <w:u w:val="single"/>
        </w:rPr>
        <w:t xml:space="preserve">扬中市S238扬中一桥货车动态称重监测设施项目</w:t>
      </w:r>
      <w:r>
        <w:rPr>
          <w:rFonts w:hint="eastAsia" w:ascii="宋体" w:hAnsi="宋体"/>
          <w:color w:val="000000"/>
          <w:szCs w:val="21"/>
        </w:rPr>
        <w:t xml:space="preserve">招标文件，正式授权下述签字人______(姓名)代表我方_____（投标人的名称），全权处理本次项目投标的有关事宜。</w:t>
      </w:r>
      <w:r>
        <w:rPr>
          <w:rFonts w:hint="eastAsia" w:ascii="宋体" w:hAnsi="宋体"/>
          <w:color w:val="000000"/>
          <w:szCs w:val="21"/>
        </w:rPr>
      </w:r>
      <w:r/>
    </w:p>
    <w:p>
      <w:pPr>
        <w:pStyle w:val="1316"/>
        <w:spacing w:before="0" w:after="0" w:line="44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316"/>
        <w:spacing w:before="0" w:after="0" w:line="44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316"/>
        <w:spacing w:before="0" w:after="0" w:line="44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316"/>
        <w:spacing w:before="0" w:after="0" w:line="44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316"/>
        <w:spacing w:before="0" w:after="0" w:line="44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316"/>
        <w:spacing w:before="0" w:after="0" w:line="44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316"/>
        <w:spacing w:before="0" w:after="0" w:line="44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316"/>
        <w:spacing w:before="0" w:after="0" w:line="440" w:lineRule="exact"/>
        <w:rPr>
          <w:rFonts w:ascii="宋体" w:hAnsi="宋体"/>
          <w:color w:val="000000"/>
          <w:szCs w:val="21"/>
        </w:rPr>
      </w:pPr>
      <w:r>
        <w:rPr>
          <w:rFonts w:hint="eastAsia" w:ascii="宋体" w:hAnsi="宋体"/>
          <w:color w:val="000000"/>
          <w:szCs w:val="21"/>
        </w:rPr>
        <w:t xml:space="preserve">7.</w:t>
      </w:r>
      <w:r>
        <w:rPr>
          <w:rFonts w:hint="eastAsia" w:ascii="宋体" w:hAnsi="宋体"/>
          <w:color w:val="000000"/>
          <w:szCs w:val="21"/>
        </w:rPr>
        <w:t xml:space="preserve">我公司郑重声明：参加本次政府活动前三年内，在经营活动中没有重大违法记录。</w:t>
      </w:r>
      <w:r>
        <w:rPr>
          <w:rFonts w:ascii="宋体" w:hAnsi="宋体"/>
          <w:color w:val="000000"/>
          <w:szCs w:val="21"/>
        </w:rPr>
      </w:r>
      <w:r/>
    </w:p>
    <w:p>
      <w:pPr>
        <w:pStyle w:val="1316"/>
        <w:spacing w:before="0" w:after="0" w:line="440" w:lineRule="exact"/>
        <w:rPr>
          <w:rFonts w:hint="eastAsia" w:ascii="宋体" w:hAnsi="宋体"/>
          <w:color w:val="000000"/>
          <w:szCs w:val="21"/>
        </w:rPr>
      </w:pPr>
      <w:r>
        <w:rPr>
          <w:rFonts w:hint="eastAsia" w:ascii="宋体" w:hAnsi="宋体"/>
          <w:color w:val="000000"/>
          <w:szCs w:val="21"/>
        </w:rPr>
        <w:t xml:space="preserve">8.与本投标有关的正式通讯地址为：</w:t>
      </w:r>
      <w:r>
        <w:rPr>
          <w:rFonts w:hint="eastAsia" w:ascii="宋体" w:hAnsi="宋体"/>
          <w:color w:val="000000"/>
          <w:szCs w:val="21"/>
        </w:rPr>
      </w:r>
      <w:r/>
    </w:p>
    <w:p>
      <w:pPr>
        <w:pStyle w:val="1316"/>
        <w:ind w:left="420"/>
        <w:spacing w:before="0" w:after="0"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316"/>
        <w:ind w:left="420"/>
        <w:spacing w:before="0" w:after="0" w:line="44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316"/>
        <w:ind w:left="420"/>
        <w:spacing w:before="0" w:after="0"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316"/>
        <w:ind w:left="420"/>
        <w:spacing w:before="0" w:after="0"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316"/>
        <w:ind w:left="420"/>
        <w:spacing w:before="0" w:after="0" w:line="44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1316"/>
        <w:ind w:left="420"/>
        <w:spacing w:before="0" w:after="0" w:line="44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316"/>
        <w:ind w:left="420"/>
        <w:spacing w:before="0" w:after="0" w:line="440" w:lineRule="exact"/>
        <w:rPr>
          <w:rFonts w:hint="eastAsia" w:ascii="宋体" w:hAnsi="宋体"/>
          <w:color w:val="000000"/>
          <w:szCs w:val="21"/>
        </w:rPr>
      </w:pPr>
      <w:r>
        <w:rPr>
          <w:rFonts w:hint="eastAsia" w:ascii="宋体" w:hAnsi="宋体"/>
          <w:color w:val="000000"/>
          <w:szCs w:val="21"/>
        </w:rPr>
        <w:t xml:space="preserve">日          期：_____年____月____日</w:t>
      </w:r>
      <w:r>
        <w:rPr>
          <w:rFonts w:hint="eastAsia" w:ascii="宋体" w:hAnsi="宋体"/>
          <w:color w:val="000000"/>
          <w:szCs w:val="21"/>
        </w:rPr>
      </w:r>
      <w:r/>
    </w:p>
    <w:p>
      <w:pPr>
        <w:pStyle w:val="1214"/>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214"/>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214"/>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214"/>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214"/>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214"/>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九、中小企业声明函（货物）（分包号：**）</w:t>
      </w:r>
      <w:r>
        <w:rPr>
          <w:rFonts w:hint="eastAsia" w:ascii="黑体" w:hAnsi="黑体" w:eastAsia="黑体"/>
          <w:b/>
          <w:color w:val="000000"/>
          <w:sz w:val="32"/>
          <w:szCs w:val="32"/>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本公司（联合体）郑重声明，根据《政府促进中小企业发展管理办法》(财库[2020]46号)的规定，本公司（联合体）参加江苏金居工程项目管理有限公司代理机构组织的扬中市交通运输局编号为</w:t>
      </w:r>
      <w:r>
        <w:rPr>
          <w:rFonts w:hint="eastAsia" w:ascii="宋体" w:hAnsi="宋体"/>
          <w:color w:val="000000"/>
          <w:sz w:val="24"/>
          <w:szCs w:val="24"/>
          <w:u w:val="single"/>
          <w:lang w:eastAsia="zh-CN"/>
        </w:rPr>
        <w:t xml:space="preserve">JSZC-321182-JJGS-G2026-0013</w:t>
      </w:r>
      <w:r>
        <w:rPr>
          <w:rFonts w:hint="eastAsia" w:ascii="宋体" w:hAnsi="宋体"/>
          <w:color w:val="000000"/>
          <w:sz w:val="24"/>
          <w:szCs w:val="24"/>
        </w:rPr>
        <w:t xml:space="preserve">，</w:t>
      </w:r>
      <w:r>
        <w:rPr>
          <w:rFonts w:hint="eastAsia" w:ascii="宋体" w:hAnsi="宋体"/>
          <w:color w:val="000000"/>
          <w:sz w:val="24"/>
          <w:szCs w:val="24"/>
          <w:u w:val="single"/>
        </w:rPr>
        <w:t xml:space="preserve">（扬中市S238扬中一桥货车动态称重监测设施项目）（分包号：**）</w:t>
      </w:r>
      <w:r>
        <w:rPr>
          <w:rFonts w:hint="eastAsia" w:ascii="宋体" w:hAnsi="宋体"/>
          <w:color w:val="000000"/>
          <w:sz w:val="24"/>
          <w:szCs w:val="24"/>
        </w:rPr>
        <w:t xml:space="preserve">的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rPr>
      </w:r>
      <w:r/>
    </w:p>
    <w:p>
      <w:pPr>
        <w:pStyle w:val="1214"/>
        <w:ind w:firstLine="360"/>
        <w:spacing w:line="44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（扬中市S238扬中一桥货车动态称重监测设施项目）</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214"/>
        <w:ind w:firstLine="360"/>
        <w:spacing w:line="44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（扬中市S238扬中一桥货车动态称重监测设施项目）</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工业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1214"/>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214"/>
        <w:ind w:right="720"/>
        <w:spacing w:line="440" w:lineRule="exact"/>
        <w:rPr>
          <w:rFonts w:hint="eastAsia" w:ascii="宋体" w:hAnsi="宋体"/>
          <w:color w:val="000000"/>
          <w:sz w:val="24"/>
          <w:szCs w:val="24"/>
        </w:rPr>
      </w:pPr>
      <w:r>
        <w:rPr>
          <w:rFonts w:hint="eastAsia" w:ascii="宋体" w:hAnsi="宋体"/>
          <w:color w:val="000000"/>
          <w:sz w:val="24"/>
          <w:szCs w:val="24"/>
        </w:rPr>
      </w:r>
      <w:r/>
    </w:p>
    <w:p>
      <w:pPr>
        <w:pStyle w:val="1214"/>
        <w:ind w:right="180" w:firstLine="360"/>
        <w:jc w:val="right"/>
        <w:spacing w:line="44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1214"/>
        <w:ind w:right="480" w:firstLine="5400"/>
        <w:spacing w:line="44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1214"/>
        <w:ind w:firstLine="240"/>
        <w:spacing w:line="440" w:lineRule="exact"/>
        <w:rPr>
          <w:rFonts w:hint="eastAsia" w:ascii="宋体" w:hAnsi="宋体"/>
          <w:color w:val="000000"/>
          <w:sz w:val="24"/>
          <w:szCs w:val="24"/>
        </w:rPr>
      </w:pP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备注2：投标人如不提供此声明函，价格将不做相应扣除。</w:t>
      </w:r>
      <w:r>
        <w:rPr>
          <w:rFonts w:hint="eastAsia" w:ascii="宋体" w:hAnsi="宋体"/>
          <w:color w:val="000000"/>
          <w:sz w:val="24"/>
          <w:szCs w:val="24"/>
        </w:rPr>
      </w:r>
      <w:r/>
    </w:p>
    <w:p>
      <w:pPr>
        <w:pStyle w:val="1214"/>
        <w:jc w:val="center"/>
        <w:spacing w:before="145" w:after="145" w:line="44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十、残疾人福利性单位声明函（分包号：**）</w:t>
      </w:r>
      <w:r>
        <w:rPr>
          <w:rFonts w:hint="eastAsia" w:ascii="黑体" w:hAnsi="黑体" w:eastAsia="黑体"/>
          <w:b/>
          <w:color w:val="000000"/>
          <w:sz w:val="32"/>
          <w:szCs w:val="32"/>
        </w:rPr>
      </w:r>
      <w:r/>
    </w:p>
    <w:p>
      <w:pPr>
        <w:pStyle w:val="1214"/>
        <w:ind w:firstLine="480"/>
        <w:spacing w:line="440"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中国残疾人联合会关于促进残疾人就业政府政策的通知》（财库〔2017〕 141号）的规定，本单位为符合条件的残疾人福利性单位，且本单位参加_扬中市交通运输局单位的文件编号为_</w:t>
      </w:r>
      <w:r>
        <w:rPr>
          <w:rFonts w:hint="eastAsia" w:ascii="宋体" w:hAnsi="宋体"/>
          <w:color w:val="000000"/>
          <w:sz w:val="24"/>
          <w:szCs w:val="24"/>
          <w:u w:val="single"/>
        </w:rPr>
        <w:t xml:space="preserve">扬中市S238扬中一桥货车动态称重监测设施项目</w:t>
      </w:r>
      <w:r>
        <w:rPr>
          <w:rFonts w:hint="eastAsia" w:ascii="宋体" w:hAnsi="宋体"/>
          <w:color w:val="000000"/>
          <w:sz w:val="24"/>
        </w:rPr>
        <w:t xml:space="preserve">_（分包号：**）活动由本单位提供服务。</w:t>
      </w:r>
      <w:r>
        <w:rPr>
          <w:rFonts w:hint="eastAsia" w:ascii="宋体" w:hAnsi="宋体"/>
          <w:color w:val="000000"/>
          <w:sz w:val="24"/>
        </w:rPr>
      </w:r>
      <w:r/>
    </w:p>
    <w:p>
      <w:pPr>
        <w:pStyle w:val="1214"/>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1214"/>
        <w:ind w:firstLine="480"/>
        <w:spacing w:line="440" w:lineRule="exact"/>
        <w:rPr>
          <w:rFonts w:hint="eastAsia" w:ascii="宋体" w:hAnsi="宋体"/>
          <w:color w:val="000000"/>
          <w:sz w:val="24"/>
        </w:rPr>
      </w:pPr>
      <w:r>
        <w:rPr>
          <w:rFonts w:hint="eastAsia" w:ascii="宋体" w:hAnsi="宋体"/>
          <w:color w:val="000000"/>
          <w:sz w:val="24"/>
        </w:rPr>
      </w:r>
      <w:r/>
    </w:p>
    <w:p>
      <w:pPr>
        <w:pStyle w:val="1214"/>
        <w:ind w:firstLine="480"/>
        <w:spacing w:line="440" w:lineRule="exact"/>
        <w:rPr>
          <w:rFonts w:ascii="宋体" w:hAnsi="宋体"/>
          <w:color w:val="000000"/>
          <w:sz w:val="24"/>
        </w:rPr>
      </w:pPr>
      <w:r>
        <w:rPr>
          <w:rFonts w:hint="eastAsia" w:ascii="宋体" w:hAnsi="宋体"/>
          <w:color w:val="000000"/>
          <w:sz w:val="24"/>
        </w:rPr>
        <w:t xml:space="preserve">（备注：1、投标人如不提供此声明函，价格将不做相应扣除。2、中标人为残疾人福利单位的，此声明函将随中标结果同时公告，接受社会监督）</w:t>
      </w:r>
      <w:r>
        <w:rPr>
          <w:rFonts w:ascii="宋体" w:hAnsi="宋体"/>
          <w:color w:val="000000"/>
          <w:sz w:val="24"/>
        </w:rPr>
      </w:r>
      <w:r/>
    </w:p>
    <w:p>
      <w:pPr>
        <w:pStyle w:val="1214"/>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214"/>
        <w:ind w:right="1560" w:firstLine="624"/>
        <w:jc w:val="center"/>
        <w:spacing w:line="440"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投标人全称（加盖CA电子公章）：</w:t>
      </w:r>
      <w:r>
        <w:rPr>
          <w:rFonts w:ascii="宋体" w:hAnsi="宋体"/>
          <w:color w:val="000000"/>
          <w:sz w:val="24"/>
        </w:rPr>
      </w:r>
      <w:r/>
    </w:p>
    <w:p>
      <w:pPr>
        <w:pStyle w:val="1214"/>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十一、关于符合本国产品标准的声明函</w:t>
      </w:r>
      <w:r>
        <w:rPr>
          <w:rFonts w:hint="eastAsia" w:ascii="黑体" w:hAnsi="黑体" w:eastAsia="黑体"/>
          <w:b/>
          <w:color w:val="000000"/>
          <w:sz w:val="32"/>
          <w:szCs w:val="32"/>
        </w:rPr>
      </w:r>
      <w:r/>
    </w:p>
    <w:p>
      <w:pPr>
        <w:pStyle w:val="121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ind w:firstLine="420"/>
        <w:spacing w:line="360" w:lineRule="auto"/>
        <w:rPr>
          <w:rFonts w:hint="eastAsia" w:hAnsi="宋体" w:cs="方正魏碑_GBK"/>
          <w:color w:val="000000"/>
        </w:rPr>
      </w:pPr>
      <w:r>
        <w:rPr>
          <w:rFonts w:hint="eastAsia" w:hAnsi="宋体" w:cs="方正魏碑_GBK"/>
          <w:color w:val="000000"/>
        </w:rPr>
      </w:r>
      <w:r/>
    </w:p>
    <w:p>
      <w:pPr>
        <w:pStyle w:val="1214"/>
        <w:ind w:firstLine="420"/>
        <w:spacing w:line="360" w:lineRule="auto"/>
        <w:rPr>
          <w:rFonts w:hint="eastAsia" w:hAnsi="宋体" w:cs="方正魏碑_GBK"/>
          <w:color w:val="000000"/>
        </w:rPr>
      </w:pPr>
      <w:r>
        <w:rPr>
          <w:rFonts w:hint="eastAsia" w:hAnsi="宋体"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Ansi="宋体" w:cs="方正魏碑_GBK"/>
          <w:color w:val="000000"/>
        </w:rPr>
      </w:r>
      <w:r/>
    </w:p>
    <w:p>
      <w:pPr>
        <w:pStyle w:val="1214"/>
        <w:ind w:firstLine="420"/>
        <w:spacing w:before="30" w:after="30" w:line="360" w:lineRule="auto"/>
        <w:rPr>
          <w:rFonts w:hint="eastAsia" w:hAnsi="宋体" w:cs="方正魏碑_GBK"/>
          <w:color w:val="000000"/>
        </w:rPr>
      </w:pP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2524760</wp:posOffset>
                </wp:positionH>
                <wp:positionV relativeFrom="paragraph">
                  <wp:posOffset>406400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198.8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3587115</wp:posOffset>
                </wp:positionH>
                <wp:positionV relativeFrom="paragraph">
                  <wp:posOffset>456565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82.4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1564005</wp:posOffset>
                </wp:positionH>
                <wp:positionV relativeFrom="paragraph">
                  <wp:posOffset>398145</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123.1pt;mso-position-horizontal:absolute;mso-position-vertical-relative:text;margin-top:31.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4233545</wp:posOffset>
                </wp:positionH>
                <wp:positionV relativeFrom="paragraph">
                  <wp:posOffset>96520</wp:posOffset>
                </wp:positionV>
                <wp:extent cx="577215" cy="9207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333.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3;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shd w:val="clear" w:color="auto" w:fill="ffffff"/>
        </w:rPr>
        <w:t xml:space="preserve">1.</w:t>
      </w:r>
      <w:r>
        <w:rPr>
          <w:rFonts w:hint="eastAsia" w:hAnsi="宋体" w:cs="方正魏碑_GBK"/>
          <w:color w:val="000000"/>
          <w:u w:val="single"/>
          <w:shd w:val="clear" w:color="auto" w:fill="ffffff"/>
        </w:rPr>
        <w:t xml:space="preserve">（产品名称1）</w:t>
      </w:r>
      <w:r>
        <w:rPr>
          <w:rFonts w:hint="eastAsia" w:hAnsi="宋体" w:cs="方正魏碑_GBK"/>
          <w:color w:val="000000"/>
          <w:shd w:val="clear" w:color="auto" w:fill="ffffff"/>
          <w:vertAlign w:val="superscript"/>
        </w:rPr>
        <w:t xml:space="preserve">1</w:t>
      </w:r>
      <w:r>
        <w:rPr>
          <w:rFonts w:hint="eastAsia" w:hAnsi="宋体" w:cs="方正魏碑_GBK"/>
          <w:color w:val="000000"/>
          <w:shd w:val="clear" w:color="auto" w:fill="ffffff"/>
        </w:rPr>
        <w:t xml:space="preserve">，生产厂为</w:t>
      </w:r>
      <w:r>
        <w:rPr>
          <w:rFonts w:hint="eastAsia" w:hAnsi="宋体" w:cs="方正魏碑_GBK"/>
          <w:color w:val="000000"/>
          <w:u w:val="single"/>
          <w:shd w:val="clear" w:color="auto" w:fill="ffffff"/>
        </w:rPr>
        <w:t xml:space="preserve">（厂名）</w:t>
      </w:r>
      <w:r>
        <w:rPr>
          <w:rFonts w:hint="eastAsia" w:hAnsi="宋体" w:cs="方正魏碑_GBK"/>
          <w:color w:val="000000"/>
          <w:shd w:val="clear" w:color="auto" w:fill="ffffff"/>
          <w:vertAlign w:val="superscript"/>
        </w:rPr>
        <w:t xml:space="preserve">2</w:t>
      </w:r>
      <w:r>
        <w:rPr>
          <w:rFonts w:hint="eastAsia" w:hAnsi="宋体" w:cs="方正魏碑_GBK"/>
          <w:color w:val="000000"/>
          <w:shd w:val="clear" w:color="auto" w:fill="ffffff"/>
        </w:rPr>
        <w:t xml:space="preserve">，厂址为</w:t>
      </w:r>
      <w:r>
        <w:rPr>
          <w:rFonts w:hint="eastAsia" w:hAnsi="宋体" w:cs="方正魏碑_GBK"/>
          <w:color w:val="000000"/>
          <w:u w:val="single"/>
          <w:shd w:val="clear" w:color="auto" w:fill="ffffff"/>
        </w:rPr>
        <w:t xml:space="preserve">（生产厂址）</w:t>
      </w:r>
      <w:r>
        <w:rPr>
          <w:rFonts w:hint="eastAsia" w:hAnsi="宋体" w:cs="方正魏碑_GBK"/>
          <w:color w:val="000000"/>
          <w:shd w:val="clear" w:color="auto" w:fill="ffffff"/>
        </w:rPr>
        <w:t xml:space="preserve">。</w:t>
      </w:r>
      <w:r>
        <w:rPr>
          <w:rFonts w:hint="eastAsia" w:hAnsi="宋体" w:cs="方正魏碑_GBK"/>
          <w:color w:val="000000"/>
          <w:u w:val="single"/>
          <w:shd w:val="clear" w:color="auto" w:fill="ffffff"/>
        </w:rPr>
        <w:t xml:space="preserve"> （产品名称1） </w:t>
      </w:r>
      <w:r>
        <w:rPr>
          <w:rFonts w:hint="eastAsia" w:hAnsi="宋体" w:cs="方正魏碑_GBK"/>
          <w:color w:val="000000"/>
          <w:shd w:val="clear" w:color="auto" w:fill="ffffff"/>
        </w:rPr>
        <w:t xml:space="preserve">的中国境内生产的组件成本占比≥</w:t>
      </w:r>
      <w:r>
        <w:rPr>
          <w:rFonts w:hint="eastAsia" w:hAnsi="宋体" w:cs="方正魏碑_GBK"/>
          <w:color w:val="000000"/>
          <w:u w:val="single"/>
          <w:shd w:val="clear" w:color="auto" w:fill="ffffff"/>
        </w:rPr>
        <w:t xml:space="preserve">（规定</w:t>
      </w:r>
      <w:r>
        <w:rPr>
          <w:rFonts w:hAnsi="宋体" w:cs="方正魏碑_GBK"/>
          <w:color w:val="000000"/>
          <w:u w:val="single"/>
          <w:shd w:val="clear" w:color="auto" w:fill="ffffff"/>
        </w:rPr>
        <w:t xml:space="preserve">比例</w:t>
      </w:r>
      <w:r>
        <w:rPr>
          <w:rFonts w:hint="eastAsia" w:hAnsi="宋体" w:cs="方正魏碑_GBK"/>
          <w:color w:val="000000"/>
          <w:u w:val="single"/>
          <w:shd w:val="clear" w:color="auto" w:fill="ffffff"/>
        </w:rPr>
        <w:t xml:space="preserve">）</w:t>
      </w:r>
      <w:r>
        <w:rPr>
          <w:rFonts w:hint="eastAsia" w:hAnsi="宋体" w:cs="方正魏碑_GBK"/>
          <w:color w:val="000000"/>
          <w:shd w:val="clear" w:color="auto" w:fill="ffffff"/>
          <w:vertAlign w:val="superscript"/>
        </w:rPr>
        <w:t xml:space="preserve">3</w:t>
      </w:r>
      <w:r>
        <w:rPr>
          <w:rFonts w:hint="eastAsia" w:hAnsi="宋体" w:cs="方正魏碑_GBK"/>
          <w:color w:val="000000"/>
          <w:shd w:val="clear" w:color="auto" w:fill="ffffff"/>
        </w:rPr>
        <w:t xml:space="preserve">。</w:t>
      </w:r>
      <w:r>
        <w:rPr>
          <w:rFonts w:hint="eastAsia" w:hAnsi="宋体" w:cs="方正魏碑_GBK"/>
          <w:color w:val="000000"/>
          <w:u w:val="single"/>
          <w:shd w:val="clear" w:color="auto" w:fill="ffffff"/>
        </w:rPr>
        <w:t xml:space="preserve">（产品名称1）</w:t>
      </w:r>
      <w:r>
        <w:rPr>
          <w:rFonts w:hint="eastAsia" w:hAnsi="宋体" w:cs="方正魏碑_GBK"/>
          <w:color w:val="000000"/>
          <w:shd w:val="clear" w:color="auto" w:fill="ffffff"/>
        </w:rPr>
        <w:t xml:space="preserve">的</w:t>
      </w:r>
      <w:r>
        <w:rPr>
          <w:rFonts w:hint="eastAsia" w:hAnsi="宋体" w:cs="方正魏碑_GBK"/>
          <w:color w:val="000000"/>
          <w:u w:val="single"/>
          <w:shd w:val="clear" w:color="auto" w:fill="ffffff"/>
        </w:rPr>
        <w:t xml:space="preserve">（关键</w:t>
      </w:r>
      <w:r>
        <w:rPr>
          <w:rFonts w:hAnsi="宋体" w:cs="方正魏碑_GBK"/>
          <w:color w:val="000000"/>
          <w:u w:val="single"/>
          <w:shd w:val="clear" w:color="auto" w:fill="ffffff"/>
        </w:rPr>
        <w:t xml:space="preserve">组件</w:t>
      </w:r>
      <w:r>
        <w:rPr>
          <w:rFonts w:hint="eastAsia" w:hAnsi="宋体" w:cs="方正魏碑_GBK"/>
          <w:color w:val="000000"/>
          <w:u w:val="single"/>
          <w:shd w:val="clear" w:color="auto" w:fill="ffffff"/>
        </w:rPr>
        <w:t xml:space="preserve">）</w:t>
      </w:r>
      <w:r>
        <w:rPr>
          <w:rFonts w:hint="eastAsia" w:hAnsi="宋体" w:cs="方正魏碑_GBK"/>
          <w:color w:val="000000"/>
          <w:shd w:val="clear" w:color="auto" w:fill="ffffff"/>
          <w:vertAlign w:val="superscript"/>
        </w:rPr>
        <w:t xml:space="preserve">4</w:t>
      </w:r>
      <w:r>
        <w:rPr>
          <w:rFonts w:hint="eastAsia" w:hAnsi="宋体" w:cs="方正魏碑_GBK"/>
          <w:color w:val="000000"/>
          <w:shd w:val="clear" w:color="auto" w:fill="ffffff"/>
        </w:rPr>
        <w:t xml:space="preserve">在中国境内生产。</w:t>
      </w:r>
      <w:r>
        <w:rPr>
          <w:rFonts w:hint="eastAsia" w:hAnsi="宋体" w:cs="方正魏碑_GBK"/>
          <w:color w:val="000000"/>
          <w:u w:val="single"/>
          <w:shd w:val="clear" w:color="auto" w:fill="ffffff"/>
        </w:rPr>
        <w:t xml:space="preserve">（产品名称1）</w:t>
      </w:r>
      <w:r>
        <w:rPr>
          <w:rFonts w:hint="eastAsia" w:hAnsi="宋体" w:cs="方正魏碑_GBK"/>
          <w:color w:val="000000"/>
          <w:shd w:val="clear" w:color="auto" w:fill="ffffff"/>
        </w:rPr>
        <w:t xml:space="preserve">的</w:t>
      </w:r>
      <w:r>
        <w:rPr>
          <w:rFonts w:hint="eastAsia" w:hAnsi="宋体" w:cs="方正魏碑_GBK"/>
          <w:color w:val="000000"/>
          <w:u w:val="single"/>
          <w:shd w:val="clear" w:color="auto" w:fill="ffffff"/>
        </w:rPr>
        <w:t xml:space="preserve">（关键工序）</w:t>
      </w:r>
      <w:r>
        <w:rPr>
          <w:rFonts w:hint="eastAsia" w:hAnsi="宋体" w:cs="方正魏碑_GBK"/>
          <w:color w:val="000000"/>
          <w:shd w:val="clear" w:color="auto" w:fill="ffffff"/>
          <w:vertAlign w:val="superscript"/>
        </w:rPr>
        <w:t xml:space="preserve">5</w:t>
      </w:r>
      <w:r>
        <w:rPr>
          <w:rFonts w:hint="eastAsia" w:hAnsi="宋体" w:cs="方正魏碑_GBK"/>
          <w:color w:val="000000"/>
          <w:shd w:val="clear" w:color="auto" w:fill="ffffff"/>
        </w:rPr>
        <w:t xml:space="preserve">在中国境内完成。</w:t>
      </w:r>
      <w:r>
        <w:rPr>
          <w:rFonts w:hint="eastAsia" w:hAnsi="宋体" w:cs="方正魏碑_GBK"/>
          <w:color w:val="000000"/>
        </w:rPr>
      </w:r>
      <w:r/>
    </w:p>
    <w:p>
      <w:pPr>
        <w:pStyle w:val="1214"/>
        <w:ind w:firstLine="420"/>
        <w:spacing w:before="30" w:after="30" w:line="360" w:lineRule="auto"/>
        <w:rPr>
          <w:rFonts w:hint="eastAsia" w:hAnsi="宋体" w:cs="方正魏碑_GBK"/>
          <w:color w:val="000000"/>
        </w:rPr>
      </w:pP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3528695</wp:posOffset>
                </wp:positionH>
                <wp:positionV relativeFrom="paragraph">
                  <wp:posOffset>420370</wp:posOffset>
                </wp:positionV>
                <wp:extent cx="793750" cy="12382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9375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6;o:allowoverlap:true;o:allowincell:true;mso-position-horizontal-relative:text;margin-left:277.8pt;mso-position-horizontal:absolute;mso-position-vertical-relative:text;margin-top:33.1pt;mso-position-vertical:absolute;width:62.5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2154555</wp:posOffset>
                </wp:positionH>
                <wp:positionV relativeFrom="paragraph">
                  <wp:posOffset>405130</wp:posOffset>
                </wp:positionV>
                <wp:extent cx="843915" cy="12573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5;o:allowoverlap:true;o:allowincell:true;mso-position-horizontal-relative:text;margin-left:169.7pt;mso-position-horizontal:absolute;mso-position-vertical-relative:text;margin-top:31.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1191260</wp:posOffset>
                </wp:positionH>
                <wp:positionV relativeFrom="paragraph">
                  <wp:posOffset>407035</wp:posOffset>
                </wp:positionV>
                <wp:extent cx="908685" cy="1409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7;o:allowoverlap:true;o:allowincell:true;mso-position-horizontal-relative:text;margin-left:93.8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2742565</wp:posOffset>
                </wp:positionH>
                <wp:positionV relativeFrom="paragraph">
                  <wp:posOffset>407035</wp:posOffset>
                </wp:positionV>
                <wp:extent cx="821690" cy="1028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8;o:allowoverlap:true;o:allowincell:true;mso-position-horizontal-relative:text;margin-left:215.9pt;mso-position-horizontal:absolute;mso-position-vertical-relative:text;margin-top:32.0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347345</wp:posOffset>
                </wp:positionH>
                <wp:positionV relativeFrom="paragraph">
                  <wp:posOffset>673100</wp:posOffset>
                </wp:positionV>
                <wp:extent cx="816610" cy="1473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27.3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7;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5;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shd w:val="clear" w:color="auto" w:fill="ffffff"/>
        </w:rPr>
        <w:t xml:space="preserve">2.</w:t>
      </w:r>
      <w:r>
        <w:rPr>
          <w:rFonts w:hint="eastAsia" w:hAnsi="宋体" w:cs="方正魏碑_GBK"/>
          <w:color w:val="000000"/>
          <w:u w:val="single"/>
          <w:shd w:val="clear" w:color="auto" w:fill="ffffff"/>
        </w:rPr>
        <w:t xml:space="preserve">（产品名称2）</w:t>
      </w:r>
      <w:r>
        <w:rPr>
          <w:rFonts w:hint="eastAsia" w:hAnsi="宋体" w:cs="方正魏碑_GBK"/>
          <w:color w:val="000000"/>
          <w:shd w:val="clear" w:color="auto" w:fill="ffffff"/>
        </w:rPr>
        <w:t xml:space="preserve">，生产厂为</w:t>
      </w:r>
      <w:r>
        <w:rPr>
          <w:rFonts w:hint="eastAsia" w:hAnsi="宋体" w:cs="方正魏碑_GBK"/>
          <w:color w:val="000000"/>
          <w:u w:val="single"/>
          <w:shd w:val="clear" w:color="auto" w:fill="ffffff"/>
        </w:rPr>
        <w:t xml:space="preserve">（厂名）</w:t>
      </w:r>
      <w:r>
        <w:rPr>
          <w:rFonts w:hint="eastAsia" w:hAnsi="宋体" w:cs="方正魏碑_GBK"/>
          <w:color w:val="000000"/>
          <w:shd w:val="clear" w:color="auto" w:fill="ffffff"/>
        </w:rPr>
        <w:t xml:space="preserve">，厂址为</w:t>
      </w:r>
      <w:r>
        <w:rPr>
          <w:rFonts w:hint="eastAsia" w:hAnsi="宋体" w:cs="方正魏碑_GBK"/>
          <w:color w:val="000000"/>
          <w:u w:val="single"/>
          <w:shd w:val="clear" w:color="auto" w:fill="ffffff"/>
        </w:rPr>
        <w:t xml:space="preserve">（生产厂址）</w:t>
      </w:r>
      <w:r>
        <w:rPr>
          <w:rFonts w:hint="eastAsia" w:hAnsi="宋体" w:cs="方正魏碑_GBK"/>
          <w:color w:val="000000"/>
          <w:shd w:val="clear" w:color="auto" w:fill="ffffff"/>
        </w:rPr>
        <w:t xml:space="preserve">。</w:t>
      </w:r>
      <w:r>
        <w:rPr>
          <w:rFonts w:hint="eastAsia" w:hAnsi="宋体" w:cs="方正魏碑_GBK"/>
          <w:color w:val="000000"/>
          <w:u w:val="single"/>
          <w:shd w:val="clear" w:color="auto" w:fill="ffffff"/>
        </w:rPr>
        <w:t xml:space="preserve">（产品名称2）</w:t>
      </w:r>
      <w:r>
        <w:rPr>
          <w:rFonts w:hint="eastAsia" w:hAnsi="宋体" w:cs="方正魏碑_GBK"/>
          <w:color w:val="000000"/>
          <w:shd w:val="clear" w:color="auto" w:fill="ffffff"/>
        </w:rPr>
        <w:t xml:space="preserve">的中国境内生产的组件成本占比≥</w:t>
      </w:r>
      <w:r>
        <w:rPr>
          <w:rFonts w:hint="eastAsia" w:hAnsi="宋体" w:cs="方正魏碑_GBK"/>
          <w:color w:val="000000"/>
          <w:u w:val="single"/>
          <w:shd w:val="clear" w:color="auto" w:fill="ffffff"/>
        </w:rPr>
        <w:t xml:space="preserve">（规定</w:t>
      </w:r>
      <w:r>
        <w:rPr>
          <w:rFonts w:hAnsi="宋体" w:cs="方正魏碑_GBK"/>
          <w:color w:val="000000"/>
          <w:u w:val="single"/>
          <w:shd w:val="clear" w:color="auto" w:fill="ffffff"/>
        </w:rPr>
        <w:t xml:space="preserve">比例</w:t>
      </w:r>
      <w:r>
        <w:rPr>
          <w:rFonts w:hint="eastAsia" w:hAnsi="宋体" w:cs="方正魏碑_GBK"/>
          <w:color w:val="000000"/>
          <w:u w:val="single"/>
          <w:shd w:val="clear" w:color="auto" w:fill="ffffff"/>
        </w:rPr>
        <w:t xml:space="preserve">）</w:t>
      </w:r>
      <w:r>
        <w:rPr>
          <w:rFonts w:hint="eastAsia" w:hAnsi="宋体" w:cs="方正魏碑_GBK"/>
          <w:color w:val="000000"/>
          <w:shd w:val="clear" w:color="auto" w:fill="ffffff"/>
        </w:rPr>
        <w:t xml:space="preserve">。</w:t>
      </w:r>
      <w:r>
        <w:rPr>
          <w:rFonts w:hint="eastAsia" w:hAnsi="宋体" w:cs="方正魏碑_GBK"/>
          <w:color w:val="000000"/>
          <w:u w:val="single"/>
          <w:shd w:val="clear" w:color="auto" w:fill="ffffff"/>
        </w:rPr>
        <w:t xml:space="preserve">（产品名称2）</w:t>
      </w:r>
      <w:r>
        <w:rPr>
          <w:rFonts w:hint="eastAsia" w:hAnsi="宋体" w:cs="方正魏碑_GBK"/>
          <w:color w:val="000000"/>
          <w:shd w:val="clear" w:color="auto" w:fill="ffffff"/>
        </w:rPr>
        <w:t xml:space="preserve">的</w:t>
      </w:r>
      <w:r>
        <w:rPr>
          <w:rFonts w:hint="eastAsia" w:hAnsi="宋体" w:cs="方正魏碑_GBK"/>
          <w:color w:val="000000"/>
          <w:u w:val="single"/>
          <w:shd w:val="clear" w:color="auto" w:fill="ffffff"/>
        </w:rPr>
        <w:t xml:space="preserve">（关键</w:t>
      </w:r>
      <w:r>
        <w:rPr>
          <w:rFonts w:hAnsi="宋体" w:cs="方正魏碑_GBK"/>
          <w:color w:val="000000"/>
          <w:u w:val="single"/>
          <w:shd w:val="clear" w:color="auto" w:fill="ffffff"/>
        </w:rPr>
        <w:t xml:space="preserve">组件</w:t>
      </w:r>
      <w:r>
        <w:rPr>
          <w:rFonts w:hint="eastAsia" w:hAnsi="宋体" w:cs="方正魏碑_GBK"/>
          <w:color w:val="000000"/>
          <w:u w:val="single"/>
          <w:shd w:val="clear" w:color="auto" w:fill="ffffff"/>
        </w:rPr>
        <w:t xml:space="preserve">）</w:t>
      </w:r>
      <w:r>
        <w:rPr>
          <w:rFonts w:hint="eastAsia" w:hAnsi="宋体" w:cs="方正魏碑_GBK"/>
          <w:color w:val="000000"/>
          <w:shd w:val="clear" w:color="auto" w:fill="ffffff"/>
        </w:rPr>
        <w:t xml:space="preserve">在中国境内生产。</w:t>
      </w:r>
      <w:r>
        <w:rPr>
          <w:rFonts w:hint="eastAsia" w:hAnsi="宋体" w:cs="方正魏碑_GBK"/>
          <w:color w:val="000000"/>
          <w:u w:val="single"/>
          <w:shd w:val="clear" w:color="auto" w:fill="ffffff"/>
        </w:rPr>
        <w:t xml:space="preserve">（产品名称1）</w:t>
      </w:r>
      <w:r>
        <w:rPr>
          <w:rFonts w:hint="eastAsia" w:hAnsi="宋体" w:cs="方正魏碑_GBK"/>
          <w:color w:val="000000"/>
          <w:shd w:val="clear" w:color="auto" w:fill="ffffff"/>
        </w:rPr>
        <w:t xml:space="preserve">的</w:t>
      </w:r>
      <w:r>
        <w:rPr>
          <w:rFonts w:hint="eastAsia" w:hAnsi="宋体" w:cs="方正魏碑_GBK"/>
          <w:color w:val="000000"/>
          <w:u w:val="single"/>
          <w:shd w:val="clear" w:color="auto" w:fill="ffffff"/>
        </w:rPr>
        <w:t xml:space="preserve">（关键工序）</w:t>
      </w:r>
      <w:r>
        <w:rPr>
          <w:rFonts w:hint="eastAsia" w:hAnsi="宋体" w:cs="方正魏碑_GBK"/>
          <w:color w:val="000000"/>
          <w:shd w:val="clear" w:color="auto" w:fill="ffffff"/>
        </w:rPr>
        <w:t xml:space="preserve">在中国境内完成。</w:t>
      </w:r>
      <w:r>
        <w:rPr>
          <w:rFonts w:hint="eastAsia" w:hAnsi="宋体" w:cs="方正魏碑_GBK"/>
          <w:color w:val="000000"/>
        </w:rPr>
      </w:r>
      <w:r/>
    </w:p>
    <w:p>
      <w:pPr>
        <w:pStyle w:val="1214"/>
        <w:ind w:firstLine="420"/>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w:t>
      </w:r>
      <w:r>
        <w:rPr>
          <w:rFonts w:hint="eastAsia" w:hAnsi="宋体" w:cs="方正魏碑_GBK"/>
          <w:color w:val="000000"/>
        </w:rPr>
      </w:r>
      <w:r/>
    </w:p>
    <w:p>
      <w:pPr>
        <w:pStyle w:val="1214"/>
        <w:ind w:firstLine="420"/>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本公司（单位）对上述声明内容的真实性负责。如有虚假，愿承担相应法律责任。</w:t>
      </w:r>
      <w:r>
        <w:rPr>
          <w:rFonts w:hint="eastAsia" w:hAnsi="宋体" w:cs="方正魏碑_GBK"/>
          <w:color w:val="000000"/>
        </w:rPr>
      </w:r>
      <w:r/>
    </w:p>
    <w:p>
      <w:pPr>
        <w:pStyle w:val="1214"/>
        <w:spacing w:before="30" w:after="30" w:line="360" w:lineRule="auto"/>
        <w:rPr>
          <w:rFonts w:hint="eastAsia" w:hAnsi="宋体" w:cs="方正魏碑_GBK"/>
          <w:color w:val="000000"/>
        </w:rPr>
      </w:pPr>
      <w:r>
        <w:rPr>
          <w:rFonts w:hint="eastAsia" w:hAnsi="宋体" w:cs="方正魏碑_GBK"/>
          <w:color w:val="000000"/>
        </w:rPr>
      </w:r>
      <w:r/>
    </w:p>
    <w:p>
      <w:pPr>
        <w:pStyle w:val="1214"/>
        <w:ind w:right="1560" w:firstLine="444"/>
        <w:jc w:val="center"/>
        <w:spacing w:line="360" w:lineRule="auto"/>
        <w:tabs>
          <w:tab w:val="left" w:pos="4860" w:leader="none"/>
        </w:tabs>
        <w:rPr>
          <w:rFonts w:hint="eastAsia" w:hAnsi="宋体"/>
          <w:color w:val="000000"/>
        </w:rPr>
      </w:pPr>
      <w:r>
        <w:rPr>
          <w:rFonts w:hint="eastAsia" w:hAnsi="宋体"/>
          <w:color w:val="000000"/>
          <w:spacing w:val="6"/>
        </w:rPr>
        <w:t xml:space="preserve">           </w:t>
      </w:r>
      <w:r>
        <w:rPr>
          <w:rFonts w:hint="eastAsia" w:hAnsi="宋体"/>
          <w:color w:val="000000"/>
        </w:rPr>
        <w:t xml:space="preserve">               投标人名称（盖章）：</w:t>
      </w:r>
      <w:r>
        <w:rPr>
          <w:rFonts w:hint="eastAsia" w:hAnsi="宋体"/>
          <w:color w:val="000000"/>
        </w:rPr>
      </w:r>
      <w:r/>
    </w:p>
    <w:p>
      <w:pPr>
        <w:pStyle w:val="1214"/>
        <w:ind w:right="1560" w:firstLine="420"/>
        <w:jc w:val="center"/>
        <w:spacing w:line="360" w:lineRule="auto"/>
        <w:tabs>
          <w:tab w:val="left" w:pos="4860" w:leader="none"/>
        </w:tabs>
        <w:rPr>
          <w:rFonts w:hint="eastAsia" w:hAnsi="宋体"/>
          <w:color w:val="000000"/>
        </w:rPr>
      </w:pPr>
      <w:r>
        <w:rPr>
          <w:rFonts w:hint="eastAsia" w:hAnsi="宋体"/>
          <w:color w:val="000000"/>
        </w:rPr>
        <w:t xml:space="preserve">                              日  期：</w:t>
      </w:r>
      <w:r>
        <w:rPr>
          <w:rFonts w:hint="eastAsia" w:hAnsi="宋体"/>
          <w:color w:val="000000"/>
        </w:rPr>
      </w:r>
      <w:r/>
    </w:p>
    <w:p>
      <w:pPr>
        <w:pStyle w:val="1214"/>
        <w:jc w:val="center"/>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   </w:t>
      </w:r>
      <w:r>
        <w:rPr>
          <w:rFonts w:hint="eastAsia" w:hAnsi="宋体" w:cs="方正魏碑_GBK"/>
          <w:color w:val="000000"/>
        </w:rPr>
      </w:r>
      <w:r/>
    </w:p>
    <w:p>
      <w:pPr>
        <w:pStyle w:val="1214"/>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__________________</w:t>
      </w:r>
      <w:r>
        <w:rPr>
          <w:rFonts w:hint="eastAsia" w:hAnsi="宋体" w:cs="方正魏碑_GBK"/>
          <w:color w:val="000000"/>
        </w:rPr>
      </w:r>
      <w:r/>
    </w:p>
    <w:p>
      <w:pPr>
        <w:pStyle w:val="1214"/>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1.产品如有型号，请在“产品名称”栏一并填写。</w:t>
      </w:r>
      <w:r>
        <w:rPr>
          <w:rFonts w:hint="eastAsia" w:hAnsi="宋体" w:cs="方正魏碑_GBK"/>
          <w:color w:val="000000"/>
        </w:rPr>
      </w:r>
      <w:r/>
    </w:p>
    <w:p>
      <w:pPr>
        <w:pStyle w:val="1214"/>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2.生产厂名与厂址应与生产厂营业执照载明的相关信息保持一致。</w:t>
      </w:r>
      <w:r>
        <w:rPr>
          <w:rFonts w:hint="eastAsia" w:hAnsi="宋体" w:cs="方正魏碑_GBK"/>
          <w:color w:val="000000"/>
        </w:rPr>
      </w:r>
      <w:r/>
    </w:p>
    <w:p>
      <w:pPr>
        <w:pStyle w:val="1214"/>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3.该产品的中国境内生产的组件成本占比相关要求实施前，“规定比例”栏可不填，下同。</w:t>
      </w:r>
      <w:r>
        <w:rPr>
          <w:rFonts w:hint="eastAsia" w:hAnsi="宋体" w:cs="方正魏碑_GBK"/>
          <w:color w:val="000000"/>
        </w:rPr>
      </w:r>
      <w:r/>
    </w:p>
    <w:p>
      <w:pPr>
        <w:pStyle w:val="1214"/>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4.该产品的关键组件要求实施前，“关键组件”栏可不填，下同。</w:t>
      </w:r>
      <w:r>
        <w:rPr>
          <w:rFonts w:hint="eastAsia" w:hAnsi="宋体" w:cs="方正魏碑_GBK"/>
          <w:color w:val="000000"/>
        </w:rPr>
      </w:r>
      <w:r/>
    </w:p>
    <w:p>
      <w:pPr>
        <w:pStyle w:val="1214"/>
        <w:spacing w:before="30" w:after="30" w:line="360" w:lineRule="auto"/>
        <w:rPr>
          <w:rFonts w:hint="eastAsia" w:hAnsi="宋体" w:cs="方正魏碑_GBK"/>
          <w:color w:val="000000"/>
          <w:shd w:val="clear" w:color="auto" w:fill="ffffff"/>
        </w:rPr>
      </w:pPr>
      <w:r>
        <w:rPr>
          <w:rFonts w:hint="eastAsia" w:hAnsi="宋体" w:cs="方正魏碑_GBK"/>
          <w:color w:val="000000"/>
          <w:shd w:val="clear" w:color="auto" w:fill="ffffff"/>
        </w:rPr>
        <w:t xml:space="preserve">5.该产品的关键工序要求实施前，“关键工序”栏可不填，下同。</w:t>
      </w:r>
      <w:r>
        <w:rPr>
          <w:rFonts w:hint="eastAsia" w:hAnsi="宋体" w:cs="方正魏碑_GBK"/>
          <w:color w:val="000000"/>
          <w:shd w:val="clear" w:color="auto" w:fill="ffffff"/>
        </w:rPr>
      </w:r>
      <w:r/>
    </w:p>
    <w:p>
      <w:pPr>
        <w:pStyle w:val="1214"/>
        <w:spacing w:before="30" w:after="30" w:line="360" w:lineRule="auto"/>
        <w:rPr>
          <w:rFonts w:hint="eastAsia" w:hAnsi="宋体" w:cs="方正魏碑_GBK"/>
          <w:color w:val="000000"/>
          <w:shd w:val="clear" w:color="auto" w:fill="ffffff"/>
        </w:rPr>
      </w:pPr>
      <w:r>
        <w:rPr>
          <w:rFonts w:hint="eastAsia" w:hAnsi="宋体" w:cs="方正魏碑_GBK"/>
          <w:color w:val="000000"/>
          <w:shd w:val="clear" w:color="auto" w:fill="ffffff"/>
        </w:rPr>
        <w:t xml:space="preserve">6.用斜线划除的地方无需填写。</w:t>
      </w:r>
      <w:r>
        <w:rPr>
          <w:rFonts w:hint="eastAsia" w:hAnsi="宋体" w:cs="方正魏碑_GBK"/>
          <w:color w:val="000000"/>
          <w:shd w:val="clear" w:color="auto" w:fill="ffffff"/>
        </w:rPr>
      </w:r>
      <w:r/>
    </w:p>
    <w:p>
      <w:pPr>
        <w:pStyle w:val="121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color w:val="000000"/>
          <w:sz w:val="32"/>
          <w:szCs w:val="32"/>
        </w:rPr>
      </w:r>
      <w:r>
        <w:rPr>
          <w:rFonts w:hint="eastAsia" w:ascii="黑体" w:hAnsi="黑体" w:eastAsia="黑体"/>
          <w:b/>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pStyle w:val="1214"/>
        <w:jc w:val="center"/>
        <w:rPr>
          <w:rFonts w:hint="eastAsia" w:ascii="黑体" w:hAnsi="黑体" w:eastAsia="黑体"/>
          <w:b/>
          <w:bCs/>
          <w:color w:val="000000"/>
          <w:sz w:val="32"/>
          <w:szCs w:val="32"/>
        </w:rPr>
      </w:pPr>
      <w:r>
        <w:rPr>
          <w:rFonts w:hint="eastAsia" w:ascii="黑体" w:hAnsi="黑体" w:eastAsia="黑体"/>
          <w:b/>
          <w:color w:val="000000"/>
          <w:sz w:val="32"/>
          <w:szCs w:val="32"/>
        </w:rPr>
      </w:r>
      <w:r/>
    </w:p>
    <w:p>
      <w:pPr>
        <w:pStyle w:val="1214"/>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十二、投标分项报价表（分包号：***）</w:t>
      </w:r>
      <w:r>
        <w:rPr>
          <w:rFonts w:hint="eastAsia" w:ascii="黑体" w:hAnsi="黑体" w:eastAsia="黑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1214"/>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1214"/>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1214"/>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214"/>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1214"/>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1214"/>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1214"/>
              <w:jc w:val="center"/>
              <w:rPr>
                <w:rFonts w:hint="eastAsia" w:ascii="宋体" w:hAnsi="宋体"/>
                <w:color w:val="000000"/>
                <w:sz w:val="24"/>
                <w:szCs w:val="24"/>
              </w:rPr>
            </w:pPr>
            <w:r>
              <w:rPr>
                <w:rFonts w:hint="eastAsia" w:hAnsi="宋体"/>
                <w:color w:val="000000"/>
              </w:rPr>
              <w:t xml:space="preserve">本采购包中提供的符合本国产品标准的产品成本之和占该采购包提供的全部产品成本之和的比例为</w:t>
            </w:r>
            <w:r>
              <w:rPr>
                <w:rFonts w:hint="eastAsia" w:hAnsi="宋体"/>
                <w:color w:val="000000"/>
                <w:u w:val="single"/>
              </w:rPr>
              <w:t xml:space="preserve">      </w:t>
            </w:r>
            <w:r>
              <w:rPr>
                <w:rFonts w:hint="eastAsia" w:hAnsi="宋体"/>
                <w:color w:val="000000"/>
              </w:rPr>
              <w:t xml:space="preserve">%。</w:t>
            </w:r>
            <w:r>
              <w:rPr>
                <w:rFonts w:hint="eastAsia" w:ascii="宋体" w:hAnsi="宋体"/>
                <w:color w:val="000000"/>
                <w:sz w:val="24"/>
                <w:szCs w:val="24"/>
              </w:rPr>
            </w:r>
            <w:r/>
          </w:p>
        </w:tc>
        <w:tc>
          <w:tcPr>
            <w:tcW w:w="1246" w:type="dxa"/>
            <w:vAlign w:val="top"/>
            <w:textDirection w:val="lrTb"/>
            <w:noWrap w:val="false"/>
          </w:tcPr>
          <w:p>
            <w:pPr>
              <w:pStyle w:val="1214"/>
              <w:rPr>
                <w:rFonts w:hint="eastAsia" w:ascii="宋体" w:hAnsi="宋体"/>
                <w:color w:val="000000"/>
                <w:sz w:val="24"/>
                <w:szCs w:val="24"/>
              </w:rPr>
            </w:pPr>
            <w:r>
              <w:rPr>
                <w:rFonts w:hint="eastAsia" w:ascii="宋体" w:hAnsi="宋体"/>
                <w:color w:val="000000"/>
                <w:sz w:val="24"/>
                <w:szCs w:val="24"/>
              </w:rPr>
            </w:r>
            <w:r/>
          </w:p>
        </w:tc>
      </w:tr>
    </w:tbl>
    <w:p>
      <w:pPr>
        <w:pStyle w:val="1214"/>
        <w:spacing w:line="440" w:lineRule="exact"/>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rPr>
      </w:r>
      <w:r/>
    </w:p>
    <w:p>
      <w:pPr>
        <w:pStyle w:val="1214"/>
        <w:spacing w:line="440" w:lineRule="exact"/>
        <w:rPr>
          <w:rFonts w:hint="eastAsia" w:ascii="宋体" w:hAnsi="宋体"/>
          <w:color w:val="000000"/>
          <w:sz w:val="24"/>
        </w:rPr>
      </w:pPr>
      <w:r>
        <w:rPr>
          <w:rFonts w:hint="eastAsia" w:ascii="宋体" w:hAnsi="宋体"/>
          <w:color w:val="000000"/>
          <w:sz w:val="24"/>
        </w:rPr>
        <w:t xml:space="preserve">2. “投标分项报价表”中“投标总报价”数额应当与“开标一览表”中“投标总报价”数额一致。</w:t>
      </w:r>
      <w:r>
        <w:rPr>
          <w:rFonts w:hint="eastAsia" w:ascii="宋体" w:hAnsi="宋体"/>
          <w:color w:val="000000"/>
          <w:sz w:val="24"/>
        </w:rPr>
      </w:r>
      <w:r/>
    </w:p>
    <w:p>
      <w:pPr>
        <w:pStyle w:val="1214"/>
        <w:spacing w:line="440" w:lineRule="exact"/>
        <w:rPr>
          <w:rFonts w:hint="eastAsia" w:ascii="宋体" w:hAnsi="宋体"/>
          <w:color w:val="000000"/>
          <w:sz w:val="24"/>
        </w:rPr>
      </w:pPr>
      <w:r>
        <w:rPr>
          <w:rFonts w:hint="eastAsia" w:ascii="宋体" w:hAnsi="宋体"/>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000000"/>
          <w:sz w:val="24"/>
        </w:rPr>
      </w:r>
      <w:r/>
    </w:p>
    <w:p>
      <w:pPr>
        <w:pStyle w:val="1214"/>
        <w:spacing w:line="440" w:lineRule="exact"/>
        <w:rPr>
          <w:rFonts w:hint="eastAsia" w:ascii="宋体" w:hAnsi="宋体"/>
          <w:color w:val="000000"/>
          <w:sz w:val="24"/>
        </w:rPr>
      </w:pPr>
      <w:r>
        <w:rPr>
          <w:rFonts w:hint="eastAsia" w:ascii="宋体" w:hAnsi="宋体"/>
          <w:color w:val="000000"/>
          <w:sz w:val="24"/>
        </w:rPr>
        <w:t xml:space="preserve">4.投标人需认真填写本报价表，尤其注意规格型号的准确填写。</w:t>
      </w:r>
      <w:r>
        <w:rPr>
          <w:rFonts w:hint="eastAsia" w:ascii="宋体" w:hAnsi="宋体"/>
          <w:color w:val="000000"/>
          <w:sz w:val="24"/>
        </w:rPr>
      </w:r>
      <w:r/>
    </w:p>
    <w:p>
      <w:pPr>
        <w:pStyle w:val="1214"/>
        <w:jc w:val="center"/>
        <w:spacing w:line="440" w:lineRule="exact"/>
        <w:rPr>
          <w:rFonts w:hint="eastAsia" w:ascii="宋体" w:hAnsi="宋体"/>
          <w:color w:val="000000"/>
          <w:sz w:val="24"/>
        </w:rPr>
      </w:pPr>
      <w:r>
        <w:rPr>
          <w:rFonts w:hint="eastAsia" w:ascii="宋体" w:hAnsi="宋体"/>
          <w:color w:val="000000"/>
          <w:sz w:val="24"/>
        </w:rPr>
        <w:t xml:space="preserve">5.涉及小型、微型、节能产品、环境标志等享受政府采购扶持政策的项目，需在备注</w:t>
      </w:r>
      <w:r>
        <w:rPr>
          <w:rFonts w:hint="eastAsia" w:ascii="宋体" w:hAnsi="宋体"/>
          <w:color w:val="000000"/>
          <w:sz w:val="24"/>
        </w:rPr>
      </w:r>
      <w:r/>
    </w:p>
    <w:p>
      <w:pPr>
        <w:pStyle w:val="1214"/>
        <w:spacing w:line="440" w:lineRule="exact"/>
        <w:rPr>
          <w:rFonts w:hint="eastAsia" w:ascii="宋体" w:hAnsi="宋体"/>
          <w:color w:val="000000"/>
          <w:sz w:val="24"/>
        </w:rPr>
      </w:pPr>
      <w:r>
        <w:rPr>
          <w:rFonts w:hint="eastAsia" w:ascii="宋体" w:hAnsi="宋体"/>
          <w:color w:val="000000"/>
          <w:sz w:val="24"/>
        </w:rPr>
        <w:t xml:space="preserve">中分别明确注明</w:t>
      </w:r>
      <w:r>
        <w:rPr>
          <w:rFonts w:hint="eastAsia" w:ascii="宋体" w:hAnsi="宋体"/>
          <w:color w:val="000000"/>
          <w:sz w:val="24"/>
        </w:rPr>
      </w:r>
      <w:r/>
    </w:p>
    <w:p>
      <w:pPr>
        <w:pStyle w:val="1214"/>
        <w:jc w:val="center"/>
        <w:spacing w:line="440" w:lineRule="exact"/>
        <w:rPr>
          <w:rFonts w:hint="eastAsia" w:ascii="黑体" w:hAnsi="黑体" w:eastAsia="黑体"/>
          <w:b/>
          <w:color w:val="000000"/>
          <w:sz w:val="32"/>
          <w:szCs w:val="32"/>
        </w:rPr>
      </w:pPr>
      <w:r>
        <w:rPr>
          <w:color w:val="000000"/>
          <w:szCs w:val="24"/>
        </w:rPr>
        <w:br w:type="page" w:clear="all"/>
      </w:r>
      <w:r>
        <w:rPr>
          <w:rFonts w:hint="eastAsia" w:ascii="黑体" w:hAnsi="黑体" w:eastAsia="黑体"/>
          <w:b/>
          <w:color w:val="000000"/>
          <w:sz w:val="32"/>
          <w:szCs w:val="32"/>
        </w:rPr>
        <w:t xml:space="preserve">十三、技术要求响应及偏离表（分包号：**）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214"/>
              <w:jc w:val="center"/>
              <w:spacing w:line="44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pStyle w:val="1214"/>
        <w:spacing w:line="440" w:lineRule="exact"/>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1214"/>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214"/>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214"/>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214"/>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214"/>
        <w:spacing w:line="440" w:lineRule="exact"/>
        <w:rPr>
          <w:rFonts w:hint="eastAsia" w:ascii="黑体" w:hAnsi="Arial" w:eastAsia="黑体"/>
          <w:color w:val="000000"/>
          <w:sz w:val="32"/>
        </w:rPr>
      </w:pPr>
      <w:r>
        <w:rPr>
          <w:rFonts w:hint="eastAsia" w:ascii="黑体" w:hAnsi="Arial" w:eastAsia="黑体"/>
          <w:color w:val="000000"/>
          <w:sz w:val="32"/>
        </w:rPr>
      </w:r>
      <w:r/>
    </w:p>
    <w:p>
      <w:pPr>
        <w:pStyle w:val="1214"/>
        <w:spacing w:line="440" w:lineRule="exact"/>
        <w:rPr>
          <w:rFonts w:hint="eastAsia" w:ascii="黑体" w:hAnsi="Arial" w:eastAsia="黑体"/>
          <w:color w:val="000000"/>
          <w:sz w:val="32"/>
        </w:rPr>
      </w:pPr>
      <w:r>
        <w:rPr>
          <w:rFonts w:hint="eastAsia" w:ascii="黑体" w:hAnsi="Arial" w:eastAsia="黑体"/>
          <w:color w:val="000000"/>
          <w:sz w:val="32"/>
        </w:rPr>
      </w:r>
      <w:r/>
    </w:p>
    <w:p>
      <w:pPr>
        <w:pStyle w:val="1214"/>
        <w:spacing w:line="440" w:lineRule="exact"/>
        <w:rPr>
          <w:rFonts w:hint="eastAsia" w:ascii="黑体" w:hAnsi="Arial" w:eastAsia="黑体"/>
          <w:color w:val="000000"/>
          <w:sz w:val="32"/>
        </w:rPr>
      </w:pPr>
      <w:r>
        <w:rPr>
          <w:rFonts w:hint="eastAsia" w:ascii="黑体" w:hAnsi="Arial" w:eastAsia="黑体"/>
          <w:color w:val="000000"/>
          <w:sz w:val="32"/>
        </w:rPr>
      </w:r>
      <w:r/>
    </w:p>
    <w:p>
      <w:pPr>
        <w:pStyle w:val="1214"/>
        <w:spacing w:line="440" w:lineRule="exact"/>
        <w:rPr>
          <w:rFonts w:hint="eastAsia" w:ascii="黑体" w:hAnsi="Arial" w:eastAsia="黑体"/>
          <w:color w:val="000000"/>
          <w:sz w:val="32"/>
        </w:rPr>
      </w:pPr>
      <w:r>
        <w:rPr>
          <w:rFonts w:hint="eastAsia" w:ascii="黑体" w:hAnsi="Arial" w:eastAsia="黑体"/>
          <w:color w:val="000000"/>
          <w:sz w:val="32"/>
        </w:rPr>
      </w:r>
      <w:r/>
    </w:p>
    <w:p>
      <w:pPr>
        <w:pStyle w:val="1214"/>
        <w:spacing w:line="440" w:lineRule="exact"/>
        <w:rPr>
          <w:rFonts w:hint="eastAsia" w:ascii="黑体" w:hAnsi="Arial" w:eastAsia="黑体"/>
          <w:color w:val="000000"/>
          <w:sz w:val="32"/>
        </w:rPr>
      </w:pPr>
      <w:r>
        <w:rPr>
          <w:rFonts w:hint="eastAsia" w:ascii="黑体" w:hAnsi="Arial" w:eastAsia="黑体"/>
          <w:color w:val="000000"/>
          <w:sz w:val="32"/>
        </w:rPr>
      </w:r>
      <w:r/>
    </w:p>
    <w:p>
      <w:pPr>
        <w:pStyle w:val="1214"/>
        <w:spacing w:line="440" w:lineRule="exact"/>
        <w:rPr>
          <w:rFonts w:hint="eastAsia" w:ascii="黑体" w:hAnsi="Arial" w:eastAsia="黑体"/>
          <w:color w:val="000000"/>
          <w:sz w:val="32"/>
        </w:rPr>
      </w:pPr>
      <w:r>
        <w:rPr>
          <w:rFonts w:hint="eastAsia" w:ascii="黑体" w:hAnsi="Arial" w:eastAsia="黑体"/>
          <w:color w:val="000000"/>
          <w:sz w:val="32"/>
        </w:rPr>
      </w:r>
      <w:r/>
    </w:p>
    <w:p>
      <w:pPr>
        <w:pStyle w:val="1214"/>
        <w:spacing w:line="440" w:lineRule="exact"/>
        <w:rPr>
          <w:rFonts w:hint="eastAsia" w:ascii="黑体" w:hAnsi="Arial" w:eastAsia="黑体"/>
          <w:color w:val="000000"/>
          <w:sz w:val="32"/>
        </w:rPr>
      </w:pPr>
      <w:r>
        <w:rPr>
          <w:rFonts w:hint="eastAsia" w:ascii="黑体" w:hAnsi="Arial" w:eastAsia="黑体"/>
          <w:color w:val="000000"/>
          <w:sz w:val="32"/>
        </w:rPr>
      </w:r>
      <w:r/>
    </w:p>
    <w:p>
      <w:pPr>
        <w:pStyle w:val="1214"/>
        <w:spacing w:line="440" w:lineRule="exact"/>
        <w:rPr>
          <w:rFonts w:hint="eastAsia" w:ascii="黑体" w:hAnsi="Arial" w:eastAsia="黑体"/>
          <w:color w:val="000000"/>
          <w:sz w:val="32"/>
        </w:rPr>
      </w:pPr>
      <w:r>
        <w:rPr>
          <w:rFonts w:hint="eastAsia" w:ascii="黑体" w:hAnsi="Arial" w:eastAsia="黑体"/>
          <w:color w:val="000000"/>
          <w:sz w:val="32"/>
        </w:rPr>
      </w:r>
      <w:r/>
    </w:p>
    <w:p>
      <w:pPr>
        <w:pStyle w:val="1214"/>
        <w:jc w:val="center"/>
        <w:spacing w:before="145" w:after="145" w:line="440" w:lineRule="exact"/>
        <w:rPr>
          <w:rFonts w:hint="eastAsia" w:ascii="黑体" w:hAnsi="黑体" w:eastAsia="黑体"/>
          <w:b/>
          <w:color w:val="000000"/>
          <w:sz w:val="32"/>
          <w:szCs w:val="32"/>
        </w:rPr>
      </w:pPr>
      <w:r/>
      <w:bookmarkEnd w:id="208"/>
      <w:r/>
      <w:bookmarkStart w:id="212" w:name="_Hlt26955054"/>
      <w:r/>
      <w:bookmarkEnd w:id="212"/>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十四、商务要求响应及偏离表（分包号：**）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214"/>
              <w:jc w:val="center"/>
              <w:spacing w:line="440" w:lineRule="exact"/>
              <w:rPr>
                <w:rFonts w:hint="eastAsia" w:ascii="宋体" w:hAnsi="宋体"/>
                <w:color w:val="000000"/>
                <w:sz w:val="24"/>
                <w:szCs w:val="24"/>
              </w:rPr>
            </w:pPr>
            <w:r/>
            <w:bookmarkStart w:id="213" w:name="_Hlt26671343"/>
            <w:r/>
            <w:bookmarkEnd w:id="213"/>
            <w:r/>
            <w:bookmarkStart w:id="214" w:name="_Hlt26609391"/>
            <w:r/>
            <w:bookmarkEnd w:id="214"/>
            <w:r/>
            <w:bookmarkStart w:id="215" w:name="_Hlt26782999"/>
            <w:r/>
            <w:bookmarkEnd w:id="215"/>
            <w:r/>
            <w:bookmarkStart w:id="216" w:name="_Hlt26955064"/>
            <w:r/>
            <w:bookmarkEnd w:id="216"/>
            <w:r/>
            <w:bookmarkStart w:id="217" w:name="_Hlt26671372"/>
            <w:r/>
            <w:bookmarkEnd w:id="217"/>
            <w:r/>
            <w:bookmarkStart w:id="218" w:name="_Hlt26955056"/>
            <w:r/>
            <w:bookmarkEnd w:id="218"/>
            <w:r/>
            <w:bookmarkStart w:id="219" w:name="_Hlt26580838"/>
            <w:r/>
            <w:bookmarkEnd w:id="219"/>
            <w:r/>
            <w:bookmarkStart w:id="220" w:name="_Hlt24879081"/>
            <w:r/>
            <w:bookmarkEnd w:id="220"/>
            <w:r>
              <w:rPr>
                <w:rFonts w:hint="eastAsia" w:ascii="宋体" w:hAnsi="宋体"/>
                <w:color w:val="000000"/>
                <w:sz w:val="24"/>
                <w:szCs w:val="24"/>
              </w:rPr>
              <w:t xml:space="preserve">序号</w:t>
            </w:r>
            <w:r>
              <w:rPr>
                <w:rFonts w:hint="eastAsia" w:ascii="宋体" w:hAnsi="宋体"/>
                <w:color w:val="000000"/>
                <w:sz w:val="24"/>
                <w:szCs w:val="24"/>
              </w:rPr>
            </w:r>
            <w:r/>
          </w:p>
        </w:tc>
        <w:tc>
          <w:tcPr>
            <w:tcW w:w="2688"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83"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2"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614" w:type="dxa"/>
            <w:vAlign w:val="center"/>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214"/>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pStyle w:val="1214"/>
        <w:spacing w:line="440" w:lineRule="exact"/>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1214"/>
        <w:spacing w:line="440" w:lineRule="exact"/>
        <w:rPr>
          <w:rFonts w:hint="eastAsia" w:ascii="宋体" w:hAnsi="宋体"/>
          <w:color w:val="000000"/>
          <w:sz w:val="24"/>
        </w:rPr>
      </w:pPr>
      <w:r>
        <w:rPr>
          <w:rFonts w:hint="eastAsia" w:ascii="宋体" w:hAnsi="宋体"/>
          <w:color w:val="000000"/>
          <w:sz w:val="24"/>
        </w:rPr>
      </w:r>
      <w:r/>
    </w:p>
    <w:p>
      <w:pPr>
        <w:pStyle w:val="1214"/>
        <w:spacing w:line="440" w:lineRule="exact"/>
        <w:rPr>
          <w:rFonts w:hint="eastAsia" w:ascii="仿宋_GB2312" w:hAnsi="Arial"/>
          <w:color w:val="000000"/>
          <w:sz w:val="30"/>
        </w:rPr>
      </w:pPr>
      <w:r>
        <w:rPr>
          <w:rFonts w:hint="eastAsia" w:ascii="仿宋_GB2312" w:hAnsi="Arial"/>
          <w:color w:val="000000"/>
          <w:sz w:val="30"/>
        </w:rPr>
      </w:r>
      <w:r/>
    </w:p>
    <w:p>
      <w:pPr>
        <w:pStyle w:val="1229"/>
        <w:ind w:firstLine="0"/>
        <w:spacing w:line="440" w:lineRule="exact"/>
        <w:rPr>
          <w:rFonts w:hint="eastAsia" w:ascii="宋体" w:hAnsi="宋体"/>
          <w:color w:val="000000"/>
          <w:sz w:val="24"/>
        </w:rPr>
      </w:pPr>
      <w:r/>
      <w:bookmarkStart w:id="221" w:name="_Hlt26955066"/>
      <w:r/>
      <w:bookmarkEnd w:id="221"/>
      <w:r/>
      <w:bookmarkStart w:id="222" w:name="_Hlt26609389"/>
      <w:r/>
      <w:bookmarkEnd w:id="222"/>
      <w:r/>
      <w:bookmarkStart w:id="223" w:name="_Hlt26671374"/>
      <w:r/>
      <w:bookmarkEnd w:id="223"/>
      <w:r/>
      <w:bookmarkStart w:id="224" w:name="_Toc462564146"/>
      <w:r>
        <w:rPr>
          <w:rFonts w:hint="eastAsia" w:ascii="宋体" w:hAnsi="宋体"/>
          <w:color w:val="000000"/>
          <w:sz w:val="24"/>
        </w:rPr>
      </w:r>
      <w:r/>
    </w:p>
    <w:p>
      <w:pPr>
        <w:pStyle w:val="1214"/>
        <w:jc w:val="center"/>
        <w:spacing w:line="440" w:lineRule="exact"/>
        <w:rPr>
          <w:rFonts w:hint="eastAsia" w:ascii="黑体" w:hAnsi="黑体" w:eastAsia="黑体"/>
          <w:b/>
          <w:color w:val="000000"/>
          <w:sz w:val="32"/>
          <w:szCs w:val="32"/>
        </w:rPr>
      </w:pPr>
      <w:r/>
      <w:bookmarkEnd w:id="195"/>
      <w:r/>
      <w:bookmarkEnd w:id="196"/>
      <w:r/>
      <w:bookmarkEnd w:id="224"/>
      <w:r/>
      <w:bookmarkStart w:id="225" w:name="_格式2__法定代表人授权书"/>
      <w:r/>
      <w:bookmarkEnd w:id="225"/>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十五、开标一览表</w:t>
      </w:r>
      <w:r>
        <w:rPr>
          <w:rFonts w:hint="eastAsia" w:eastAsia="仿宋_GB2312"/>
          <w:color w:val="000000"/>
          <w:sz w:val="24"/>
          <w:szCs w:val="20"/>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1214"/>
        <w:ind w:firstLine="480"/>
        <w:spacing w:line="440" w:lineRule="exact"/>
        <w:rPr>
          <w:rFonts w:hint="eastAsia"/>
          <w:color w:val="000000"/>
          <w:sz w:val="24"/>
          <w:szCs w:val="24"/>
        </w:rPr>
      </w:pPr>
      <w:r>
        <w:rPr>
          <w:rFonts w:hint="eastAsia" w:ascii="宋体" w:hAnsi="宋体"/>
          <w:color w:val="000000"/>
          <w:sz w:val="24"/>
          <w:szCs w:val="24"/>
        </w:rPr>
        <w:t xml:space="preserve">项目名称：扬中市S238扬中一桥货车动态称重监测设施项目</w:t>
      </w:r>
      <w:r>
        <w:rPr>
          <w:rFonts w:hint="eastAsia"/>
          <w:color w:val="000000"/>
          <w:sz w:val="24"/>
          <w:szCs w:val="24"/>
        </w:rPr>
      </w:r>
      <w:r/>
    </w:p>
    <w:p>
      <w:pPr>
        <w:pStyle w:val="1214"/>
        <w:ind w:firstLine="480"/>
        <w:spacing w:line="440" w:lineRule="exact"/>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214"/>
              <w:spacing w:line="44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1316"/>
              <w:ind w:firstLine="0"/>
              <w:spacing w:before="0" w:after="0" w:line="44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1214"/>
        <w:spacing w:line="440" w:lineRule="exact"/>
        <w:rPr>
          <w:rFonts w:ascii="宋体" w:hAnsi="宋体"/>
          <w:color w:val="000000"/>
          <w:sz w:val="24"/>
          <w:szCs w:val="24"/>
        </w:rPr>
      </w:pPr>
      <w:r>
        <w:rPr>
          <w:rFonts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214"/>
        <w:ind w:firstLine="480"/>
        <w:spacing w:line="440" w:lineRule="exact"/>
        <w:rPr>
          <w:rFonts w:ascii="宋体" w:hAnsi="宋体"/>
          <w:bCs/>
          <w:color w:val="000000"/>
          <w:sz w:val="24"/>
          <w:szCs w:val="24"/>
        </w:rPr>
      </w:pPr>
      <w:r>
        <w:rPr>
          <w:rFonts w:hint="eastAsia" w:ascii="宋体" w:hAnsi="宋体"/>
          <w:color w:val="000000"/>
          <w:sz w:val="24"/>
        </w:rPr>
        <w:t xml:space="preserve">1.</w:t>
      </w:r>
      <w:r>
        <w:rPr>
          <w:rFonts w:ascii="宋体" w:hAnsi="宋体"/>
          <w:bCs/>
          <w:color w:val="000000"/>
          <w:sz w:val="24"/>
          <w:szCs w:val="24"/>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评标委员会启动异常低价投标(响应)审查的情形和具体要求:</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政府采购评审中出现下列情形之一的，评审委员会应当启动异常低价投标（响应）审查程序： </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（1）投标报价低于全部通过符合性审查供应商投标报价平均值65%的，即投标报价&lt;全部通过符合性审查供应商投标报价平均值×65%；</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（2）投标报价低于通过符合性审查的次低报价供应商投标报价65%的，即投标报价&lt;通过符合性审查的次低报价供应商投标报价×65%；</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（3）投标报价低于采购项目最高限价65%的，即投标报价&lt;采购项目最高限价×65%；</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（4）评委会基于专业判断，认为供应商报价过低，有可能影响产品质量或者不能诚信履约的其他情形。</w:t>
      </w:r>
      <w:r>
        <w:rPr>
          <w:rFonts w:ascii="宋体" w:hAnsi="宋体"/>
          <w:bCs/>
          <w:color w:val="000000"/>
          <w:sz w:val="24"/>
          <w:szCs w:val="24"/>
        </w:rPr>
      </w:r>
      <w:r/>
    </w:p>
    <w:p>
      <w:pPr>
        <w:pStyle w:val="1214"/>
        <w:ind w:firstLine="480"/>
        <w:spacing w:line="440" w:lineRule="exact"/>
        <w:rPr>
          <w:rFonts w:ascii="宋体" w:hAnsi="宋体"/>
          <w:bCs/>
          <w:color w:val="000000"/>
          <w:sz w:val="24"/>
          <w:szCs w:val="24"/>
        </w:rPr>
      </w:pPr>
      <w:r>
        <w:rPr>
          <w:rFonts w:ascii="宋体" w:hAnsi="宋体"/>
          <w:bCs/>
          <w:color w:val="000000"/>
          <w:sz w:val="24"/>
          <w:szCs w:val="24"/>
        </w:rPr>
        <w:t xml:space="preserve">(二)启动异常低价投标(响应)审查后，评标委员会应</w:t>
      </w:r>
      <w:r>
        <w:rPr>
          <w:rFonts w:ascii="宋体" w:hAnsi="宋体"/>
          <w:bCs/>
          <w:color w:val="000000"/>
          <w:sz w:val="24"/>
          <w:szCs w:val="24"/>
        </w:rPr>
        <w:t xml:space="preserve">当要求相关供应商在评标现场合理的时间内，提供项目具体成本测算等与报价合理性相关的书面说明及相关证明材料，对投标(响应)价格作出解释，包括但不限于</w:t>
      </w:r>
      <w:r>
        <w:rPr>
          <w:rFonts w:ascii="宋体" w:hAnsi="宋体"/>
          <w:b/>
          <w:bCs/>
          <w:color w:val="000000"/>
          <w:sz w:val="24"/>
          <w:szCs w:val="24"/>
        </w:rPr>
        <w:t xml:space="preserve">原材料成本、人工成本、制造费用等</w:t>
      </w:r>
      <w:r>
        <w:rPr>
          <w:rFonts w:ascii="宋体" w:hAnsi="宋体"/>
          <w:bCs/>
          <w:color w:val="000000"/>
          <w:sz w:val="24"/>
          <w:szCs w:val="24"/>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bCs/>
          <w:color w:val="000000"/>
          <w:sz w:val="24"/>
          <w:szCs w:val="24"/>
        </w:rPr>
      </w:r>
      <w:r/>
    </w:p>
    <w:p>
      <w:pPr>
        <w:pStyle w:val="1214"/>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214"/>
        <w:jc w:val="center"/>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十六、</w:t>
      </w:r>
      <w:r>
        <w:rPr>
          <w:rFonts w:ascii="宋体" w:hAnsi="宋体"/>
          <w:b/>
          <w:bCs/>
          <w:color w:val="000000"/>
          <w:sz w:val="36"/>
          <w:szCs w:val="36"/>
        </w:rPr>
        <w:t xml:space="preserve">资格承诺函（格式）</w:t>
      </w:r>
      <w:r>
        <w:rPr>
          <w:rFonts w:ascii="宋体" w:hAnsi="宋体"/>
          <w:color w:val="000000"/>
          <w:sz w:val="28"/>
          <w:szCs w:val="28"/>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w:t>
      </w:r>
      <w:r>
        <w:rPr>
          <w:rFonts w:hint="eastAsia" w:ascii="宋体" w:hAnsi="宋体"/>
          <w:color w:val="000000"/>
          <w:sz w:val="24"/>
        </w:rPr>
        <w:t xml:space="preserve">招标</w:t>
      </w:r>
      <w:r>
        <w:rPr>
          <w:rFonts w:ascii="宋体" w:hAnsi="宋体"/>
          <w:color w:val="000000"/>
          <w:sz w:val="24"/>
          <w:szCs w:val="24"/>
        </w:rPr>
        <w:t xml:space="preserve">人、代理机构）   </w:t>
      </w: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政府活动，现承诺如下：</w:t>
      </w: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4.我方参加本项目活动前三年内，在经营活动中没有重大违法记录。</w:t>
      </w: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r>
      <w:r/>
    </w:p>
    <w:p>
      <w:pPr>
        <w:pStyle w:val="1214"/>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w:t>
      </w:r>
      <w:r>
        <w:rPr>
          <w:rFonts w:hint="eastAsia" w:ascii="宋体" w:hAnsi="宋体"/>
          <w:color w:val="000000"/>
          <w:sz w:val="24"/>
          <w:szCs w:val="24"/>
        </w:rPr>
        <w:t xml:space="preserve">投标人</w:t>
      </w:r>
      <w:r>
        <w:rPr>
          <w:rFonts w:ascii="宋体" w:hAnsi="宋体"/>
          <w:color w:val="000000"/>
          <w:sz w:val="24"/>
          <w:szCs w:val="24"/>
        </w:rPr>
        <w:t xml:space="preserve">（全称并盖章）：</w:t>
      </w:r>
      <w:r>
        <w:rPr>
          <w:rFonts w:ascii="宋体" w:hAnsi="宋体"/>
          <w:color w:val="000000"/>
          <w:sz w:val="24"/>
          <w:szCs w:val="24"/>
        </w:rPr>
      </w:r>
      <w:r/>
    </w:p>
    <w:p>
      <w:pPr>
        <w:pStyle w:val="1214"/>
        <w:spacing w:line="440" w:lineRule="exact"/>
        <w:rPr>
          <w:rFonts w:ascii="宋体" w:hAnsi="宋体"/>
          <w:color w:val="000000"/>
          <w:sz w:val="24"/>
          <w:szCs w:val="24"/>
        </w:rPr>
        <w:outlineLvl w:val="2"/>
      </w:pPr>
      <w:r>
        <w:rPr>
          <w:rFonts w:hint="eastAsia" w:ascii="宋体" w:hAnsi="宋体"/>
          <w:color w:val="000000"/>
          <w:sz w:val="24"/>
          <w:szCs w:val="24"/>
        </w:rPr>
        <w:t xml:space="preserve">投标人</w:t>
      </w:r>
      <w:r>
        <w:rPr>
          <w:rFonts w:ascii="宋体" w:hAnsi="宋体"/>
          <w:color w:val="000000"/>
          <w:sz w:val="24"/>
          <w:szCs w:val="24"/>
        </w:rPr>
        <w:t xml:space="preserve">法定代表人或授权代表（签字或签章）：</w:t>
      </w:r>
      <w:r>
        <w:rPr>
          <w:rFonts w:ascii="宋体" w:hAnsi="宋体"/>
          <w:color w:val="000000"/>
          <w:sz w:val="24"/>
          <w:szCs w:val="24"/>
        </w:rPr>
      </w:r>
      <w:r/>
    </w:p>
    <w:p>
      <w:pPr>
        <w:pStyle w:val="1214"/>
        <w:spacing w:line="440" w:lineRule="exact"/>
        <w:rPr>
          <w:rFonts w:ascii="宋体" w:hAnsi="宋体"/>
          <w:color w:val="000000"/>
          <w:sz w:val="24"/>
          <w:szCs w:val="24"/>
        </w:rPr>
        <w:outlineLvl w:val="2"/>
      </w:pPr>
      <w:r>
        <w:rPr>
          <w:rFonts w:ascii="宋体" w:hAnsi="宋体"/>
          <w:color w:val="000000"/>
          <w:sz w:val="24"/>
          <w:szCs w:val="24"/>
        </w:rPr>
        <w:t xml:space="preserve">日期：</w:t>
      </w:r>
      <w:r>
        <w:rPr>
          <w:rFonts w:ascii="宋体" w:hAnsi="宋体"/>
          <w:color w:val="000000"/>
          <w:sz w:val="24"/>
          <w:szCs w:val="24"/>
        </w:rPr>
      </w:r>
      <w:r/>
    </w:p>
    <w:p>
      <w:pPr>
        <w:pStyle w:val="1214"/>
        <w:spacing w:line="440" w:lineRule="exact"/>
        <w:rPr>
          <w:rFonts w:ascii="宋体" w:hAnsi="宋体"/>
          <w:color w:val="000000"/>
          <w:sz w:val="24"/>
          <w:szCs w:val="24"/>
        </w:rPr>
        <w:outlineLvl w:val="2"/>
      </w:pPr>
      <w:r>
        <w:rPr>
          <w:rFonts w:ascii="宋体" w:hAnsi="宋体"/>
          <w:color w:val="000000"/>
          <w:sz w:val="24"/>
          <w:szCs w:val="24"/>
        </w:rPr>
      </w:r>
      <w:r/>
    </w:p>
    <w:p>
      <w:pPr>
        <w:pStyle w:val="1214"/>
        <w:ind w:firstLine="482"/>
        <w:spacing w:line="440" w:lineRule="exact"/>
        <w:rPr>
          <w:rFonts w:ascii="宋体" w:hAnsi="宋体"/>
          <w:color w:val="000000"/>
          <w:sz w:val="24"/>
          <w:szCs w:val="24"/>
        </w:rPr>
        <w:outlineLvl w:val="2"/>
      </w:pPr>
      <w:r>
        <w:rPr>
          <w:rFonts w:ascii="宋体" w:hAnsi="宋体"/>
          <w:color w:val="000000"/>
          <w:sz w:val="24"/>
          <w:szCs w:val="24"/>
        </w:rPr>
        <w:t xml:space="preserve">说明：1.</w:t>
      </w:r>
      <w:r>
        <w:rPr>
          <w:rFonts w:hint="eastAsia" w:ascii="宋体" w:hAnsi="宋体"/>
          <w:color w:val="000000"/>
          <w:sz w:val="24"/>
          <w:szCs w:val="24"/>
        </w:rPr>
        <w:t xml:space="preserve">投标人</w:t>
      </w:r>
      <w:r>
        <w:rPr>
          <w:rFonts w:ascii="宋体" w:hAnsi="宋体"/>
          <w:color w:val="000000"/>
          <w:sz w:val="24"/>
          <w:szCs w:val="24"/>
        </w:rPr>
        <w:t xml:space="preserve">可自行选择是否提供本承诺函，若不提供本承诺函的，应按文件要求提供相应的证明材料。</w:t>
      </w:r>
      <w:r>
        <w:rPr>
          <w:rFonts w:ascii="宋体" w:hAnsi="宋体"/>
          <w:color w:val="000000"/>
          <w:sz w:val="24"/>
          <w:szCs w:val="24"/>
        </w:rPr>
      </w:r>
      <w:r/>
    </w:p>
    <w:p>
      <w:pPr>
        <w:pStyle w:val="1214"/>
        <w:ind w:firstLine="482"/>
        <w:spacing w:line="440" w:lineRule="exact"/>
        <w:rPr>
          <w:rFonts w:ascii="宋体" w:hAnsi="宋体"/>
          <w:color w:val="000000"/>
          <w:sz w:val="24"/>
          <w:szCs w:val="24"/>
        </w:rPr>
        <w:outlineLvl w:val="2"/>
      </w:pPr>
      <w:r>
        <w:rPr>
          <w:rFonts w:ascii="宋体" w:hAnsi="宋体"/>
          <w:color w:val="000000"/>
          <w:sz w:val="24"/>
          <w:szCs w:val="24"/>
        </w:rPr>
        <w:t xml:space="preserve">2.</w:t>
      </w:r>
      <w:r>
        <w:rPr>
          <w:rFonts w:hint="eastAsia" w:ascii="宋体" w:hAnsi="宋体"/>
          <w:color w:val="000000"/>
          <w:sz w:val="24"/>
          <w:szCs w:val="24"/>
        </w:rPr>
        <w:t xml:space="preserve">投标人</w:t>
      </w:r>
      <w:r>
        <w:rPr>
          <w:rFonts w:ascii="宋体" w:hAnsi="宋体"/>
          <w:color w:val="000000"/>
          <w:sz w:val="24"/>
          <w:szCs w:val="24"/>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214"/>
        <w:jc w:val="center"/>
        <w:spacing w:line="440" w:lineRule="exact"/>
        <w:rPr>
          <w:rFonts w:hint="eastAsia" w:ascii="黑体" w:hAnsi="黑体" w:eastAsia="黑体"/>
          <w:b/>
          <w:color w:val="000000"/>
          <w:sz w:val="32"/>
          <w:szCs w:val="32"/>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63"/>
          <w:cols w:num="1" w:sep="0" w:space="1701" w:equalWidth="1"/>
          <w:docGrid w:linePitch="360"/>
          <w:titlePg/>
        </w:sect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十七、单位负责人为同一人或者存在直接控股、管理关系的不同供应商，不得参加同一合同项下的政府采购活动的承诺函（格式自拟）</w:t>
      </w: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十八、分包意向协议（参考格式）</w:t>
      </w:r>
      <w:r>
        <w:rPr>
          <w:rFonts w:hint="eastAsia" w:ascii="黑体" w:hAnsi="黑体" w:eastAsia="黑体"/>
          <w:b/>
          <w:color w:val="000000"/>
          <w:sz w:val="32"/>
          <w:szCs w:val="32"/>
        </w:rPr>
      </w:r>
      <w:r/>
    </w:p>
    <w:p>
      <w:pPr>
        <w:pStyle w:val="1214"/>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本项目允许中标供应商分包履行合同（若有，请提供）</w:t>
      </w:r>
      <w:r>
        <w:rPr>
          <w:rFonts w:hint="eastAsia" w:ascii="黑体" w:hAnsi="黑体" w:eastAsia="黑体"/>
          <w:b/>
          <w:color w:val="000000"/>
          <w:sz w:val="32"/>
          <w:szCs w:val="32"/>
        </w:rPr>
      </w:r>
      <w:r/>
    </w:p>
    <w:p>
      <w:pPr>
        <w:pStyle w:val="1214"/>
        <w:spacing w:line="440" w:lineRule="exact"/>
        <w:rPr>
          <w:rFonts w:ascii="宋体" w:hAnsi="宋体"/>
          <w:color w:val="000000"/>
          <w:sz w:val="24"/>
          <w:szCs w:val="24"/>
        </w:rPr>
      </w:pPr>
      <w:r>
        <w:rPr>
          <w:rFonts w:hint="eastAsia" w:ascii="宋体" w:hAnsi="宋体"/>
          <w:color w:val="000000"/>
          <w:sz w:val="24"/>
          <w:szCs w:val="24"/>
        </w:rPr>
        <w:t xml:space="preserve">致采购人：</w:t>
      </w:r>
      <w:r>
        <w:rPr>
          <w:rFonts w:ascii="宋体" w:hAnsi="宋体"/>
          <w:color w:val="000000"/>
          <w:sz w:val="24"/>
          <w:szCs w:val="24"/>
        </w:rPr>
      </w:r>
      <w:r/>
    </w:p>
    <w:p>
      <w:pPr>
        <w:pStyle w:val="1214"/>
        <w:ind w:firstLine="645"/>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、我们</w:t>
      </w:r>
      <w:r>
        <w:rPr>
          <w:rFonts w:hint="eastAsia" w:ascii="宋体" w:hAnsi="宋体"/>
          <w:color w:val="000000"/>
          <w:sz w:val="24"/>
          <w:szCs w:val="24"/>
          <w:u w:val="single"/>
        </w:rPr>
        <w:t xml:space="preserve"> （供应商  ）      </w:t>
      </w:r>
      <w:r>
        <w:rPr>
          <w:rFonts w:hint="eastAsia" w:ascii="宋体" w:hAnsi="宋体"/>
          <w:color w:val="000000"/>
          <w:sz w:val="24"/>
          <w:szCs w:val="24"/>
        </w:rPr>
        <w:t xml:space="preserve">参加江苏金居工程项目管理有限公司采购代理机构组织的采购编号为</w:t>
      </w:r>
      <w:r>
        <w:rPr>
          <w:rFonts w:hint="eastAsia" w:ascii="宋体" w:hAnsi="宋体"/>
          <w:color w:val="000000"/>
          <w:sz w:val="24"/>
          <w:szCs w:val="24"/>
          <w:u w:val="single"/>
        </w:rPr>
        <w:t xml:space="preserve">（编号全称），（项目名称）</w:t>
      </w:r>
      <w:r>
        <w:rPr>
          <w:rFonts w:hint="eastAsia" w:ascii="宋体" w:hAnsi="宋体"/>
          <w:color w:val="000000"/>
          <w:sz w:val="24"/>
          <w:szCs w:val="24"/>
        </w:rPr>
        <w:t xml:space="preserve">项目的政府采购活动，我公司指定</w:t>
      </w:r>
      <w:r>
        <w:rPr>
          <w:rFonts w:hint="eastAsia" w:ascii="宋体" w:hAnsi="宋体"/>
          <w:color w:val="000000"/>
          <w:sz w:val="24"/>
          <w:szCs w:val="24"/>
          <w:u w:val="single"/>
        </w:rPr>
        <w:t xml:space="preserve">（供应商1  ）</w:t>
      </w:r>
      <w:r>
        <w:rPr>
          <w:rFonts w:hint="eastAsia" w:ascii="宋体" w:hAnsi="宋体"/>
          <w:color w:val="000000"/>
          <w:sz w:val="24"/>
          <w:szCs w:val="24"/>
        </w:rPr>
        <w:t xml:space="preserve">为分包单位。</w:t>
      </w:r>
      <w:r>
        <w:rPr>
          <w:rFonts w:ascii="宋体" w:hAnsi="宋体"/>
          <w:color w:val="000000"/>
          <w:sz w:val="24"/>
          <w:szCs w:val="24"/>
        </w:rPr>
      </w:r>
      <w:r/>
    </w:p>
    <w:p>
      <w:pPr>
        <w:pStyle w:val="1214"/>
        <w:ind w:firstLine="645"/>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、若我公司成交，（供应商单位</w:t>
      </w:r>
      <w:r>
        <w:rPr>
          <w:rFonts w:ascii="宋体" w:hAnsi="宋体"/>
          <w:color w:val="000000"/>
          <w:sz w:val="24"/>
          <w:szCs w:val="24"/>
        </w:rPr>
        <w:t xml:space="preserve">1</w:t>
      </w:r>
      <w:r>
        <w:rPr>
          <w:rFonts w:hint="eastAsia" w:ascii="宋体" w:hAnsi="宋体"/>
          <w:color w:val="000000"/>
          <w:sz w:val="24"/>
          <w:szCs w:val="24"/>
        </w:rPr>
        <w:t xml:space="preserve">全称）实施项目中（工作内容）部分工作，并承担相应的责任。（供应商单位</w:t>
      </w:r>
      <w:r>
        <w:rPr>
          <w:rFonts w:ascii="宋体" w:hAnsi="宋体"/>
          <w:color w:val="000000"/>
          <w:sz w:val="24"/>
          <w:szCs w:val="24"/>
        </w:rPr>
        <w:t xml:space="preserve">2</w:t>
      </w:r>
      <w:r>
        <w:rPr>
          <w:rFonts w:hint="eastAsia" w:ascii="宋体" w:hAnsi="宋体"/>
          <w:color w:val="000000"/>
          <w:sz w:val="24"/>
          <w:szCs w:val="24"/>
        </w:rPr>
        <w:t xml:space="preserve">全称）实施项目中（工作内容）部分工作，并承担相应的责任……。（注：各供应商都应明示所承担的工作和相应的责任）。</w:t>
      </w:r>
      <w:r>
        <w:rPr>
          <w:rFonts w:ascii="宋体" w:hAnsi="宋体"/>
          <w:color w:val="000000"/>
          <w:sz w:val="24"/>
          <w:szCs w:val="24"/>
        </w:rPr>
      </w:r>
      <w:r/>
    </w:p>
    <w:p>
      <w:pPr>
        <w:pStyle w:val="1214"/>
        <w:ind w:firstLine="645"/>
        <w:spacing w:line="440" w:lineRule="exact"/>
        <w:rPr>
          <w:rFonts w:hint="eastAsia" w:ascii="宋体" w:hAnsi="宋体"/>
          <w:b/>
          <w:bCs/>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、其中</w:t>
      </w:r>
      <w:r>
        <w:rPr>
          <w:rFonts w:ascii="宋体" w:hAnsi="宋体"/>
          <w:color w:val="000000"/>
          <w:sz w:val="24"/>
          <w:szCs w:val="24"/>
          <w:u w:val="single"/>
        </w:rPr>
        <w:t xml:space="preserve">      </w:t>
      </w:r>
      <w:r>
        <w:rPr>
          <w:rFonts w:hint="eastAsia" w:ascii="宋体" w:hAnsi="宋体"/>
          <w:color w:val="000000"/>
          <w:sz w:val="24"/>
          <w:szCs w:val="24"/>
        </w:rPr>
        <w:t xml:space="preserve">（小型、微型企业/残疾人福利性单位/监狱企业全称）为</w:t>
      </w:r>
      <w:r>
        <w:rPr>
          <w:rFonts w:ascii="宋体" w:hAnsi="宋体"/>
          <w:color w:val="000000"/>
          <w:sz w:val="24"/>
          <w:szCs w:val="24"/>
          <w:u w:val="single"/>
        </w:rPr>
        <w:t xml:space="preserve">    </w:t>
      </w:r>
      <w:r>
        <w:rPr>
          <w:rFonts w:hint="eastAsia" w:ascii="宋体" w:hAnsi="宋体"/>
          <w:color w:val="000000"/>
          <w:sz w:val="24"/>
          <w:szCs w:val="24"/>
        </w:rPr>
        <w:t xml:space="preserve">（小型、微型企业/残疾人福利性单位/监狱企业）企业，且我们约定该公司/单位所承担的合同金额将占本项目合同总金额的</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b/>
          <w:bCs/>
          <w:color w:val="000000"/>
          <w:sz w:val="24"/>
          <w:szCs w:val="24"/>
        </w:rPr>
        <w:t xml:space="preserve">（注：1。若供应商为大型企业，需将采购项目中的一定比例分包给一家或者多家中小企业。2. 预留给中小企业采购的比例为预算总额的40%及以上，其中预留给小微企业的比例不低于60%。3.若分包单位为小型、微型企业/残疾人福利性单位/监狱企业需提供该单位的中小企业声明函或残疾人福利性单位声明函或提供监狱企业的证明材料并加盖该单位公章与分包协议同时上传）。</w:t>
      </w:r>
      <w:r>
        <w:rPr>
          <w:rFonts w:hint="eastAsia" w:ascii="宋体" w:hAnsi="宋体"/>
          <w:b/>
          <w:bCs/>
          <w:color w:val="000000"/>
          <w:sz w:val="24"/>
          <w:szCs w:val="24"/>
        </w:rPr>
      </w:r>
      <w:r/>
    </w:p>
    <w:p>
      <w:pPr>
        <w:pStyle w:val="1214"/>
        <w:ind w:firstLine="645"/>
        <w:spacing w:line="440" w:lineRule="exact"/>
        <w:rPr>
          <w:rFonts w:hint="eastAsia" w:ascii="宋体" w:hAnsi="宋体"/>
          <w:color w:val="000000"/>
          <w:sz w:val="24"/>
          <w:szCs w:val="24"/>
        </w:rPr>
      </w:pPr>
      <w:r>
        <w:rPr>
          <w:rFonts w:hint="eastAsia" w:ascii="宋体" w:hAnsi="宋体"/>
          <w:color w:val="000000"/>
          <w:sz w:val="24"/>
          <w:szCs w:val="24"/>
        </w:rPr>
      </w:r>
      <w:r/>
    </w:p>
    <w:p>
      <w:pPr>
        <w:pStyle w:val="1214"/>
        <w:ind w:firstLine="645"/>
        <w:spacing w:line="440" w:lineRule="exact"/>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1214"/>
        <w:ind w:firstLine="645"/>
        <w:jc w:val="right"/>
        <w:spacing w:line="440" w:lineRule="exact"/>
        <w:rPr>
          <w:rFonts w:ascii="宋体" w:hAnsi="宋体"/>
          <w:color w:val="000000"/>
          <w:sz w:val="24"/>
          <w:szCs w:val="24"/>
        </w:rPr>
      </w:pPr>
      <w:r>
        <w:rPr>
          <w:rFonts w:hint="eastAsia" w:ascii="宋体" w:hAnsi="宋体"/>
          <w:color w:val="000000"/>
          <w:sz w:val="24"/>
          <w:szCs w:val="24"/>
        </w:rPr>
        <w:t xml:space="preserve">分包1供应商全称（公章）（若有，请盖章）：</w:t>
      </w:r>
      <w:r>
        <w:rPr>
          <w:rFonts w:ascii="宋体" w:hAnsi="宋体"/>
          <w:color w:val="000000"/>
          <w:sz w:val="24"/>
          <w:szCs w:val="24"/>
        </w:rPr>
        <w:t xml:space="preserve">     </w:t>
      </w:r>
      <w:r>
        <w:rPr>
          <w:rFonts w:ascii="宋体" w:hAnsi="宋体"/>
          <w:color w:val="000000"/>
          <w:sz w:val="24"/>
          <w:szCs w:val="24"/>
        </w:rPr>
      </w:r>
      <w:r/>
    </w:p>
    <w:p>
      <w:pPr>
        <w:pStyle w:val="1214"/>
        <w:ind w:firstLine="645"/>
        <w:jc w:val="right"/>
        <w:spacing w:line="440" w:lineRule="exact"/>
        <w:rPr>
          <w:rFonts w:ascii="宋体" w:hAnsi="宋体"/>
          <w:color w:val="000000"/>
          <w:sz w:val="24"/>
          <w:szCs w:val="24"/>
        </w:rPr>
      </w:pPr>
      <w:r>
        <w:rPr>
          <w:rFonts w:hint="eastAsia" w:ascii="宋体" w:hAnsi="宋体"/>
          <w:color w:val="000000"/>
          <w:sz w:val="24"/>
          <w:szCs w:val="24"/>
        </w:rPr>
        <w:t xml:space="preserve">分包2供应商全称（公章）（若有，请盖章）：</w:t>
      </w:r>
      <w:r>
        <w:rPr>
          <w:rFonts w:ascii="宋体" w:hAnsi="宋体"/>
          <w:color w:val="000000"/>
          <w:sz w:val="24"/>
          <w:szCs w:val="24"/>
        </w:rPr>
        <w:t xml:space="preserve">     </w:t>
      </w:r>
      <w:r>
        <w:rPr>
          <w:rFonts w:ascii="宋体" w:hAnsi="宋体"/>
          <w:color w:val="000000"/>
          <w:sz w:val="24"/>
          <w:szCs w:val="24"/>
        </w:rPr>
      </w:r>
      <w:r/>
    </w:p>
    <w:p>
      <w:pPr>
        <w:pStyle w:val="1292"/>
        <w:tabs>
          <w:tab w:val="center" w:pos="4153" w:leader="none"/>
          <w:tab w:val="right" w:pos="8306" w:leader="none"/>
        </w:tabs>
        <w:rPr>
          <w:color w:val="000000"/>
        </w:rPr>
      </w:pPr>
      <w:r>
        <w:rPr>
          <w:color w:val="000000"/>
        </w:rPr>
      </w:r>
      <w:r/>
    </w:p>
    <w:p>
      <w:pPr>
        <w:pStyle w:val="1214"/>
        <w:ind w:firstLine="645"/>
        <w:spacing w:line="440" w:lineRule="exact"/>
        <w:rPr>
          <w:rFonts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日期：</w:t>
      </w:r>
      <w:r>
        <w:rPr>
          <w:rFonts w:ascii="宋体" w:hAnsi="宋体"/>
          <w:color w:val="000000"/>
          <w:sz w:val="24"/>
          <w:szCs w:val="24"/>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214"/>
        <w:jc w:val="center"/>
        <w:spacing w:before="145" w:after="145" w:line="440" w:lineRule="exact"/>
        <w:rPr>
          <w:rFonts w:hint="eastAsia" w:ascii="宋体" w:hAnsi="宋体" w:cs="仿宋"/>
          <w:b/>
          <w:bCs/>
          <w:color w:val="000000"/>
          <w:sz w:val="32"/>
          <w:szCs w:val="32"/>
        </w:rPr>
      </w:pPr>
      <w:r>
        <w:rPr>
          <w:rFonts w:hint="eastAsia" w:ascii="黑体" w:hAnsi="黑体" w:eastAsia="黑体"/>
          <w:b/>
          <w:color w:val="000000"/>
          <w:sz w:val="32"/>
          <w:szCs w:val="32"/>
        </w:rPr>
        <w:t xml:space="preserve">投标单位相关信息一览表</w:t>
      </w:r>
      <w:r>
        <w:rPr>
          <w:rFonts w:hint="eastAsia" w:ascii="宋体" w:hAnsi="宋体" w:cs="仿宋"/>
          <w:b/>
          <w:bCs/>
          <w:color w:val="000000"/>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rPr>
                <w:rFonts w:ascii="宋体" w:hAnsi="宋体"/>
                <w:b/>
                <w:color w:val="000000"/>
                <w:sz w:val="24"/>
                <w:szCs w:val="20"/>
              </w:rPr>
            </w:r>
            <w:r/>
          </w:p>
        </w:tc>
      </w:tr>
      <w:tr>
        <w:trPr>
          <w:trHeight w:val="506"/>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1335"/>
              <w:spacing w:line="440" w:lineRule="exact"/>
              <w:rPr>
                <w:rFonts w:ascii="宋体" w:hAnsi="宋体"/>
                <w:color w:val="000000"/>
                <w:sz w:val="24"/>
                <w:szCs w:val="20"/>
              </w:rPr>
            </w:pPr>
            <w:r>
              <w:rPr>
                <w:rFonts w:hint="eastAsia" w:ascii="宋体" w:hAnsi="宋体"/>
                <w:color w:val="000000"/>
                <w:sz w:val="24"/>
                <w:szCs w:val="20"/>
              </w:rPr>
              <w:t xml:space="preserve">公司名称</w:t>
            </w:r>
            <w:r>
              <w:rPr>
                <w:rFonts w:ascii="宋体" w:hAnsi="宋体"/>
                <w:color w:val="000000"/>
                <w:sz w:val="24"/>
                <w:szCs w:val="20"/>
              </w:rPr>
            </w:r>
            <w:r/>
          </w:p>
        </w:tc>
        <w:tc>
          <w:tcPr>
            <w:gridSpan w:val="8"/>
            <w:tcW w:w="668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rPr>
                <w:rFonts w:ascii="宋体" w:hAnsi="宋体"/>
                <w:color w:val="000000"/>
                <w:sz w:val="24"/>
                <w:szCs w:val="20"/>
              </w:rPr>
            </w:r>
            <w:r/>
          </w:p>
        </w:tc>
        <w:tc>
          <w:tcPr>
            <w:tcW w:w="81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gridSpan w:val="3"/>
            <w:tcW w:w="211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rPr>
                <w:rFonts w:ascii="宋体" w:hAnsi="宋体"/>
                <w:color w:val="000000"/>
                <w:sz w:val="24"/>
                <w:szCs w:val="20"/>
              </w:rPr>
            </w:r>
            <w:r/>
          </w:p>
        </w:tc>
        <w:tc>
          <w:tcPr>
            <w:gridSpan w:val="2"/>
            <w:tcW w:w="2293"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rPr>
                <w:rFonts w:ascii="宋体" w:hAnsi="宋体"/>
                <w:color w:val="000000"/>
                <w:sz w:val="24"/>
                <w:szCs w:val="20"/>
              </w:rPr>
            </w:r>
            <w:r/>
          </w:p>
        </w:tc>
        <w:tc>
          <w:tcPr>
            <w:tcW w:w="81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gridSpan w:val="3"/>
            <w:tcW w:w="211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rPr>
                <w:rFonts w:ascii="宋体" w:hAnsi="宋体"/>
                <w:color w:val="000000"/>
                <w:sz w:val="24"/>
                <w:szCs w:val="20"/>
              </w:rPr>
            </w:r>
            <w:r/>
          </w:p>
        </w:tc>
        <w:tc>
          <w:tcPr>
            <w:gridSpan w:val="2"/>
            <w:tcW w:w="2293"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rPr>
                <w:rFonts w:ascii="宋体" w:hAnsi="宋体"/>
                <w:color w:val="000000"/>
                <w:sz w:val="24"/>
                <w:szCs w:val="20"/>
              </w:rPr>
            </w:r>
            <w:r/>
          </w:p>
        </w:tc>
        <w:tc>
          <w:tcPr>
            <w:tcW w:w="81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gridSpan w:val="3"/>
            <w:tcW w:w="211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账号</w:t>
            </w:r>
            <w:r>
              <w:rPr>
                <w:rFonts w:ascii="宋体" w:hAnsi="宋体"/>
                <w:color w:val="000000"/>
                <w:sz w:val="24"/>
                <w:szCs w:val="20"/>
              </w:rPr>
            </w:r>
            <w:r/>
          </w:p>
        </w:tc>
        <w:tc>
          <w:tcPr>
            <w:gridSpan w:val="2"/>
            <w:tcW w:w="2293"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rPr>
                <w:rFonts w:ascii="宋体" w:hAnsi="宋体"/>
                <w:color w:val="000000"/>
                <w:sz w:val="24"/>
                <w:szCs w:val="20"/>
              </w:rPr>
            </w:r>
            <w:r/>
          </w:p>
        </w:tc>
        <w:tc>
          <w:tcPr>
            <w:tcW w:w="81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r>
            <w:r/>
          </w:p>
        </w:tc>
        <w:tc>
          <w:tcPr>
            <w:gridSpan w:val="3"/>
            <w:tcW w:w="211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rPr>
                <w:rFonts w:ascii="宋体" w:hAnsi="宋体"/>
                <w:color w:val="000000"/>
                <w:sz w:val="24"/>
                <w:szCs w:val="20"/>
              </w:rPr>
            </w:r>
            <w:r/>
          </w:p>
        </w:tc>
        <w:tc>
          <w:tcPr>
            <w:gridSpan w:val="2"/>
            <w:tcW w:w="2293"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rPr>
                <w:rFonts w:ascii="宋体" w:hAnsi="宋体"/>
                <w:b/>
                <w:color w:val="000000"/>
                <w:sz w:val="24"/>
                <w:szCs w:val="20"/>
              </w:rPr>
            </w:r>
            <w:r/>
          </w:p>
        </w:tc>
      </w:tr>
      <w:tr>
        <w:trPr>
          <w:trHeight w:val="467"/>
        </w:trPr>
        <w:tc>
          <w:tcPr>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tcW w:w="8041"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rPr>
                <w:rFonts w:ascii="宋体" w:hAnsi="宋体"/>
                <w:b/>
                <w:color w:val="000000"/>
                <w:sz w:val="24"/>
                <w:szCs w:val="20"/>
              </w:rPr>
            </w:r>
            <w:r/>
          </w:p>
        </w:tc>
      </w:tr>
      <w:tr>
        <w:trPr>
          <w:trHeight w:val="682"/>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rPr>
                <w:rFonts w:ascii="宋体" w:hAnsi="宋体"/>
                <w:color w:val="000000"/>
                <w:sz w:val="24"/>
                <w:szCs w:val="20"/>
              </w:rPr>
            </w:r>
            <w:r/>
          </w:p>
        </w:tc>
        <w:tc>
          <w:tcPr>
            <w:tcW w:w="81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gridSpan w:val="3"/>
            <w:tcW w:w="211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rPr>
                <w:rFonts w:ascii="宋体" w:hAnsi="宋体"/>
                <w:color w:val="000000"/>
                <w:sz w:val="24"/>
                <w:szCs w:val="20"/>
              </w:rPr>
            </w:r>
            <w:r/>
          </w:p>
        </w:tc>
        <w:tc>
          <w:tcPr>
            <w:gridSpan w:val="2"/>
            <w:tcW w:w="2293"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rPr>
                <w:rFonts w:ascii="宋体" w:hAnsi="宋体"/>
                <w:color w:val="000000"/>
                <w:sz w:val="24"/>
                <w:szCs w:val="20"/>
              </w:rPr>
            </w:r>
            <w:r/>
          </w:p>
        </w:tc>
        <w:tc>
          <w:tcPr>
            <w:tcW w:w="81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gridSpan w:val="3"/>
            <w:tcW w:w="211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rPr>
                <w:rFonts w:ascii="宋体" w:hAnsi="宋体"/>
                <w:color w:val="000000"/>
                <w:sz w:val="24"/>
                <w:szCs w:val="20"/>
              </w:rPr>
            </w:r>
            <w:r/>
          </w:p>
        </w:tc>
        <w:tc>
          <w:tcPr>
            <w:gridSpan w:val="2"/>
            <w:tcW w:w="2293"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rPr>
                <w:rFonts w:ascii="宋体" w:hAnsi="宋体"/>
                <w:color w:val="000000"/>
                <w:sz w:val="24"/>
                <w:szCs w:val="20"/>
              </w:rPr>
            </w:r>
            <w:r/>
          </w:p>
        </w:tc>
        <w:tc>
          <w:tcPr>
            <w:tcW w:w="81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gridSpan w:val="3"/>
            <w:tcW w:w="211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rPr>
                <w:rFonts w:ascii="宋体" w:hAnsi="宋体"/>
                <w:color w:val="000000"/>
                <w:sz w:val="24"/>
                <w:szCs w:val="20"/>
              </w:rPr>
            </w:r>
            <w:r/>
          </w:p>
        </w:tc>
        <w:tc>
          <w:tcPr>
            <w:gridSpan w:val="2"/>
            <w:tcW w:w="2293"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rPr>
                <w:rFonts w:ascii="宋体" w:hAnsi="宋体"/>
                <w:color w:val="000000"/>
                <w:sz w:val="24"/>
                <w:szCs w:val="20"/>
              </w:rPr>
            </w:r>
            <w:r/>
          </w:p>
        </w:tc>
        <w:tc>
          <w:tcPr>
            <w:tcW w:w="81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gridSpan w:val="3"/>
            <w:tcW w:w="211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rPr>
                <w:rFonts w:ascii="宋体" w:hAnsi="宋体"/>
                <w:color w:val="000000"/>
                <w:sz w:val="24"/>
                <w:szCs w:val="20"/>
              </w:rPr>
            </w:r>
            <w:r/>
          </w:p>
        </w:tc>
        <w:tc>
          <w:tcPr>
            <w:gridSpan w:val="2"/>
            <w:tcW w:w="2293"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投标人其他信息</w:t>
            </w:r>
            <w:r>
              <w:rPr>
                <w:rFonts w:ascii="宋体" w:hAnsi="宋体"/>
                <w:b/>
                <w:color w:val="000000"/>
                <w:sz w:val="24"/>
                <w:szCs w:val="20"/>
              </w:rPr>
            </w:r>
            <w:r/>
          </w:p>
        </w:tc>
      </w:tr>
      <w:tr>
        <w:trPr>
          <w:trHeight w:val="1015"/>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（一）</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rPr>
                <w:rFonts w:ascii="宋体" w:hAnsi="宋体"/>
                <w:color w:val="000000"/>
                <w:sz w:val="24"/>
                <w:szCs w:val="20"/>
              </w:rPr>
            </w:r>
            <w:r/>
          </w:p>
        </w:tc>
        <w:tc>
          <w:tcPr>
            <w:gridSpan w:val="8"/>
            <w:tcW w:w="668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615"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（二）</w:t>
            </w:r>
            <w:r>
              <w:rPr>
                <w:rFonts w:ascii="宋体" w:hAnsi="宋体"/>
                <w:color w:val="000000"/>
                <w:sz w:val="24"/>
                <w:szCs w:val="20"/>
              </w:rPr>
            </w:r>
            <w:r/>
          </w:p>
        </w:tc>
        <w:tc>
          <w:tcPr>
            <w:tcW w:w="737" w:type="dxa"/>
            <w:vAlign w:val="center"/>
            <w:textDirection w:val="lrTb"/>
            <w:noWrap w:val="false"/>
          </w:tcPr>
          <w:p>
            <w:pPr>
              <w:pStyle w:val="1335"/>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rPr>
                <w:rFonts w:ascii="宋体" w:hAnsi="宋体"/>
                <w:color w:val="000000"/>
                <w:sz w:val="24"/>
                <w:szCs w:val="20"/>
              </w:rPr>
            </w:r>
            <w:r/>
          </w:p>
        </w:tc>
        <w:tc>
          <w:tcPr>
            <w:gridSpan w:val="8"/>
            <w:tcW w:w="6689" w:type="dxa"/>
            <w:vAlign w:val="center"/>
            <w:textDirection w:val="lrTb"/>
            <w:noWrap w:val="false"/>
          </w:tcPr>
          <w:p>
            <w:pPr>
              <w:pStyle w:val="1335"/>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rPr>
                <w:rFonts w:ascii="宋体" w:hAnsi="宋体"/>
                <w:b/>
                <w:color w:val="000000"/>
                <w:sz w:val="24"/>
                <w:szCs w:val="20"/>
              </w:rPr>
            </w:r>
            <w:r/>
          </w:p>
        </w:tc>
      </w:tr>
      <w:tr>
        <w:trPr>
          <w:trHeight w:val="459"/>
        </w:trPr>
        <w:tc>
          <w:tcPr>
            <w:shd w:val="clear" w:color="auto" w:fill="ffffff"/>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rPr>
                <w:rFonts w:ascii="宋体" w:hAnsi="宋体"/>
                <w:b/>
                <w:color w:val="000000"/>
                <w:sz w:val="24"/>
                <w:szCs w:val="20"/>
              </w:rPr>
            </w:r>
            <w:r/>
          </w:p>
        </w:tc>
        <w:tc>
          <w:tcPr>
            <w:shd w:val="clear" w:color="auto" w:fill="ffffff"/>
            <w:tcW w:w="587"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rPr>
                <w:rFonts w:ascii="宋体" w:hAnsi="宋体"/>
                <w:b/>
                <w:color w:val="000000"/>
                <w:sz w:val="24"/>
                <w:szCs w:val="20"/>
              </w:rPr>
            </w:r>
            <w:r/>
          </w:p>
        </w:tc>
        <w:tc>
          <w:tcPr>
            <w:shd w:val="clear" w:color="auto" w:fill="ffffff"/>
            <w:tcW w:w="743"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rPr>
                <w:rFonts w:ascii="宋体" w:hAnsi="宋体"/>
                <w:b/>
                <w:color w:val="000000"/>
                <w:sz w:val="24"/>
                <w:szCs w:val="20"/>
              </w:rPr>
            </w:r>
            <w:r/>
          </w:p>
        </w:tc>
      </w:tr>
      <w:tr>
        <w:trPr>
          <w:trHeight w:val="483"/>
        </w:trPr>
        <w:tc>
          <w:tcPr>
            <w:shd w:val="clear" w:color="auto" w:fill="ffffff"/>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2</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3</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615"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t xml:space="preserve">…</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615"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1335"/>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rPr>
                <w:rFonts w:ascii="宋体" w:hAnsi="宋体"/>
                <w:b/>
                <w:color w:val="000000"/>
                <w:sz w:val="24"/>
                <w:szCs w:val="20"/>
              </w:rPr>
            </w:r>
            <w:r/>
          </w:p>
        </w:tc>
      </w:tr>
      <w:tr>
        <w:trPr>
          <w:trHeight w:val="1630"/>
        </w:trPr>
        <w:tc>
          <w:tcPr>
            <w:gridSpan w:val="10"/>
            <w:shd w:val="clear" w:color="auto" w:fill="ffffff"/>
            <w:tcW w:w="9169" w:type="dxa"/>
            <w:vAlign w:val="center"/>
            <w:textDirection w:val="lrTb"/>
            <w:noWrap w:val="false"/>
          </w:tcPr>
          <w:p>
            <w:pPr>
              <w:pStyle w:val="1335"/>
              <w:jc w:val="center"/>
              <w:spacing w:line="440" w:lineRule="exact"/>
              <w:rPr>
                <w:rFonts w:ascii="宋体" w:hAnsi="宋体"/>
                <w:b/>
                <w:color w:val="000000"/>
                <w:sz w:val="24"/>
                <w:szCs w:val="20"/>
              </w:rPr>
            </w:pPr>
            <w:r>
              <w:rPr>
                <w:rFonts w:ascii="宋体" w:hAnsi="宋体"/>
                <w:b/>
                <w:color w:val="000000"/>
                <w:sz w:val="24"/>
                <w:szCs w:val="20"/>
              </w:rPr>
            </w:r>
            <w:r/>
          </w:p>
        </w:tc>
      </w:tr>
    </w:tbl>
    <w:p>
      <w:pPr>
        <w:pStyle w:val="1335"/>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1335"/>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rPr>
          <w:rFonts w:ascii="宋体" w:hAnsi="宋体"/>
          <w:color w:val="000000"/>
          <w:sz w:val="24"/>
          <w:u w:val="single"/>
        </w:rPr>
      </w:r>
      <w:r/>
    </w:p>
    <w:p>
      <w:pPr>
        <w:pStyle w:val="1214"/>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1214"/>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一、质疑投标人基本信息</w:t>
      </w:r>
      <w:r>
        <w:rPr>
          <w:rFonts w:ascii="宋体" w:hAnsi="宋体" w:cs="仿宋"/>
          <w:bCs/>
          <w:color w:val="000000"/>
          <w:sz w:val="24"/>
          <w:szCs w:val="24"/>
        </w:rPr>
      </w:r>
      <w:r/>
    </w:p>
    <w:p>
      <w:pPr>
        <w:pStyle w:val="1214"/>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质疑投标人：</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214"/>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214"/>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214"/>
        <w:spacing w:line="440" w:lineRule="exact"/>
        <w:rPr>
          <w:rFonts w:ascii="宋体" w:hAnsi="宋体" w:cs="仿宋"/>
          <w:color w:val="000000"/>
          <w:sz w:val="24"/>
          <w:szCs w:val="24"/>
          <w:u w:val="single"/>
        </w:rPr>
      </w:pPr>
      <w:r>
        <w:rPr>
          <w:rFonts w:hint="eastAsia" w:ascii="宋体" w:hAnsi="宋体"/>
          <w:color w:val="000000"/>
          <w:sz w:val="24"/>
        </w:rPr>
        <w:t xml:space="preserve">招标</w:t>
      </w:r>
      <w:r>
        <w:rPr>
          <w:rFonts w:hint="eastAsia" w:ascii="宋体" w:hAnsi="宋体" w:cs="仿宋"/>
          <w:color w:val="000000"/>
          <w:sz w:val="24"/>
          <w:szCs w:val="24"/>
        </w:rPr>
        <w:t xml:space="preserve">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rPr>
        <w:t xml:space="preserve">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214"/>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1214"/>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214"/>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214"/>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214"/>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214"/>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1214"/>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1214"/>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1214"/>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214"/>
        <w:spacing w:line="44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1214"/>
        <w:spacing w:line="44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1214"/>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121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1.投标人提出质疑时，应提交质疑函和必要的证明材料。</w:t>
      </w:r>
      <w:r>
        <w:rPr>
          <w:rFonts w:ascii="宋体" w:hAnsi="宋体"/>
          <w:color w:val="000000"/>
          <w:sz w:val="24"/>
          <w:szCs w:val="24"/>
        </w:rPr>
      </w:r>
      <w:r/>
    </w:p>
    <w:p>
      <w:pPr>
        <w:pStyle w:val="121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2.质疑投标人若委托代理人进行质疑的，质疑函应按要求列明“授权代表”的有关内容，并在附件中提交由质疑</w:t>
      </w:r>
      <w:r>
        <w:rPr>
          <w:rFonts w:hint="eastAsia" w:ascii="宋体" w:hAnsi="宋体" w:cs="宋体"/>
          <w:color w:val="000000"/>
          <w:sz w:val="24"/>
          <w:szCs w:val="24"/>
        </w:rPr>
        <w:t xml:space="preserve">投标人签署的授权委托书。授权委托书应载明代理人的姓名或者名称、代理事项、具体权限、期限和相关事项。</w:t>
      </w:r>
      <w:r>
        <w:rPr>
          <w:rFonts w:ascii="宋体" w:hAnsi="宋体"/>
          <w:color w:val="000000"/>
          <w:sz w:val="24"/>
          <w:szCs w:val="24"/>
        </w:rPr>
      </w:r>
      <w:r/>
    </w:p>
    <w:p>
      <w:pPr>
        <w:pStyle w:val="121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3.质疑投标人若对项目的某一分包进行质疑，质疑函中应列明具体分包号。</w:t>
      </w:r>
      <w:r>
        <w:rPr>
          <w:rFonts w:ascii="宋体" w:hAnsi="宋体"/>
          <w:color w:val="000000"/>
          <w:sz w:val="24"/>
          <w:szCs w:val="24"/>
        </w:rPr>
      </w:r>
      <w:r/>
    </w:p>
    <w:p>
      <w:pPr>
        <w:pStyle w:val="121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121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121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6.质疑投标人为自然人的，质疑函应由本人签字；质疑投标人为法人或者其他组织的，质疑函应由法定代表人、主要负责人，或者其授权代表签字或者盖章，并加盖公章。</w:t>
      </w:r>
      <w:r>
        <w:rPr>
          <w:rFonts w:ascii="宋体" w:hAnsi="宋体"/>
          <w:color w:val="000000"/>
          <w:sz w:val="24"/>
          <w:szCs w:val="24"/>
        </w:rPr>
      </w:r>
      <w:r/>
    </w:p>
    <w:p>
      <w:pPr>
        <w:pStyle w:val="1229"/>
        <w:spacing w:line="440" w:lineRule="exact"/>
        <w:rPr>
          <w:rFonts w:hint="eastAsia"/>
          <w:color w:val="000000"/>
          <w:sz w:val="24"/>
          <w:szCs w:val="24"/>
        </w:rPr>
      </w:pPr>
      <w:r>
        <w:rPr>
          <w:rFonts w:hint="eastAsia"/>
          <w:color w:val="000000"/>
          <w:sz w:val="24"/>
          <w:szCs w:val="24"/>
        </w:rPr>
      </w:r>
      <w:r/>
    </w:p>
    <w:p>
      <w:pPr>
        <w:pStyle w:val="1229"/>
        <w:spacing w:line="440" w:lineRule="exact"/>
        <w:rPr>
          <w:color w:val="000000"/>
          <w:sz w:val="24"/>
          <w:szCs w:val="24"/>
        </w:rPr>
      </w:pPr>
      <w:r>
        <w:rPr>
          <w:color w:val="000000"/>
          <w:sz w:val="24"/>
          <w:szCs w:val="24"/>
        </w:rPr>
      </w:r>
      <w:r/>
    </w:p>
    <w:sectPr>
      <w:footerReference w:type="default" r:id="rId15"/>
      <w:footerReference w:type="first" r:id="rId16"/>
      <w:footnotePr/>
      <w:endnotePr/>
      <w:type w:val="nextPage"/>
      <w:pgSz w:w="11906" w:h="16838" w:orient="portrait"/>
      <w:pgMar w:top="1418" w:right="1588" w:bottom="1418" w:left="1365" w:header="851" w:footer="907" w:gutter="0"/>
      <w:pgNumType w:start="6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ind w:firstLine="0"/>
      <w:spacing w:line="0" w:lineRule="atLeast"/>
      <w:widowControl w:val="off"/>
      <w:tabs>
        <w:tab w:val="left" w:pos="4138" w:leader="none"/>
        <w:tab w:val="left" w:pos="800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4"/>
                          </w:pPr>
                          <w:r/>
                          <w:r/>
                        </w:p>
                      </w:txbxContent>
                    </wps:txbx>
                    <wps:bodyPr wrap="none" lIns="0" tIns="0" rIns="0" bIns="0" upright="1">
                      <a:spAutoFit/>
                    </wps:bodyPr>
                  </wps:wsp>
                </a:graphicData>
              </a:graphic>
            </wp:anchor>
          </w:drawing>
        </mc:Choice>
        <mc:Fallback>
          <w:pict>
            <v:shape id="shape 4" o:spid="_x0000_s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5" o:spid="_x0000_s5" o:spt="202" type="#_x0000_t202" style="position:absolute;z-index:-250609660;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4"/>
                          </w:pPr>
                          <w:r/>
                          <w:r/>
                        </w:p>
                      </w:txbxContent>
                    </wps:txbx>
                    <wps:bodyPr wrap="none" lIns="0" tIns="0" rIns="0" bIns="0" upright="1">
                      <a:spAutoFit/>
                    </wps:bodyPr>
                  </wps:wsp>
                </a:graphicData>
              </a:graphic>
            </wp:anchor>
          </w:drawing>
        </mc:Choice>
        <mc:Fallback>
          <w:pict>
            <v:shape id="shape 6" o:spid="_x0000_s6"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14"/>
                          </w:pPr>
                          <w:r/>
                          <w:r/>
                        </w:p>
                      </w:txbxContent>
                    </wps:txbx>
                    <wps:bodyPr wrap="none" lIns="0" tIns="0" rIns="0" bIns="0" upright="1">
                      <a:spAutoFit/>
                    </wps:bodyPr>
                  </wps:wsp>
                </a:graphicData>
              </a:graphic>
            </wp:anchor>
          </w:drawing>
        </mc:Choice>
        <mc:Fallback>
          <w:pict>
            <v:shape id="shape 7" o:spid="_x0000_s7"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14"/>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4"/>
                          </w:pPr>
                          <w:r/>
                          <w:r/>
                        </w:p>
                      </w:txbxContent>
                    </wps:txbx>
                    <wps:bodyPr wrap="none" lIns="0" tIns="0" rIns="0" bIns="0" upright="1">
                      <a:spAutoFit/>
                    </wps:bodyPr>
                  </wps:wsp>
                </a:graphicData>
              </a:graphic>
            </wp:anchor>
          </w:drawing>
        </mc:Choice>
        <mc:Fallback>
          <w:pict>
            <v:shape id="shape 8" o:spid="_x0000_s8"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pPr>
                          <w:r/>
                          <w:r/>
                        </w:p>
                        <w:p>
                          <w:pPr>
                            <w:pStyle w:val="1214"/>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pPr>
                    <w:r/>
                    <w:r/>
                  </w:p>
                  <w:p>
                    <w:pPr>
                      <w:pStyle w:val="121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4"/>
                          </w:pPr>
                          <w:r/>
                          <w:r/>
                        </w:p>
                      </w:txbxContent>
                    </wps:txbx>
                    <wps:bodyPr wrap="none" lIns="0" tIns="0" rIns="0" bIns="0" upright="1">
                      <a:spAutoFit/>
                    </wps:bodyPr>
                  </wps:wsp>
                </a:graphicData>
              </a:graphic>
            </wp:anchor>
          </w:drawing>
        </mc:Choice>
        <mc:Fallback>
          <w:pict>
            <v:shape id="shape 10" o:spid="_x0000_s10"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4"/>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4"/>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4"/>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295"/>
                            <w:spacing w:line="844" w:lineRule="atLeast"/>
                            <w:widowControl w:val="off"/>
                          </w:pPr>
                          <w:r/>
                          <w:r/>
                        </w:p>
                        <w:p>
                          <w:pPr>
                            <w:pStyle w:val="1295"/>
                          </w:pPr>
                          <w:r/>
                          <w:r/>
                        </w:p>
                        <w:p>
                          <w:pPr>
                            <w:pStyle w:val="1214"/>
                          </w:pPr>
                          <w:r/>
                          <w:r/>
                        </w:p>
                      </w:txbxContent>
                    </wps:txbx>
                    <wps:bodyPr wrap="square" lIns="35999" tIns="0" rIns="35999" bIns="17999" upright="1"/>
                  </wps:wsp>
                </a:graphicData>
              </a:graphic>
            </wp:anchor>
          </w:drawing>
        </mc:Choice>
        <mc:Fallback>
          <w:pict>
            <v:shape id="shape 1" o:spid="_x0000_s1" o:spt="202" type="#_x0000_t202" style="position:absolute;z-index:-250609663;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295"/>
                      <w:spacing w:line="844" w:lineRule="atLeast"/>
                      <w:widowControl w:val="off"/>
                    </w:pPr>
                    <w:r/>
                    <w:r/>
                  </w:p>
                  <w:p>
                    <w:pPr>
                      <w:pStyle w:val="1295"/>
                    </w:pPr>
                    <w:r/>
                    <w:r/>
                  </w:p>
                  <w:p>
                    <w:pPr>
                      <w:pStyle w:val="12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295"/>
                            <w:spacing w:line="595" w:lineRule="atLeast"/>
                            <w:widowControl w:val="off"/>
                          </w:pPr>
                          <w:r/>
                          <w:r/>
                        </w:p>
                        <w:p>
                          <w:pPr>
                            <w:pStyle w:val="1295"/>
                            <w:spacing w:line="606" w:lineRule="atLeast"/>
                            <w:widowControl w:val="off"/>
                          </w:pPr>
                          <w:r/>
                          <w:r/>
                        </w:p>
                        <w:p>
                          <w:pPr>
                            <w:pStyle w:val="1295"/>
                          </w:pPr>
                          <w:r/>
                          <w:r/>
                        </w:p>
                        <w:p>
                          <w:pPr>
                            <w:pStyle w:val="1214"/>
                          </w:pPr>
                          <w:r/>
                          <w:r/>
                        </w:p>
                      </w:txbxContent>
                    </wps:txbx>
                    <wps:bodyPr wrap="square" lIns="35999" tIns="0" rIns="35999" bIns="17999" upright="1"/>
                  </wps:wsp>
                </a:graphicData>
              </a:graphic>
            </wp:anchor>
          </w:drawing>
        </mc:Choice>
        <mc:Fallback>
          <w:pict>
            <v:shape id="shape 2" o:spid="_x0000_s2" o:spt="202" type="#_x0000_t202" style="position:absolute;z-index:-250609662;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295"/>
                      <w:spacing w:line="595" w:lineRule="atLeast"/>
                      <w:widowControl w:val="off"/>
                    </w:pPr>
                    <w:r/>
                    <w:r/>
                  </w:p>
                  <w:p>
                    <w:pPr>
                      <w:pStyle w:val="1295"/>
                      <w:spacing w:line="606" w:lineRule="atLeast"/>
                      <w:widowControl w:val="off"/>
                    </w:pPr>
                    <w:r/>
                    <w:r/>
                  </w:p>
                  <w:p>
                    <w:pPr>
                      <w:pStyle w:val="1295"/>
                    </w:pPr>
                    <w:r/>
                    <w:r/>
                  </w:p>
                  <w:p>
                    <w:pPr>
                      <w:pStyle w:val="12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295"/>
                            <w:spacing w:line="844" w:lineRule="atLeast"/>
                            <w:widowControl w:val="off"/>
                          </w:pPr>
                          <w:r/>
                          <w:r/>
                        </w:p>
                        <w:p>
                          <w:pPr>
                            <w:pStyle w:val="1295"/>
                          </w:pPr>
                          <w:r/>
                          <w:r/>
                        </w:p>
                        <w:p>
                          <w:pPr>
                            <w:pStyle w:val="1214"/>
                          </w:pPr>
                          <w:r/>
                          <w:r/>
                        </w:p>
                      </w:txbxContent>
                    </wps:txbx>
                    <wps:bodyPr wrap="square" lIns="35999" tIns="0" rIns="35999" bIns="17999" upright="1"/>
                  </wps:wsp>
                </a:graphicData>
              </a:graphic>
            </wp:anchor>
          </w:drawing>
        </mc:Choice>
        <mc:Fallback>
          <w:pict>
            <v:shape id="shape 3" o:spid="_x0000_s3" o:spt="202" type="#_x0000_t202" style="position:absolute;z-index:-250609661;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295"/>
                      <w:spacing w:line="844" w:lineRule="atLeast"/>
                      <w:widowControl w:val="off"/>
                    </w:pPr>
                    <w:r/>
                    <w:r/>
                  </w:p>
                  <w:p>
                    <w:pPr>
                      <w:pStyle w:val="1295"/>
                    </w:pPr>
                    <w:r/>
                    <w:r/>
                  </w:p>
                  <w:p>
                    <w:pPr>
                      <w:pStyle w:val="1214"/>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2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99"/>
      <w:isLgl w:val="false"/>
      <w:suff w:val="tab"/>
      <w:lvlText w:val="附录%1."/>
      <w:lvlJc w:val="left"/>
      <w:pPr>
        <w:pStyle w:val="121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22"/>
      <w:isLgl w:val="false"/>
      <w:suff w:val="tab"/>
      <w:lvlText w:val="%1."/>
      <w:lvlJc w:val="left"/>
      <w:pPr>
        <w:pStyle w:val="1214"/>
        <w:ind w:left="709" w:hanging="709"/>
        <w:tabs>
          <w:tab w:val="num" w:pos="709" w:leader="none"/>
        </w:tabs>
      </w:pPr>
      <w:rPr>
        <w:rFonts w:hint="eastAsia"/>
      </w:rPr>
    </w:lvl>
    <w:lvl w:ilvl="1">
      <w:start w:val="1"/>
      <w:numFmt w:val="decimal"/>
      <w:isLgl w:val="false"/>
      <w:suff w:val="tab"/>
      <w:lvlText w:val="%1.%2"/>
      <w:lvlJc w:val="left"/>
      <w:pPr>
        <w:pStyle w:val="1214"/>
        <w:ind w:left="709" w:hanging="709"/>
        <w:tabs>
          <w:tab w:val="num" w:pos="709" w:leader="none"/>
        </w:tabs>
      </w:pPr>
      <w:rPr>
        <w:rFonts w:hint="eastAsia"/>
      </w:rPr>
    </w:lvl>
    <w:lvl w:ilvl="2">
      <w:start w:val="1"/>
      <w:numFmt w:val="decimal"/>
      <w:isLgl w:val="false"/>
      <w:suff w:val="tab"/>
      <w:lvlText w:val="%1.%2.%3."/>
      <w:lvlJc w:val="left"/>
      <w:pPr>
        <w:pStyle w:val="1214"/>
        <w:ind w:left="425" w:hanging="425"/>
        <w:tabs>
          <w:tab w:val="num" w:pos="425" w:leader="none"/>
        </w:tabs>
      </w:pPr>
      <w:rPr>
        <w:rFonts w:hint="eastAsia"/>
      </w:rPr>
    </w:lvl>
    <w:lvl w:ilvl="3">
      <w:start w:val="1"/>
      <w:numFmt w:val="decimal"/>
      <w:isLgl w:val="false"/>
      <w:suff w:val="tab"/>
      <w:lvlText w:val="%1.%2.%3.%4."/>
      <w:lvlJc w:val="left"/>
      <w:pPr>
        <w:pStyle w:val="1214"/>
        <w:ind w:left="851" w:hanging="851"/>
        <w:tabs>
          <w:tab w:val="num" w:pos="851" w:leader="none"/>
        </w:tabs>
      </w:pPr>
      <w:rPr>
        <w:rFonts w:hint="eastAsia"/>
      </w:rPr>
    </w:lvl>
    <w:lvl w:ilvl="4">
      <w:start w:val="1"/>
      <w:numFmt w:val="decimal"/>
      <w:isLgl w:val="false"/>
      <w:suff w:val="tab"/>
      <w:lvlText w:val="%1.%2.%3.%4.%5."/>
      <w:lvlJc w:val="left"/>
      <w:pPr>
        <w:pStyle w:val="1214"/>
        <w:ind w:left="992" w:hanging="992"/>
        <w:tabs>
          <w:tab w:val="num" w:pos="992" w:leader="none"/>
        </w:tabs>
      </w:pPr>
      <w:rPr>
        <w:rFonts w:hint="eastAsia"/>
      </w:rPr>
    </w:lvl>
    <w:lvl w:ilvl="5">
      <w:start w:val="1"/>
      <w:numFmt w:val="decimal"/>
      <w:isLgl w:val="false"/>
      <w:suff w:val="tab"/>
      <w:lvlText w:val="%1.%2.%3.%4.%5.%6."/>
      <w:lvlJc w:val="left"/>
      <w:pPr>
        <w:pStyle w:val="1214"/>
        <w:ind w:left="1134" w:hanging="1134"/>
        <w:tabs>
          <w:tab w:val="num" w:pos="1134" w:leader="none"/>
        </w:tabs>
      </w:pPr>
      <w:rPr>
        <w:rFonts w:hint="eastAsia"/>
      </w:rPr>
    </w:lvl>
    <w:lvl w:ilvl="6">
      <w:start w:val="1"/>
      <w:numFmt w:val="decimal"/>
      <w:isLgl w:val="false"/>
      <w:suff w:val="tab"/>
      <w:lvlText w:val="%1.%2.%3.%4.%5.%6.%7."/>
      <w:lvlJc w:val="left"/>
      <w:pPr>
        <w:pStyle w:val="1214"/>
        <w:ind w:left="1276" w:hanging="1276"/>
        <w:tabs>
          <w:tab w:val="num" w:pos="1276" w:leader="none"/>
        </w:tabs>
      </w:pPr>
      <w:rPr>
        <w:rFonts w:hint="eastAsia"/>
      </w:rPr>
    </w:lvl>
    <w:lvl w:ilvl="7">
      <w:start w:val="1"/>
      <w:numFmt w:val="decimal"/>
      <w:isLgl w:val="false"/>
      <w:suff w:val="tab"/>
      <w:lvlText w:val="%1.%2.%3.%4.%5.%6.%7.%8."/>
      <w:lvlJc w:val="left"/>
      <w:pPr>
        <w:pStyle w:val="1214"/>
        <w:ind w:left="1418" w:hanging="1418"/>
        <w:tabs>
          <w:tab w:val="num" w:pos="1418" w:leader="none"/>
        </w:tabs>
      </w:pPr>
      <w:rPr>
        <w:rFonts w:hint="eastAsia"/>
      </w:rPr>
    </w:lvl>
    <w:lvl w:ilvl="8">
      <w:start w:val="1"/>
      <w:numFmt w:val="decimal"/>
      <w:isLgl w:val="false"/>
      <w:suff w:val="tab"/>
      <w:lvlText w:val="%1.%2.%3.%4.%5.%6.%7.%8.%9."/>
      <w:lvlJc w:val="left"/>
      <w:pPr>
        <w:pStyle w:val="1214"/>
        <w:ind w:left="1559" w:hanging="1559"/>
        <w:tabs>
          <w:tab w:val="num" w:pos="1559" w:leader="none"/>
        </w:tabs>
      </w:pPr>
      <w:rPr>
        <w:rFonts w:hint="eastAsia"/>
      </w:rPr>
    </w:lvl>
  </w:abstractNum>
  <w:abstractNum w:abstractNumId="3">
    <w:multiLevelType w:val="hybridMultilevel"/>
    <w:lvl w:ilvl="0">
      <w:start w:val="6"/>
      <w:numFmt w:val="chineseCounting"/>
      <w:isLgl w:val="false"/>
      <w:suff w:val="nothing"/>
      <w:lvlText w:val="%1、"/>
      <w:lvlJc w:val="left"/>
      <w:pPr>
        <w:pStyle w:val="12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1214"/>
        <w:ind w:left="0" w:firstLine="0"/>
      </w:pPr>
      <w:rPr>
        <w:rFonts w:hint="eastAsia"/>
      </w:rPr>
    </w:lvl>
    <w:lvl w:ilvl="1">
      <w:start w:val="1"/>
      <w:numFmt w:val="decimal"/>
      <w:isLgl w:val="false"/>
      <w:suff w:val="nothing"/>
      <w:lvlText w:val="%2、"/>
      <w:lvlJc w:val="left"/>
      <w:pPr>
        <w:pStyle w:val="1214"/>
        <w:ind w:left="0" w:firstLine="0"/>
      </w:pPr>
      <w:rPr>
        <w:rFonts w:hint="eastAsia"/>
      </w:rPr>
    </w:lvl>
    <w:lvl w:ilvl="2">
      <w:start w:val="1"/>
      <w:numFmt w:val="decimal"/>
      <w:isLgl w:val="false"/>
      <w:suff w:val="nothing"/>
      <w:lvlText w:val="%2.%3 "/>
      <w:lvlJc w:val="left"/>
      <w:pPr>
        <w:pStyle w:val="1214"/>
        <w:ind w:left="0" w:firstLine="0"/>
      </w:pPr>
      <w:rPr>
        <w:rFonts w:hint="eastAsia"/>
      </w:rPr>
    </w:lvl>
    <w:lvl w:ilvl="3">
      <w:start w:val="1"/>
      <w:numFmt w:val="decimal"/>
      <w:isLgl w:val="false"/>
      <w:suff w:val="nothing"/>
      <w:lvlText w:val="%2.%3.%4 "/>
      <w:lvlJc w:val="left"/>
      <w:pPr>
        <w:pStyle w:val="1214"/>
        <w:ind w:left="0" w:firstLine="0"/>
      </w:pPr>
      <w:rPr>
        <w:rFonts w:hint="eastAsia"/>
      </w:rPr>
    </w:lvl>
    <w:lvl w:ilvl="4">
      <w:start w:val="1"/>
      <w:numFmt w:val="decimal"/>
      <w:isLgl w:val="false"/>
      <w:suff w:val="nothing"/>
      <w:lvlText w:val="%2.%3.%4.%5 "/>
      <w:lvlJc w:val="left"/>
      <w:pPr>
        <w:pStyle w:val="1214"/>
        <w:ind w:left="0" w:firstLine="0"/>
      </w:pPr>
      <w:rPr>
        <w:rFonts w:hint="eastAsia"/>
      </w:rPr>
    </w:lvl>
    <w:lvl w:ilvl="5">
      <w:start w:val="1"/>
      <w:numFmt w:val="decimal"/>
      <w:pStyle w:val="1220"/>
      <w:isLgl w:val="false"/>
      <w:suff w:val="nothing"/>
      <w:lvlText w:val=""/>
      <w:lvlJc w:val="left"/>
      <w:pPr>
        <w:pStyle w:val="1214"/>
        <w:ind w:left="0" w:firstLine="0"/>
      </w:pPr>
      <w:rPr>
        <w:rFonts w:hint="eastAsia"/>
      </w:rPr>
    </w:lvl>
    <w:lvl w:ilvl="6">
      <w:start w:val="1"/>
      <w:numFmt w:val="decimal"/>
      <w:pStyle w:val="1221"/>
      <w:isLgl w:val="false"/>
      <w:suff w:val="nothing"/>
      <w:lvlText w:val=""/>
      <w:lvlJc w:val="left"/>
      <w:pPr>
        <w:pStyle w:val="1214"/>
        <w:ind w:left="0" w:firstLine="0"/>
      </w:pPr>
      <w:rPr>
        <w:rFonts w:hint="eastAsia"/>
      </w:rPr>
    </w:lvl>
    <w:lvl w:ilvl="7">
      <w:start w:val="1"/>
      <w:numFmt w:val="decimal"/>
      <w:pStyle w:val="1222"/>
      <w:isLgl w:val="false"/>
      <w:suff w:val="nothing"/>
      <w:lvlText w:val=""/>
      <w:lvlJc w:val="left"/>
      <w:pPr>
        <w:pStyle w:val="1214"/>
        <w:ind w:left="0" w:firstLine="0"/>
      </w:pPr>
      <w:rPr>
        <w:rFonts w:hint="eastAsia"/>
      </w:rPr>
    </w:lvl>
    <w:lvl w:ilvl="8">
      <w:start w:val="1"/>
      <w:numFmt w:val="decimal"/>
      <w:pStyle w:val="1223"/>
      <w:isLgl w:val="false"/>
      <w:suff w:val="nothing"/>
      <w:lvlText w:val=""/>
      <w:lvlJc w:val="left"/>
      <w:pPr>
        <w:pStyle w:val="1214"/>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121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6">
    <w:name w:val="Heading 1"/>
    <w:basedOn w:val="1214"/>
    <w:next w:val="1214"/>
    <w:link w:val="1037"/>
    <w:uiPriority w:val="9"/>
    <w:qFormat/>
    <w:pPr>
      <w:keepLines/>
      <w:keepNext/>
      <w:spacing w:before="480" w:after="200"/>
      <w:outlineLvl w:val="0"/>
    </w:pPr>
    <w:rPr>
      <w:rFonts w:ascii="Arial" w:hAnsi="Arial" w:eastAsia="Arial" w:cs="Arial"/>
      <w:sz w:val="40"/>
      <w:szCs w:val="40"/>
    </w:rPr>
  </w:style>
  <w:style w:type="character" w:styleId="1037">
    <w:name w:val="Heading 1 Char"/>
    <w:link w:val="1036"/>
    <w:uiPriority w:val="9"/>
    <w:rPr>
      <w:rFonts w:ascii="Arial" w:hAnsi="Arial" w:eastAsia="Arial" w:cs="Arial"/>
      <w:sz w:val="40"/>
      <w:szCs w:val="40"/>
    </w:rPr>
  </w:style>
  <w:style w:type="paragraph" w:styleId="1038">
    <w:name w:val="Heading 2"/>
    <w:basedOn w:val="1214"/>
    <w:next w:val="1214"/>
    <w:link w:val="1039"/>
    <w:uiPriority w:val="9"/>
    <w:unhideWhenUsed/>
    <w:qFormat/>
    <w:pPr>
      <w:keepLines/>
      <w:keepNext/>
      <w:spacing w:before="360" w:after="200"/>
      <w:outlineLvl w:val="1"/>
    </w:pPr>
    <w:rPr>
      <w:rFonts w:ascii="Arial" w:hAnsi="Arial" w:eastAsia="Arial" w:cs="Arial"/>
      <w:sz w:val="34"/>
    </w:rPr>
  </w:style>
  <w:style w:type="character" w:styleId="1039">
    <w:name w:val="Heading 2 Char"/>
    <w:link w:val="1038"/>
    <w:uiPriority w:val="9"/>
    <w:rPr>
      <w:rFonts w:ascii="Arial" w:hAnsi="Arial" w:eastAsia="Arial" w:cs="Arial"/>
      <w:sz w:val="34"/>
    </w:rPr>
  </w:style>
  <w:style w:type="paragraph" w:styleId="1040">
    <w:name w:val="Heading 3"/>
    <w:basedOn w:val="1214"/>
    <w:next w:val="1214"/>
    <w:link w:val="1041"/>
    <w:uiPriority w:val="9"/>
    <w:unhideWhenUsed/>
    <w:qFormat/>
    <w:pPr>
      <w:keepLines/>
      <w:keepNext/>
      <w:spacing w:before="320" w:after="200"/>
      <w:outlineLvl w:val="2"/>
    </w:pPr>
    <w:rPr>
      <w:rFonts w:ascii="Arial" w:hAnsi="Arial" w:eastAsia="Arial" w:cs="Arial"/>
      <w:sz w:val="30"/>
      <w:szCs w:val="30"/>
    </w:rPr>
  </w:style>
  <w:style w:type="character" w:styleId="1041">
    <w:name w:val="Heading 3 Char"/>
    <w:link w:val="1040"/>
    <w:uiPriority w:val="9"/>
    <w:rPr>
      <w:rFonts w:ascii="Arial" w:hAnsi="Arial" w:eastAsia="Arial" w:cs="Arial"/>
      <w:sz w:val="30"/>
      <w:szCs w:val="30"/>
    </w:rPr>
  </w:style>
  <w:style w:type="paragraph" w:styleId="1042">
    <w:name w:val="Heading 4"/>
    <w:basedOn w:val="1214"/>
    <w:next w:val="1214"/>
    <w:link w:val="1043"/>
    <w:uiPriority w:val="9"/>
    <w:unhideWhenUsed/>
    <w:qFormat/>
    <w:pPr>
      <w:keepLines/>
      <w:keepNext/>
      <w:spacing w:before="320" w:after="200"/>
      <w:outlineLvl w:val="3"/>
    </w:pPr>
    <w:rPr>
      <w:rFonts w:ascii="Arial" w:hAnsi="Arial" w:eastAsia="Arial" w:cs="Arial"/>
      <w:b/>
      <w:bCs/>
      <w:sz w:val="26"/>
      <w:szCs w:val="26"/>
    </w:rPr>
  </w:style>
  <w:style w:type="character" w:styleId="1043">
    <w:name w:val="Heading 4 Char"/>
    <w:link w:val="1042"/>
    <w:uiPriority w:val="9"/>
    <w:rPr>
      <w:rFonts w:ascii="Arial" w:hAnsi="Arial" w:eastAsia="Arial" w:cs="Arial"/>
      <w:b/>
      <w:bCs/>
      <w:sz w:val="26"/>
      <w:szCs w:val="26"/>
    </w:rPr>
  </w:style>
  <w:style w:type="paragraph" w:styleId="1044">
    <w:name w:val="Heading 5"/>
    <w:basedOn w:val="1214"/>
    <w:next w:val="1214"/>
    <w:link w:val="1045"/>
    <w:uiPriority w:val="9"/>
    <w:unhideWhenUsed/>
    <w:qFormat/>
    <w:pPr>
      <w:keepLines/>
      <w:keepNext/>
      <w:spacing w:before="320" w:after="200"/>
      <w:outlineLvl w:val="4"/>
    </w:pPr>
    <w:rPr>
      <w:rFonts w:ascii="Arial" w:hAnsi="Arial" w:eastAsia="Arial" w:cs="Arial"/>
      <w:b/>
      <w:bCs/>
      <w:sz w:val="24"/>
      <w:szCs w:val="24"/>
    </w:rPr>
  </w:style>
  <w:style w:type="character" w:styleId="1045">
    <w:name w:val="Heading 5 Char"/>
    <w:link w:val="1044"/>
    <w:uiPriority w:val="9"/>
    <w:rPr>
      <w:rFonts w:ascii="Arial" w:hAnsi="Arial" w:eastAsia="Arial" w:cs="Arial"/>
      <w:b/>
      <w:bCs/>
      <w:sz w:val="24"/>
      <w:szCs w:val="24"/>
    </w:rPr>
  </w:style>
  <w:style w:type="paragraph" w:styleId="1046">
    <w:name w:val="Heading 6"/>
    <w:basedOn w:val="1214"/>
    <w:next w:val="1214"/>
    <w:link w:val="1047"/>
    <w:uiPriority w:val="9"/>
    <w:unhideWhenUsed/>
    <w:qFormat/>
    <w:pPr>
      <w:keepLines/>
      <w:keepNext/>
      <w:spacing w:before="320" w:after="200"/>
      <w:outlineLvl w:val="5"/>
    </w:pPr>
    <w:rPr>
      <w:rFonts w:ascii="Arial" w:hAnsi="Arial" w:eastAsia="Arial" w:cs="Arial"/>
      <w:b/>
      <w:bCs/>
      <w:sz w:val="22"/>
      <w:szCs w:val="22"/>
    </w:rPr>
  </w:style>
  <w:style w:type="character" w:styleId="1047">
    <w:name w:val="Heading 6 Char"/>
    <w:link w:val="1046"/>
    <w:uiPriority w:val="9"/>
    <w:rPr>
      <w:rFonts w:ascii="Arial" w:hAnsi="Arial" w:eastAsia="Arial" w:cs="Arial"/>
      <w:b/>
      <w:bCs/>
      <w:sz w:val="22"/>
      <w:szCs w:val="22"/>
    </w:rPr>
  </w:style>
  <w:style w:type="paragraph" w:styleId="1048">
    <w:name w:val="Heading 7"/>
    <w:basedOn w:val="1214"/>
    <w:next w:val="1214"/>
    <w:link w:val="1049"/>
    <w:uiPriority w:val="9"/>
    <w:unhideWhenUsed/>
    <w:qFormat/>
    <w:pPr>
      <w:keepLines/>
      <w:keepNext/>
      <w:spacing w:before="320" w:after="200"/>
      <w:outlineLvl w:val="6"/>
    </w:pPr>
    <w:rPr>
      <w:rFonts w:ascii="Arial" w:hAnsi="Arial" w:eastAsia="Arial" w:cs="Arial"/>
      <w:b/>
      <w:bCs/>
      <w:i/>
      <w:iCs/>
      <w:sz w:val="22"/>
      <w:szCs w:val="22"/>
    </w:rPr>
  </w:style>
  <w:style w:type="character" w:styleId="1049">
    <w:name w:val="Heading 7 Char"/>
    <w:link w:val="1048"/>
    <w:uiPriority w:val="9"/>
    <w:rPr>
      <w:rFonts w:ascii="Arial" w:hAnsi="Arial" w:eastAsia="Arial" w:cs="Arial"/>
      <w:b/>
      <w:bCs/>
      <w:i/>
      <w:iCs/>
      <w:sz w:val="22"/>
      <w:szCs w:val="22"/>
    </w:rPr>
  </w:style>
  <w:style w:type="paragraph" w:styleId="1050">
    <w:name w:val="Heading 8"/>
    <w:basedOn w:val="1214"/>
    <w:next w:val="1214"/>
    <w:link w:val="1051"/>
    <w:uiPriority w:val="9"/>
    <w:unhideWhenUsed/>
    <w:qFormat/>
    <w:pPr>
      <w:keepLines/>
      <w:keepNext/>
      <w:spacing w:before="320" w:after="200"/>
      <w:outlineLvl w:val="7"/>
    </w:pPr>
    <w:rPr>
      <w:rFonts w:ascii="Arial" w:hAnsi="Arial" w:eastAsia="Arial" w:cs="Arial"/>
      <w:i/>
      <w:iCs/>
      <w:sz w:val="22"/>
      <w:szCs w:val="22"/>
    </w:rPr>
  </w:style>
  <w:style w:type="character" w:styleId="1051">
    <w:name w:val="Heading 8 Char"/>
    <w:link w:val="1050"/>
    <w:uiPriority w:val="9"/>
    <w:rPr>
      <w:rFonts w:ascii="Arial" w:hAnsi="Arial" w:eastAsia="Arial" w:cs="Arial"/>
      <w:i/>
      <w:iCs/>
      <w:sz w:val="22"/>
      <w:szCs w:val="22"/>
    </w:rPr>
  </w:style>
  <w:style w:type="paragraph" w:styleId="1052">
    <w:name w:val="Heading 9"/>
    <w:basedOn w:val="1214"/>
    <w:next w:val="1214"/>
    <w:link w:val="1053"/>
    <w:uiPriority w:val="9"/>
    <w:unhideWhenUsed/>
    <w:qFormat/>
    <w:pPr>
      <w:keepLines/>
      <w:keepNext/>
      <w:spacing w:before="320" w:after="200"/>
      <w:outlineLvl w:val="8"/>
    </w:pPr>
    <w:rPr>
      <w:rFonts w:ascii="Arial" w:hAnsi="Arial" w:eastAsia="Arial" w:cs="Arial"/>
      <w:i/>
      <w:iCs/>
      <w:sz w:val="21"/>
      <w:szCs w:val="21"/>
    </w:rPr>
  </w:style>
  <w:style w:type="character" w:styleId="1053">
    <w:name w:val="Heading 9 Char"/>
    <w:link w:val="1052"/>
    <w:uiPriority w:val="9"/>
    <w:rPr>
      <w:rFonts w:ascii="Arial" w:hAnsi="Arial" w:eastAsia="Arial" w:cs="Arial"/>
      <w:i/>
      <w:iCs/>
      <w:sz w:val="21"/>
      <w:szCs w:val="21"/>
    </w:rPr>
  </w:style>
  <w:style w:type="paragraph" w:styleId="1054">
    <w:name w:val="List Paragraph"/>
    <w:basedOn w:val="1214"/>
    <w:uiPriority w:val="34"/>
    <w:qFormat/>
    <w:pPr>
      <w:contextualSpacing/>
      <w:ind w:left="720"/>
    </w:pPr>
  </w:style>
  <w:style w:type="paragraph" w:styleId="1055">
    <w:name w:val="No Spacing"/>
    <w:uiPriority w:val="1"/>
    <w:qFormat/>
    <w:pPr>
      <w:spacing w:before="0" w:after="0" w:line="240" w:lineRule="auto"/>
    </w:pPr>
  </w:style>
  <w:style w:type="paragraph" w:styleId="1056">
    <w:name w:val="Title"/>
    <w:basedOn w:val="1214"/>
    <w:next w:val="1214"/>
    <w:link w:val="1057"/>
    <w:uiPriority w:val="10"/>
    <w:qFormat/>
    <w:pPr>
      <w:contextualSpacing/>
      <w:spacing w:before="300" w:after="200"/>
    </w:pPr>
    <w:rPr>
      <w:sz w:val="48"/>
      <w:szCs w:val="48"/>
    </w:rPr>
  </w:style>
  <w:style w:type="character" w:styleId="1057">
    <w:name w:val="Title Char"/>
    <w:link w:val="1056"/>
    <w:uiPriority w:val="10"/>
    <w:rPr>
      <w:sz w:val="48"/>
      <w:szCs w:val="48"/>
    </w:rPr>
  </w:style>
  <w:style w:type="paragraph" w:styleId="1058">
    <w:name w:val="Subtitle"/>
    <w:basedOn w:val="1214"/>
    <w:next w:val="1214"/>
    <w:link w:val="1059"/>
    <w:uiPriority w:val="11"/>
    <w:qFormat/>
    <w:pPr>
      <w:spacing w:before="200" w:after="200"/>
    </w:pPr>
    <w:rPr>
      <w:sz w:val="24"/>
      <w:szCs w:val="24"/>
    </w:rPr>
  </w:style>
  <w:style w:type="character" w:styleId="1059">
    <w:name w:val="Subtitle Char"/>
    <w:link w:val="1058"/>
    <w:uiPriority w:val="11"/>
    <w:rPr>
      <w:sz w:val="24"/>
      <w:szCs w:val="24"/>
    </w:rPr>
  </w:style>
  <w:style w:type="paragraph" w:styleId="1060">
    <w:name w:val="Quote"/>
    <w:basedOn w:val="1214"/>
    <w:next w:val="1214"/>
    <w:link w:val="1061"/>
    <w:uiPriority w:val="29"/>
    <w:qFormat/>
    <w:pPr>
      <w:ind w:left="720" w:right="720"/>
    </w:pPr>
    <w:rPr>
      <w:i/>
    </w:rPr>
  </w:style>
  <w:style w:type="character" w:styleId="1061">
    <w:name w:val="Quote Char"/>
    <w:link w:val="1060"/>
    <w:uiPriority w:val="29"/>
    <w:rPr>
      <w:i/>
    </w:rPr>
  </w:style>
  <w:style w:type="paragraph" w:styleId="1062">
    <w:name w:val="Intense Quote"/>
    <w:basedOn w:val="1214"/>
    <w:next w:val="1214"/>
    <w:link w:val="10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name w:val="Intense Quote Char"/>
    <w:link w:val="1062"/>
    <w:uiPriority w:val="30"/>
    <w:rPr>
      <w:i/>
    </w:rPr>
  </w:style>
  <w:style w:type="paragraph" w:styleId="1064">
    <w:name w:val="Header"/>
    <w:basedOn w:val="1214"/>
    <w:link w:val="1065"/>
    <w:uiPriority w:val="99"/>
    <w:unhideWhenUsed/>
    <w:pPr>
      <w:spacing w:after="0" w:line="240" w:lineRule="auto"/>
      <w:tabs>
        <w:tab w:val="center" w:pos="7143" w:leader="none"/>
        <w:tab w:val="right" w:pos="14287" w:leader="none"/>
      </w:tabs>
    </w:pPr>
  </w:style>
  <w:style w:type="character" w:styleId="1065">
    <w:name w:val="Header Char"/>
    <w:link w:val="1064"/>
    <w:uiPriority w:val="99"/>
  </w:style>
  <w:style w:type="paragraph" w:styleId="1066">
    <w:name w:val="Footer"/>
    <w:basedOn w:val="1214"/>
    <w:link w:val="1069"/>
    <w:uiPriority w:val="99"/>
    <w:unhideWhenUsed/>
    <w:pPr>
      <w:spacing w:after="0" w:line="240" w:lineRule="auto"/>
      <w:tabs>
        <w:tab w:val="center" w:pos="7143" w:leader="none"/>
        <w:tab w:val="right" w:pos="14287" w:leader="none"/>
      </w:tabs>
    </w:pPr>
  </w:style>
  <w:style w:type="character" w:styleId="1067">
    <w:name w:val="Footer Char"/>
    <w:link w:val="1066"/>
    <w:uiPriority w:val="99"/>
  </w:style>
  <w:style w:type="paragraph" w:styleId="1068">
    <w:name w:val="Caption"/>
    <w:basedOn w:val="1214"/>
    <w:next w:val="1214"/>
    <w:uiPriority w:val="35"/>
    <w:semiHidden/>
    <w:unhideWhenUsed/>
    <w:qFormat/>
    <w:pPr>
      <w:spacing w:line="276" w:lineRule="auto"/>
    </w:pPr>
    <w:rPr>
      <w:b/>
      <w:bCs/>
      <w:color w:val="4f81bd" w:themeColor="accent1"/>
      <w:sz w:val="18"/>
      <w:szCs w:val="18"/>
    </w:rPr>
  </w:style>
  <w:style w:type="character" w:styleId="1069">
    <w:name w:val="Caption Char"/>
    <w:basedOn w:val="1068"/>
    <w:link w:val="1066"/>
    <w:uiPriority w:val="99"/>
  </w:style>
  <w:style w:type="table" w:styleId="10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6">
    <w:name w:val="Hyperlink"/>
    <w:uiPriority w:val="99"/>
    <w:unhideWhenUsed/>
    <w:rPr>
      <w:color w:val="0000ff" w:themeColor="hyperlink"/>
      <w:u w:val="single"/>
    </w:rPr>
  </w:style>
  <w:style w:type="paragraph" w:styleId="1197">
    <w:name w:val="footnote text"/>
    <w:basedOn w:val="1214"/>
    <w:link w:val="1198"/>
    <w:uiPriority w:val="99"/>
    <w:semiHidden/>
    <w:unhideWhenUsed/>
    <w:pPr>
      <w:spacing w:after="40" w:line="240" w:lineRule="auto"/>
    </w:pPr>
    <w:rPr>
      <w:sz w:val="18"/>
    </w:rPr>
  </w:style>
  <w:style w:type="character" w:styleId="1198">
    <w:name w:val="Footnote Text Char"/>
    <w:link w:val="1197"/>
    <w:uiPriority w:val="99"/>
    <w:rPr>
      <w:sz w:val="18"/>
    </w:rPr>
  </w:style>
  <w:style w:type="character" w:styleId="1199">
    <w:name w:val="footnote reference"/>
    <w:uiPriority w:val="99"/>
    <w:unhideWhenUsed/>
    <w:rPr>
      <w:vertAlign w:val="superscript"/>
    </w:rPr>
  </w:style>
  <w:style w:type="paragraph" w:styleId="1200">
    <w:name w:val="endnote text"/>
    <w:basedOn w:val="1214"/>
    <w:link w:val="1201"/>
    <w:uiPriority w:val="99"/>
    <w:semiHidden/>
    <w:unhideWhenUsed/>
    <w:pPr>
      <w:spacing w:after="0" w:line="240" w:lineRule="auto"/>
    </w:pPr>
    <w:rPr>
      <w:sz w:val="20"/>
    </w:rPr>
  </w:style>
  <w:style w:type="character" w:styleId="1201">
    <w:name w:val="Endnote Text Char"/>
    <w:link w:val="1200"/>
    <w:uiPriority w:val="99"/>
    <w:rPr>
      <w:sz w:val="20"/>
    </w:rPr>
  </w:style>
  <w:style w:type="character" w:styleId="1202">
    <w:name w:val="endnote reference"/>
    <w:uiPriority w:val="99"/>
    <w:semiHidden/>
    <w:unhideWhenUsed/>
    <w:rPr>
      <w:vertAlign w:val="superscript"/>
    </w:rPr>
  </w:style>
  <w:style w:type="paragraph" w:styleId="1203">
    <w:name w:val="toc 1"/>
    <w:basedOn w:val="1214"/>
    <w:next w:val="1214"/>
    <w:uiPriority w:val="39"/>
    <w:unhideWhenUsed/>
    <w:pPr>
      <w:ind w:left="0" w:right="0" w:firstLine="0"/>
      <w:spacing w:after="57"/>
    </w:pPr>
  </w:style>
  <w:style w:type="paragraph" w:styleId="1204">
    <w:name w:val="toc 2"/>
    <w:basedOn w:val="1214"/>
    <w:next w:val="1214"/>
    <w:uiPriority w:val="39"/>
    <w:unhideWhenUsed/>
    <w:pPr>
      <w:ind w:left="283" w:right="0" w:firstLine="0"/>
      <w:spacing w:after="57"/>
    </w:pPr>
  </w:style>
  <w:style w:type="paragraph" w:styleId="1205">
    <w:name w:val="toc 3"/>
    <w:basedOn w:val="1214"/>
    <w:next w:val="1214"/>
    <w:uiPriority w:val="39"/>
    <w:unhideWhenUsed/>
    <w:pPr>
      <w:ind w:left="567" w:right="0" w:firstLine="0"/>
      <w:spacing w:after="57"/>
    </w:pPr>
  </w:style>
  <w:style w:type="paragraph" w:styleId="1206">
    <w:name w:val="toc 4"/>
    <w:basedOn w:val="1214"/>
    <w:next w:val="1214"/>
    <w:uiPriority w:val="39"/>
    <w:unhideWhenUsed/>
    <w:pPr>
      <w:ind w:left="850" w:right="0" w:firstLine="0"/>
      <w:spacing w:after="57"/>
    </w:pPr>
  </w:style>
  <w:style w:type="paragraph" w:styleId="1207">
    <w:name w:val="toc 5"/>
    <w:basedOn w:val="1214"/>
    <w:next w:val="1214"/>
    <w:uiPriority w:val="39"/>
    <w:unhideWhenUsed/>
    <w:pPr>
      <w:ind w:left="1134" w:right="0" w:firstLine="0"/>
      <w:spacing w:after="57"/>
    </w:pPr>
  </w:style>
  <w:style w:type="paragraph" w:styleId="1208">
    <w:name w:val="toc 6"/>
    <w:basedOn w:val="1214"/>
    <w:next w:val="1214"/>
    <w:uiPriority w:val="39"/>
    <w:unhideWhenUsed/>
    <w:pPr>
      <w:ind w:left="1417" w:right="0" w:firstLine="0"/>
      <w:spacing w:after="57"/>
    </w:pPr>
  </w:style>
  <w:style w:type="paragraph" w:styleId="1209">
    <w:name w:val="toc 7"/>
    <w:basedOn w:val="1214"/>
    <w:next w:val="1214"/>
    <w:uiPriority w:val="39"/>
    <w:unhideWhenUsed/>
    <w:pPr>
      <w:ind w:left="1701" w:right="0" w:firstLine="0"/>
      <w:spacing w:after="57"/>
    </w:pPr>
  </w:style>
  <w:style w:type="paragraph" w:styleId="1210">
    <w:name w:val="toc 8"/>
    <w:basedOn w:val="1214"/>
    <w:next w:val="1214"/>
    <w:uiPriority w:val="39"/>
    <w:unhideWhenUsed/>
    <w:pPr>
      <w:ind w:left="1984" w:right="0" w:firstLine="0"/>
      <w:spacing w:after="57"/>
    </w:pPr>
  </w:style>
  <w:style w:type="paragraph" w:styleId="1211">
    <w:name w:val="toc 9"/>
    <w:basedOn w:val="1214"/>
    <w:next w:val="1214"/>
    <w:uiPriority w:val="39"/>
    <w:unhideWhenUsed/>
    <w:pPr>
      <w:ind w:left="2268" w:right="0" w:firstLine="0"/>
      <w:spacing w:after="57"/>
    </w:pPr>
  </w:style>
  <w:style w:type="paragraph" w:styleId="1212">
    <w:name w:val="TOC Heading"/>
    <w:uiPriority w:val="39"/>
    <w:unhideWhenUsed/>
  </w:style>
  <w:style w:type="paragraph" w:styleId="1213">
    <w:name w:val="table of figures"/>
    <w:basedOn w:val="1214"/>
    <w:next w:val="1214"/>
    <w:uiPriority w:val="99"/>
    <w:unhideWhenUsed/>
    <w:pPr>
      <w:spacing w:after="0" w:afterAutospacing="0"/>
    </w:pPr>
  </w:style>
  <w:style w:type="paragraph" w:styleId="1214" w:default="1">
    <w:name w:val="Normal"/>
    <w:next w:val="1214"/>
    <w:link w:val="1214"/>
    <w:qFormat/>
    <w:pPr>
      <w:jc w:val="both"/>
      <w:widowControl w:val="off"/>
    </w:pPr>
    <w:rPr>
      <w:sz w:val="21"/>
      <w:szCs w:val="21"/>
      <w:lang w:val="en-US" w:eastAsia="zh-CN" w:bidi="ar-SA"/>
    </w:rPr>
  </w:style>
  <w:style w:type="paragraph" w:styleId="1215">
    <w:name w:val="标题 1"/>
    <w:basedOn w:val="1214"/>
    <w:next w:val="1214"/>
    <w:link w:val="1226"/>
    <w:qFormat/>
    <w:pPr>
      <w:jc w:val="center"/>
      <w:keepNext/>
      <w:outlineLvl w:val="0"/>
    </w:pPr>
    <w:rPr>
      <w:rFonts w:ascii="楷体_GB2312" w:eastAsia="楷体_GB2312"/>
      <w:sz w:val="28"/>
      <w:szCs w:val="28"/>
    </w:rPr>
  </w:style>
  <w:style w:type="paragraph" w:styleId="1216">
    <w:name w:val="标题 2"/>
    <w:basedOn w:val="1214"/>
    <w:next w:val="1214"/>
    <w:link w:val="1227"/>
    <w:qFormat/>
    <w:pPr>
      <w:jc w:val="center"/>
      <w:keepLines/>
      <w:keepNext/>
      <w:spacing w:before="260" w:after="260" w:line="416" w:lineRule="auto"/>
      <w:outlineLvl w:val="1"/>
    </w:pPr>
    <w:rPr>
      <w:rFonts w:ascii="Arial" w:hAnsi="Arial" w:eastAsia="幼圆"/>
      <w:b/>
      <w:bCs/>
      <w:sz w:val="44"/>
      <w:szCs w:val="44"/>
    </w:rPr>
  </w:style>
  <w:style w:type="paragraph" w:styleId="1217">
    <w:name w:val="标题 3"/>
    <w:basedOn w:val="1214"/>
    <w:next w:val="1229"/>
    <w:link w:val="1228"/>
    <w:qFormat/>
    <w:pPr>
      <w:keepLines/>
      <w:keepNext/>
      <w:spacing w:before="260" w:after="260" w:line="416" w:lineRule="auto"/>
      <w:outlineLvl w:val="2"/>
    </w:pPr>
    <w:rPr>
      <w:b/>
      <w:bCs/>
      <w:sz w:val="32"/>
      <w:szCs w:val="32"/>
    </w:rPr>
  </w:style>
  <w:style w:type="paragraph" w:styleId="1218">
    <w:name w:val="标题 4"/>
    <w:basedOn w:val="1214"/>
    <w:next w:val="1214"/>
    <w:link w:val="1231"/>
    <w:qFormat/>
    <w:pPr>
      <w:keepLines/>
      <w:keepNext/>
      <w:spacing w:before="280" w:after="290" w:line="376" w:lineRule="auto"/>
      <w:outlineLvl w:val="3"/>
    </w:pPr>
    <w:rPr>
      <w:rFonts w:ascii="Arial" w:hAnsi="Arial" w:eastAsia="黑体"/>
      <w:b/>
      <w:bCs/>
      <w:sz w:val="28"/>
      <w:szCs w:val="28"/>
    </w:rPr>
  </w:style>
  <w:style w:type="paragraph" w:styleId="1219">
    <w:name w:val="标题 5"/>
    <w:basedOn w:val="1214"/>
    <w:next w:val="1229"/>
    <w:link w:val="1232"/>
    <w:qFormat/>
    <w:pPr>
      <w:keepNext/>
      <w:outlineLvl w:val="4"/>
    </w:pPr>
    <w:rPr>
      <w:rFonts w:ascii="宋体"/>
      <w:color w:val="000000"/>
      <w:sz w:val="28"/>
      <w:szCs w:val="28"/>
    </w:rPr>
  </w:style>
  <w:style w:type="paragraph" w:styleId="1220">
    <w:name w:val="标题 6"/>
    <w:basedOn w:val="1214"/>
    <w:next w:val="1214"/>
    <w:link w:val="1233"/>
    <w:qFormat/>
    <w:pPr>
      <w:numPr>
        <w:ilvl w:val="5"/>
        <w:numId w:val="1"/>
      </w:numPr>
      <w:keepLines/>
      <w:keepNext/>
      <w:spacing w:before="240" w:after="64" w:line="320" w:lineRule="auto"/>
      <w:outlineLvl w:val="5"/>
    </w:pPr>
    <w:rPr>
      <w:rFonts w:ascii="Arial" w:hAnsi="Arial" w:eastAsia="黑体"/>
      <w:b/>
      <w:bCs/>
      <w:sz w:val="24"/>
      <w:szCs w:val="24"/>
    </w:rPr>
  </w:style>
  <w:style w:type="paragraph" w:styleId="1221">
    <w:name w:val="标题 7"/>
    <w:basedOn w:val="1214"/>
    <w:next w:val="1214"/>
    <w:link w:val="1234"/>
    <w:qFormat/>
    <w:pPr>
      <w:numPr>
        <w:ilvl w:val="6"/>
        <w:numId w:val="1"/>
      </w:numPr>
      <w:keepLines/>
      <w:keepNext/>
      <w:spacing w:before="240" w:after="64" w:line="320" w:lineRule="auto"/>
      <w:outlineLvl w:val="6"/>
    </w:pPr>
    <w:rPr>
      <w:b/>
      <w:bCs/>
      <w:sz w:val="24"/>
      <w:szCs w:val="24"/>
    </w:rPr>
  </w:style>
  <w:style w:type="paragraph" w:styleId="1222">
    <w:name w:val="标题 8"/>
    <w:basedOn w:val="1214"/>
    <w:next w:val="1214"/>
    <w:link w:val="1235"/>
    <w:qFormat/>
    <w:pPr>
      <w:numPr>
        <w:ilvl w:val="7"/>
        <w:numId w:val="1"/>
      </w:numPr>
      <w:keepLines/>
      <w:keepNext/>
      <w:spacing w:before="240" w:after="64" w:line="320" w:lineRule="auto"/>
      <w:outlineLvl w:val="7"/>
    </w:pPr>
    <w:rPr>
      <w:rFonts w:ascii="Arial" w:hAnsi="Arial" w:eastAsia="黑体"/>
      <w:sz w:val="24"/>
      <w:szCs w:val="24"/>
    </w:rPr>
  </w:style>
  <w:style w:type="paragraph" w:styleId="1223">
    <w:name w:val="标题 9"/>
    <w:basedOn w:val="1214"/>
    <w:next w:val="1214"/>
    <w:link w:val="1236"/>
    <w:qFormat/>
    <w:pPr>
      <w:numPr>
        <w:ilvl w:val="8"/>
        <w:numId w:val="1"/>
      </w:numPr>
      <w:keepLines/>
      <w:keepNext/>
      <w:spacing w:before="240" w:after="64" w:line="320" w:lineRule="auto"/>
      <w:outlineLvl w:val="8"/>
    </w:pPr>
    <w:rPr>
      <w:rFonts w:ascii="Arial" w:hAnsi="Arial" w:eastAsia="黑体"/>
      <w:sz w:val="20"/>
    </w:rPr>
  </w:style>
  <w:style w:type="character" w:styleId="1224">
    <w:name w:val="默认段落字体"/>
    <w:next w:val="1224"/>
    <w:link w:val="1214"/>
    <w:uiPriority w:val="1"/>
    <w:unhideWhenUsed/>
  </w:style>
  <w:style w:type="table" w:styleId="1225">
    <w:name w:val="普通表格"/>
    <w:next w:val="1225"/>
    <w:link w:val="1214"/>
    <w:uiPriority w:val="99"/>
    <w:unhideWhenUsed/>
    <w:tblPr/>
  </w:style>
  <w:style w:type="character" w:styleId="1226">
    <w:name w:val="标题 1 字符"/>
    <w:next w:val="1226"/>
    <w:link w:val="1215"/>
    <w:rPr>
      <w:rFonts w:ascii="楷体_GB2312" w:hAnsi="Times New Roman" w:eastAsia="楷体_GB2312" w:cs="Times New Roman"/>
      <w:sz w:val="28"/>
      <w:szCs w:val="28"/>
    </w:rPr>
  </w:style>
  <w:style w:type="character" w:styleId="1227">
    <w:name w:val="标题 2 字符"/>
    <w:next w:val="1227"/>
    <w:link w:val="1216"/>
    <w:rPr>
      <w:rFonts w:ascii="Arial" w:hAnsi="Arial" w:eastAsia="幼圆" w:cs="Arial"/>
      <w:b/>
      <w:bCs/>
      <w:sz w:val="44"/>
      <w:szCs w:val="44"/>
    </w:rPr>
  </w:style>
  <w:style w:type="character" w:styleId="1228">
    <w:name w:val="标题 3 字符"/>
    <w:next w:val="1228"/>
    <w:link w:val="1217"/>
    <w:rPr>
      <w:rFonts w:ascii="Times New Roman" w:hAnsi="Times New Roman" w:eastAsia="宋体" w:cs="Times New Roman"/>
      <w:b/>
      <w:bCs/>
      <w:sz w:val="32"/>
      <w:szCs w:val="32"/>
    </w:rPr>
  </w:style>
  <w:style w:type="paragraph" w:styleId="1229">
    <w:name w:val="正文缩进"/>
    <w:basedOn w:val="1214"/>
    <w:next w:val="1229"/>
    <w:link w:val="1230"/>
    <w:pPr>
      <w:ind w:firstLine="420"/>
    </w:pPr>
    <w:rPr>
      <w:sz w:val="20"/>
    </w:rPr>
  </w:style>
  <w:style w:type="character" w:styleId="1230">
    <w:name w:val="正文缩进 字符"/>
    <w:next w:val="1230"/>
    <w:link w:val="1229"/>
    <w:rPr>
      <w:rFonts w:ascii="Times New Roman" w:hAnsi="Times New Roman" w:eastAsia="宋体" w:cs="Times New Roman"/>
      <w:szCs w:val="21"/>
    </w:rPr>
  </w:style>
  <w:style w:type="character" w:styleId="1231">
    <w:name w:val="标题 4 字符"/>
    <w:next w:val="1231"/>
    <w:link w:val="1218"/>
    <w:rPr>
      <w:rFonts w:ascii="Arial" w:hAnsi="Arial" w:eastAsia="黑体" w:cs="Arial"/>
      <w:b/>
      <w:bCs/>
      <w:sz w:val="28"/>
      <w:szCs w:val="28"/>
    </w:rPr>
  </w:style>
  <w:style w:type="character" w:styleId="1232">
    <w:name w:val="标题 5 字符"/>
    <w:next w:val="1232"/>
    <w:link w:val="1219"/>
    <w:rPr>
      <w:rFonts w:ascii="宋体" w:hAnsi="Times New Roman" w:eastAsia="宋体" w:cs="Times New Roman"/>
      <w:color w:val="000000"/>
      <w:sz w:val="28"/>
      <w:szCs w:val="28"/>
    </w:rPr>
  </w:style>
  <w:style w:type="character" w:styleId="1233">
    <w:name w:val="标题 6 字符"/>
    <w:next w:val="1233"/>
    <w:link w:val="1220"/>
    <w:rPr>
      <w:rFonts w:ascii="Arial" w:hAnsi="Arial" w:eastAsia="黑体" w:cs="Times New Roman"/>
      <w:b/>
      <w:bCs/>
      <w:sz w:val="24"/>
      <w:szCs w:val="24"/>
    </w:rPr>
  </w:style>
  <w:style w:type="character" w:styleId="1234">
    <w:name w:val="标题 7 字符"/>
    <w:next w:val="1234"/>
    <w:link w:val="1221"/>
    <w:rPr>
      <w:rFonts w:ascii="Times New Roman" w:hAnsi="Times New Roman" w:eastAsia="宋体" w:cs="Times New Roman"/>
      <w:b/>
      <w:bCs/>
      <w:sz w:val="24"/>
      <w:szCs w:val="24"/>
    </w:rPr>
  </w:style>
  <w:style w:type="character" w:styleId="1235">
    <w:name w:val="标题 8 字符"/>
    <w:next w:val="1235"/>
    <w:link w:val="1222"/>
    <w:rPr>
      <w:rFonts w:ascii="Arial" w:hAnsi="Arial" w:eastAsia="黑体" w:cs="Times New Roman"/>
      <w:sz w:val="24"/>
      <w:szCs w:val="24"/>
    </w:rPr>
  </w:style>
  <w:style w:type="character" w:styleId="1236">
    <w:name w:val="标题 9 字符"/>
    <w:next w:val="1236"/>
    <w:link w:val="1223"/>
    <w:rPr>
      <w:rFonts w:ascii="Arial" w:hAnsi="Arial" w:eastAsia="黑体" w:cs="Times New Roman"/>
      <w:szCs w:val="21"/>
    </w:rPr>
  </w:style>
  <w:style w:type="paragraph" w:styleId="1237">
    <w:name w:val="列表 3"/>
    <w:basedOn w:val="1214"/>
    <w:next w:val="1237"/>
    <w:link w:val="1214"/>
    <w:pPr>
      <w:ind w:left="100" w:hanging="200"/>
    </w:pPr>
  </w:style>
  <w:style w:type="paragraph" w:styleId="1238">
    <w:name w:val="目录 7"/>
    <w:basedOn w:val="1214"/>
    <w:next w:val="1214"/>
    <w:link w:val="1214"/>
    <w:semiHidden/>
    <w:pPr>
      <w:ind w:left="1260"/>
      <w:jc w:val="left"/>
    </w:pPr>
  </w:style>
  <w:style w:type="paragraph" w:styleId="1239">
    <w:name w:val="文档结构图"/>
    <w:basedOn w:val="1214"/>
    <w:next w:val="1239"/>
    <w:link w:val="1240"/>
    <w:semiHidden/>
    <w:pPr>
      <w:shd w:val="clear" w:color="auto" w:fill="000080"/>
    </w:pPr>
    <w:rPr>
      <w:sz w:val="20"/>
    </w:rPr>
  </w:style>
  <w:style w:type="character" w:styleId="1240">
    <w:name w:val="文档结构图 字符"/>
    <w:next w:val="1240"/>
    <w:link w:val="1239"/>
    <w:semiHidden/>
    <w:rPr>
      <w:rFonts w:ascii="Times New Roman" w:hAnsi="Times New Roman" w:eastAsia="宋体" w:cs="Times New Roman"/>
      <w:szCs w:val="21"/>
      <w:shd w:val="clear" w:color="auto" w:fill="000080"/>
    </w:rPr>
  </w:style>
  <w:style w:type="paragraph" w:styleId="1241">
    <w:name w:val="批注文字"/>
    <w:basedOn w:val="1214"/>
    <w:next w:val="1241"/>
    <w:link w:val="1242"/>
    <w:semiHidden/>
    <w:pPr>
      <w:jc w:val="left"/>
    </w:pPr>
    <w:rPr>
      <w:sz w:val="20"/>
    </w:rPr>
  </w:style>
  <w:style w:type="character" w:styleId="1242">
    <w:name w:val="批注文字 字符"/>
    <w:next w:val="1242"/>
    <w:link w:val="1241"/>
    <w:semiHidden/>
    <w:rPr>
      <w:rFonts w:ascii="Times New Roman" w:hAnsi="Times New Roman" w:eastAsia="宋体" w:cs="Times New Roman"/>
      <w:szCs w:val="21"/>
    </w:rPr>
  </w:style>
  <w:style w:type="paragraph" w:styleId="1243">
    <w:name w:val="正文文本 3"/>
    <w:basedOn w:val="1214"/>
    <w:next w:val="1243"/>
    <w:link w:val="1244"/>
    <w:rPr>
      <w:rFonts w:ascii="仿宋_GB2312" w:hAnsi="Arial" w:eastAsia="仿宋_GB2312"/>
      <w:sz w:val="32"/>
      <w:szCs w:val="32"/>
    </w:rPr>
  </w:style>
  <w:style w:type="character" w:styleId="1244">
    <w:name w:val="正文文本 3 字符"/>
    <w:next w:val="1244"/>
    <w:link w:val="1243"/>
    <w:rPr>
      <w:rFonts w:ascii="仿宋_GB2312" w:hAnsi="Arial" w:eastAsia="仿宋_GB2312" w:cs="Times New Roman"/>
      <w:sz w:val="32"/>
      <w:szCs w:val="32"/>
    </w:rPr>
  </w:style>
  <w:style w:type="paragraph" w:styleId="1245">
    <w:name w:val="正文文本"/>
    <w:basedOn w:val="1214"/>
    <w:next w:val="1245"/>
    <w:link w:val="1246"/>
    <w:rPr>
      <w:rFonts w:ascii="楷体_GB2312" w:hAnsi="Arial" w:eastAsia="楷体_GB2312"/>
      <w:sz w:val="28"/>
      <w:szCs w:val="28"/>
    </w:rPr>
  </w:style>
  <w:style w:type="character" w:styleId="1246">
    <w:name w:val="正文文本 字符"/>
    <w:next w:val="1246"/>
    <w:link w:val="1245"/>
    <w:rPr>
      <w:rFonts w:ascii="楷体_GB2312" w:hAnsi="Arial" w:eastAsia="楷体_GB2312" w:cs="Times New Roman"/>
      <w:sz w:val="28"/>
      <w:szCs w:val="28"/>
    </w:rPr>
  </w:style>
  <w:style w:type="paragraph" w:styleId="1247">
    <w:name w:val="正文文本缩进"/>
    <w:basedOn w:val="1214"/>
    <w:next w:val="1214"/>
    <w:link w:val="1248"/>
    <w:pPr>
      <w:ind w:firstLine="645"/>
    </w:pPr>
    <w:rPr>
      <w:rFonts w:ascii="楷体_GB2312" w:eastAsia="楷体_GB2312"/>
      <w:sz w:val="32"/>
      <w:szCs w:val="32"/>
    </w:rPr>
  </w:style>
  <w:style w:type="character" w:styleId="1248">
    <w:name w:val="正文文本缩进 字符"/>
    <w:next w:val="1248"/>
    <w:link w:val="1247"/>
    <w:rPr>
      <w:rFonts w:ascii="楷体_GB2312" w:hAnsi="Times New Roman" w:eastAsia="楷体_GB2312" w:cs="Times New Roman"/>
      <w:sz w:val="32"/>
      <w:szCs w:val="32"/>
    </w:rPr>
  </w:style>
  <w:style w:type="paragraph" w:styleId="1249">
    <w:name w:val="列表 2"/>
    <w:basedOn w:val="1214"/>
    <w:next w:val="1249"/>
    <w:link w:val="1214"/>
    <w:pPr>
      <w:ind w:left="100" w:hanging="200"/>
    </w:pPr>
  </w:style>
  <w:style w:type="paragraph" w:styleId="1250">
    <w:name w:val="目录 5"/>
    <w:basedOn w:val="1214"/>
    <w:next w:val="1214"/>
    <w:link w:val="1214"/>
    <w:semiHidden/>
    <w:pPr>
      <w:ind w:left="840"/>
      <w:jc w:val="left"/>
    </w:pPr>
  </w:style>
  <w:style w:type="paragraph" w:styleId="1251">
    <w:name w:val="目录 3"/>
    <w:basedOn w:val="1214"/>
    <w:next w:val="1214"/>
    <w:link w:val="1214"/>
    <w:semiHidden/>
    <w:pPr>
      <w:ind w:left="420"/>
      <w:jc w:val="left"/>
    </w:pPr>
    <w:rPr>
      <w:i/>
      <w:iCs/>
      <w:szCs w:val="24"/>
    </w:rPr>
  </w:style>
  <w:style w:type="paragraph" w:styleId="1252">
    <w:name w:val="纯文本"/>
    <w:basedOn w:val="1214"/>
    <w:next w:val="1252"/>
    <w:link w:val="1253"/>
    <w:rPr>
      <w:rFonts w:ascii="宋体" w:hAnsi="Courier New"/>
      <w:sz w:val="20"/>
    </w:rPr>
  </w:style>
  <w:style w:type="character" w:styleId="1253">
    <w:name w:val="纯文本 字符"/>
    <w:next w:val="1253"/>
    <w:link w:val="1252"/>
    <w:rPr>
      <w:rFonts w:ascii="宋体" w:hAnsi="Courier New" w:eastAsia="宋体" w:cs="Courier New"/>
      <w:szCs w:val="21"/>
    </w:rPr>
  </w:style>
  <w:style w:type="paragraph" w:styleId="1254">
    <w:name w:val="目录 8"/>
    <w:basedOn w:val="1214"/>
    <w:next w:val="1214"/>
    <w:link w:val="1214"/>
    <w:semiHidden/>
    <w:pPr>
      <w:ind w:left="1470"/>
      <w:jc w:val="left"/>
    </w:pPr>
  </w:style>
  <w:style w:type="paragraph" w:styleId="1255">
    <w:name w:val="日期"/>
    <w:basedOn w:val="1214"/>
    <w:next w:val="1214"/>
    <w:link w:val="1256"/>
    <w:rPr>
      <w:sz w:val="24"/>
      <w:szCs w:val="24"/>
    </w:rPr>
  </w:style>
  <w:style w:type="character" w:styleId="1256">
    <w:name w:val="日期 字符"/>
    <w:next w:val="1256"/>
    <w:link w:val="1255"/>
    <w:rPr>
      <w:rFonts w:ascii="Times New Roman" w:hAnsi="Times New Roman" w:eastAsia="宋体" w:cs="Times New Roman"/>
      <w:sz w:val="24"/>
      <w:szCs w:val="24"/>
    </w:rPr>
  </w:style>
  <w:style w:type="paragraph" w:styleId="1257">
    <w:name w:val="正文文本缩进 2"/>
    <w:basedOn w:val="1214"/>
    <w:next w:val="1257"/>
    <w:link w:val="1258"/>
    <w:pPr>
      <w:ind w:left="630" w:firstLine="645"/>
    </w:pPr>
    <w:rPr>
      <w:rFonts w:ascii="Arial" w:hAnsi="Arial" w:eastAsia="仿宋_GB2312"/>
      <w:sz w:val="32"/>
      <w:szCs w:val="32"/>
    </w:rPr>
  </w:style>
  <w:style w:type="character" w:styleId="1258">
    <w:name w:val="正文文本缩进 2 字符"/>
    <w:next w:val="1258"/>
    <w:link w:val="1257"/>
    <w:rPr>
      <w:rFonts w:ascii="Arial" w:hAnsi="Arial" w:eastAsia="仿宋_GB2312" w:cs="Arial"/>
      <w:sz w:val="32"/>
      <w:szCs w:val="32"/>
    </w:rPr>
  </w:style>
  <w:style w:type="paragraph" w:styleId="1259">
    <w:name w:val="批注框文本"/>
    <w:basedOn w:val="1214"/>
    <w:next w:val="1259"/>
    <w:link w:val="1260"/>
    <w:semiHidden/>
    <w:rPr>
      <w:sz w:val="18"/>
      <w:szCs w:val="18"/>
    </w:rPr>
  </w:style>
  <w:style w:type="character" w:styleId="1260">
    <w:name w:val="批注框文本 字符"/>
    <w:next w:val="1260"/>
    <w:link w:val="1259"/>
    <w:semiHidden/>
    <w:rPr>
      <w:rFonts w:ascii="Times New Roman" w:hAnsi="Times New Roman" w:eastAsia="宋体" w:cs="Times New Roman"/>
      <w:sz w:val="18"/>
      <w:szCs w:val="18"/>
    </w:rPr>
  </w:style>
  <w:style w:type="paragraph" w:styleId="1261">
    <w:name w:val="页脚"/>
    <w:basedOn w:val="1214"/>
    <w:next w:val="1261"/>
    <w:link w:val="1262"/>
    <w:pPr>
      <w:jc w:val="left"/>
      <w:tabs>
        <w:tab w:val="center" w:pos="4153" w:leader="none"/>
        <w:tab w:val="right" w:pos="8306" w:leader="none"/>
      </w:tabs>
    </w:pPr>
    <w:rPr>
      <w:sz w:val="18"/>
      <w:szCs w:val="18"/>
    </w:rPr>
  </w:style>
  <w:style w:type="character" w:styleId="1262">
    <w:name w:val="页脚 字符"/>
    <w:next w:val="1262"/>
    <w:link w:val="1261"/>
    <w:rPr>
      <w:rFonts w:ascii="Times New Roman" w:hAnsi="Times New Roman" w:eastAsia="宋体" w:cs="Times New Roman"/>
      <w:sz w:val="18"/>
      <w:szCs w:val="18"/>
    </w:rPr>
  </w:style>
  <w:style w:type="paragraph" w:styleId="1263">
    <w:name w:val="寄信人地址"/>
    <w:basedOn w:val="1214"/>
    <w:next w:val="1263"/>
    <w:link w:val="1214"/>
    <w:uiPriority w:val="99"/>
    <w:unhideWhenUsed/>
    <w:qFormat/>
    <w:rPr>
      <w:rFonts w:ascii="Arial" w:hAnsi="Arial" w:eastAsia="宋体" w:cs="Times New Roman"/>
      <w:szCs w:val="24"/>
    </w:rPr>
  </w:style>
  <w:style w:type="paragraph" w:styleId="1264">
    <w:name w:val="页眉"/>
    <w:basedOn w:val="1214"/>
    <w:next w:val="1264"/>
    <w:link w:val="1265"/>
    <w:pPr>
      <w:jc w:val="center"/>
      <w:tabs>
        <w:tab w:val="center" w:pos="4153" w:leader="none"/>
        <w:tab w:val="right" w:pos="8306" w:leader="none"/>
      </w:tabs>
      <w:pBdr>
        <w:bottom w:val="single" w:color="000000" w:sz="6" w:space="1"/>
      </w:pBdr>
    </w:pPr>
    <w:rPr>
      <w:sz w:val="18"/>
      <w:szCs w:val="18"/>
    </w:rPr>
  </w:style>
  <w:style w:type="character" w:styleId="1265">
    <w:name w:val="页眉 字符"/>
    <w:next w:val="1265"/>
    <w:link w:val="1264"/>
    <w:rPr>
      <w:rFonts w:ascii="Times New Roman" w:hAnsi="Times New Roman" w:eastAsia="宋体" w:cs="Times New Roman"/>
      <w:sz w:val="18"/>
      <w:szCs w:val="18"/>
    </w:rPr>
  </w:style>
  <w:style w:type="paragraph" w:styleId="1266">
    <w:name w:val="目录 1"/>
    <w:basedOn w:val="1214"/>
    <w:next w:val="1214"/>
    <w:link w:val="1214"/>
    <w:semiHidden/>
    <w:pPr>
      <w:jc w:val="left"/>
      <w:spacing w:before="120" w:after="120" w:line="400" w:lineRule="exact"/>
      <w:tabs>
        <w:tab w:val="right" w:pos="8720" w:leader="dot"/>
      </w:tabs>
    </w:pPr>
    <w:rPr>
      <w:rFonts w:ascii="宋体" w:hAnsi="宋体"/>
      <w:caps/>
      <w:sz w:val="24"/>
      <w:szCs w:val="24"/>
    </w:rPr>
  </w:style>
  <w:style w:type="paragraph" w:styleId="1267">
    <w:name w:val="目录 4"/>
    <w:basedOn w:val="1214"/>
    <w:next w:val="1214"/>
    <w:link w:val="1214"/>
    <w:semiHidden/>
    <w:pPr>
      <w:ind w:left="630"/>
      <w:jc w:val="left"/>
    </w:pPr>
  </w:style>
  <w:style w:type="paragraph" w:styleId="1268">
    <w:name w:val="列表"/>
    <w:basedOn w:val="1214"/>
    <w:next w:val="1268"/>
    <w:link w:val="1214"/>
    <w:pPr>
      <w:ind w:left="200" w:hanging="200"/>
    </w:pPr>
  </w:style>
  <w:style w:type="paragraph" w:styleId="1269">
    <w:name w:val="目录 6"/>
    <w:basedOn w:val="1214"/>
    <w:next w:val="1214"/>
    <w:link w:val="1214"/>
    <w:semiHidden/>
    <w:pPr>
      <w:ind w:left="1050"/>
      <w:jc w:val="left"/>
    </w:pPr>
  </w:style>
  <w:style w:type="paragraph" w:styleId="1270">
    <w:name w:val="正文文本缩进 3"/>
    <w:basedOn w:val="1214"/>
    <w:next w:val="1270"/>
    <w:link w:val="1271"/>
    <w:pPr>
      <w:ind w:left="645" w:firstLine="645"/>
    </w:pPr>
    <w:rPr>
      <w:rFonts w:ascii="Arial" w:hAnsi="Arial" w:eastAsia="仿宋_GB2312"/>
      <w:color w:val="ffff00"/>
      <w:sz w:val="32"/>
      <w:szCs w:val="32"/>
    </w:rPr>
  </w:style>
  <w:style w:type="character" w:styleId="1271">
    <w:name w:val="正文文本缩进 3 字符"/>
    <w:next w:val="1271"/>
    <w:link w:val="1270"/>
    <w:rPr>
      <w:rFonts w:ascii="Arial" w:hAnsi="Arial" w:eastAsia="仿宋_GB2312" w:cs="Arial"/>
      <w:color w:val="ffff00"/>
      <w:sz w:val="32"/>
      <w:szCs w:val="32"/>
    </w:rPr>
  </w:style>
  <w:style w:type="paragraph" w:styleId="1272">
    <w:name w:val="图表目录"/>
    <w:basedOn w:val="1214"/>
    <w:next w:val="1214"/>
    <w:link w:val="1214"/>
    <w:semiHidden/>
    <w:pPr>
      <w:ind w:left="840" w:hanging="420"/>
    </w:pPr>
  </w:style>
  <w:style w:type="paragraph" w:styleId="1273">
    <w:name w:val="目录 2"/>
    <w:basedOn w:val="1214"/>
    <w:next w:val="1214"/>
    <w:link w:val="1214"/>
    <w:semiHidden/>
    <w:pPr>
      <w:ind w:left="210"/>
      <w:jc w:val="left"/>
    </w:pPr>
    <w:rPr>
      <w:smallCaps/>
      <w:szCs w:val="24"/>
    </w:rPr>
  </w:style>
  <w:style w:type="paragraph" w:styleId="1274">
    <w:name w:val="目录 9"/>
    <w:basedOn w:val="1214"/>
    <w:next w:val="1214"/>
    <w:link w:val="1214"/>
    <w:semiHidden/>
    <w:pPr>
      <w:ind w:left="1680"/>
      <w:jc w:val="left"/>
    </w:pPr>
  </w:style>
  <w:style w:type="paragraph" w:styleId="1275">
    <w:name w:val="正文文本 2"/>
    <w:basedOn w:val="1214"/>
    <w:next w:val="1275"/>
    <w:link w:val="1276"/>
    <w:pPr>
      <w:jc w:val="center"/>
      <w:widowControl/>
    </w:pPr>
    <w:rPr>
      <w:rFonts w:ascii="楷体_GB2312" w:eastAsia="楷体_GB2312"/>
      <w:sz w:val="28"/>
      <w:szCs w:val="28"/>
    </w:rPr>
  </w:style>
  <w:style w:type="character" w:styleId="1276">
    <w:name w:val="正文文本 2 字符"/>
    <w:next w:val="1276"/>
    <w:link w:val="1275"/>
    <w:rPr>
      <w:rFonts w:ascii="楷体_GB2312" w:hAnsi="Times New Roman" w:eastAsia="楷体_GB2312" w:cs="Times New Roman"/>
      <w:sz w:val="28"/>
      <w:szCs w:val="28"/>
    </w:rPr>
  </w:style>
  <w:style w:type="paragraph" w:styleId="1277">
    <w:name w:val="普通(网站)"/>
    <w:basedOn w:val="1214"/>
    <w:next w:val="1277"/>
    <w:link w:val="1214"/>
    <w:uiPriority w:val="99"/>
    <w:pPr>
      <w:jc w:val="left"/>
      <w:spacing w:before="100" w:beforeAutospacing="1" w:after="100" w:afterAutospacing="1"/>
      <w:widowControl/>
    </w:pPr>
    <w:rPr>
      <w:rFonts w:ascii="宋体" w:hAnsi="宋体" w:cs="宋体"/>
      <w:sz w:val="24"/>
      <w:szCs w:val="24"/>
    </w:rPr>
  </w:style>
  <w:style w:type="paragraph" w:styleId="1278">
    <w:name w:val="索引 1"/>
    <w:basedOn w:val="1214"/>
    <w:next w:val="1214"/>
    <w:link w:val="1214"/>
    <w:semiHidden/>
    <w:pPr>
      <w:spacing w:line="240" w:lineRule="atLeast"/>
    </w:pPr>
    <w:rPr>
      <w:b/>
      <w:bCs/>
    </w:rPr>
  </w:style>
  <w:style w:type="paragraph" w:styleId="1279">
    <w:name w:val="批注主题"/>
    <w:basedOn w:val="1241"/>
    <w:next w:val="1241"/>
    <w:link w:val="1280"/>
    <w:semiHidden/>
    <w:rPr>
      <w:b/>
      <w:bCs/>
      <w:sz w:val="20"/>
    </w:rPr>
  </w:style>
  <w:style w:type="character" w:styleId="1280">
    <w:name w:val="批注主题 字符"/>
    <w:next w:val="1280"/>
    <w:link w:val="1279"/>
    <w:semiHidden/>
    <w:rPr>
      <w:rFonts w:ascii="Times New Roman" w:hAnsi="Times New Roman" w:eastAsia="宋体" w:cs="Times New Roman"/>
      <w:b/>
      <w:bCs/>
      <w:szCs w:val="21"/>
    </w:rPr>
  </w:style>
  <w:style w:type="paragraph" w:styleId="1281">
    <w:name w:val="正文首行缩进"/>
    <w:basedOn w:val="1245"/>
    <w:next w:val="1214"/>
    <w:link w:val="1282"/>
    <w:pPr>
      <w:ind w:firstLine="200"/>
      <w:spacing w:line="360" w:lineRule="auto"/>
    </w:pPr>
    <w:rPr>
      <w:rFonts w:ascii="仿宋_GB2312" w:hAnsi="Times New Roman" w:eastAsia="仿宋_GB2312"/>
      <w:sz w:val="30"/>
      <w:szCs w:val="30"/>
    </w:rPr>
  </w:style>
  <w:style w:type="character" w:styleId="1282">
    <w:name w:val="正文文本首行缩进 字符"/>
    <w:next w:val="1282"/>
    <w:link w:val="1281"/>
    <w:rPr>
      <w:rFonts w:ascii="仿宋_GB2312" w:hAnsi="Times New Roman" w:eastAsia="仿宋_GB2312" w:cs="Times New Roman"/>
      <w:sz w:val="30"/>
      <w:szCs w:val="30"/>
    </w:rPr>
  </w:style>
  <w:style w:type="paragraph" w:styleId="1283">
    <w:name w:val="正文首行缩进 2"/>
    <w:basedOn w:val="1247"/>
    <w:next w:val="1283"/>
    <w:link w:val="1284"/>
    <w:pPr>
      <w:ind w:firstLine="420"/>
      <w:spacing w:line="360" w:lineRule="auto"/>
    </w:pPr>
    <w:rPr>
      <w:rFonts w:ascii="宋体" w:hAnsi="宋体" w:eastAsia="宋体"/>
      <w:szCs w:val="20"/>
    </w:rPr>
  </w:style>
  <w:style w:type="character" w:styleId="1284">
    <w:name w:val="正文文本首行缩进 2 字符"/>
    <w:next w:val="1284"/>
    <w:link w:val="1283"/>
    <w:rPr>
      <w:rFonts w:ascii="宋体" w:hAnsi="宋体" w:eastAsia="宋体" w:cs="Times New Roman"/>
      <w:sz w:val="32"/>
      <w:szCs w:val="20"/>
    </w:rPr>
  </w:style>
  <w:style w:type="table" w:styleId="1285">
    <w:name w:val="网格型"/>
    <w:basedOn w:val="1225"/>
    <w:next w:val="1285"/>
    <w:link w:val="1214"/>
    <w:pPr>
      <w:jc w:val="both"/>
      <w:widowControl w:val="off"/>
    </w:pPr>
    <w:rPr>
      <w:rFonts w:ascii="Times New Roman" w:hAnsi="Times New Roman" w:eastAsia="宋体" w:cs="Times New Roman"/>
      <w:sz w:val="20"/>
      <w:szCs w:val="20"/>
    </w:rPr>
    <w:tblPr/>
  </w:style>
  <w:style w:type="character" w:styleId="1286">
    <w:name w:val="要点"/>
    <w:next w:val="1286"/>
    <w:link w:val="1214"/>
    <w:qFormat/>
    <w:rPr>
      <w:b/>
      <w:bCs/>
    </w:rPr>
  </w:style>
  <w:style w:type="character" w:styleId="1287">
    <w:name w:val="页码"/>
    <w:next w:val="1287"/>
    <w:link w:val="1214"/>
  </w:style>
  <w:style w:type="character" w:styleId="1288">
    <w:name w:val="已访问的超链接"/>
    <w:next w:val="1288"/>
    <w:link w:val="1214"/>
    <w:rPr>
      <w:color w:val="800080"/>
      <w:u w:val="single"/>
    </w:rPr>
  </w:style>
  <w:style w:type="character" w:styleId="1289">
    <w:name w:val="超链接"/>
    <w:next w:val="1289"/>
    <w:link w:val="1214"/>
    <w:rPr>
      <w:color w:val="0000ff"/>
      <w:u w:val="single"/>
    </w:rPr>
  </w:style>
  <w:style w:type="character" w:styleId="1290">
    <w:name w:val="批注引用"/>
    <w:next w:val="1290"/>
    <w:link w:val="1214"/>
    <w:semiHidden/>
    <w:rPr>
      <w:sz w:val="21"/>
      <w:szCs w:val="21"/>
    </w:rPr>
  </w:style>
  <w:style w:type="paragraph" w:styleId="1291">
    <w:name w:val="正文文本1"/>
    <w:basedOn w:val="1214"/>
    <w:next w:val="1214"/>
    <w:link w:val="1214"/>
    <w:qFormat/>
    <w:rPr>
      <w:rFonts w:ascii="楷体_GB2312" w:hAnsi="Arial" w:eastAsia="楷体_GB2312"/>
      <w:sz w:val="28"/>
      <w:szCs w:val="28"/>
    </w:rPr>
  </w:style>
  <w:style w:type="paragraph" w:styleId="1292">
    <w:name w:val="footer1"/>
    <w:basedOn w:val="1293"/>
    <w:next w:val="1292"/>
    <w:link w:val="1214"/>
    <w:qFormat/>
    <w:pPr>
      <w:jc w:val="left"/>
      <w:tabs>
        <w:tab w:val="center" w:pos="4153" w:leader="none"/>
        <w:tab w:val="right" w:pos="8306" w:leader="none"/>
      </w:tabs>
    </w:pPr>
    <w:rPr>
      <w:sz w:val="18"/>
    </w:rPr>
  </w:style>
  <w:style w:type="paragraph" w:styleId="1293">
    <w:name w:val="正文111"/>
    <w:next w:val="1294"/>
    <w:link w:val="1214"/>
    <w:qFormat/>
    <w:pPr>
      <w:jc w:val="both"/>
      <w:widowControl w:val="off"/>
    </w:pPr>
    <w:rPr>
      <w:sz w:val="21"/>
      <w:szCs w:val="22"/>
      <w:lang w:val="en-US" w:eastAsia="zh-CN" w:bidi="ar-SA"/>
    </w:rPr>
  </w:style>
  <w:style w:type="paragraph" w:styleId="1294">
    <w:name w:val="标题 41"/>
    <w:basedOn w:val="1295"/>
    <w:next w:val="1293"/>
    <w:link w:val="1214"/>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95">
    <w:name w:val="正文11"/>
    <w:next w:val="1292"/>
    <w:link w:val="1214"/>
    <w:qFormat/>
    <w:pPr>
      <w:jc w:val="both"/>
      <w:spacing w:line="856" w:lineRule="atLeast"/>
    </w:pPr>
    <w:rPr>
      <w:color w:val="000000"/>
      <w:sz w:val="21"/>
      <w:lang w:val="en-US" w:eastAsia="zh-CN" w:bidi="ar-SA"/>
    </w:rPr>
  </w:style>
  <w:style w:type="character" w:styleId="1296">
    <w:name w:val="列出段落 Char,Bullet List Char,numbered Char,FooterText Char,List Paragraph1 Char,Paragraphe de liste1 Char"/>
    <w:next w:val="1296"/>
    <w:link w:val="1297"/>
    <w:rPr>
      <w:rFonts w:ascii="Calibri" w:hAnsi="Calibri"/>
      <w:sz w:val="24"/>
      <w:szCs w:val="24"/>
      <w:lang w:eastAsia="en-US" w:bidi="en-US"/>
    </w:rPr>
  </w:style>
  <w:style w:type="paragraph" w:styleId="1297">
    <w:name w:val="列出段落1"/>
    <w:basedOn w:val="1214"/>
    <w:next w:val="1297"/>
    <w:link w:val="1296"/>
    <w:qFormat/>
    <w:pPr>
      <w:contextualSpacing/>
      <w:ind w:left="720"/>
      <w:jc w:val="left"/>
      <w:widowControl/>
    </w:pPr>
    <w:rPr>
      <w:rFonts w:ascii="Calibri" w:hAnsi="Calibri"/>
      <w:sz w:val="24"/>
      <w:szCs w:val="24"/>
      <w:lang w:eastAsia="en-US" w:bidi="en-US"/>
    </w:rPr>
  </w:style>
  <w:style w:type="character" w:styleId="1298">
    <w:name w:val="二级目录 Char"/>
    <w:next w:val="1298"/>
    <w:link w:val="1299"/>
    <w:rPr>
      <w:b/>
      <w:sz w:val="30"/>
      <w:szCs w:val="28"/>
      <w:lang w:val="en-US" w:eastAsia="zh-CN" w:bidi="ar-SA"/>
    </w:rPr>
  </w:style>
  <w:style w:type="paragraph" w:styleId="1299">
    <w:name w:val="二级目录"/>
    <w:next w:val="1214"/>
    <w:link w:val="1298"/>
    <w:pPr>
      <w:numPr>
        <w:ilvl w:val="0"/>
        <w:numId w:val="2"/>
      </w:numPr>
      <w:tabs>
        <w:tab w:val="left" w:pos="907" w:leader="none"/>
        <w:tab w:val="left" w:pos="1145" w:leader="none"/>
      </w:tabs>
      <w:outlineLvl w:val="1"/>
    </w:pPr>
    <w:rPr>
      <w:b/>
      <w:sz w:val="30"/>
      <w:szCs w:val="28"/>
      <w:lang w:val="en-US" w:eastAsia="zh-CN" w:bidi="ar-SA"/>
    </w:rPr>
  </w:style>
  <w:style w:type="character" w:styleId="1300">
    <w:name w:val="NormalCharacter1"/>
    <w:next w:val="1300"/>
    <w:link w:val="1214"/>
    <w:semiHidden/>
    <w:qFormat/>
    <w:rPr>
      <w:color w:val="000000"/>
      <w:sz w:val="21"/>
      <w:u w:val="none"/>
      <w:lang w:val="en-US" w:eastAsia="zh-CN" w:bidi="ar-SA"/>
    </w:rPr>
  </w:style>
  <w:style w:type="character" w:styleId="1301">
    <w:name w:val="font5 Char"/>
    <w:next w:val="1301"/>
    <w:link w:val="1214"/>
    <w:rPr>
      <w:rFonts w:ascii="宋体" w:hAnsi="宋体" w:eastAsia="宋体"/>
      <w:sz w:val="28"/>
      <w:szCs w:val="28"/>
      <w:lang w:val="en-US" w:eastAsia="zh-CN" w:bidi="ar-SA"/>
    </w:rPr>
  </w:style>
  <w:style w:type="paragraph" w:styleId="1302">
    <w:name w:val="附录1"/>
    <w:next w:val="1302"/>
    <w:link w:val="1214"/>
    <w:pPr>
      <w:numPr>
        <w:ilvl w:val="0"/>
        <w:numId w:val="2"/>
      </w:numPr>
      <w:spacing w:before="240" w:line="600" w:lineRule="atLeast"/>
      <w:tabs>
        <w:tab w:val="left" w:pos="907" w:leader="none"/>
      </w:tabs>
    </w:pPr>
    <w:rPr>
      <w:b/>
      <w:i/>
      <w:sz w:val="28"/>
      <w:lang w:val="en-US" w:eastAsia="zh-CN" w:bidi="ar-SA"/>
    </w:rPr>
  </w:style>
  <w:style w:type="paragraph" w:styleId="1303">
    <w:name w:val=" Char"/>
    <w:basedOn w:val="1239"/>
    <w:next w:val="1303"/>
    <w:link w:val="1214"/>
    <w:rPr>
      <w:rFonts w:ascii="Tahoma" w:hAnsi="Tahoma"/>
      <w:sz w:val="24"/>
      <w:szCs w:val="24"/>
    </w:rPr>
  </w:style>
  <w:style w:type="paragraph" w:styleId="1304">
    <w:name w:val="table_1stline"/>
    <w:basedOn w:val="1214"/>
    <w:next w:val="1304"/>
    <w:link w:val="1214"/>
    <w:pPr>
      <w:jc w:val="left"/>
      <w:spacing w:before="120"/>
      <w:widowControl/>
    </w:pPr>
    <w:rPr>
      <w:bCs/>
      <w:sz w:val="20"/>
      <w:szCs w:val="20"/>
      <w:lang w:val="de-DE" w:eastAsia="de-DE"/>
    </w:rPr>
  </w:style>
  <w:style w:type="paragraph" w:styleId="1305">
    <w:name w:val="Body Text(ch)"/>
    <w:basedOn w:val="1214"/>
    <w:next w:val="1245"/>
    <w:link w:val="1214"/>
    <w:pPr>
      <w:spacing w:after="120"/>
    </w:pPr>
    <w:rPr>
      <w:rFonts w:ascii="宋体" w:hAnsi="Arial"/>
      <w:bCs/>
      <w:iCs/>
      <w:szCs w:val="24"/>
    </w:rPr>
  </w:style>
  <w:style w:type="paragraph" w:styleId="1306">
    <w:name w:val="标题 2_0"/>
    <w:basedOn w:val="1307"/>
    <w:next w:val="1307"/>
    <w:link w:val="1214"/>
    <w:qFormat/>
    <w:pPr>
      <w:jc w:val="center"/>
      <w:keepLines/>
      <w:keepNext/>
      <w:spacing w:before="260" w:after="260" w:line="416" w:lineRule="auto"/>
      <w:outlineLvl w:val="1"/>
    </w:pPr>
    <w:rPr>
      <w:rFonts w:ascii="幼圆" w:hAnsi="Arial" w:eastAsia="楷体_GB2312"/>
      <w:b/>
      <w:sz w:val="44"/>
      <w:szCs w:val="20"/>
    </w:rPr>
  </w:style>
  <w:style w:type="paragraph" w:styleId="1307">
    <w:name w:val="正文_0"/>
    <w:next w:val="1306"/>
    <w:link w:val="1214"/>
    <w:qFormat/>
    <w:pPr>
      <w:jc w:val="both"/>
      <w:widowControl w:val="off"/>
    </w:pPr>
    <w:rPr>
      <w:sz w:val="21"/>
      <w:szCs w:val="24"/>
      <w:lang w:val="en-US" w:eastAsia="zh-CN" w:bidi="ar-SA"/>
    </w:rPr>
  </w:style>
  <w:style w:type="paragraph" w:styleId="1308">
    <w:name w:val="font7"/>
    <w:basedOn w:val="1214"/>
    <w:next w:val="1308"/>
    <w:link w:val="1214"/>
    <w:pPr>
      <w:jc w:val="left"/>
      <w:spacing w:before="100" w:beforeAutospacing="1" w:after="100" w:afterAutospacing="1"/>
      <w:widowControl/>
    </w:pPr>
    <w:rPr>
      <w:rFonts w:hint="eastAsia" w:ascii="宋体" w:hAnsi="宋体"/>
      <w:sz w:val="18"/>
      <w:szCs w:val="18"/>
    </w:rPr>
  </w:style>
  <w:style w:type="paragraph" w:styleId="1309">
    <w:name w:val="table_lines"/>
    <w:basedOn w:val="1214"/>
    <w:next w:val="1309"/>
    <w:link w:val="1214"/>
    <w:pPr>
      <w:jc w:val="left"/>
      <w:widowControl/>
    </w:pPr>
    <w:rPr>
      <w:sz w:val="20"/>
      <w:szCs w:val="20"/>
      <w:lang w:val="de-DE" w:eastAsia="de-DE"/>
    </w:rPr>
  </w:style>
  <w:style w:type="paragraph" w:styleId="1310">
    <w:name w:val="xl28"/>
    <w:basedOn w:val="1214"/>
    <w:next w:val="1310"/>
    <w:link w:val="121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11">
    <w:name w:val=" Char Char Char Char Char Char Char Char"/>
    <w:basedOn w:val="1214"/>
    <w:next w:val="1311"/>
    <w:link w:val="1214"/>
    <w:pPr>
      <w:jc w:val="left"/>
      <w:spacing w:after="160" w:line="240" w:lineRule="exact"/>
      <w:widowControl/>
    </w:pPr>
    <w:rPr>
      <w:rFonts w:ascii="Verdana" w:hAnsi="Verdana"/>
      <w:sz w:val="20"/>
      <w:szCs w:val="20"/>
      <w:lang w:eastAsia="en-US"/>
    </w:rPr>
  </w:style>
  <w:style w:type="paragraph" w:styleId="1312">
    <w:name w:val="Char"/>
    <w:basedOn w:val="1214"/>
    <w:next w:val="1312"/>
    <w:link w:val="1214"/>
    <w:pPr>
      <w:ind w:firstLine="200"/>
      <w:tabs>
        <w:tab w:val="left" w:pos="360" w:leader="none"/>
      </w:tabs>
    </w:pPr>
    <w:rPr>
      <w:sz w:val="28"/>
      <w:szCs w:val="30"/>
    </w:rPr>
  </w:style>
  <w:style w:type="paragraph" w:styleId="1313">
    <w:name w:val="xl27"/>
    <w:basedOn w:val="1214"/>
    <w:next w:val="1313"/>
    <w:link w:val="12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4">
    <w:name w:val="xl24"/>
    <w:basedOn w:val="1214"/>
    <w:next w:val="1314"/>
    <w:link w:val="12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5">
    <w:name w:val="xl26"/>
    <w:basedOn w:val="1214"/>
    <w:next w:val="1315"/>
    <w:link w:val="12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16">
    <w:name w:val="普通正文"/>
    <w:basedOn w:val="1214"/>
    <w:next w:val="1316"/>
    <w:link w:val="1214"/>
    <w:pPr>
      <w:ind w:firstLine="480"/>
      <w:jc w:val="left"/>
      <w:spacing w:before="120" w:after="120" w:line="360" w:lineRule="auto"/>
    </w:pPr>
    <w:rPr>
      <w:rFonts w:ascii="Arial" w:hAnsi="Arial"/>
      <w:sz w:val="24"/>
      <w:szCs w:val="24"/>
    </w:rPr>
  </w:style>
  <w:style w:type="paragraph" w:styleId="1317">
    <w:name w:val=" Char Char Char Char"/>
    <w:basedOn w:val="1239"/>
    <w:next w:val="1317"/>
    <w:link w:val="1214"/>
    <w:pPr>
      <w:spacing w:line="360" w:lineRule="auto"/>
    </w:pPr>
    <w:rPr>
      <w:rFonts w:ascii="Tahoma" w:hAnsi="Tahoma"/>
      <w:sz w:val="24"/>
      <w:szCs w:val="24"/>
    </w:rPr>
  </w:style>
  <w:style w:type="paragraph" w:styleId="1318">
    <w:name w:val="列表段落"/>
    <w:basedOn w:val="1214"/>
    <w:next w:val="1318"/>
    <w:link w:val="1214"/>
    <w:qFormat/>
    <w:pPr>
      <w:contextualSpacing/>
      <w:ind w:left="720"/>
      <w:jc w:val="left"/>
      <w:widowControl/>
    </w:pPr>
    <w:rPr>
      <w:rFonts w:ascii="Calibri" w:hAnsi="Calibri"/>
      <w:sz w:val="24"/>
      <w:szCs w:val="24"/>
      <w:lang w:eastAsia="en-US" w:bidi="en-US"/>
    </w:rPr>
  </w:style>
  <w:style w:type="paragraph" w:styleId="1319">
    <w:name w:val="4"/>
    <w:basedOn w:val="1214"/>
    <w:next w:val="1270"/>
    <w:link w:val="1214"/>
    <w:pPr>
      <w:ind w:firstLine="420"/>
      <w:spacing w:line="360" w:lineRule="auto"/>
    </w:pPr>
    <w:rPr>
      <w:color w:val="ff0000"/>
      <w:sz w:val="24"/>
      <w:szCs w:val="24"/>
    </w:rPr>
  </w:style>
  <w:style w:type="paragraph" w:styleId="1320">
    <w:name w:val="普通 (Web)"/>
    <w:basedOn w:val="1214"/>
    <w:next w:val="1320"/>
    <w:link w:val="1214"/>
    <w:pPr>
      <w:jc w:val="left"/>
      <w:spacing w:before="100" w:beforeAutospacing="1" w:after="100" w:afterAutospacing="1"/>
      <w:widowControl/>
    </w:pPr>
    <w:rPr>
      <w:rFonts w:ascii="宋体" w:hAnsi="宋体"/>
      <w:sz w:val="24"/>
      <w:szCs w:val="24"/>
    </w:rPr>
  </w:style>
  <w:style w:type="paragraph" w:styleId="1321">
    <w:name w:val=" Char Char Char Char Char Char Char Char Char Char"/>
    <w:basedOn w:val="1214"/>
    <w:next w:val="1321"/>
    <w:link w:val="1214"/>
    <w:pPr>
      <w:spacing w:line="360" w:lineRule="auto"/>
    </w:pPr>
    <w:rPr>
      <w:sz w:val="24"/>
      <w:szCs w:val="20"/>
    </w:rPr>
  </w:style>
  <w:style w:type="paragraph" w:styleId="1322">
    <w:name w:val="样式1"/>
    <w:basedOn w:val="1214"/>
    <w:next w:val="1322"/>
    <w:link w:val="1214"/>
    <w:pPr>
      <w:numPr>
        <w:ilvl w:val="0"/>
        <w:numId w:val="3"/>
      </w:numPr>
      <w:tabs>
        <w:tab w:val="left" w:pos="709" w:leader="none"/>
      </w:tabs>
    </w:pPr>
    <w:rPr>
      <w:rFonts w:ascii="宋体" w:hAnsi="宋体"/>
    </w:rPr>
  </w:style>
  <w:style w:type="paragraph" w:styleId="1323">
    <w:name w:val="font6"/>
    <w:basedOn w:val="1214"/>
    <w:next w:val="1323"/>
    <w:link w:val="1214"/>
    <w:pPr>
      <w:jc w:val="left"/>
      <w:spacing w:before="100" w:beforeAutospacing="1" w:after="100" w:afterAutospacing="1"/>
      <w:widowControl/>
    </w:pPr>
    <w:rPr>
      <w:rFonts w:hint="eastAsia" w:ascii="宋体" w:hAnsi="宋体"/>
      <w:sz w:val="28"/>
      <w:szCs w:val="28"/>
      <w:u w:val="single"/>
    </w:rPr>
  </w:style>
  <w:style w:type="paragraph" w:styleId="1324">
    <w:name w:val="xl25"/>
    <w:basedOn w:val="1214"/>
    <w:next w:val="1324"/>
    <w:link w:val="121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5">
    <w:name w:val="图标"/>
    <w:basedOn w:val="1214"/>
    <w:next w:val="1214"/>
    <w:link w:val="121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6">
    <w:name w:val="标题3"/>
    <w:basedOn w:val="1214"/>
    <w:next w:val="1214"/>
    <w:link w:val="1214"/>
    <w:pPr>
      <w:ind w:firstLine="624"/>
      <w:spacing w:line="590" w:lineRule="atLeast"/>
    </w:pPr>
    <w:rPr>
      <w:rFonts w:ascii="方正黑体_GBK" w:eastAsia="方正黑体_GBK"/>
      <w:sz w:val="32"/>
      <w:szCs w:val="32"/>
    </w:rPr>
  </w:style>
  <w:style w:type="paragraph" w:styleId="1327">
    <w:name w:val="xl29"/>
    <w:basedOn w:val="1214"/>
    <w:next w:val="1327"/>
    <w:link w:val="121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28">
    <w:name w:val="Char Char Char Char Char Char Char Char"/>
    <w:basedOn w:val="1214"/>
    <w:next w:val="1328"/>
    <w:link w:val="1214"/>
    <w:pPr>
      <w:jc w:val="left"/>
      <w:spacing w:after="160" w:line="240" w:lineRule="exact"/>
      <w:widowControl/>
    </w:pPr>
    <w:rPr>
      <w:rFonts w:ascii="Verdana" w:hAnsi="Verdana"/>
      <w:sz w:val="20"/>
      <w:szCs w:val="20"/>
      <w:lang w:eastAsia="en-US"/>
    </w:rPr>
  </w:style>
  <w:style w:type="paragraph" w:styleId="1329">
    <w:name w:val="xl30"/>
    <w:basedOn w:val="1214"/>
    <w:next w:val="1329"/>
    <w:link w:val="1214"/>
    <w:pPr>
      <w:jc w:val="center"/>
      <w:spacing w:before="100" w:beforeAutospacing="1" w:after="100" w:afterAutospacing="1"/>
      <w:widowControl/>
    </w:pPr>
    <w:rPr>
      <w:rFonts w:ascii="宋体" w:hAnsi="宋体"/>
      <w:b/>
      <w:bCs/>
      <w:sz w:val="36"/>
      <w:szCs w:val="36"/>
    </w:rPr>
  </w:style>
  <w:style w:type="paragraph" w:styleId="1330">
    <w:name w:val="Char Char Char Char"/>
    <w:basedOn w:val="1239"/>
    <w:next w:val="1330"/>
    <w:link w:val="1214"/>
    <w:pPr>
      <w:spacing w:line="360" w:lineRule="auto"/>
    </w:pPr>
    <w:rPr>
      <w:rFonts w:ascii="Tahoma" w:hAnsi="Tahoma"/>
      <w:sz w:val="24"/>
      <w:szCs w:val="24"/>
    </w:rPr>
  </w:style>
  <w:style w:type="paragraph" w:styleId="1331">
    <w:name w:val="font5"/>
    <w:basedOn w:val="1214"/>
    <w:next w:val="1331"/>
    <w:link w:val="1214"/>
    <w:pPr>
      <w:jc w:val="left"/>
      <w:spacing w:before="100" w:beforeAutospacing="1" w:after="100" w:afterAutospacing="1"/>
      <w:widowControl/>
    </w:pPr>
    <w:rPr>
      <w:rFonts w:hint="eastAsia" w:ascii="宋体" w:hAnsi="宋体"/>
      <w:sz w:val="28"/>
      <w:szCs w:val="28"/>
    </w:rPr>
  </w:style>
  <w:style w:type="paragraph" w:styleId="1332">
    <w:name w:val="标题1"/>
    <w:basedOn w:val="1214"/>
    <w:next w:val="1214"/>
    <w:link w:val="1214"/>
    <w:pPr>
      <w:jc w:val="center"/>
      <w:spacing w:line="700" w:lineRule="atLeast"/>
      <w:tabs>
        <w:tab w:val="left" w:pos="9193" w:leader="none"/>
        <w:tab w:val="left" w:pos="9827" w:leader="none"/>
      </w:tabs>
    </w:pPr>
    <w:rPr>
      <w:rFonts w:ascii="方正小标宋_GBK" w:eastAsia="方正小标宋_GBK"/>
      <w:sz w:val="44"/>
      <w:szCs w:val="20"/>
    </w:rPr>
  </w:style>
  <w:style w:type="paragraph" w:styleId="1333">
    <w:name w:val="修订"/>
    <w:next w:val="1333"/>
    <w:link w:val="1214"/>
    <w:uiPriority w:val="99"/>
    <w:semiHidden/>
    <w:rPr>
      <w:sz w:val="21"/>
      <w:szCs w:val="21"/>
      <w:lang w:val="en-US" w:eastAsia="zh-CN" w:bidi="ar-SA"/>
    </w:rPr>
  </w:style>
  <w:style w:type="paragraph" w:styleId="1334">
    <w:name w:val="无间隔"/>
    <w:next w:val="1334"/>
    <w:link w:val="1214"/>
    <w:uiPriority w:val="99"/>
    <w:qFormat/>
    <w:pPr>
      <w:jc w:val="both"/>
      <w:widowControl w:val="off"/>
    </w:pPr>
    <w:rPr>
      <w:sz w:val="21"/>
      <w:szCs w:val="21"/>
      <w:lang w:val="en-US" w:eastAsia="zh-CN" w:bidi="ar-SA"/>
    </w:rPr>
  </w:style>
  <w:style w:type="paragraph" w:styleId="1335">
    <w:name w:val="正文_1_0"/>
    <w:next w:val="1335"/>
    <w:link w:val="1214"/>
    <w:qFormat/>
    <w:pPr>
      <w:jc w:val="both"/>
      <w:widowControl w:val="off"/>
    </w:pPr>
    <w:rPr>
      <w:sz w:val="21"/>
      <w:szCs w:val="22"/>
      <w:lang w:val="en-US" w:eastAsia="zh-CN" w:bidi="ar-SA"/>
    </w:rPr>
  </w:style>
  <w:style w:type="paragraph" w:styleId="1336">
    <w:name w:val="普通(网站)_0"/>
    <w:basedOn w:val="1307"/>
    <w:next w:val="1336"/>
    <w:link w:val="1214"/>
    <w:qFormat/>
    <w:pPr>
      <w:jc w:val="left"/>
      <w:spacing w:before="100" w:beforeAutospacing="1" w:after="100" w:afterAutospacing="1"/>
      <w:widowControl/>
    </w:pPr>
    <w:rPr>
      <w:rFonts w:ascii="宋体" w:hAnsi="宋体" w:eastAsia="等线" w:cs="宋体"/>
      <w:color w:val="000000"/>
      <w:sz w:val="24"/>
    </w:rPr>
  </w:style>
  <w:style w:type="paragraph" w:styleId="1337">
    <w:name w:val="Table Text"/>
    <w:basedOn w:val="1214"/>
    <w:next w:val="1337"/>
    <w:link w:val="1214"/>
    <w:semiHidden/>
    <w:qFormat/>
    <w:rPr>
      <w:rFonts w:ascii="宋体" w:hAnsi="宋体" w:eastAsia="宋体" w:cs="宋体"/>
      <w:sz w:val="16"/>
      <w:szCs w:val="16"/>
      <w:lang w:val="en-US" w:eastAsia="en-US" w:bidi="ar-SA"/>
    </w:rPr>
  </w:style>
  <w:style w:type="paragraph" w:styleId="1338">
    <w:name w:val="页脚1"/>
    <w:basedOn w:val="1295"/>
    <w:next w:val="1338"/>
    <w:link w:val="1214"/>
    <w:qFormat/>
    <w:pPr>
      <w:ind w:firstLine="419"/>
      <w:jc w:val="left"/>
      <w:spacing w:line="714" w:lineRule="atLeast"/>
      <w:tabs>
        <w:tab w:val="left" w:pos="4138" w:leader="none"/>
        <w:tab w:val="left" w:pos="8005" w:leader="none"/>
      </w:tabs>
    </w:pPr>
    <w:rPr>
      <w:sz w:val="18"/>
    </w:rPr>
  </w:style>
  <w:style w:type="table" w:styleId="1339">
    <w:name w:val="网格型1"/>
    <w:basedOn w:val="1340"/>
    <w:next w:val="1339"/>
    <w:link w:val="1214"/>
    <w:pPr>
      <w:jc w:val="both"/>
      <w:widowControl w:val="off"/>
    </w:pPr>
    <w:tblPr/>
  </w:style>
  <w:style w:type="table" w:styleId="1340">
    <w:name w:val="普通表格1"/>
    <w:next w:val="1340"/>
    <w:link w:val="1214"/>
    <w:semiHidden/>
    <w:qFormat/>
    <w:rPr>
      <w:lang w:val="en-US" w:eastAsia="zh-CN" w:bidi="ar-SA"/>
    </w:rPr>
    <w:tblPr/>
  </w:style>
  <w:style w:type="paragraph" w:styleId="1341">
    <w:name w:val="AONormal"/>
    <w:next w:val="1341"/>
    <w:link w:val="1214"/>
    <w:qFormat/>
    <w:pPr>
      <w:ind w:firstLine="440"/>
      <w:spacing w:line="400" w:lineRule="exact"/>
    </w:pPr>
    <w:rPr>
      <w:rFonts w:ascii="华文楷体" w:hAnsi="华文楷体" w:eastAsia="华文楷体" w:cs="华文楷体"/>
      <w:sz w:val="22"/>
      <w:szCs w:val="21"/>
      <w:lang w:val="en-US" w:eastAsia="zh-CN" w:bidi="ar-SA"/>
    </w:rPr>
  </w:style>
  <w:style w:type="paragraph" w:styleId="1342">
    <w:name w:val="正文文本缩进1"/>
    <w:basedOn w:val="1214"/>
    <w:next w:val="1342"/>
    <w:link w:val="1214"/>
    <w:qFormat/>
    <w:pPr>
      <w:ind w:left="200"/>
      <w:spacing w:after="120"/>
    </w:pPr>
    <w:rPr>
      <w:rFonts w:ascii="Times New Roman" w:hAnsi="Times New Roman" w:eastAsia="宋体" w:cs="Times New Roman"/>
      <w:szCs w:val="24"/>
    </w:rPr>
  </w:style>
  <w:style w:type="character" w:styleId="1343">
    <w:name w:val="font61"/>
    <w:next w:val="1343"/>
    <w:link w:val="1214"/>
    <w:rPr>
      <w:rFonts w:hint="eastAsia" w:ascii="微软雅黑" w:hAnsi="微软雅黑" w:eastAsia="微软雅黑" w:cs="微软雅黑"/>
      <w:i w:val="0"/>
      <w:iCs w:val="0"/>
      <w:color w:val="000000"/>
      <w:sz w:val="22"/>
      <w:szCs w:val="22"/>
      <w:u w:val="none"/>
    </w:rPr>
  </w:style>
  <w:style w:type="paragraph" w:styleId="1344">
    <w:name w:val="普通(网站)1"/>
    <w:basedOn w:val="1214"/>
    <w:next w:val="1344"/>
    <w:link w:val="1214"/>
    <w:uiPriority w:val="99"/>
    <w:qFormat/>
    <w:pPr>
      <w:jc w:val="left"/>
      <w:spacing w:before="100" w:beforeAutospacing="1" w:after="100" w:afterAutospacing="1"/>
      <w:widowControl/>
    </w:pPr>
    <w:rPr>
      <w:rFonts w:ascii="宋体" w:hAnsi="宋体" w:cs="宋体"/>
      <w:sz w:val="24"/>
      <w:szCs w:val="24"/>
    </w:rPr>
  </w:style>
  <w:style w:type="paragraph" w:styleId="1345">
    <w:name w:val="批注框文本1"/>
    <w:basedOn w:val="1214"/>
    <w:next w:val="1345"/>
    <w:link w:val="1214"/>
    <w:uiPriority w:val="99"/>
    <w:unhideWhenUsed/>
    <w:qFormat/>
    <w:rPr>
      <w:sz w:val="18"/>
      <w:szCs w:val="18"/>
    </w:rPr>
  </w:style>
  <w:style w:type="character" w:styleId="1346">
    <w:name w:val="font31"/>
    <w:next w:val="1346"/>
    <w:link w:val="1214"/>
    <w:qFormat/>
    <w:rPr>
      <w:rFonts w:hint="eastAsia" w:ascii="宋体" w:hAnsi="宋体" w:eastAsia="宋体" w:cs="宋体"/>
      <w:color w:val="000000"/>
      <w:sz w:val="21"/>
      <w:szCs w:val="21"/>
      <w:u w:val="none"/>
    </w:rPr>
  </w:style>
  <w:style w:type="character" w:styleId="1347">
    <w:name w:val="font41"/>
    <w:next w:val="1347"/>
    <w:link w:val="1214"/>
    <w:qFormat/>
    <w:rPr>
      <w:rFonts w:hint="eastAsia" w:ascii="宋体" w:hAnsi="宋体" w:eastAsia="宋体" w:cs="宋体"/>
      <w:color w:val="000000"/>
      <w:sz w:val="21"/>
      <w:szCs w:val="21"/>
      <w:u w:val="none"/>
    </w:rPr>
  </w:style>
  <w:style w:type="character" w:styleId="1348">
    <w:name w:val="font21"/>
    <w:next w:val="1348"/>
    <w:link w:val="1214"/>
    <w:qFormat/>
    <w:rPr>
      <w:rFonts w:hint="eastAsia" w:ascii="宋体" w:hAnsi="宋体" w:eastAsia="宋体" w:cs="宋体"/>
      <w:b/>
      <w:bCs/>
      <w:color w:val="000000"/>
      <w:sz w:val="21"/>
      <w:szCs w:val="21"/>
      <w:u w:val="none"/>
    </w:rPr>
  </w:style>
  <w:style w:type="character" w:styleId="1349">
    <w:name w:val="font51"/>
    <w:next w:val="1349"/>
    <w:link w:val="1214"/>
    <w:qFormat/>
    <w:rPr>
      <w:rFonts w:hint="eastAsia" w:ascii="宋体" w:hAnsi="宋体" w:eastAsia="宋体" w:cs="宋体"/>
      <w:color w:val="000000"/>
      <w:sz w:val="21"/>
      <w:szCs w:val="21"/>
      <w:u w:val="none"/>
      <w:vertAlign w:val="superscript"/>
    </w:rPr>
  </w:style>
  <w:style w:type="paragraph" w:styleId="1350">
    <w:name w:val="纯文本1"/>
    <w:basedOn w:val="1214"/>
    <w:next w:val="1350"/>
    <w:link w:val="1214"/>
    <w:qFormat/>
    <w:rPr>
      <w:rFonts w:ascii="宋体" w:hAnsi="Courier New" w:cs="Courier New"/>
    </w:rPr>
  </w:style>
  <w:style w:type="paragraph" w:styleId="1351">
    <w:name w:val="首行缩进"/>
    <w:next w:val="1351"/>
    <w:link w:val="1214"/>
    <w:qFormat/>
    <w:pPr>
      <w:ind w:firstLine="480"/>
      <w:jc w:val="both"/>
      <w:spacing w:line="360" w:lineRule="auto"/>
      <w:widowControl w:val="off"/>
    </w:pPr>
    <w:rPr>
      <w:rFonts w:eastAsia="微软雅黑"/>
      <w:sz w:val="24"/>
      <w:szCs w:val="22"/>
      <w:lang w:val="zh-CN" w:eastAsia="zh-CN" w:bidi="ar-SA"/>
    </w:rPr>
  </w:style>
  <w:style w:type="table" w:styleId="1352">
    <w:name w:val="Table Normal"/>
    <w:next w:val="1352"/>
    <w:link w:val="1214"/>
    <w:unhideWhenUsed/>
    <w:qFormat/>
    <w:rPr>
      <w:lang w:val="en-US" w:eastAsia="zh-CN" w:bidi="ar-SA"/>
    </w:rPr>
    <w:tblPr/>
  </w:style>
  <w:style w:type="character" w:styleId="1353">
    <w:name w:val="font141"/>
    <w:next w:val="1353"/>
    <w:link w:val="1214"/>
    <w:rPr>
      <w:rFonts w:hint="eastAsia" w:ascii="宋体" w:hAnsi="宋体" w:eastAsia="宋体" w:cs="宋体"/>
      <w:i w:val="0"/>
      <w:iCs w:val="0"/>
      <w:color w:val="000000"/>
      <w:sz w:val="12"/>
      <w:szCs w:val="12"/>
      <w:u w:val="none"/>
    </w:rPr>
  </w:style>
  <w:style w:type="character" w:styleId="1354" w:default="1">
    <w:name w:val="Default Paragraph Font"/>
    <w:uiPriority w:val="1"/>
    <w:semiHidden/>
    <w:unhideWhenUsed/>
  </w:style>
  <w:style w:type="numbering" w:styleId="1355" w:default="1">
    <w:name w:val="No List"/>
    <w:uiPriority w:val="99"/>
    <w:semiHidden/>
    <w:unhideWhenUsed/>
  </w:style>
  <w:style w:type="table" w:styleId="13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7</cp:revision>
  <dcterms:created xsi:type="dcterms:W3CDTF">2023-03-16T02:16:00Z</dcterms:created>
  <dcterms:modified xsi:type="dcterms:W3CDTF">2026-08-20T08:39:09Z</dcterms:modified>
</cp:coreProperties>
</file>