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E2FFAE">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0416A033">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138F68ED">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6597528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招　标　文　件</w:t>
      </w:r>
    </w:p>
    <w:p w14:paraId="6C1957E3">
      <w:pPr>
        <w:pBdr>
          <w:top w:val="none" w:color="auto" w:sz="0" w:space="1"/>
          <w:left w:val="none" w:color="auto" w:sz="0" w:space="4"/>
          <w:bottom w:val="none" w:color="auto" w:sz="0" w:space="1"/>
          <w:right w:val="none" w:color="auto" w:sz="0" w:space="4"/>
        </w:pBdr>
        <w:spacing w:line="360" w:lineRule="auto"/>
        <w:ind w:firstLine="2249"/>
        <w:jc w:val="left"/>
        <w:rPr>
          <w:rFonts w:hint="eastAsia" w:ascii="宋体" w:hAnsi="宋体" w:eastAsia="宋体" w:cs="宋体"/>
          <w:b/>
          <w:bCs/>
          <w:color w:val="auto"/>
          <w:sz w:val="32"/>
          <w:szCs w:val="24"/>
          <w:highlight w:val="none"/>
        </w:rPr>
      </w:pPr>
    </w:p>
    <w:p w14:paraId="7B749EC6">
      <w:pPr>
        <w:pBdr>
          <w:top w:val="none" w:color="auto" w:sz="0" w:space="1"/>
          <w:left w:val="none" w:color="auto" w:sz="0" w:space="4"/>
          <w:bottom w:val="none" w:color="auto" w:sz="0" w:space="1"/>
          <w:right w:val="none" w:color="auto" w:sz="0" w:space="4"/>
        </w:pBdr>
        <w:spacing w:line="360" w:lineRule="auto"/>
        <w:ind w:firstLine="2249"/>
        <w:jc w:val="left"/>
        <w:rPr>
          <w:rFonts w:hint="eastAsia" w:ascii="宋体" w:hAnsi="宋体" w:eastAsia="宋体" w:cs="宋体"/>
          <w:b/>
          <w:bCs/>
          <w:color w:val="auto"/>
          <w:sz w:val="32"/>
          <w:szCs w:val="24"/>
          <w:highlight w:val="none"/>
        </w:rPr>
      </w:pPr>
    </w:p>
    <w:p w14:paraId="3AE40E36">
      <w:pPr>
        <w:pBdr>
          <w:top w:val="none" w:color="auto" w:sz="0" w:space="1"/>
          <w:left w:val="none" w:color="auto" w:sz="0" w:space="4"/>
          <w:bottom w:val="none" w:color="auto" w:sz="0" w:space="1"/>
          <w:right w:val="none" w:color="auto" w:sz="0" w:space="4"/>
        </w:pBdr>
        <w:spacing w:line="360" w:lineRule="auto"/>
        <w:ind w:firstLine="2249"/>
        <w:jc w:val="left"/>
        <w:rPr>
          <w:rFonts w:hint="eastAsia" w:ascii="宋体" w:hAnsi="宋体" w:eastAsia="宋体" w:cs="宋体"/>
          <w:b/>
          <w:bCs/>
          <w:color w:val="auto"/>
          <w:sz w:val="32"/>
          <w:szCs w:val="24"/>
          <w:highlight w:val="none"/>
        </w:rPr>
      </w:pPr>
    </w:p>
    <w:p w14:paraId="480A6D69">
      <w:pPr>
        <w:pBdr>
          <w:top w:val="none" w:color="auto" w:sz="0" w:space="1"/>
          <w:left w:val="none" w:color="auto" w:sz="0" w:space="4"/>
          <w:bottom w:val="none" w:color="auto" w:sz="0" w:space="1"/>
          <w:right w:val="none" w:color="auto" w:sz="0" w:space="4"/>
        </w:pBdr>
        <w:spacing w:line="360" w:lineRule="auto"/>
        <w:ind w:firstLine="2249"/>
        <w:jc w:val="left"/>
        <w:rPr>
          <w:rFonts w:hint="eastAsia" w:ascii="宋体" w:hAnsi="宋体" w:eastAsia="宋体" w:cs="宋体"/>
          <w:b/>
          <w:bCs/>
          <w:color w:val="auto"/>
          <w:sz w:val="32"/>
          <w:szCs w:val="24"/>
          <w:highlight w:val="none"/>
        </w:rPr>
      </w:pPr>
    </w:p>
    <w:p w14:paraId="0F46D3A6">
      <w:pPr>
        <w:pBdr>
          <w:top w:val="none" w:color="auto" w:sz="0" w:space="1"/>
          <w:left w:val="none" w:color="auto" w:sz="0" w:space="4"/>
          <w:bottom w:val="none" w:color="auto" w:sz="0" w:space="1"/>
          <w:right w:val="none" w:color="auto" w:sz="0" w:space="4"/>
        </w:pBdr>
        <w:spacing w:line="360" w:lineRule="auto"/>
        <w:ind w:firstLine="2249"/>
        <w:jc w:val="left"/>
        <w:rPr>
          <w:rFonts w:hint="eastAsia" w:ascii="宋体" w:hAnsi="宋体" w:eastAsia="宋体" w:cs="宋体"/>
          <w:b/>
          <w:bCs/>
          <w:color w:val="auto"/>
          <w:sz w:val="32"/>
          <w:szCs w:val="24"/>
          <w:highlight w:val="none"/>
        </w:rPr>
      </w:pPr>
    </w:p>
    <w:p w14:paraId="563A1263">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
          <w:bCs/>
          <w:color w:val="auto"/>
          <w:sz w:val="32"/>
          <w:szCs w:val="24"/>
          <w:highlight w:val="none"/>
        </w:rPr>
      </w:pPr>
    </w:p>
    <w:p w14:paraId="5F31BE9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项目名称：</w:t>
      </w:r>
      <w:r>
        <w:rPr>
          <w:rFonts w:hint="eastAsia" w:ascii="宋体" w:hAnsi="宋体" w:eastAsia="宋体" w:cs="宋体"/>
          <w:b/>
          <w:bCs/>
          <w:color w:val="auto"/>
          <w:sz w:val="32"/>
          <w:szCs w:val="24"/>
          <w:highlight w:val="none"/>
          <w:lang w:eastAsia="zh-CN"/>
        </w:rPr>
        <w:t>2026年计量检验检测设备更新-第一批</w:t>
      </w:r>
    </w:p>
    <w:p w14:paraId="32A185E9">
      <w:pPr>
        <w:pBdr>
          <w:top w:val="none" w:color="auto" w:sz="0" w:space="1"/>
          <w:left w:val="none" w:color="auto" w:sz="0" w:space="4"/>
          <w:bottom w:val="none" w:color="auto" w:sz="0" w:space="1"/>
          <w:right w:val="none" w:color="auto" w:sz="0" w:space="4"/>
        </w:pBdr>
        <w:spacing w:line="360" w:lineRule="auto"/>
        <w:ind w:firstLine="643" w:firstLineChars="200"/>
        <w:rPr>
          <w:rFonts w:hint="eastAsia" w:ascii="宋体" w:hAnsi="宋体" w:eastAsia="宋体" w:cs="宋体"/>
          <w:b/>
          <w:color w:val="auto"/>
          <w:sz w:val="44"/>
          <w:szCs w:val="21"/>
          <w:highlight w:val="none"/>
          <w:lang w:eastAsia="zh-CN"/>
        </w:rPr>
      </w:pPr>
      <w:r>
        <w:rPr>
          <w:rFonts w:hint="eastAsia" w:ascii="宋体" w:hAnsi="宋体" w:eastAsia="宋体" w:cs="宋体"/>
          <w:b/>
          <w:bCs/>
          <w:color w:val="auto"/>
          <w:sz w:val="32"/>
          <w:szCs w:val="24"/>
          <w:highlight w:val="none"/>
        </w:rPr>
        <w:t>项目编号：</w:t>
      </w:r>
      <w:r>
        <w:rPr>
          <w:rFonts w:hint="eastAsia" w:ascii="宋体" w:hAnsi="宋体" w:cs="宋体"/>
          <w:b/>
          <w:bCs/>
          <w:color w:val="auto"/>
          <w:sz w:val="32"/>
          <w:szCs w:val="24"/>
          <w:highlight w:val="none"/>
          <w:lang w:eastAsia="zh-CN"/>
        </w:rPr>
        <w:t>JSZC-320700-ZHDH-G2026-0012</w:t>
      </w:r>
    </w:p>
    <w:p w14:paraId="1EFBE1D2">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
          <w:color w:val="auto"/>
          <w:sz w:val="44"/>
          <w:szCs w:val="21"/>
          <w:highlight w:val="none"/>
        </w:rPr>
      </w:pPr>
    </w:p>
    <w:p w14:paraId="7E9A04AE">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
          <w:color w:val="auto"/>
          <w:sz w:val="44"/>
          <w:szCs w:val="21"/>
          <w:highlight w:val="none"/>
        </w:rPr>
      </w:pPr>
    </w:p>
    <w:p w14:paraId="2DDF78A9">
      <w:pPr>
        <w:pStyle w:val="20"/>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color w:val="auto"/>
          <w:sz w:val="32"/>
          <w:highlight w:val="none"/>
          <w:lang w:eastAsia="zh-CN"/>
        </w:rPr>
      </w:pPr>
      <w:r>
        <w:rPr>
          <w:rFonts w:hint="eastAsia" w:ascii="宋体" w:hAnsi="宋体" w:eastAsia="宋体" w:cs="宋体"/>
          <w:b/>
          <w:bCs/>
          <w:color w:val="auto"/>
          <w:sz w:val="32"/>
          <w:highlight w:val="none"/>
        </w:rPr>
        <w:t>采  购  人：</w:t>
      </w:r>
      <w:r>
        <w:rPr>
          <w:rFonts w:hint="eastAsia" w:ascii="宋体" w:hAnsi="宋体" w:cs="宋体"/>
          <w:b/>
          <w:color w:val="auto"/>
          <w:sz w:val="32"/>
          <w:highlight w:val="none"/>
          <w:lang w:eastAsia="zh-CN"/>
        </w:rPr>
        <w:t>连云港市计量检定测试中心</w:t>
      </w:r>
    </w:p>
    <w:p w14:paraId="4825D623">
      <w:pPr>
        <w:pBdr>
          <w:top w:val="none" w:color="auto" w:sz="0" w:space="1"/>
          <w:left w:val="none" w:color="auto" w:sz="0" w:space="4"/>
          <w:bottom w:val="none" w:color="auto" w:sz="0" w:space="1"/>
          <w:right w:val="none" w:color="auto" w:sz="0" w:space="4"/>
        </w:pBdr>
        <w:spacing w:before="120" w:after="120" w:line="360" w:lineRule="auto"/>
        <w:jc w:val="center"/>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highlight w:val="none"/>
        </w:rPr>
        <w:t>采购代理机构：</w:t>
      </w:r>
      <w:r>
        <w:rPr>
          <w:rFonts w:hint="eastAsia" w:ascii="宋体" w:hAnsi="宋体" w:cs="宋体"/>
          <w:b/>
          <w:bCs/>
          <w:color w:val="auto"/>
          <w:sz w:val="32"/>
          <w:highlight w:val="none"/>
          <w:lang w:eastAsia="zh-CN"/>
        </w:rPr>
        <w:t>中和德汇工程技术有限公司</w:t>
      </w:r>
    </w:p>
    <w:p w14:paraId="4B278002">
      <w:pPr>
        <w:pBdr>
          <w:top w:val="none" w:color="auto" w:sz="0" w:space="1"/>
          <w:left w:val="none" w:color="auto" w:sz="0" w:space="4"/>
          <w:bottom w:val="none" w:color="auto" w:sz="0" w:space="1"/>
          <w:right w:val="none" w:color="auto" w:sz="0" w:space="4"/>
        </w:pBdr>
        <w:spacing w:before="120" w:after="120" w:line="360" w:lineRule="auto"/>
        <w:jc w:val="center"/>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2026年</w:t>
      </w:r>
      <w:r>
        <w:rPr>
          <w:rFonts w:hint="eastAsia" w:ascii="宋体" w:hAnsi="宋体" w:cs="宋体"/>
          <w:b/>
          <w:bCs/>
          <w:color w:val="auto"/>
          <w:sz w:val="32"/>
          <w:szCs w:val="24"/>
          <w:highlight w:val="none"/>
          <w:lang w:val="en-US" w:eastAsia="zh-CN"/>
        </w:rPr>
        <w:t>9</w:t>
      </w:r>
      <w:r>
        <w:rPr>
          <w:rFonts w:hint="eastAsia" w:ascii="宋体" w:hAnsi="宋体" w:eastAsia="宋体" w:cs="宋体"/>
          <w:b/>
          <w:bCs/>
          <w:color w:val="auto"/>
          <w:sz w:val="32"/>
          <w:szCs w:val="24"/>
          <w:highlight w:val="none"/>
        </w:rPr>
        <w:t>月</w:t>
      </w:r>
    </w:p>
    <w:p w14:paraId="601DF3AB">
      <w:pPr>
        <w:pBdr>
          <w:top w:val="none" w:color="auto" w:sz="0" w:space="1"/>
          <w:left w:val="none" w:color="auto" w:sz="0" w:space="4"/>
          <w:bottom w:val="none" w:color="auto" w:sz="0" w:space="1"/>
          <w:right w:val="none" w:color="auto" w:sz="0" w:space="4"/>
        </w:pBdr>
        <w:spacing w:before="120" w:after="12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"1-1" \u </w:instrText>
      </w:r>
      <w:r>
        <w:rPr>
          <w:rFonts w:hint="eastAsia" w:ascii="宋体" w:hAnsi="宋体" w:eastAsia="宋体" w:cs="宋体"/>
          <w:color w:val="auto"/>
          <w:highlight w:val="none"/>
        </w:rPr>
        <w:fldChar w:fldCharType="separate"/>
      </w:r>
    </w:p>
    <w:p w14:paraId="0E3DBAF7">
      <w:pPr>
        <w:pStyle w:val="258"/>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73123962">
      <w:pPr>
        <w:pStyle w:val="258"/>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079EB427">
      <w:pPr>
        <w:pStyle w:val="258"/>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目  录</w:t>
      </w:r>
    </w:p>
    <w:p w14:paraId="43CDC615">
      <w:pPr>
        <w:pStyle w:val="258"/>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第一章投标邀请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3</w:t>
      </w:r>
      <w:r>
        <w:rPr>
          <w:rFonts w:hint="eastAsia" w:ascii="宋体" w:hAnsi="宋体" w:eastAsia="宋体" w:cs="宋体"/>
          <w:color w:val="auto"/>
          <w:sz w:val="36"/>
          <w:szCs w:val="36"/>
          <w:highlight w:val="none"/>
        </w:rPr>
        <w:fldChar w:fldCharType="end"/>
      </w:r>
    </w:p>
    <w:p w14:paraId="1003A0E5">
      <w:pPr>
        <w:pStyle w:val="258"/>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第二章供应商须知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_Toc165205795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7</w:t>
      </w:r>
      <w:r>
        <w:rPr>
          <w:rFonts w:hint="eastAsia" w:ascii="宋体" w:hAnsi="宋体" w:eastAsia="宋体" w:cs="宋体"/>
          <w:color w:val="auto"/>
          <w:sz w:val="36"/>
          <w:szCs w:val="36"/>
          <w:highlight w:val="none"/>
        </w:rPr>
        <w:fldChar w:fldCharType="end"/>
      </w:r>
    </w:p>
    <w:p w14:paraId="1EBB98E2">
      <w:pPr>
        <w:pStyle w:val="258"/>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第三章合同文本</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_Toc165205796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23</w:t>
      </w:r>
      <w:r>
        <w:rPr>
          <w:rFonts w:hint="eastAsia" w:ascii="宋体" w:hAnsi="宋体" w:eastAsia="宋体" w:cs="宋体"/>
          <w:color w:val="auto"/>
          <w:sz w:val="36"/>
          <w:szCs w:val="36"/>
          <w:highlight w:val="none"/>
        </w:rPr>
        <w:fldChar w:fldCharType="end"/>
      </w:r>
    </w:p>
    <w:p w14:paraId="7E6AAFFF">
      <w:pPr>
        <w:pStyle w:val="258"/>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第四章采购需求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_Toc165205797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38</w:t>
      </w:r>
      <w:r>
        <w:rPr>
          <w:rFonts w:hint="eastAsia" w:ascii="宋体" w:hAnsi="宋体" w:eastAsia="宋体" w:cs="宋体"/>
          <w:color w:val="auto"/>
          <w:sz w:val="36"/>
          <w:szCs w:val="36"/>
          <w:highlight w:val="none"/>
        </w:rPr>
        <w:fldChar w:fldCharType="end"/>
      </w:r>
    </w:p>
    <w:p w14:paraId="0F2E142D">
      <w:pPr>
        <w:pStyle w:val="258"/>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第五章评标方法与评标标准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_Toc165205798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85</w:t>
      </w:r>
      <w:r>
        <w:rPr>
          <w:rFonts w:hint="eastAsia" w:ascii="宋体" w:hAnsi="宋体" w:eastAsia="宋体" w:cs="宋体"/>
          <w:color w:val="auto"/>
          <w:sz w:val="36"/>
          <w:szCs w:val="36"/>
          <w:highlight w:val="none"/>
        </w:rPr>
        <w:fldChar w:fldCharType="end"/>
      </w:r>
    </w:p>
    <w:p w14:paraId="67DF23B7">
      <w:pPr>
        <w:pStyle w:val="258"/>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第六章投标文件格式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_Toc165205799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98</w:t>
      </w:r>
      <w:r>
        <w:rPr>
          <w:rFonts w:hint="eastAsia" w:ascii="宋体" w:hAnsi="宋体" w:eastAsia="宋体" w:cs="宋体"/>
          <w:color w:val="auto"/>
          <w:sz w:val="36"/>
          <w:szCs w:val="36"/>
          <w:highlight w:val="none"/>
        </w:rPr>
        <w:fldChar w:fldCharType="end"/>
      </w:r>
    </w:p>
    <w:p w14:paraId="3E0EFD69">
      <w:pPr>
        <w:widowControl/>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14:paraId="79F55AB9">
      <w:pPr>
        <w:pStyle w:val="231"/>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val="0"/>
          <w:color w:val="auto"/>
          <w:highlight w:val="none"/>
        </w:rPr>
        <w:sectPr>
          <w:footerReference r:id="rId3" w:type="default"/>
          <w:pgSz w:w="11906" w:h="16838"/>
          <w:pgMar w:top="1440" w:right="1800" w:bottom="1440" w:left="1800" w:header="851" w:footer="992" w:gutter="0"/>
          <w:cols w:space="1701" w:num="1"/>
          <w:docGrid w:linePitch="360" w:charSpace="0"/>
        </w:sectPr>
      </w:pPr>
      <w:bookmarkStart w:id="42" w:name="_GoBack"/>
      <w:bookmarkEnd w:id="42"/>
    </w:p>
    <w:p w14:paraId="7C4E97E5">
      <w:pPr>
        <w:pStyle w:val="231"/>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val="0"/>
          <w:color w:val="auto"/>
          <w:highlight w:val="none"/>
        </w:rPr>
      </w:pPr>
      <w:bookmarkStart w:id="0" w:name="_Toc165205794"/>
      <w:r>
        <w:rPr>
          <w:rFonts w:hint="eastAsia" w:ascii="宋体" w:hAnsi="宋体" w:eastAsia="宋体" w:cs="宋体"/>
          <w:b w:val="0"/>
          <w:color w:val="auto"/>
          <w:highlight w:val="none"/>
        </w:rPr>
        <w:t>第一章  投标邀请</w:t>
      </w:r>
      <w:bookmarkEnd w:id="0"/>
    </w:p>
    <w:p w14:paraId="3CDE222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cs="宋体"/>
          <w:color w:val="auto"/>
          <w:sz w:val="24"/>
          <w:szCs w:val="24"/>
          <w:highlight w:val="none"/>
          <w:u w:val="single"/>
          <w:lang w:eastAsia="zh-CN"/>
        </w:rPr>
        <w:t>连云港市计量检定测试中心</w:t>
      </w:r>
      <w:r>
        <w:rPr>
          <w:rFonts w:hint="eastAsia" w:ascii="宋体" w:hAnsi="宋体" w:eastAsia="宋体" w:cs="宋体"/>
          <w:color w:val="auto"/>
          <w:sz w:val="24"/>
          <w:szCs w:val="24"/>
          <w:highlight w:val="none"/>
        </w:rPr>
        <w:t>的委托，</w:t>
      </w:r>
      <w:r>
        <w:rPr>
          <w:rFonts w:hint="eastAsia" w:ascii="宋体" w:hAnsi="宋体" w:cs="宋体"/>
          <w:color w:val="auto"/>
          <w:sz w:val="24"/>
          <w:szCs w:val="24"/>
          <w:highlight w:val="none"/>
          <w:u w:val="single"/>
          <w:lang w:eastAsia="zh-CN"/>
        </w:rPr>
        <w:t>中和德汇工程技术有限公司</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u w:val="single"/>
          <w:lang w:eastAsia="zh-CN"/>
        </w:rPr>
        <w:t>2026年计量检验检测设备更新-第一批</w:t>
      </w: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u w:val="single"/>
          <w:lang w:eastAsia="zh-CN"/>
        </w:rPr>
        <w:t>JSZC-320700-ZHDH-G2026-0012</w:t>
      </w:r>
      <w:r>
        <w:rPr>
          <w:rFonts w:hint="eastAsia" w:ascii="宋体" w:hAnsi="宋体" w:eastAsia="宋体" w:cs="宋体"/>
          <w:color w:val="auto"/>
          <w:sz w:val="24"/>
          <w:szCs w:val="24"/>
          <w:highlight w:val="none"/>
        </w:rPr>
        <w:t>）进行公开招标采购，欢迎符合条件的供应商投标。</w:t>
      </w:r>
    </w:p>
    <w:tbl>
      <w:tblPr>
        <w:tblStyle w:val="36"/>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18"/>
      </w:tblGrid>
      <w:tr w14:paraId="7AA9C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18" w:type="dxa"/>
            <w:noWrap w:val="0"/>
          </w:tcPr>
          <w:p w14:paraId="47638E91">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64CBA70B">
            <w:pPr>
              <w:pBdr>
                <w:top w:val="none" w:color="auto" w:sz="0" w:space="1"/>
                <w:left w:val="none" w:color="auto" w:sz="0" w:space="4"/>
                <w:bottom w:val="none" w:color="auto" w:sz="0" w:space="1"/>
                <w:right w:val="none" w:color="auto" w:sz="0" w:space="4"/>
              </w:pBd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lang w:eastAsia="zh-CN"/>
              </w:rPr>
              <w:t>2026年计量检验检测设备更新-第一批</w:t>
            </w:r>
            <w:r>
              <w:rPr>
                <w:rFonts w:hint="eastAsia" w:ascii="宋体" w:hAnsi="宋体" w:eastAsia="宋体" w:cs="宋体"/>
                <w:color w:val="auto"/>
                <w:sz w:val="24"/>
                <w:szCs w:val="24"/>
                <w:highlight w:val="none"/>
              </w:rPr>
              <w:t>的潜在供应商应在</w:t>
            </w:r>
            <w:r>
              <w:rPr>
                <w:rFonts w:hint="eastAsia" w:ascii="宋体" w:hAnsi="宋体" w:eastAsia="宋体" w:cs="宋体"/>
                <w:b/>
                <w:bCs/>
                <w:color w:val="auto"/>
                <w:sz w:val="24"/>
                <w:szCs w:val="24"/>
                <w:highlight w:val="none"/>
                <w:u w:val="single"/>
              </w:rPr>
              <w:t>江苏政府采购网</w:t>
            </w:r>
            <w:r>
              <w:rPr>
                <w:rFonts w:hint="eastAsia" w:ascii="宋体" w:hAnsi="宋体" w:eastAsia="宋体" w:cs="宋体"/>
                <w:color w:val="auto"/>
                <w:sz w:val="24"/>
                <w:szCs w:val="24"/>
                <w:highlight w:val="none"/>
              </w:rPr>
              <w:t>自行免费下载招标文件，并于</w:t>
            </w:r>
            <w:r>
              <w:rPr>
                <w:rFonts w:hint="eastAsia" w:ascii="宋体" w:hAnsi="宋体" w:eastAsia="宋体" w:cs="宋体"/>
                <w:color w:val="auto"/>
                <w:sz w:val="24"/>
                <w:szCs w:val="24"/>
                <w:highlight w:val="none"/>
                <w:u w:val="single"/>
              </w:rPr>
              <w:t>2026年</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日9:00:00</w:t>
            </w:r>
            <w:r>
              <w:rPr>
                <w:rFonts w:hint="eastAsia" w:ascii="宋体" w:hAnsi="宋体" w:eastAsia="宋体" w:cs="宋体"/>
                <w:color w:val="auto"/>
                <w:sz w:val="24"/>
                <w:szCs w:val="24"/>
                <w:highlight w:val="none"/>
              </w:rPr>
              <w:t>（北京时间）前递交（上传）投标文件。</w:t>
            </w:r>
          </w:p>
        </w:tc>
      </w:tr>
    </w:tbl>
    <w:p w14:paraId="552F021A">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一、项目基本情况</w:t>
      </w:r>
    </w:p>
    <w:p w14:paraId="094EE1E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JSZC-320700-ZHDH-G2026-0012</w:t>
      </w:r>
    </w:p>
    <w:p w14:paraId="1D9D585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2026年计量检验检测设备更新-第一批</w:t>
      </w:r>
    </w:p>
    <w:p w14:paraId="12E8EA8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预算金额：</w:t>
      </w:r>
      <w:r>
        <w:rPr>
          <w:rFonts w:hint="eastAsia" w:ascii="宋体" w:hAnsi="宋体" w:eastAsia="宋体" w:cs="宋体"/>
          <w:sz w:val="24"/>
          <w:szCs w:val="24"/>
          <w:highlight w:val="none"/>
        </w:rPr>
        <w:t>总预算</w:t>
      </w:r>
      <w:r>
        <w:rPr>
          <w:rFonts w:hint="eastAsia" w:ascii="宋体" w:hAnsi="宋体" w:cs="宋体"/>
          <w:color w:val="auto"/>
          <w:sz w:val="24"/>
          <w:szCs w:val="24"/>
          <w:highlight w:val="none"/>
          <w:lang w:val="en-US" w:eastAsia="zh-CN"/>
        </w:rPr>
        <w:t>672.5</w:t>
      </w:r>
      <w:r>
        <w:rPr>
          <w:rFonts w:hint="eastAsia" w:ascii="宋体" w:hAnsi="宋体" w:eastAsia="宋体" w:cs="宋体"/>
          <w:color w:val="auto"/>
          <w:sz w:val="24"/>
          <w:szCs w:val="24"/>
          <w:highlight w:val="none"/>
        </w:rPr>
        <w:t>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highlight w:val="none"/>
        </w:rPr>
        <w:t>采购包1</w:t>
      </w:r>
      <w:r>
        <w:rPr>
          <w:rFonts w:hint="eastAsia" w:ascii="宋体" w:hAnsi="宋体" w:eastAsia="宋体" w:cs="宋体"/>
          <w:sz w:val="24"/>
          <w:szCs w:val="24"/>
          <w:highlight w:val="none"/>
        </w:rPr>
        <w:t>预算为</w:t>
      </w:r>
      <w:r>
        <w:rPr>
          <w:rFonts w:hint="eastAsia" w:ascii="宋体" w:hAnsi="宋体" w:cs="宋体"/>
          <w:color w:val="auto"/>
          <w:sz w:val="24"/>
          <w:highlight w:val="none"/>
          <w:lang w:val="en-US" w:eastAsia="zh-CN"/>
        </w:rPr>
        <w:t>118</w:t>
      </w:r>
      <w:r>
        <w:rPr>
          <w:rFonts w:hint="eastAsia" w:ascii="宋体" w:hAnsi="宋体" w:eastAsia="宋体" w:cs="宋体"/>
          <w:color w:val="auto"/>
          <w:sz w:val="24"/>
          <w:highlight w:val="none"/>
        </w:rPr>
        <w:t>万元；采购包2</w:t>
      </w:r>
      <w:r>
        <w:rPr>
          <w:rFonts w:hint="eastAsia" w:ascii="宋体" w:hAnsi="宋体" w:eastAsia="宋体" w:cs="宋体"/>
          <w:sz w:val="24"/>
          <w:szCs w:val="24"/>
          <w:highlight w:val="none"/>
        </w:rPr>
        <w:t>预算为</w:t>
      </w:r>
      <w:r>
        <w:rPr>
          <w:rFonts w:hint="eastAsia" w:ascii="宋体" w:hAnsi="宋体" w:cs="宋体"/>
          <w:color w:val="auto"/>
          <w:sz w:val="24"/>
          <w:highlight w:val="none"/>
          <w:lang w:val="en-US" w:eastAsia="zh-CN"/>
        </w:rPr>
        <w:t>113</w:t>
      </w:r>
      <w:r>
        <w:rPr>
          <w:rFonts w:hint="eastAsia" w:ascii="宋体" w:hAnsi="宋体" w:eastAsia="宋体" w:cs="宋体"/>
          <w:color w:val="auto"/>
          <w:sz w:val="24"/>
          <w:highlight w:val="none"/>
        </w:rPr>
        <w:t>万元</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采购包</w:t>
      </w:r>
      <w:r>
        <w:rPr>
          <w:rFonts w:hint="eastAsia" w:ascii="宋体" w:hAnsi="宋体" w:cs="宋体"/>
          <w:color w:val="auto"/>
          <w:sz w:val="24"/>
          <w:highlight w:val="none"/>
          <w:lang w:val="en-US" w:eastAsia="zh-CN"/>
        </w:rPr>
        <w:t>3</w:t>
      </w:r>
      <w:r>
        <w:rPr>
          <w:rFonts w:hint="eastAsia" w:ascii="宋体" w:hAnsi="宋体" w:eastAsia="宋体" w:cs="宋体"/>
          <w:sz w:val="24"/>
          <w:szCs w:val="24"/>
          <w:highlight w:val="none"/>
        </w:rPr>
        <w:t>预算为</w:t>
      </w:r>
      <w:r>
        <w:rPr>
          <w:rFonts w:hint="eastAsia" w:ascii="宋体" w:hAnsi="宋体" w:cs="宋体"/>
          <w:color w:val="auto"/>
          <w:sz w:val="24"/>
          <w:highlight w:val="none"/>
          <w:lang w:val="en-US" w:eastAsia="zh-CN"/>
        </w:rPr>
        <w:t>128</w:t>
      </w:r>
      <w:r>
        <w:rPr>
          <w:rFonts w:hint="eastAsia" w:ascii="宋体" w:hAnsi="宋体" w:eastAsia="宋体" w:cs="宋体"/>
          <w:color w:val="auto"/>
          <w:sz w:val="24"/>
          <w:highlight w:val="none"/>
        </w:rPr>
        <w:t>万元</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采购包</w:t>
      </w:r>
      <w:r>
        <w:rPr>
          <w:rFonts w:hint="eastAsia" w:ascii="宋体" w:hAnsi="宋体" w:cs="宋体"/>
          <w:color w:val="auto"/>
          <w:sz w:val="24"/>
          <w:highlight w:val="none"/>
          <w:lang w:val="en-US" w:eastAsia="zh-CN"/>
        </w:rPr>
        <w:t>4</w:t>
      </w:r>
      <w:r>
        <w:rPr>
          <w:rFonts w:hint="eastAsia" w:ascii="宋体" w:hAnsi="宋体" w:eastAsia="宋体" w:cs="宋体"/>
          <w:sz w:val="24"/>
          <w:szCs w:val="24"/>
          <w:highlight w:val="none"/>
        </w:rPr>
        <w:t>预算为</w:t>
      </w:r>
      <w:r>
        <w:rPr>
          <w:rFonts w:hint="eastAsia" w:ascii="宋体" w:hAnsi="宋体" w:cs="宋体"/>
          <w:color w:val="auto"/>
          <w:sz w:val="24"/>
          <w:highlight w:val="none"/>
          <w:lang w:val="en-US" w:eastAsia="zh-CN"/>
        </w:rPr>
        <w:t>154</w:t>
      </w:r>
      <w:r>
        <w:rPr>
          <w:rFonts w:hint="eastAsia" w:ascii="宋体" w:hAnsi="宋体" w:eastAsia="宋体" w:cs="宋体"/>
          <w:color w:val="auto"/>
          <w:sz w:val="24"/>
          <w:highlight w:val="none"/>
        </w:rPr>
        <w:t>万元</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采购包</w:t>
      </w:r>
      <w:r>
        <w:rPr>
          <w:rFonts w:hint="eastAsia" w:ascii="宋体" w:hAnsi="宋体" w:cs="宋体"/>
          <w:color w:val="auto"/>
          <w:sz w:val="24"/>
          <w:highlight w:val="none"/>
          <w:lang w:val="en-US" w:eastAsia="zh-CN"/>
        </w:rPr>
        <w:t>5</w:t>
      </w:r>
      <w:r>
        <w:rPr>
          <w:rFonts w:hint="eastAsia" w:ascii="宋体" w:hAnsi="宋体" w:eastAsia="宋体" w:cs="宋体"/>
          <w:sz w:val="24"/>
          <w:szCs w:val="24"/>
          <w:highlight w:val="none"/>
        </w:rPr>
        <w:t>预算为</w:t>
      </w:r>
      <w:r>
        <w:rPr>
          <w:rFonts w:hint="eastAsia" w:ascii="宋体" w:hAnsi="宋体" w:cs="宋体"/>
          <w:color w:val="auto"/>
          <w:sz w:val="24"/>
          <w:highlight w:val="none"/>
          <w:lang w:val="en-US" w:eastAsia="zh-CN"/>
        </w:rPr>
        <w:t>26.5</w:t>
      </w:r>
      <w:r>
        <w:rPr>
          <w:rFonts w:hint="eastAsia" w:ascii="宋体" w:hAnsi="宋体" w:eastAsia="宋体" w:cs="宋体"/>
          <w:color w:val="auto"/>
          <w:sz w:val="24"/>
          <w:highlight w:val="none"/>
        </w:rPr>
        <w:t>万元</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采购包</w:t>
      </w:r>
      <w:r>
        <w:rPr>
          <w:rFonts w:hint="eastAsia" w:ascii="宋体" w:hAnsi="宋体" w:cs="宋体"/>
          <w:color w:val="auto"/>
          <w:sz w:val="24"/>
          <w:highlight w:val="none"/>
          <w:lang w:val="en-US" w:eastAsia="zh-CN"/>
        </w:rPr>
        <w:t>6</w:t>
      </w:r>
      <w:r>
        <w:rPr>
          <w:rFonts w:hint="eastAsia" w:ascii="宋体" w:hAnsi="宋体" w:eastAsia="宋体" w:cs="宋体"/>
          <w:sz w:val="24"/>
          <w:szCs w:val="24"/>
          <w:highlight w:val="none"/>
        </w:rPr>
        <w:t>预算为</w:t>
      </w:r>
      <w:r>
        <w:rPr>
          <w:rFonts w:hint="eastAsia" w:ascii="宋体" w:hAnsi="宋体" w:cs="宋体"/>
          <w:color w:val="auto"/>
          <w:sz w:val="24"/>
          <w:highlight w:val="none"/>
          <w:lang w:val="en-US" w:eastAsia="zh-CN"/>
        </w:rPr>
        <w:t>133</w:t>
      </w:r>
      <w:r>
        <w:rPr>
          <w:rFonts w:hint="eastAsia" w:ascii="宋体" w:hAnsi="宋体" w:eastAsia="宋体" w:cs="宋体"/>
          <w:color w:val="auto"/>
          <w:sz w:val="24"/>
          <w:highlight w:val="none"/>
        </w:rPr>
        <w:t>万元，报价超过预算价的按无效响应处理；</w:t>
      </w:r>
    </w:p>
    <w:p w14:paraId="26ECD5E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最高限价：采购包1：</w:t>
      </w:r>
      <w:r>
        <w:rPr>
          <w:rFonts w:hint="eastAsia" w:ascii="宋体" w:hAnsi="宋体" w:cs="宋体"/>
          <w:color w:val="auto"/>
          <w:sz w:val="24"/>
          <w:highlight w:val="none"/>
          <w:lang w:val="en-US" w:eastAsia="zh-CN"/>
        </w:rPr>
        <w:t>118</w:t>
      </w:r>
      <w:r>
        <w:rPr>
          <w:rFonts w:hint="eastAsia" w:ascii="宋体" w:hAnsi="宋体" w:eastAsia="宋体" w:cs="宋体"/>
          <w:color w:val="auto"/>
          <w:sz w:val="24"/>
          <w:highlight w:val="none"/>
        </w:rPr>
        <w:t>万元；采购包2：</w:t>
      </w:r>
      <w:r>
        <w:rPr>
          <w:rFonts w:hint="eastAsia" w:ascii="宋体" w:hAnsi="宋体" w:cs="宋体"/>
          <w:color w:val="auto"/>
          <w:sz w:val="24"/>
          <w:highlight w:val="none"/>
          <w:lang w:val="en-US" w:eastAsia="zh-CN"/>
        </w:rPr>
        <w:t>113</w:t>
      </w:r>
      <w:r>
        <w:rPr>
          <w:rFonts w:hint="eastAsia" w:ascii="宋体" w:hAnsi="宋体" w:eastAsia="宋体" w:cs="宋体"/>
          <w:color w:val="auto"/>
          <w:sz w:val="24"/>
          <w:highlight w:val="none"/>
        </w:rPr>
        <w:t>万元</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采购包</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128</w:t>
      </w:r>
      <w:r>
        <w:rPr>
          <w:rFonts w:hint="eastAsia" w:ascii="宋体" w:hAnsi="宋体" w:eastAsia="宋体" w:cs="宋体"/>
          <w:color w:val="auto"/>
          <w:sz w:val="24"/>
          <w:highlight w:val="none"/>
        </w:rPr>
        <w:t>万元</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采购包</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154</w:t>
      </w:r>
      <w:r>
        <w:rPr>
          <w:rFonts w:hint="eastAsia" w:ascii="宋体" w:hAnsi="宋体" w:eastAsia="宋体" w:cs="宋体"/>
          <w:color w:val="auto"/>
          <w:sz w:val="24"/>
          <w:highlight w:val="none"/>
        </w:rPr>
        <w:t>万元</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采购包</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26.5</w:t>
      </w:r>
      <w:r>
        <w:rPr>
          <w:rFonts w:hint="eastAsia" w:ascii="宋体" w:hAnsi="宋体" w:eastAsia="宋体" w:cs="宋体"/>
          <w:color w:val="auto"/>
          <w:sz w:val="24"/>
          <w:highlight w:val="none"/>
        </w:rPr>
        <w:t>万元</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采购包</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133</w:t>
      </w:r>
      <w:r>
        <w:rPr>
          <w:rFonts w:hint="eastAsia" w:ascii="宋体" w:hAnsi="宋体" w:eastAsia="宋体" w:cs="宋体"/>
          <w:color w:val="auto"/>
          <w:sz w:val="24"/>
          <w:highlight w:val="none"/>
        </w:rPr>
        <w:t>万元，投标报价超过以上最高限价的投标无效。</w:t>
      </w:r>
    </w:p>
    <w:p w14:paraId="22FFCEB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采购方式：公开招标</w:t>
      </w:r>
    </w:p>
    <w:p w14:paraId="2A579B6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采购需</w:t>
      </w:r>
      <w:r>
        <w:rPr>
          <w:rFonts w:hint="eastAsia" w:ascii="宋体" w:hAnsi="宋体" w:eastAsia="宋体" w:cs="宋体"/>
          <w:color w:val="auto"/>
          <w:sz w:val="24"/>
          <w:highlight w:val="none"/>
        </w:rPr>
        <w:t>求：采购34台(套)计量标准设备，其中质量比较仪、便携式气体粉尘烟尘采样仪校验装置、精密露点仪、酸度计检定仪、出租汽车计价器检定装置、小角度检定仪、扭矩扳子检定仪、电脑量块比较仪、标准铂铐10-铂热电偶、热电偶校准炉、冰点恒温器、无创血压模拟仪、超声功率计、心、脑电图机检定仪(含智能化心脑电图机检定仪)医用注射泵和输液泵检测仪、测长机(精密测长机、万能测长机)、标准测力仪、智能数字压力校验仪、活塞式压力计(含全自动)、数字压力计、过程校验仪、验光仪顶焦度标准器客观式标准器、燃气表检定装置(含膜式)、多功能标准源(多功能校准源)、数字多用表、交流测试系统全站仪各1套，标准砝码组、温湿度试验设备自动检定系统各2套，黑体辐射源3台</w:t>
      </w:r>
      <w:r>
        <w:rPr>
          <w:rFonts w:hint="eastAsia" w:ascii="宋体" w:hAnsi="宋体" w:eastAsia="宋体" w:cs="宋体"/>
          <w:color w:val="auto"/>
          <w:sz w:val="24"/>
          <w:highlight w:val="none"/>
          <w:lang w:eastAsia="zh-CN"/>
        </w:rPr>
        <w:t>，</w:t>
      </w:r>
      <w:r>
        <w:rPr>
          <w:rFonts w:hint="eastAsia" w:ascii="宋体" w:hAnsi="宋体" w:eastAsia="宋体" w:cs="宋体"/>
          <w:color w:val="auto"/>
          <w:sz w:val="24"/>
          <w:szCs w:val="28"/>
          <w:highlight w:val="none"/>
        </w:rPr>
        <w:t>具体</w:t>
      </w:r>
      <w:r>
        <w:rPr>
          <w:rFonts w:hint="eastAsia" w:ascii="宋体" w:hAnsi="宋体" w:cs="宋体"/>
          <w:color w:val="auto"/>
          <w:sz w:val="24"/>
          <w:szCs w:val="28"/>
          <w:highlight w:val="none"/>
          <w:lang w:val="en-US" w:eastAsia="zh-CN"/>
        </w:rPr>
        <w:t>内容</w:t>
      </w:r>
      <w:r>
        <w:rPr>
          <w:rFonts w:hint="eastAsia" w:ascii="宋体" w:hAnsi="宋体" w:eastAsia="宋体" w:cs="宋体"/>
          <w:color w:val="auto"/>
          <w:sz w:val="24"/>
          <w:szCs w:val="28"/>
          <w:highlight w:val="none"/>
        </w:rPr>
        <w:t>详见招标文件第四章</w:t>
      </w:r>
      <w:r>
        <w:rPr>
          <w:rFonts w:hint="eastAsia" w:ascii="宋体" w:hAnsi="宋体" w:cs="宋体"/>
          <w:color w:val="auto"/>
          <w:sz w:val="24"/>
          <w:szCs w:val="28"/>
          <w:highlight w:val="none"/>
          <w:lang w:val="en-US" w:eastAsia="zh-CN"/>
        </w:rPr>
        <w:t>采购</w:t>
      </w:r>
      <w:r>
        <w:rPr>
          <w:rFonts w:hint="eastAsia" w:ascii="宋体" w:hAnsi="宋体" w:eastAsia="宋体" w:cs="宋体"/>
          <w:color w:val="auto"/>
          <w:sz w:val="24"/>
          <w:szCs w:val="28"/>
          <w:highlight w:val="none"/>
        </w:rPr>
        <w:t>需求</w:t>
      </w:r>
      <w:r>
        <w:rPr>
          <w:rFonts w:hint="eastAsia" w:ascii="宋体" w:hAnsi="宋体" w:eastAsia="宋体" w:cs="宋体"/>
          <w:color w:val="auto"/>
          <w:sz w:val="24"/>
          <w:highlight w:val="none"/>
        </w:rPr>
        <w:t>；</w:t>
      </w:r>
    </w:p>
    <w:p w14:paraId="1D14E09A">
      <w:pPr>
        <w:pBdr>
          <w:top w:val="none" w:color="auto" w:sz="0" w:space="1"/>
          <w:left w:val="none" w:color="auto" w:sz="0" w:space="4"/>
          <w:bottom w:val="none" w:color="auto" w:sz="0" w:space="1"/>
          <w:right w:val="none" w:color="auto" w:sz="0" w:space="4"/>
        </w:pBd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对本项目资格要求、采购需求、评标方法与评标标准等部分的询问、质疑请与采购人联系，由采购人负责答复。</w:t>
      </w:r>
    </w:p>
    <w:p w14:paraId="223EF7C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合同履行期限（交货期）：</w:t>
      </w:r>
      <w:r>
        <w:rPr>
          <w:rFonts w:hint="eastAsia" w:ascii="宋体" w:hAnsi="宋体" w:eastAsia="宋体" w:cs="宋体"/>
          <w:b w:val="0"/>
          <w:bCs w:val="0"/>
          <w:color w:val="auto"/>
          <w:sz w:val="24"/>
          <w:szCs w:val="24"/>
          <w:highlight w:val="none"/>
          <w:lang w:val="en-US" w:eastAsia="zh-CN"/>
        </w:rPr>
        <w:t>合同签订生效后</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个月。</w:t>
      </w:r>
    </w:p>
    <w:p w14:paraId="66A64E1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本项目（是/否）接受联合体投标：不接受联合体。</w:t>
      </w:r>
    </w:p>
    <w:p w14:paraId="1BBB5C4A">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二、申请人的资格要求</w:t>
      </w:r>
    </w:p>
    <w:p w14:paraId="58FA153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（一）满足《中华人民共和国政府采购法》第二十二条规定，并提供下列材料：</w:t>
      </w:r>
    </w:p>
    <w:p w14:paraId="7F09978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1.法人或者其他组织的营业执照等证明文件，自然人的身份证明；</w:t>
      </w:r>
    </w:p>
    <w:p w14:paraId="14E83A4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2.上一年度的财务状况报告</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(成立不满一年无需提供)</w:t>
      </w:r>
    </w:p>
    <w:p w14:paraId="6D1000D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3.依法缴纳税收和社会保障资金的相关材料；（提供提交投标文件截止时间前一年内至少一个月依法缴纳税收及缴纳社会保障资金的证明材料，供应商依法享受缓缴、免缴税收、社会保障资金的提供证明材料）</w:t>
      </w:r>
    </w:p>
    <w:p w14:paraId="071E7BF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（根据连财购〔2023〕4号文件精神，2、3项可以提供《财务状况报告及税收、社会保障资金缴纳情况承诺函》，详见第六章 投标文件格式）</w:t>
      </w:r>
    </w:p>
    <w:p w14:paraId="4AE73B1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4.具备履行合同所必需的设备和专业技术能力的声明及证明材料；</w:t>
      </w:r>
    </w:p>
    <w:p w14:paraId="00FF3B8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5.参加政府采购活动前3年内在经营活动中没有重大违法记录的书面声明；</w:t>
      </w:r>
    </w:p>
    <w:p w14:paraId="5BEA572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6.法律、行政法规规定的其他条件；（如有，请按要求提供）</w:t>
      </w:r>
    </w:p>
    <w:p w14:paraId="33D5FB4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投标文件中无需提供证明材料）</w:t>
      </w:r>
    </w:p>
    <w:p w14:paraId="255A08D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8.本项目不接受进口产品（进口产品是指通过中国海关报关验放进入中国境内且产自关境外的产品）。</w:t>
      </w:r>
    </w:p>
    <w:p w14:paraId="2B5FF7C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（二）落实政府采购政策需满足的资格要求：无。</w:t>
      </w:r>
    </w:p>
    <w:p w14:paraId="4E2CC7F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（三）本项目的特定资格要求：无。</w:t>
      </w:r>
    </w:p>
    <w:p w14:paraId="029FB0BE">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三、获取招标文件</w:t>
      </w:r>
    </w:p>
    <w:p w14:paraId="1627A48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日</w:t>
      </w:r>
      <w:r>
        <w:rPr>
          <w:rFonts w:hint="eastAsia" w:ascii="宋体" w:hAnsi="宋体" w:eastAsia="宋体" w:cs="宋体"/>
          <w:color w:val="auto"/>
          <w:sz w:val="24"/>
          <w:highlight w:val="none"/>
        </w:rPr>
        <w:t>23:59止（北京时间）</w:t>
      </w:r>
      <w:r>
        <w:rPr>
          <w:rFonts w:hint="eastAsia" w:ascii="宋体" w:hAnsi="宋体" w:eastAsia="宋体" w:cs="宋体"/>
          <w:color w:val="auto"/>
          <w:sz w:val="24"/>
          <w:szCs w:val="24"/>
          <w:highlight w:val="none"/>
        </w:rPr>
        <w:t>。</w:t>
      </w:r>
    </w:p>
    <w:p w14:paraId="6D4BC8D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地点：江苏政府采购网</w:t>
      </w:r>
    </w:p>
    <w:p w14:paraId="2673CB2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方式：供应商办理江苏省政府采购交易系统CA数字证书，登录“苏采云”政府采购交易系统，自行下载。</w:t>
      </w:r>
    </w:p>
    <w:p w14:paraId="000569E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14:paraId="7AC4DAC8">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四、提交投标文件截止时间、开标时间和地点</w:t>
      </w:r>
    </w:p>
    <w:p w14:paraId="405245C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提交投标文件截止时间：2026年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日9:00:00（北京时间）</w:t>
      </w:r>
    </w:p>
    <w:p w14:paraId="7B4B662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开标时间：提交投标文件截止时间</w:t>
      </w:r>
    </w:p>
    <w:p w14:paraId="3DADC69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开标地点：“苏采云”政府采购交易系统网上开标大厅</w:t>
      </w:r>
    </w:p>
    <w:p w14:paraId="790E2656">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五、公告期限</w:t>
      </w:r>
    </w:p>
    <w:p w14:paraId="538752A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708DC4B8">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六、其他补充事宜</w:t>
      </w:r>
    </w:p>
    <w:p w14:paraId="15A361D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1.本次招标不收取投标保证金。</w:t>
      </w:r>
    </w:p>
    <w:p w14:paraId="261DBA2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2.本招标文件中标注★的款项为实质性响应要求和条件，必须</w:t>
      </w:r>
      <w:r>
        <w:rPr>
          <w:rFonts w:hint="eastAsia" w:ascii="宋体" w:hAnsi="宋体" w:eastAsia="宋体" w:cs="宋体"/>
          <w:b/>
          <w:color w:val="auto"/>
          <w:sz w:val="24"/>
          <w:szCs w:val="24"/>
          <w:highlight w:val="none"/>
        </w:rPr>
        <w:t>逐条</w:t>
      </w:r>
      <w:r>
        <w:rPr>
          <w:rFonts w:hint="eastAsia" w:ascii="宋体" w:hAnsi="宋体" w:eastAsia="宋体" w:cs="宋体"/>
          <w:color w:val="auto"/>
          <w:sz w:val="24"/>
          <w:szCs w:val="24"/>
          <w:highlight w:val="none"/>
        </w:rPr>
        <w:t>做出满足要求和条件的响应，否则将按无效响应处理。</w:t>
      </w:r>
    </w:p>
    <w:p w14:paraId="48CBFDB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p>
    <w:p w14:paraId="6D39691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p>
    <w:p w14:paraId="6AA286D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请供应商按照《操作手册》要求获取招标文件，制作、递交（上传）电子投标文件，参加开标，澄清、说明或者补正。因供应商未按要求操作原因导致电子投标文件被拒绝、造成无效响应的，自行承担一切损失。</w:t>
      </w:r>
    </w:p>
    <w:p w14:paraId="74681BE2">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58015A8A">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七、对本次招标提出询问，请按以下方式联系</w:t>
      </w:r>
    </w:p>
    <w:p w14:paraId="23DFD09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6F636F7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连云港市计量检定测试中心</w:t>
      </w:r>
    </w:p>
    <w:p w14:paraId="079A477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8"/>
          <w:highlight w:val="none"/>
        </w:rPr>
        <w:t>连云港市海州区振华东路18号</w:t>
      </w:r>
    </w:p>
    <w:p w14:paraId="753A76A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w:t>
      </w:r>
      <w:r>
        <w:rPr>
          <w:rFonts w:hint="eastAsia" w:ascii="宋体" w:hAnsi="宋体" w:eastAsia="宋体" w:cs="宋体"/>
          <w:color w:val="auto"/>
          <w:sz w:val="24"/>
          <w:highlight w:val="none"/>
        </w:rPr>
        <w:t>田部长</w:t>
      </w:r>
    </w:p>
    <w:p w14:paraId="1F66BFA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highlight w:val="none"/>
        </w:rPr>
        <w:t>0518-85805305</w:t>
      </w:r>
    </w:p>
    <w:p w14:paraId="0953ECF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425433D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中和德汇工程技术有限公司</w:t>
      </w:r>
    </w:p>
    <w:p w14:paraId="615A262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8"/>
          <w:highlight w:val="none"/>
          <w:lang w:eastAsia="zh-CN"/>
        </w:rPr>
        <w:t>连云港市朝阳东路南瀛洲路东盛世嘉缘1幢3层5号</w:t>
      </w:r>
    </w:p>
    <w:p w14:paraId="7FAE623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人：陈工</w:t>
      </w:r>
    </w:p>
    <w:p w14:paraId="2E0CE8A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eastAsia="zh-CN"/>
        </w:rPr>
        <w:t>15805130180</w:t>
      </w:r>
    </w:p>
    <w:p w14:paraId="4074FB3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7A1928A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项目联系人：陈工</w:t>
      </w:r>
    </w:p>
    <w:p w14:paraId="63CD194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电      话：</w:t>
      </w:r>
      <w:r>
        <w:rPr>
          <w:rFonts w:hint="eastAsia" w:ascii="宋体" w:hAnsi="宋体" w:cs="宋体"/>
          <w:color w:val="auto"/>
          <w:sz w:val="24"/>
          <w:szCs w:val="24"/>
          <w:highlight w:val="none"/>
          <w:lang w:eastAsia="zh-CN"/>
        </w:rPr>
        <w:t>15805130180</w:t>
      </w:r>
    </w:p>
    <w:p w14:paraId="3CA1F5A3">
      <w:pPr>
        <w:widowControl/>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Cs/>
          <w:color w:val="auto"/>
          <w:sz w:val="44"/>
          <w:szCs w:val="44"/>
          <w:highlight w:val="none"/>
        </w:rPr>
      </w:pPr>
      <w:r>
        <w:rPr>
          <w:rFonts w:hint="eastAsia" w:ascii="宋体" w:hAnsi="宋体" w:eastAsia="宋体" w:cs="宋体"/>
          <w:b/>
          <w:color w:val="auto"/>
          <w:highlight w:val="none"/>
        </w:rPr>
        <w:br w:type="page" w:clear="all"/>
      </w:r>
    </w:p>
    <w:p w14:paraId="26C44C39">
      <w:pPr>
        <w:pStyle w:val="231"/>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val="0"/>
          <w:color w:val="auto"/>
          <w:highlight w:val="none"/>
        </w:rPr>
      </w:pPr>
      <w:bookmarkStart w:id="1" w:name="_Toc165205795"/>
      <w:r>
        <w:rPr>
          <w:rFonts w:hint="eastAsia" w:ascii="宋体" w:hAnsi="宋体" w:eastAsia="宋体" w:cs="宋体"/>
          <w:b w:val="0"/>
          <w:color w:val="auto"/>
          <w:highlight w:val="none"/>
        </w:rPr>
        <w:t>第二章  供应商须知</w:t>
      </w:r>
      <w:bookmarkEnd w:id="1"/>
    </w:p>
    <w:p w14:paraId="1B19F761">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一、总则</w:t>
      </w:r>
    </w:p>
    <w:p w14:paraId="6E328641">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1、采购方式</w:t>
      </w:r>
    </w:p>
    <w:p w14:paraId="1456FD5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38261CC6">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2、合格的供应商</w:t>
      </w:r>
    </w:p>
    <w:p w14:paraId="4C4265C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满足招标公告中申请人的资格要求的规定。</w:t>
      </w:r>
    </w:p>
    <w:p w14:paraId="0697344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7C1F523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满足本招标文件全部实质性要求和条件的规定。</w:t>
      </w:r>
    </w:p>
    <w:p w14:paraId="1B52BDA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符合上述条件的供应商应承担投标及履约过程应承担的全部责任与义务。</w:t>
      </w:r>
    </w:p>
    <w:p w14:paraId="0B068DE9">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3、适用法律</w:t>
      </w:r>
    </w:p>
    <w:p w14:paraId="5050B79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2DE4DFDB">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4、投标费用</w:t>
      </w:r>
    </w:p>
    <w:p w14:paraId="60E0552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供应商应自行承担所有与参与投标有关的费用，无论投标过程中的做法和结果如何，采购人和</w:t>
      </w:r>
      <w:r>
        <w:rPr>
          <w:rFonts w:hint="eastAsia" w:ascii="宋体" w:hAnsi="宋体" w:cs="宋体"/>
          <w:color w:val="auto"/>
          <w:sz w:val="24"/>
          <w:szCs w:val="24"/>
          <w:highlight w:val="none"/>
          <w:lang w:eastAsia="zh-CN"/>
        </w:rPr>
        <w:t>中和德汇工程技术有限公司</w:t>
      </w:r>
      <w:r>
        <w:rPr>
          <w:rFonts w:hint="eastAsia" w:ascii="宋体" w:hAnsi="宋体" w:eastAsia="宋体" w:cs="宋体"/>
          <w:color w:val="auto"/>
          <w:sz w:val="24"/>
          <w:szCs w:val="24"/>
          <w:highlight w:val="none"/>
        </w:rPr>
        <w:t>（以下简称采购代理机构）在任何情况下均无义务和责任承担这些费用。</w:t>
      </w:r>
    </w:p>
    <w:p w14:paraId="6D935C6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供应商投标时报价须当包含代理费（供应商在投标报价时可综合考虑此费用，不单列）。依据本项目委托代理协议约定，本项目招标代理服务费按《江苏省招标代理服务收费的指导意见》苏招协（2022）002号标准收取，共收取29500元，由中标人支付。</w:t>
      </w:r>
      <w:r>
        <w:rPr>
          <w:rFonts w:hint="eastAsia" w:ascii="宋体" w:hAnsi="宋体" w:cs="宋体"/>
          <w:color w:val="auto"/>
          <w:sz w:val="24"/>
          <w:szCs w:val="24"/>
          <w:highlight w:val="none"/>
          <w:lang w:val="en-US" w:eastAsia="zh-CN"/>
        </w:rPr>
        <w:t>其中采购包1、2、3、4、6各5000元，采购包5为4500元。</w:t>
      </w:r>
      <w:r>
        <w:rPr>
          <w:rFonts w:hint="eastAsia" w:ascii="宋体" w:hAnsi="宋体" w:eastAsia="宋体" w:cs="宋体"/>
          <w:color w:val="auto"/>
          <w:sz w:val="24"/>
          <w:szCs w:val="24"/>
          <w:highlight w:val="none"/>
        </w:rPr>
        <w:t>支付方式：电汇、网银、现金。</w:t>
      </w:r>
    </w:p>
    <w:p w14:paraId="4AE65E41">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5、招标文件的约束力</w:t>
      </w:r>
    </w:p>
    <w:p w14:paraId="73FB4BA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供应商一旦参与本项目采购活动，即被认为接受了本招标文件的规定和约束。</w:t>
      </w:r>
    </w:p>
    <w:p w14:paraId="608F62C7">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二、招标文件</w:t>
      </w:r>
    </w:p>
    <w:p w14:paraId="1AE2A254">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6、招标文件的构成</w:t>
      </w:r>
    </w:p>
    <w:p w14:paraId="14C087C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招标文件由以下部分构成：</w:t>
      </w:r>
    </w:p>
    <w:p w14:paraId="4CF5330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7645109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304DEF8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139A5E9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20F9FC8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4525D7D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229F992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请仔细检查招标文件是否齐全，如有缺漏请立即与采购代理机构联系解决。</w:t>
      </w:r>
    </w:p>
    <w:p w14:paraId="414949A3">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7、招标文件的澄清</w:t>
      </w:r>
    </w:p>
    <w:p w14:paraId="61FC6AB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任何要求对招标文件进行澄清的供应商，应在投标截止时间十日前按招标公告中的通讯地址，以书面形式通知采购人或者采购代理机构。</w:t>
      </w:r>
    </w:p>
    <w:p w14:paraId="1F0AFD96">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8、招标文件的修改</w:t>
      </w:r>
    </w:p>
    <w:p w14:paraId="757AEDD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在投标截止时间前，采购人和采购代理机构可以对招标文件进行修改。</w:t>
      </w:r>
    </w:p>
    <w:p w14:paraId="189D3B9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采购人和采购代理机构有权按照法定的要求推迟投标截止时间和开标时间。</w:t>
      </w:r>
    </w:p>
    <w:p w14:paraId="5553741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招标文件的修改将在江苏政府采购网公布，补充文件将作为招标文件的组成部分，并对供应商具有约束力。</w:t>
      </w:r>
    </w:p>
    <w:p w14:paraId="1DAE09DB">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三、投标文件编制</w:t>
      </w:r>
    </w:p>
    <w:p w14:paraId="55916259">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9、投标文件编写注意事项</w:t>
      </w:r>
    </w:p>
    <w:p w14:paraId="7BFF6EF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0FE7678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p>
    <w:p w14:paraId="3A1730E2">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10、投标文件的语言及度量衡单位</w:t>
      </w:r>
    </w:p>
    <w:p w14:paraId="33AEA34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p>
    <w:p w14:paraId="22C90A5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除技术性能另有规定外，投标文件所使用的度量衡单位，均须采用国家法定计量单位。</w:t>
      </w:r>
    </w:p>
    <w:p w14:paraId="6791A50F">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11、投标文件的构成</w:t>
      </w:r>
    </w:p>
    <w:p w14:paraId="41008F0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供应商编写的投标文件应包括资格证明文件、符合性证明文件、投标分项报价表、技术要求响应及偏离表、商务要求响应及偏离表、其他证明文件、投标函、开标一览表等部分。</w:t>
      </w:r>
    </w:p>
    <w:p w14:paraId="0A6D8E8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如投标文件制作工具中格式和内容与江苏政府采购网发布的招标文件不一致，请以江苏政府采购网发布的招标文件为准。</w:t>
      </w:r>
    </w:p>
    <w:p w14:paraId="797847B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特别提醒供应商，混乱的编排导致投标文件被误读或评标委员会（以下简称评委会）查找不到有效文件是供应商的风险。</w:t>
      </w:r>
    </w:p>
    <w:p w14:paraId="10095424">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12、证明供应商及投标标的符合招标文件规定的文件</w:t>
      </w:r>
    </w:p>
    <w:p w14:paraId="162ADD5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供应商应按照招标文件要求提交证明文件，证明其及投标标的符合招标文件规定。</w:t>
      </w:r>
    </w:p>
    <w:p w14:paraId="314C56F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招标文件对证明文件无明确形式要求的，证明文件可以以文字资料、图纸和数据等形式提交。</w:t>
      </w:r>
    </w:p>
    <w:p w14:paraId="2C8994A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供应商委托代理时应当提交授权委托书，请按招标文件第六章给定格式及要求填写并附法定代表人（单位负责人）与委托代理人身份证明。</w:t>
      </w:r>
    </w:p>
    <w:p w14:paraId="68F67665">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highlight w:val="none"/>
        </w:rPr>
      </w:pPr>
      <w:r>
        <w:rPr>
          <w:rFonts w:hint="eastAsia" w:ascii="宋体" w:hAnsi="宋体" w:eastAsia="宋体" w:cs="宋体"/>
          <w:color w:val="auto"/>
          <w:sz w:val="28"/>
          <w:szCs w:val="28"/>
          <w:highlight w:val="none"/>
        </w:rPr>
        <w:t>13、投标分项报价表</w:t>
      </w:r>
    </w:p>
    <w:p w14:paraId="797C3ED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投标报价指货物（标的）的报价和标准附件、备品备件、专用工具、运输、装卸、验收合格所需的各种费用及必要的保险费用和各项税金等所有费用的总和。投标报价为现场交货价，投标报价必须含以下部分：</w:t>
      </w:r>
    </w:p>
    <w:p w14:paraId="230D1A6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（1）投标的货物总价；</w:t>
      </w:r>
    </w:p>
    <w:p w14:paraId="6A2C15D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（2）货物的标准附件、备品备件、专用工具、运输、装卸等各种费用；</w:t>
      </w:r>
    </w:p>
    <w:p w14:paraId="489E31B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（3）必要的保险费用和各项税金；</w:t>
      </w:r>
    </w:p>
    <w:p w14:paraId="3DA44B0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（4）投标总价要求包含安装维保费用。</w:t>
      </w:r>
    </w:p>
    <w:p w14:paraId="110DA7C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供应商应根据投标报价要求在投标分项报价表中列明各项投标单价、总价等，未全部列示的作无效响应处理。</w:t>
      </w:r>
    </w:p>
    <w:p w14:paraId="067C848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投标文件中的单价和总价无特殊规定的采用人民币报价，以元为单位标注。招标文件中另有规定的按规定执行。</w:t>
      </w:r>
    </w:p>
    <w:p w14:paraId="1B3DBD9B">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14、技术要求响应及偏离表、商务要求响应及偏离表</w:t>
      </w:r>
    </w:p>
    <w:p w14:paraId="7300EAD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p>
    <w:p w14:paraId="6E09782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供应商可在投标文件中提供认为需要的其他技术文件或说明。</w:t>
      </w:r>
    </w:p>
    <w:p w14:paraId="08E81002">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15、服务承诺、培训计划、人员安排及其他</w:t>
      </w:r>
    </w:p>
    <w:p w14:paraId="578A9BB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供应商应根据招标文件要求提供有关售后服务的管理制度，售后服务机构的分布情况，售后服务人员的数量、素质、技术水平及售后服务的反应能力等。</w:t>
      </w:r>
    </w:p>
    <w:p w14:paraId="7D86B89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供应商应根据招标文件要求提供培训计划、人员安排等。</w:t>
      </w:r>
    </w:p>
    <w:p w14:paraId="27A3C71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供应商应根据招标文件要求提供所投标的的主要组成部分、功能设计、实现思路及关键技术等。</w:t>
      </w:r>
    </w:p>
    <w:p w14:paraId="56DC7F91">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16、投标函和开标一览表</w:t>
      </w:r>
    </w:p>
    <w:p w14:paraId="5CDAA15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供应商应按照招标文件提供的格式完整、正确填写投标函、开标一览表。</w:t>
      </w:r>
    </w:p>
    <w:p w14:paraId="24417A2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对于采用货币报价的项目，开标一览表中的投标总报价应与投标分项报价表中的投标总报价一致，如不一致，不作无效投标处理，但评标时以开标一览表中价格为准。</w:t>
      </w:r>
    </w:p>
    <w:p w14:paraId="390EDCCF">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17、投标有效期</w:t>
      </w:r>
    </w:p>
    <w:p w14:paraId="79011CE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投标有效期为招标文件规定的开标之日后一百二十（120）天。投标有效期比规定短的将被视为未实质性响应招标文件而予以拒绝。</w:t>
      </w:r>
    </w:p>
    <w:p w14:paraId="6F1347F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p>
    <w:p w14:paraId="70FC413E">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38E1AA69">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四、投标文件递交</w:t>
      </w:r>
    </w:p>
    <w:p w14:paraId="4A456134">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18、电子投标文件的递交</w:t>
      </w:r>
    </w:p>
    <w:p w14:paraId="3B659A9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供应商应当按照《操作手册》规定，在投标截止时间前制作并递交（上传）电子投标文件。</w:t>
      </w:r>
    </w:p>
    <w:p w14:paraId="672A7109">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19、投标截止时间</w:t>
      </w:r>
    </w:p>
    <w:p w14:paraId="6808F38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供应商递交（上传）电子投标文件的时间不得迟于招标公告中规定的投标截止时间。</w:t>
      </w:r>
    </w:p>
    <w:p w14:paraId="37DB91F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供应商应充分考虑计算机硬件、软件及网络环境等风险因素，如因供应商自身原因造成电子投标文件递交（上传）不成功的按照本招标文件第二章第27.1条规定作无效投标处理。</w:t>
      </w:r>
    </w:p>
    <w:p w14:paraId="1AFD1C2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采购人和采购代理机构可以按照规定，通过修改招标文件酌情延长投标截止时间，在此情况下，供应商的所有权利和义务以及供应商受制的截止时间均应以延长后新的截止时间为准。</w:t>
      </w:r>
    </w:p>
    <w:p w14:paraId="48CA2C24">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20、投标文件的拒收</w:t>
      </w:r>
    </w:p>
    <w:p w14:paraId="710EAEE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采购代理机构拒绝接收在招标文件规定的投标截止时间后递交（上传）的任何投标文件。</w:t>
      </w:r>
    </w:p>
    <w:p w14:paraId="0FBEF453">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21、投标文件的撤回和修改</w:t>
      </w:r>
    </w:p>
    <w:p w14:paraId="29F59AE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供应商可在投标截止时间前，撤回其电子投标文件，具体操作方法见《操作手册》。供应商撤回电子投标文件的，则认为其不再参与本项目采购活动。</w:t>
      </w:r>
    </w:p>
    <w:p w14:paraId="70D5167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供应商可在投标截止时间前，对其电子投标文件进行修改，具体操作方法见《操作手册》。在投标截止时间之后，供应商不得对其电子投标文件做任何修改。</w:t>
      </w:r>
    </w:p>
    <w:p w14:paraId="53D12B0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在投标截止时间至招标文件规定的投标有效期满之间的这段时间内，供应商不得撤回其投标。</w:t>
      </w:r>
    </w:p>
    <w:p w14:paraId="1A043E17">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五、开标与评标</w:t>
      </w:r>
    </w:p>
    <w:p w14:paraId="31A99FA9">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22、开标</w:t>
      </w:r>
    </w:p>
    <w:p w14:paraId="4C91EBA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采购代理机构将在招标公告中规定的时间和地点组织公开开标。供应商应当按时参加开标活动，并在“苏采云”系统规定的时间内对其投标文件进行解密。</w:t>
      </w:r>
    </w:p>
    <w:p w14:paraId="4DC1DD9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开标仪式由采购代理机构组织。“苏采云”系统将自动对项目进行开标，并宣布各供应商名称和投标价格。</w:t>
      </w:r>
    </w:p>
    <w:p w14:paraId="6273F82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供应商在开标过程中涉及到的投标文件解密、开标结果确认等工作，应当按照《操作手册》规定执行。</w:t>
      </w:r>
    </w:p>
    <w:p w14:paraId="7EF7901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 供应商如果对开标过程和开标记录有疑义，应当按照《操作手册》规定提出，未在“苏采云”系统《开标记录表》宣布后5分钟内提出的，视同认可开标结果。</w:t>
      </w:r>
    </w:p>
    <w:p w14:paraId="3D38ABA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22.5 供应商未参加开标的，视同认可开标结果。</w:t>
      </w:r>
    </w:p>
    <w:p w14:paraId="6F3D0E2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22.6 供应商在开标、评标全过程中应保持通讯畅通，及时登录“苏采云”系统查阅、答复相关信息，并安排专人与采购代理机构及评委会联系。</w:t>
      </w:r>
    </w:p>
    <w:p w14:paraId="091CBD4E">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23、评标委员会</w:t>
      </w:r>
    </w:p>
    <w:p w14:paraId="1285634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开标后，采购代理机构将组织评委会进行评标。</w:t>
      </w:r>
    </w:p>
    <w:p w14:paraId="1CFBA3C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评委会由采购人代表和有关技术、经济等方面的评审专家组成，且人员构成符合政府采购有关规定。</w:t>
      </w:r>
    </w:p>
    <w:p w14:paraId="0F681CA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 评委会按照采购文件规定的评审程序、评审方法和评审标准进行独立评审并确定中标候选人。</w:t>
      </w:r>
    </w:p>
    <w:p w14:paraId="6CD26E26">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24、评标过程的保密与公正</w:t>
      </w:r>
    </w:p>
    <w:p w14:paraId="14E220F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凡是与审查、澄清、评价和比较投标的有关资料以及授标建议等，采购人、评审专家、采购代理机构均不得向供应商或与评标无关的其他人员透露。</w:t>
      </w:r>
    </w:p>
    <w:p w14:paraId="2ECAA76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在评标过程中，供应商不得以任何行为影响评标过程，否则其投标文件将被作为无效投标文件。</w:t>
      </w:r>
    </w:p>
    <w:p w14:paraId="1BF1D7E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 采购代理机构和评委会不向未中标的供应商解释未中标原因，也不公布评标过程中的相关细节。</w:t>
      </w:r>
    </w:p>
    <w:p w14:paraId="0E04D9D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采用综合评分法的项目，未中标的供应商可于中标结果公告期限届满之日起通过“苏采云”系统查看自己的评审得分及排序情况。</w:t>
      </w:r>
    </w:p>
    <w:p w14:paraId="63A5F160">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25、投标文件的澄清</w:t>
      </w:r>
    </w:p>
    <w:p w14:paraId="6AE5BF2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 评标期间，评委会对投标文件中含义不明确、同类问题表述不一致或者有明显文字和计算错误的内容，有权要求供应商作出必要的澄清、说明或者补正。</w:t>
      </w:r>
    </w:p>
    <w:p w14:paraId="61897A7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供应商的澄清、说明或者补正应当采用书面形式，并加盖公章，或者由法定代表人（单位负责人）或其授权的代表签字。供应商的澄清、说明或者补正不得超出投标文件的范围或者改变投标文件的实质性内容。</w:t>
      </w:r>
    </w:p>
    <w:p w14:paraId="7395193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评委会并非对每个供应商都提出澄清、说明或者补正要求。</w:t>
      </w:r>
    </w:p>
    <w:p w14:paraId="3DB689E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p>
    <w:p w14:paraId="38A38E8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 接到评委会澄清、说明或者补正要求的供应商如未按要求响应，其风险由供应商自行承担。</w:t>
      </w:r>
    </w:p>
    <w:p w14:paraId="740DC40E">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26、对投标文件的审查</w:t>
      </w:r>
    </w:p>
    <w:p w14:paraId="3FCA3E8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 投标文件审查分为资格审查和符合性审查。</w:t>
      </w:r>
    </w:p>
    <w:p w14:paraId="2F8A1CC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（1）资格审查：采购人依据法律法规和招标文件的规定，对投标文件中的资格证明文件进行审查。资格审查的结论，采购人以书面形式向评委会进行反馈。</w:t>
      </w:r>
    </w:p>
    <w:p w14:paraId="3E799E5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采购人在进行资格审查的同时，将在信用中国网站（www.creditchina.gov.cn）、中国政府采购网（www.ccgp.gov.cn）查询供应商的信用记录，以确定供应商是否具备投标资格，查询结果留存并归档。</w:t>
      </w:r>
    </w:p>
    <w:p w14:paraId="686B8E0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接受联合体的项目，两个以上的自然人、法人或者其他组织组成一个联合体，以一个供应商的身份共同参与政府采购活动的，联合体成员中任何一方存在不良信用记录的，视同联合体存在不良信用记录。</w:t>
      </w:r>
    </w:p>
    <w:p w14:paraId="101BC87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p>
    <w:p w14:paraId="2994CCE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未通过资格审查或符合性审查的供应商，将通过“苏采云”系统中告知其未通过的原因，评审结束后，将不再告知。</w:t>
      </w:r>
    </w:p>
    <w:p w14:paraId="79EEE3F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所谓重大偏离</w:t>
      </w:r>
      <w:r>
        <w:rPr>
          <w:rFonts w:hint="eastAsia" w:ascii="宋体" w:hAnsi="宋体" w:eastAsia="宋体" w:cs="宋体"/>
          <w:color w:val="auto"/>
          <w:sz w:val="24"/>
          <w:highlight w:val="none"/>
        </w:rPr>
        <w:t>是指</w:t>
      </w:r>
      <w:r>
        <w:rPr>
          <w:rFonts w:hint="eastAsia" w:ascii="宋体" w:hAnsi="宋体" w:eastAsia="宋体" w:cs="宋体"/>
          <w:color w:val="auto"/>
          <w:sz w:val="24"/>
          <w:szCs w:val="24"/>
          <w:highlight w:val="none"/>
        </w:rPr>
        <w:t>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p>
    <w:p w14:paraId="43B32D4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26.3如果投标文件实质上没有响应招标文件的要求，评委会将予以拒绝，供应商不得通过修改或撤销不符合要求的偏离而使其投标成为实质性响应的投标。</w:t>
      </w:r>
    </w:p>
    <w:p w14:paraId="017BD02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 评委会将对确定为实质性响应的投标进行进一步审核，看其是否有计算上或累加上的算术错误，修正错误的原则如下：</w:t>
      </w:r>
    </w:p>
    <w:p w14:paraId="6453287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5570E54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6FCD974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26C20D2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47504C2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48C0B4C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 评委会将按上述修正错误的方法调整投标文件中的投标报价，并通过“苏采云”系统告知供应商，调整后的价格对供应商具有约束力。如果供应商不接受修正后的价格，则其投标将被拒绝。</w:t>
      </w:r>
    </w:p>
    <w:p w14:paraId="525A4AB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p>
    <w:p w14:paraId="74941B9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p>
    <w:p w14:paraId="74B64BE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非单一产品采购项目，招标文件中将载明核心产品。多家供应商提供的核心产品品牌相同的，按前两款规定处理。</w:t>
      </w:r>
    </w:p>
    <w:p w14:paraId="5E61703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26.7政府采购异常低价审查：</w:t>
      </w:r>
    </w:p>
    <w:p w14:paraId="0237DC96">
      <w:pPr>
        <w:pStyle w:val="1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（1）评审过程中出现下列情形之一的，评标委员会小组应当启动异常低价投标（响应）审查程序：</w:t>
      </w:r>
    </w:p>
    <w:p w14:paraId="28F5F63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①投标（响应）报价低于全部通过符合性审查供应商投标（响应）报价平均值50%的，即投标（响应）报价&lt;全部通过符合性审查供应商投标（响应）报价平均值×50%；</w:t>
      </w:r>
    </w:p>
    <w:p w14:paraId="3A53204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②投标（响应）报价低于通过符合性审查的次低报价供应商投标（响应）报价50%的，即投标（响应）报价&lt;通过符合性审查的次低报价供应商投标（响应）报价×50%；</w:t>
      </w:r>
    </w:p>
    <w:p w14:paraId="4FFBB2B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③投标（响应）报价低于采购项目最高限价45%的，即投标（响应）报价&lt;采购项目最高限价×45%；</w:t>
      </w:r>
    </w:p>
    <w:p w14:paraId="665552F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④评审委员会基于专业判断，认为供应商报价过低，有可能影响产品质量或者不能诚信履约的其他情形。</w:t>
      </w:r>
    </w:p>
    <w:p w14:paraId="0B297A1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（2）评审委员会启动异常低价投标（响应）审查后，属于前述第</w:t>
      </w:r>
      <w:r>
        <w:rPr>
          <w:rFonts w:hint="eastAsia" w:ascii="宋体" w:hAnsi="宋体" w:eastAsia="宋体" w:cs="宋体"/>
          <w:color w:val="auto"/>
          <w:sz w:val="24"/>
          <w:szCs w:val="24"/>
          <w:highlight w:val="none"/>
        </w:rPr>
        <w:t>①</w:t>
      </w:r>
      <w:r>
        <w:rPr>
          <w:rFonts w:hint="eastAsia" w:ascii="宋体" w:hAnsi="宋体" w:eastAsia="宋体" w:cs="宋体"/>
          <w:color w:val="auto"/>
          <w:sz w:val="24"/>
          <w:highlight w:val="none"/>
        </w:rPr>
        <w:t>项至第</w:t>
      </w:r>
      <w:r>
        <w:rPr>
          <w:rFonts w:hint="eastAsia" w:ascii="宋体" w:hAnsi="宋体" w:eastAsia="宋体" w:cs="宋体"/>
          <w:color w:val="auto"/>
          <w:sz w:val="24"/>
          <w:szCs w:val="24"/>
          <w:highlight w:val="none"/>
        </w:rPr>
        <w:t>④</w:t>
      </w:r>
      <w:r>
        <w:rPr>
          <w:rFonts w:hint="eastAsia" w:ascii="宋体" w:hAnsi="宋体" w:eastAsia="宋体" w:cs="宋体"/>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975037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AF3D4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 w:val="24"/>
          <w:highlight w:val="none"/>
        </w:rPr>
        <w:t>评委会将书面方式要求其在合理的时间内提供书面说明、证明材料。供应商可在投标（响应）文件中提供项目具体成本测算等与报价合理性相关的书面说明及相关证明材料，对投标（响应）价格作出解释，便于评审。</w:t>
      </w:r>
    </w:p>
    <w:p w14:paraId="311CD2CA">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27、无效投标条款和废标条款</w:t>
      </w:r>
    </w:p>
    <w:p w14:paraId="52CEE8D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无效投标条款：</w:t>
      </w:r>
    </w:p>
    <w:p w14:paraId="7C1BE29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（1）供应商未按照招标文件要求递交（上传）电子投标文件的。</w:t>
      </w:r>
    </w:p>
    <w:p w14:paraId="30A3FD2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（2）供应商在“苏采云”系统规定的时间内未成功解密电子投标文件的。</w:t>
      </w:r>
    </w:p>
    <w:p w14:paraId="316EA2C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（3）供应商不具备招标文件中规定的资格要求的。</w:t>
      </w:r>
    </w:p>
    <w:p w14:paraId="2B6004A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6E9A73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（5）供应商提交两个（含两个）以上不同的投标报价的。</w:t>
      </w:r>
    </w:p>
    <w:p w14:paraId="0110D91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（6）供应商的报价超过了采购预算或者最高限价的。</w:t>
      </w:r>
    </w:p>
    <w:p w14:paraId="64DE3FF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p>
    <w:p w14:paraId="622A1DC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（8）不符合招标文件规定的实质性要求和条件的。（本招标文件中★的款项为实质性要求和条件）</w:t>
      </w:r>
    </w:p>
    <w:p w14:paraId="35386EE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p>
    <w:p w14:paraId="15ED38B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（10）供应商未通过符合性审查的。</w:t>
      </w:r>
    </w:p>
    <w:p w14:paraId="796413E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（11）投标文件含有采购人不能接受的附加条件的。</w:t>
      </w:r>
    </w:p>
    <w:p w14:paraId="1DB797B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（12）投标文件未按照招标文件要求加盖公章（CA电子公章）的。</w:t>
      </w:r>
    </w:p>
    <w:p w14:paraId="06909A1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（13）其他法律、法规及本招标文件规定的属于无效投标的情形。</w:t>
      </w:r>
    </w:p>
    <w:p w14:paraId="30AF37B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有下列情形之一的，视为供应商串通投标，投标无效：</w:t>
      </w:r>
    </w:p>
    <w:p w14:paraId="44D3B59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（1）不同供应商的投标文件由同一单位或者个人编制。</w:t>
      </w:r>
    </w:p>
    <w:p w14:paraId="20404E8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（2）不同供应商委托同一单位或者个人办理投标事宜。</w:t>
      </w:r>
    </w:p>
    <w:p w14:paraId="0AE83F5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（3）不同供应商的投标文件载明的项目管理成员或者联系人员为同一人。</w:t>
      </w:r>
    </w:p>
    <w:p w14:paraId="4E75DFF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（4）不同供应商的投标文件异常一致或者投标报价呈规律性差异。</w:t>
      </w:r>
    </w:p>
    <w:p w14:paraId="0ECF304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（5）不同供应商的投标文件相互混装。</w:t>
      </w:r>
    </w:p>
    <w:p w14:paraId="663D80F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废标条款：</w:t>
      </w:r>
    </w:p>
    <w:p w14:paraId="45CB967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（1）因“苏采云”系统故障原因造成开标不成功的。</w:t>
      </w:r>
    </w:p>
    <w:p w14:paraId="7AADF33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（2）评委会认定招标文件存在歧义、重大缺陷导致评标工作无法进行，或者招标文件内容违反国家有关强制性规定的。</w:t>
      </w:r>
    </w:p>
    <w:p w14:paraId="4216BC6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（3）符合专业条件的供应商或者对招标文件作实质响应的供应商不足三家的。</w:t>
      </w:r>
    </w:p>
    <w:p w14:paraId="4E29314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（4）出现影响采购公正的违法、违规行为的。</w:t>
      </w:r>
    </w:p>
    <w:p w14:paraId="3462759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（5）因重大变故，采购任务取消的。</w:t>
      </w:r>
    </w:p>
    <w:p w14:paraId="2B3407D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 出现投标截止时间结束后参加投标的供应商或者在评标期间对招标文件做出实质响应的供应商不足三家情况的，按照政府采购有关规定执行。</w:t>
      </w:r>
    </w:p>
    <w:p w14:paraId="4A17558C">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六、定标</w:t>
      </w:r>
    </w:p>
    <w:p w14:paraId="43E5812C">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28、确定中标单位</w:t>
      </w:r>
    </w:p>
    <w:p w14:paraId="3452C4B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p>
    <w:p w14:paraId="162AA3E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采购人应根据评委会推荐的中标候选人确定中标人。</w:t>
      </w:r>
    </w:p>
    <w:p w14:paraId="7D48FF9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 采购代理机构将在江苏政府采购网发布中标公告，公告期限为1个工作日。</w:t>
      </w:r>
    </w:p>
    <w:p w14:paraId="0BA5E52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 若有充分证据证明，中标人存在下列情形之一的，一经查实，将被取消中标资格：</w:t>
      </w:r>
    </w:p>
    <w:p w14:paraId="22CCFCA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（1）提供虚假材料谋取中标、成交的。</w:t>
      </w:r>
    </w:p>
    <w:p w14:paraId="49B92EB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（2）采取不正当手段诋毁、排挤其他供应商的。</w:t>
      </w:r>
    </w:p>
    <w:p w14:paraId="61C3020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（3）与采购人、其他供应商或者采购代理机构恶意串通的。</w:t>
      </w:r>
    </w:p>
    <w:p w14:paraId="214CF58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（4）向采购人、采购代理机构行贿或者提供其他不正当利益的。</w:t>
      </w:r>
    </w:p>
    <w:p w14:paraId="4E80C29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（5）在招标采购过程中与采购人进行协商谈判的。</w:t>
      </w:r>
    </w:p>
    <w:p w14:paraId="18A7F64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（6）属于本招标文件规定的无效情形，但在评标过程中又未被评委会发现的。</w:t>
      </w:r>
    </w:p>
    <w:p w14:paraId="2B27D517">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29、中标通知书</w:t>
      </w:r>
    </w:p>
    <w:p w14:paraId="37A9224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15752A0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 中标通知书将作为政府采购合同的一个组成部分。对采购人和中标人均具有法律效力。中标通知书发出后，采购人改变中标结果的，或者中标人放弃中标项目的，应当依法承担法律责任。</w:t>
      </w:r>
    </w:p>
    <w:p w14:paraId="35D76E3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 中标人应在中标后七个工作日内，向采购代理机构提供四份与电子投标文件一致的纸质打印胶装投标文件，封面、骑缝需加盖公章。</w:t>
      </w:r>
    </w:p>
    <w:p w14:paraId="5E533D43">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七、授予合同</w:t>
      </w:r>
    </w:p>
    <w:p w14:paraId="199EBD70">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30、履约保证金</w:t>
      </w:r>
    </w:p>
    <w:p w14:paraId="6CF4219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553A6CB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 中标人违约的，采购人将按照合同约定扣除其全部或部分履约保证金。如中标人违约给采购人造成的损失超过履约保证金的，应当依法赔偿超过部分的损失。</w:t>
      </w:r>
    </w:p>
    <w:p w14:paraId="432EDA5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 履约保证金自合同生效之日起至合同约定的中标人主要义务履行完毕止，采购人应当按合同约定及时退还履约保证金。</w:t>
      </w:r>
    </w:p>
    <w:p w14:paraId="7AFD0BB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30.4 逾期退还履约保证金的采购人承担违约责任，按照中国人民银行同期贷款基准利率向中标人支付超期资金占用费。</w:t>
      </w:r>
    </w:p>
    <w:p w14:paraId="4137D18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30.5 本项目</w:t>
      </w:r>
      <w:r>
        <w:rPr>
          <w:rFonts w:hint="eastAsia" w:ascii="宋体" w:hAnsi="宋体" w:cs="宋体"/>
          <w:b/>
          <w:bCs/>
          <w:color w:val="auto"/>
          <w:sz w:val="24"/>
          <w:szCs w:val="24"/>
          <w:highlight w:val="none"/>
          <w:lang w:val="en-US" w:eastAsia="zh-CN"/>
        </w:rPr>
        <w:t>不收取</w:t>
      </w:r>
      <w:r>
        <w:rPr>
          <w:rFonts w:hint="eastAsia" w:ascii="宋体" w:hAnsi="宋体" w:eastAsia="宋体" w:cs="宋体"/>
          <w:b/>
          <w:bCs/>
          <w:color w:val="auto"/>
          <w:sz w:val="24"/>
          <w:szCs w:val="24"/>
          <w:highlight w:val="none"/>
        </w:rPr>
        <w:t>履约保证金。</w:t>
      </w:r>
    </w:p>
    <w:p w14:paraId="15F3195E">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31、签订合同</w:t>
      </w:r>
    </w:p>
    <w:p w14:paraId="1AC2FB7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中标人应当在中标通知书发出之日起三十日内，按照招标文件和中标人投标文件的规定，与采购人签订政府采购合同。</w:t>
      </w:r>
    </w:p>
    <w:p w14:paraId="07B44CB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招标文件、中标人的投标文件及招标过程中有关澄清、承诺等文件均应作为合同附件。</w:t>
      </w:r>
    </w:p>
    <w:p w14:paraId="538A926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 签订合同后，中标人不得将合同标的转包。未经采购人同意，中标人也不得采用分包的形式履行合同，否则采购人有权终止合同。转包或分包造成采购人损失的，中标人应承担相应赔偿责任。</w:t>
      </w:r>
    </w:p>
    <w:p w14:paraId="5D06CA67">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32、合同标的的追加</w:t>
      </w:r>
    </w:p>
    <w:p w14:paraId="4EB4001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532038F">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33、政府采购履约资金扶持政策</w:t>
      </w:r>
    </w:p>
    <w:p w14:paraId="51C7E61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中标人可凭政府采购合同办理融资贷款，详情请见江苏政府采购网“政采贷”专栏。</w:t>
      </w:r>
    </w:p>
    <w:p w14:paraId="38358DE4">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八、询问与质疑</w:t>
      </w:r>
    </w:p>
    <w:p w14:paraId="3EB54DB8">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34、询问</w:t>
      </w:r>
    </w:p>
    <w:p w14:paraId="0CC99FA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p>
    <w:p w14:paraId="14FF813B">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35、质疑提出</w:t>
      </w:r>
    </w:p>
    <w:p w14:paraId="6443B6B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 提出质疑的供应商应当是参与所质疑项目采购活动的供应商。</w:t>
      </w:r>
    </w:p>
    <w:p w14:paraId="40EE7A5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 供应商认为采购文件、采购过程、采购结果使自己的权益受到损害的，可以在知道或者应知其权益受到损害之日（获取采购文件之日、中标公告发布之日）起七个工作日内以书面形式向采购人、采购代理机构提出质疑。</w:t>
      </w:r>
    </w:p>
    <w:p w14:paraId="39416D3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供应商应当在法定质疑期内一次性提出针对同一采购程序环节的质疑，供应商如在法定期限内对同一采购程序环节提出多次质疑的，采购人、采购代理机构将只对供应商第一次质疑作出答复。</w:t>
      </w:r>
    </w:p>
    <w:p w14:paraId="77EC2EF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未按照采购公告要求获取采购文件的供应商，视为未参与该项目采购活动，不具备对该采购文件提出质疑的法定权利。</w:t>
      </w:r>
    </w:p>
    <w:p w14:paraId="0D6CCF2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61001EE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 质疑函的接收方式为供应商书面原件提交。联系部门、联系电话和通讯地址详见招标文件第一章。质疑实行实名制，不得进行虚假、恶意质疑。</w:t>
      </w:r>
    </w:p>
    <w:p w14:paraId="40D1410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35.5 质疑函应当使用范本，详见招标文件第六章。供应商提出质疑应当提交质疑函和必要的证明材料，应当包括下列内容：</w:t>
      </w:r>
    </w:p>
    <w:p w14:paraId="6169634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（1）供应商的姓名或者名称、地址、邮编、联系人及联系电话；</w:t>
      </w:r>
    </w:p>
    <w:p w14:paraId="183D8AC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09EF044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37AA9E1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3B1E5C4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6F8A50D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3E88127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（7）必要的证明材料；</w:t>
      </w:r>
    </w:p>
    <w:p w14:paraId="62EAC1C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（8）营业执照复印件及授权委托书原件、法定代表人（单位负责人）身份证复印件、委托代理人身份证复印件。</w:t>
      </w:r>
    </w:p>
    <w:p w14:paraId="6EE56B0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供应商为自然人的，应当由本人签字；供应商为法人或者其他组织的，应当由法定代表人、主要负责人，或者其委托代理人签字或者盖章，并加盖单位公章。</w:t>
      </w:r>
    </w:p>
    <w:p w14:paraId="60033B97">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36、质疑函的受理和答复</w:t>
      </w:r>
    </w:p>
    <w:p w14:paraId="4B3A123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480E231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0AF2CFC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36.3 对不符合质疑要求的，采购人、采购代理机构有权要求其补充必要的证明材料，质疑供应商未在法定时间内补充必要的证明材料的，不利后果由质疑供应商自行承担。</w:t>
      </w:r>
    </w:p>
    <w:p w14:paraId="08AB9BA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36.4 以下情形的质疑依法不予受理：</w:t>
      </w:r>
    </w:p>
    <w:p w14:paraId="695C388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（1）内容不符合《政府采购质疑和投诉办法》第十二条规定的质疑。</w:t>
      </w:r>
    </w:p>
    <w:p w14:paraId="67C259C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（2）超出政府采购法定期限的质疑。</w:t>
      </w:r>
    </w:p>
    <w:p w14:paraId="01F002A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（3）以传真、电子邮件等方式递交的非原件形式的质疑。</w:t>
      </w:r>
    </w:p>
    <w:p w14:paraId="4C3D11A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（4）未参与采购活动或在采购活动中自身权益未受到损害的供应商提出的质疑。</w:t>
      </w:r>
    </w:p>
    <w:p w14:paraId="0483BCA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（5）供应商组成联合体，联合体中任何一方或多方未按要求签字（盖章）、加盖公章的质疑。</w:t>
      </w:r>
    </w:p>
    <w:p w14:paraId="366587F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 采购人、采购代理机构依法受理的质疑，将按照政府采购有关规定，在法定期限内作出答复。</w:t>
      </w:r>
    </w:p>
    <w:p w14:paraId="234EAFD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36.6 因质疑供应商所留联系方式无效，或者无故不接收，导致质疑答复结果无法送达的，视为质疑供应商主动放弃知晓质疑答复结果的权利。</w:t>
      </w:r>
    </w:p>
    <w:p w14:paraId="71EBDDD2">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37、质疑处理</w:t>
      </w:r>
    </w:p>
    <w:p w14:paraId="4535A1F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37.1 质疑供应商未按照法定程序进行质疑投诉的，视为一般失信行为。</w:t>
      </w:r>
    </w:p>
    <w:p w14:paraId="42C5992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37.2 质疑供应商不配合或者采取不正当手段干扰政府采购质疑、投诉处理工作的，视为一般失信行为。</w:t>
      </w:r>
    </w:p>
    <w:p w14:paraId="64648DB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37.3 质疑供应商投诉受理期间，就同一事项多头举报，干扰财政部门投诉处理的，视为一般失信行为。</w:t>
      </w:r>
    </w:p>
    <w:p w14:paraId="1147D05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37.4 质疑供应商在全国范围12个月内三次以上质疑查无实据的，视为一般失信行为。</w:t>
      </w:r>
    </w:p>
    <w:p w14:paraId="14E6865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759164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37.6 质疑供应商在全国范围12个月内三次以上投诉查无实据的，视为严重失信行为。</w:t>
      </w:r>
    </w:p>
    <w:p w14:paraId="1763212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37.7 未尽事宜，依照有关法律、法规执行。</w:t>
      </w:r>
    </w:p>
    <w:p w14:paraId="0C0E8069">
      <w:pPr>
        <w:pStyle w:val="232"/>
        <w:pBdr>
          <w:top w:val="none" w:color="auto" w:sz="0" w:space="1"/>
          <w:left w:val="none" w:color="auto" w:sz="0" w:space="4"/>
          <w:bottom w:val="none" w:color="auto" w:sz="0" w:space="1"/>
          <w:right w:val="none" w:color="auto" w:sz="0" w:space="4"/>
        </w:pBdr>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九、政府采购政策功能</w:t>
      </w:r>
    </w:p>
    <w:p w14:paraId="6ECB9DCC">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38、促进中小企业发展</w:t>
      </w:r>
    </w:p>
    <w:p w14:paraId="6754E9F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16ACADE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38.2 供应商提供的货物全部由小型企业、微型企业、残疾人福利性单位、监狱企业制造的，对其报价给予10%的扣除，用扣除后的价格参与评审。提供的货物既有小微型企业制造，也有大中型企业制造的，不享受该扶持政策。</w:t>
      </w:r>
    </w:p>
    <w:p w14:paraId="5E667D5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本项目价格扣除计算方法如下：参与报价得分计算的价格＝供应商的最后报价-小型企业、微型企业、监狱企业、残疾人福利性单位的最后报价×10%。</w:t>
      </w:r>
    </w:p>
    <w:p w14:paraId="57424D6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 参加本项目政府采购活动的供应商享受价格评审优惠的应当提供的材料： </w:t>
      </w:r>
    </w:p>
    <w:p w14:paraId="058F497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（1）供应商提供的货物全部由中型企业、小型企业、微型企业制造的，提供《中小企业声明函》（第六章 投标文件格式）。</w:t>
      </w:r>
    </w:p>
    <w:p w14:paraId="52D175F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311C82B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0F3BF54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38.4 享受扶持政策获得政府采购合同的，小微型企业不得将合同分包给大中型企业，中型企业不得将合同分包给大型企业。</w:t>
      </w:r>
    </w:p>
    <w:p w14:paraId="7342665A">
      <w:pPr>
        <w:pStyle w:val="233"/>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39、政府采购中实施本国产品标准及相关政策</w:t>
      </w:r>
    </w:p>
    <w:p w14:paraId="152AC88A">
      <w:pPr>
        <w:spacing w:line="360" w:lineRule="auto"/>
        <w:ind w:firstLine="56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39.1本项目政府采购活动中既有本国产品又有非本国产品参与竞争的，依法对本国产品给予价格评审优惠，对本国产品的报价给予20%的价格扣除，用扣除后的价格参与评审。</w:t>
      </w:r>
    </w:p>
    <w:p w14:paraId="657B9E55">
      <w:pPr>
        <w:spacing w:line="360" w:lineRule="auto"/>
        <w:ind w:firstLine="56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E6072CC">
      <w:pPr>
        <w:spacing w:line="360" w:lineRule="auto"/>
        <w:ind w:firstLine="56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39.3供应商需按照招标文件的要求提供《关于符合本国产品标准的声明函》（以下简称《声明函》），如不提供将不享受本国产品价格评审优惠。</w:t>
      </w:r>
    </w:p>
    <w:p w14:paraId="67DCC9E6">
      <w:pPr>
        <w:spacing w:line="360" w:lineRule="auto"/>
        <w:ind w:firstLine="56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39.4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37B7809">
      <w:pPr>
        <w:spacing w:line="360" w:lineRule="auto"/>
        <w:ind w:firstLine="56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C68E19C">
      <w:pPr>
        <w:spacing w:line="360" w:lineRule="auto"/>
        <w:ind w:firstLine="56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0800185">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b w:val="0"/>
          <w:color w:val="auto"/>
          <w:sz w:val="24"/>
          <w:szCs w:val="24"/>
          <w:highlight w:val="none"/>
        </w:rPr>
        <w:t>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5529C8">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40、支持绿色发展</w:t>
      </w:r>
    </w:p>
    <w:p w14:paraId="5CD8FB1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p>
    <w:p w14:paraId="0765D3E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2DF068A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p>
    <w:p w14:paraId="5B55A719">
      <w:pPr>
        <w:pStyle w:val="233"/>
        <w:pBdr>
          <w:top w:val="none" w:color="auto" w:sz="0" w:space="1"/>
          <w:left w:val="none" w:color="auto" w:sz="0" w:space="4"/>
          <w:bottom w:val="none" w:color="auto" w:sz="0" w:space="1"/>
          <w:right w:val="none" w:color="auto" w:sz="0" w:space="4"/>
        </w:pBdr>
        <w:spacing w:before="0" w:after="0" w:line="360" w:lineRule="auto"/>
        <w:ind w:firstLine="562"/>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41、政府采购需求标准</w:t>
      </w:r>
    </w:p>
    <w:p w14:paraId="44CE138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AF0FD36">
      <w:pPr>
        <w:widowControl/>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192312F1">
      <w:pPr>
        <w:pStyle w:val="231"/>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val="0"/>
          <w:color w:val="auto"/>
          <w:highlight w:val="none"/>
        </w:rPr>
      </w:pPr>
      <w:bookmarkStart w:id="2" w:name="_Toc165205796"/>
      <w:r>
        <w:rPr>
          <w:rFonts w:hint="eastAsia" w:ascii="宋体" w:hAnsi="宋体" w:eastAsia="宋体" w:cs="宋体"/>
          <w:b w:val="0"/>
          <w:color w:val="auto"/>
          <w:highlight w:val="none"/>
        </w:rPr>
        <w:t>第三章  合同文本</w:t>
      </w:r>
      <w:bookmarkEnd w:id="2"/>
    </w:p>
    <w:p w14:paraId="5D7AD743">
      <w:pPr>
        <w:pStyle w:val="244"/>
        <w:pBdr>
          <w:top w:val="none" w:color="auto" w:sz="0" w:space="1"/>
          <w:left w:val="none" w:color="auto" w:sz="0" w:space="4"/>
          <w:bottom w:val="none" w:color="auto" w:sz="0" w:space="1"/>
          <w:right w:val="none" w:color="auto" w:sz="0" w:space="4"/>
        </w:pBdr>
        <w:spacing w:after="0" w:line="360" w:lineRule="auto"/>
        <w:jc w:val="both"/>
        <w:rPr>
          <w:rFonts w:hint="eastAsia" w:ascii="宋体" w:hAnsi="宋体" w:eastAsia="宋体" w:cs="宋体"/>
          <w:b/>
          <w:bCs/>
          <w:color w:val="auto"/>
          <w:spacing w:val="-20"/>
          <w:sz w:val="48"/>
          <w:szCs w:val="48"/>
          <w:highlight w:val="none"/>
        </w:rPr>
      </w:pPr>
      <w:bookmarkStart w:id="3" w:name="_Toc3995"/>
    </w:p>
    <w:p w14:paraId="65418025">
      <w:pPr>
        <w:pStyle w:val="244"/>
        <w:pBdr>
          <w:top w:val="none" w:color="auto" w:sz="0" w:space="1"/>
          <w:left w:val="none" w:color="auto" w:sz="0" w:space="4"/>
          <w:bottom w:val="none" w:color="auto" w:sz="0" w:space="1"/>
          <w:right w:val="none" w:color="auto" w:sz="0" w:space="4"/>
        </w:pBdr>
        <w:spacing w:after="0" w:line="360" w:lineRule="auto"/>
        <w:jc w:val="center"/>
        <w:rPr>
          <w:rFonts w:hint="eastAsia" w:ascii="宋体" w:hAnsi="宋体" w:eastAsia="宋体" w:cs="宋体"/>
          <w:b/>
          <w:bCs/>
          <w:color w:val="auto"/>
          <w:spacing w:val="-20"/>
          <w:sz w:val="48"/>
          <w:szCs w:val="48"/>
          <w:highlight w:val="none"/>
        </w:rPr>
      </w:pPr>
    </w:p>
    <w:p w14:paraId="571062AC">
      <w:pPr>
        <w:pStyle w:val="244"/>
        <w:pBdr>
          <w:top w:val="none" w:color="auto" w:sz="0" w:space="1"/>
          <w:left w:val="none" w:color="auto" w:sz="0" w:space="4"/>
          <w:bottom w:val="none" w:color="auto" w:sz="0" w:space="1"/>
          <w:right w:val="none" w:color="auto" w:sz="0" w:space="4"/>
        </w:pBdr>
        <w:spacing w:after="0" w:line="360" w:lineRule="auto"/>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连云港市政府采购货物买卖合同</w:t>
      </w:r>
    </w:p>
    <w:p w14:paraId="184CB9F8">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
          <w:bCs/>
          <w:color w:val="auto"/>
          <w:spacing w:val="-20"/>
          <w:sz w:val="40"/>
          <w:szCs w:val="40"/>
          <w:highlight w:val="none"/>
        </w:rPr>
      </w:pPr>
    </w:p>
    <w:p w14:paraId="7D73C520">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
          <w:bCs/>
          <w:color w:val="auto"/>
          <w:spacing w:val="-20"/>
          <w:sz w:val="40"/>
          <w:szCs w:val="40"/>
          <w:highlight w:val="none"/>
        </w:rPr>
      </w:pPr>
    </w:p>
    <w:p w14:paraId="161ECF33">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
          <w:bCs/>
          <w:color w:val="auto"/>
          <w:spacing w:val="-20"/>
          <w:sz w:val="40"/>
          <w:szCs w:val="40"/>
          <w:highlight w:val="none"/>
        </w:rPr>
      </w:pPr>
    </w:p>
    <w:p w14:paraId="43C2F44A">
      <w:pPr>
        <w:pBdr>
          <w:top w:val="none" w:color="auto" w:sz="0" w:space="1"/>
          <w:left w:val="none" w:color="auto" w:sz="0" w:space="4"/>
          <w:bottom w:val="none" w:color="auto" w:sz="0" w:space="1"/>
          <w:right w:val="none" w:color="auto" w:sz="0" w:space="4"/>
        </w:pBdr>
        <w:spacing w:line="360" w:lineRule="auto"/>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6F0FD9BC">
      <w:pPr>
        <w:pBdr>
          <w:top w:val="none" w:color="auto" w:sz="0" w:space="1"/>
          <w:left w:val="none" w:color="auto" w:sz="0" w:space="4"/>
          <w:bottom w:val="none" w:color="auto" w:sz="0" w:space="1"/>
          <w:right w:val="none" w:color="auto" w:sz="0" w:space="4"/>
        </w:pBdr>
        <w:spacing w:line="360" w:lineRule="auto"/>
        <w:ind w:left="42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合同编号：</w:t>
      </w:r>
    </w:p>
    <w:p w14:paraId="28872C63">
      <w:pPr>
        <w:pBdr>
          <w:top w:val="none" w:color="auto" w:sz="0" w:space="1"/>
          <w:left w:val="none" w:color="auto" w:sz="0" w:space="4"/>
          <w:bottom w:val="none" w:color="auto" w:sz="0" w:space="1"/>
          <w:right w:val="none" w:color="auto" w:sz="0" w:space="4"/>
        </w:pBdr>
        <w:spacing w:line="360" w:lineRule="auto"/>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甲    方：</w:t>
      </w:r>
    </w:p>
    <w:p w14:paraId="01391473">
      <w:pPr>
        <w:pBdr>
          <w:top w:val="none" w:color="auto" w:sz="0" w:space="1"/>
          <w:left w:val="none" w:color="auto" w:sz="0" w:space="4"/>
          <w:bottom w:val="none" w:color="auto" w:sz="0" w:space="1"/>
          <w:right w:val="none" w:color="auto" w:sz="0" w:space="4"/>
        </w:pBdr>
        <w:spacing w:line="360" w:lineRule="auto"/>
        <w:ind w:left="420"/>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乙    方：</w:t>
      </w:r>
    </w:p>
    <w:p w14:paraId="66C387BD">
      <w:pPr>
        <w:pBdr>
          <w:top w:val="none" w:color="auto" w:sz="0" w:space="1"/>
          <w:left w:val="none" w:color="auto" w:sz="0" w:space="4"/>
          <w:bottom w:val="none" w:color="auto" w:sz="0" w:space="1"/>
          <w:right w:val="none" w:color="auto" w:sz="0" w:space="4"/>
        </w:pBdr>
        <w:spacing w:line="360" w:lineRule="auto"/>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签订时间：</w:t>
      </w:r>
    </w:p>
    <w:p w14:paraId="028EAF1B">
      <w:pPr>
        <w:widowControl/>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p>
    <w:p w14:paraId="5441D1E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使用说明</w:t>
      </w:r>
    </w:p>
    <w:p w14:paraId="39F5238B">
      <w:pPr>
        <w:pBdr>
          <w:top w:val="none" w:color="auto" w:sz="0" w:space="1"/>
          <w:left w:val="none" w:color="auto" w:sz="0" w:space="4"/>
          <w:bottom w:val="none" w:color="auto" w:sz="0" w:space="1"/>
          <w:right w:val="none" w:color="auto" w:sz="0" w:space="4"/>
        </w:pBd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1.本合同标准文本适用于购买现成货物的采购项目，不包括需要供应商定制开发、创新研发的货物采购项目。</w:t>
      </w:r>
    </w:p>
    <w:p w14:paraId="72A7E897">
      <w:pPr>
        <w:pBdr>
          <w:top w:val="none" w:color="auto" w:sz="0" w:space="1"/>
          <w:left w:val="none" w:color="auto" w:sz="0" w:space="4"/>
          <w:bottom w:val="none" w:color="auto" w:sz="0" w:space="1"/>
          <w:right w:val="none" w:color="auto" w:sz="0" w:space="4"/>
        </w:pBd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2.本合同标准文本为政府采购货物买卖合同编制提供参考，可以结合采购项目具体情况，对文本作必要的调整修订后使用。</w:t>
      </w:r>
    </w:p>
    <w:p w14:paraId="1E83C3B0">
      <w:pPr>
        <w:pBdr>
          <w:top w:val="none" w:color="auto" w:sz="0" w:space="1"/>
          <w:left w:val="none" w:color="auto" w:sz="0" w:space="4"/>
          <w:bottom w:val="none" w:color="auto" w:sz="0" w:space="1"/>
          <w:right w:val="none" w:color="auto" w:sz="0" w:space="4"/>
        </w:pBd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3.本合同标准文本各条款中，如涉及填写多家供应商、制造商，多种采购标的、分包主要内容等信息的，可根据采购项目具体情况添加信息项。</w:t>
      </w:r>
      <w:bookmarkEnd w:id="3"/>
    </w:p>
    <w:p w14:paraId="53BB37BE">
      <w:pPr>
        <w:widowControl/>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8"/>
          <w:szCs w:val="28"/>
          <w:highlight w:val="none"/>
        </w:rPr>
      </w:pPr>
      <w:bookmarkStart w:id="4" w:name="_Toc22209"/>
      <w:r>
        <w:rPr>
          <w:rFonts w:hint="eastAsia" w:ascii="宋体" w:hAnsi="宋体" w:eastAsia="宋体" w:cs="宋体"/>
          <w:b/>
          <w:bCs/>
          <w:color w:val="auto"/>
          <w:sz w:val="28"/>
          <w:szCs w:val="28"/>
          <w:highlight w:val="none"/>
        </w:rPr>
        <w:br w:type="page" w:clear="all"/>
      </w:r>
    </w:p>
    <w:p w14:paraId="2F68EBCF">
      <w:pPr>
        <w:pStyle w:val="232"/>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第一节 政府采购合同协议书</w:t>
      </w:r>
      <w:bookmarkEnd w:id="4"/>
    </w:p>
    <w:p w14:paraId="2C3C80BF">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甲方（全称）：（采购人、受采购人委托签订合同的单位或采购文件约定的合同甲方）</w:t>
      </w:r>
    </w:p>
    <w:p w14:paraId="597808B9">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乙方（全称）：（供应商）</w:t>
      </w:r>
    </w:p>
    <w:p w14:paraId="472BA7C4">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1"/>
          <w:highlight w:val="none"/>
        </w:rPr>
      </w:pPr>
    </w:p>
    <w:p w14:paraId="1D8DCE74">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38DF18C5">
      <w:pPr>
        <w:pStyle w:val="16"/>
        <w:pBdr>
          <w:top w:val="none" w:color="auto" w:sz="0" w:space="1"/>
          <w:left w:val="none" w:color="auto" w:sz="0" w:space="4"/>
          <w:bottom w:val="none" w:color="auto" w:sz="0" w:space="1"/>
          <w:right w:val="none" w:color="auto" w:sz="0" w:space="4"/>
        </w:pBdr>
        <w:spacing w:after="0" w:line="360" w:lineRule="auto"/>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44141332">
      <w:pPr>
        <w:numPr>
          <w:ilvl w:val="0"/>
          <w:numId w:val="1"/>
        </w:numPr>
        <w:pBdr>
          <w:top w:val="none" w:color="auto" w:sz="0" w:space="1"/>
          <w:left w:val="none" w:color="auto" w:sz="0" w:space="4"/>
          <w:bottom w:val="none" w:color="auto" w:sz="0" w:space="1"/>
          <w:right w:val="none" w:color="auto" w:sz="0" w:space="4"/>
        </w:pBd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项目信息</w:t>
      </w:r>
    </w:p>
    <w:p w14:paraId="1C939D97">
      <w:pPr>
        <w:pStyle w:val="16"/>
        <w:numPr>
          <w:ilvl w:val="0"/>
          <w:numId w:val="2"/>
        </w:numPr>
        <w:pBdr>
          <w:top w:val="none" w:color="auto" w:sz="0" w:space="1"/>
          <w:left w:val="none" w:color="auto" w:sz="0" w:space="4"/>
          <w:bottom w:val="none" w:color="auto" w:sz="0" w:space="1"/>
          <w:right w:val="none" w:color="auto" w:sz="0" w:space="4"/>
        </w:pBdr>
        <w:spacing w:after="0" w:line="360" w:lineRule="auto"/>
        <w:ind w:left="0"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采购项目名称：</w:t>
      </w:r>
      <w:r>
        <w:rPr>
          <w:rFonts w:hint="eastAsia" w:ascii="宋体" w:hAnsi="宋体" w:eastAsia="宋体" w:cs="宋体"/>
          <w:color w:val="auto"/>
          <w:szCs w:val="21"/>
          <w:highlight w:val="none"/>
          <w:u w:val="single"/>
        </w:rPr>
        <w:t xml:space="preserve">                                          </w:t>
      </w:r>
    </w:p>
    <w:p w14:paraId="58084B4B">
      <w:pPr>
        <w:pStyle w:val="16"/>
        <w:numPr>
          <w:ilvl w:val="255"/>
          <w:numId w:val="0"/>
        </w:numPr>
        <w:pBdr>
          <w:top w:val="none" w:color="auto" w:sz="0" w:space="1"/>
          <w:left w:val="none" w:color="auto" w:sz="0" w:space="4"/>
          <w:bottom w:val="none" w:color="auto" w:sz="0" w:space="1"/>
          <w:right w:val="none" w:color="auto" w:sz="0" w:space="4"/>
        </w:pBdr>
        <w:tabs>
          <w:tab w:val="left" w:pos="999"/>
        </w:tabs>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采购项目编号：</w:t>
      </w:r>
      <w:r>
        <w:rPr>
          <w:rFonts w:hint="eastAsia" w:ascii="宋体" w:hAnsi="宋体" w:eastAsia="宋体" w:cs="宋体"/>
          <w:color w:val="auto"/>
          <w:szCs w:val="21"/>
          <w:highlight w:val="none"/>
          <w:u w:val="single"/>
        </w:rPr>
        <w:t xml:space="preserve">                                          </w:t>
      </w:r>
    </w:p>
    <w:p w14:paraId="48964C60">
      <w:pPr>
        <w:pStyle w:val="16"/>
        <w:pBdr>
          <w:top w:val="none" w:color="auto" w:sz="0" w:space="1"/>
          <w:left w:val="none" w:color="auto" w:sz="0" w:space="4"/>
          <w:bottom w:val="none" w:color="auto" w:sz="0" w:space="1"/>
          <w:right w:val="none" w:color="auto" w:sz="0" w:space="4"/>
        </w:pBdr>
        <w:spacing w:after="0" w:line="360" w:lineRule="auto"/>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（2）采购计划编号：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6DC4C86A">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（3）项目内容：</w:t>
      </w:r>
    </w:p>
    <w:p w14:paraId="6B13DE48">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采购标的及数量（台/套</w:t>
      </w:r>
      <w:r>
        <w:rPr>
          <w:rFonts w:hint="eastAsia" w:ascii="宋体" w:hAnsi="宋体" w:eastAsia="宋体" w:cs="宋体"/>
          <w:color w:val="auto"/>
          <w:szCs w:val="21"/>
          <w:highlight w:val="none"/>
          <w:lang w:val="en"/>
        </w:rPr>
        <w:t>/个/架/组等</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54EEEF08">
      <w:pPr>
        <w:numPr>
          <w:ilvl w:val="255"/>
          <w:numId w:val="0"/>
        </w:num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品牌：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val="en"/>
        </w:rPr>
        <w:t xml:space="preserve">     </w:t>
      </w:r>
      <w:r>
        <w:rPr>
          <w:rFonts w:hint="eastAsia" w:ascii="宋体" w:hAnsi="宋体" w:eastAsia="宋体" w:cs="宋体"/>
          <w:color w:val="auto"/>
          <w:szCs w:val="21"/>
          <w:highlight w:val="none"/>
        </w:rPr>
        <w:t>规格型号：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p>
    <w:p w14:paraId="603EE98F">
      <w:pPr>
        <w:pBdr>
          <w:top w:val="none" w:color="auto" w:sz="0" w:space="1"/>
          <w:left w:val="none" w:color="auto" w:sz="0" w:space="4"/>
          <w:bottom w:val="none" w:color="auto" w:sz="0" w:space="1"/>
          <w:right w:val="none" w:color="auto" w:sz="0" w:space="4"/>
        </w:pBdr>
        <w:spacing w:line="360" w:lineRule="auto"/>
        <w:ind w:firstLine="945"/>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采购标的的技术要求、商务要求具体见附件。</w:t>
      </w:r>
    </w:p>
    <w:p w14:paraId="633E7618">
      <w:pPr>
        <w:numPr>
          <w:ilvl w:val="255"/>
          <w:numId w:val="0"/>
        </w:numPr>
        <w:pBdr>
          <w:top w:val="none" w:color="auto" w:sz="0" w:space="1"/>
          <w:left w:val="none" w:color="auto" w:sz="0" w:space="4"/>
          <w:bottom w:val="none" w:color="auto" w:sz="0" w:space="1"/>
          <w:right w:val="none" w:color="auto" w:sz="0" w:space="4"/>
        </w:pBdr>
        <w:spacing w:line="360" w:lineRule="auto"/>
        <w:ind w:firstLine="945"/>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①涉及信息类产品，请填写该产品关键部件的品牌、型号：</w:t>
      </w:r>
    </w:p>
    <w:p w14:paraId="24A7270E">
      <w:pPr>
        <w:numPr>
          <w:ilvl w:val="255"/>
          <w:numId w:val="0"/>
        </w:num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标的名称：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rPr>
          <w:rFonts w:hint="eastAsia" w:ascii="宋体" w:hAnsi="宋体" w:eastAsia="宋体" w:cs="宋体"/>
          <w:color w:val="auto"/>
          <w:szCs w:val="21"/>
          <w:highlight w:val="none"/>
          <w:u w:val="single"/>
        </w:rPr>
        <w:t xml:space="preserve">    </w:t>
      </w:r>
    </w:p>
    <w:p w14:paraId="55474E41">
      <w:pPr>
        <w:numPr>
          <w:ilvl w:val="255"/>
          <w:numId w:val="0"/>
        </w:num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关键部件：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品牌：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型号：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6EB0BE09">
      <w:pPr>
        <w:pStyle w:val="263"/>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4359501A">
      <w:pPr>
        <w:pStyle w:val="263"/>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p>
    <w:p w14:paraId="26CD64DA">
      <w:pPr>
        <w:pStyle w:val="263"/>
        <w:numPr>
          <w:ilvl w:val="255"/>
          <w:numId w:val="0"/>
        </w:num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5FBA3E20">
      <w:pPr>
        <w:pStyle w:val="263"/>
        <w:numPr>
          <w:ilvl w:val="255"/>
          <w:numId w:val="0"/>
        </w:num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②涉及车辆采购，请填写是否属于新能源汽车：</w:t>
      </w:r>
    </w:p>
    <w:p w14:paraId="34FA79B8">
      <w:pPr>
        <w:pStyle w:val="263"/>
        <w:numPr>
          <w:ilvl w:val="255"/>
          <w:numId w:val="0"/>
        </w:num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02ECCA1B">
      <w:pPr>
        <w:pStyle w:val="263"/>
        <w:numPr>
          <w:ilvl w:val="255"/>
          <w:numId w:val="0"/>
        </w:num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否</w:t>
      </w:r>
    </w:p>
    <w:p w14:paraId="658CDB3E">
      <w:pPr>
        <w:pStyle w:val="263"/>
        <w:numPr>
          <w:ilvl w:val="255"/>
          <w:numId w:val="0"/>
        </w:num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en"/>
        </w:rPr>
        <w:t>4</w:t>
      </w:r>
      <w:r>
        <w:rPr>
          <w:rFonts w:hint="eastAsia" w:ascii="宋体" w:hAnsi="宋体" w:eastAsia="宋体" w:cs="宋体"/>
          <w:color w:val="auto"/>
          <w:sz w:val="21"/>
          <w:highlight w:val="none"/>
        </w:rPr>
        <w:t>）政府采购组织形式：政府集中采购  部门集中采购  分散采购</w:t>
      </w:r>
    </w:p>
    <w:p w14:paraId="6BD257EA">
      <w:pPr>
        <w:pStyle w:val="263"/>
        <w:numPr>
          <w:ilvl w:val="255"/>
          <w:numId w:val="0"/>
        </w:num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
        </w:rPr>
        <w:t>5</w:t>
      </w:r>
      <w:r>
        <w:rPr>
          <w:rFonts w:hint="eastAsia" w:ascii="宋体" w:hAnsi="宋体" w:eastAsia="宋体" w:cs="宋体"/>
          <w:color w:val="auto"/>
          <w:sz w:val="21"/>
          <w:highlight w:val="none"/>
        </w:rPr>
        <w:t>）政府采购方式：公开招标 邀请招标 竞争性谈判 竞争性磋商</w:t>
      </w:r>
    </w:p>
    <w:p w14:paraId="08411692">
      <w:pPr>
        <w:pStyle w:val="263"/>
        <w:numPr>
          <w:ilvl w:val="255"/>
          <w:numId w:val="0"/>
        </w:num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 w:val="21"/>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sz w:val="21"/>
          <w:highlight w:val="none"/>
        </w:rPr>
        <w:t>询价 单一来源 框架协议 其他：</w:t>
      </w:r>
      <w:r>
        <w:rPr>
          <w:rFonts w:hint="eastAsia" w:ascii="宋体" w:hAnsi="宋体" w:eastAsia="宋体" w:cs="宋体"/>
          <w:color w:val="auto"/>
          <w:sz w:val="21"/>
          <w:highlight w:val="none"/>
          <w:u w:val="single"/>
        </w:rPr>
        <w:t xml:space="preserve">          </w:t>
      </w:r>
    </w:p>
    <w:p w14:paraId="5EB268AA">
      <w:pPr>
        <w:pStyle w:val="263"/>
        <w:numPr>
          <w:ilvl w:val="255"/>
          <w:numId w:val="0"/>
        </w:num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（注：在框架协议采购的第二阶段，可选择使用该合同文本）</w:t>
      </w:r>
    </w:p>
    <w:p w14:paraId="6B3BD68E">
      <w:pPr>
        <w:pStyle w:val="263"/>
        <w:numPr>
          <w:ilvl w:val="255"/>
          <w:numId w:val="0"/>
        </w:numPr>
        <w:pBdr>
          <w:top w:val="none" w:color="auto" w:sz="0" w:space="1"/>
          <w:left w:val="none" w:color="auto" w:sz="0" w:space="4"/>
          <w:bottom w:val="none" w:color="auto" w:sz="0" w:space="1"/>
          <w:right w:val="none" w:color="auto" w:sz="0" w:space="4"/>
        </w:pBdr>
        <w:spacing w:line="360" w:lineRule="auto"/>
        <w:ind w:firstLine="220"/>
        <w:rPr>
          <w:rFonts w:hint="eastAsia" w:ascii="宋体" w:hAnsi="宋体" w:eastAsia="宋体" w:cs="宋体"/>
          <w:color w:val="auto"/>
          <w:sz w:val="21"/>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
        </w:rPr>
        <w:t>6</w:t>
      </w:r>
      <w:r>
        <w:rPr>
          <w:rFonts w:hint="eastAsia" w:ascii="宋体" w:hAnsi="宋体" w:eastAsia="宋体" w:cs="宋体"/>
          <w:color w:val="auto"/>
          <w:highlight w:val="none"/>
        </w:rPr>
        <w:t>）</w:t>
      </w:r>
      <w:r>
        <w:rPr>
          <w:rFonts w:hint="eastAsia" w:ascii="宋体" w:hAnsi="宋体" w:eastAsia="宋体" w:cs="宋体"/>
          <w:color w:val="auto"/>
          <w:sz w:val="21"/>
          <w:highlight w:val="none"/>
        </w:rPr>
        <w:t>中标（成交）采购标的制造商是否为中小企业：是      否</w:t>
      </w:r>
    </w:p>
    <w:p w14:paraId="6276EBB4">
      <w:pPr>
        <w:numPr>
          <w:ilvl w:val="255"/>
          <w:numId w:val="0"/>
        </w:num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         本合同是否为专门面向中小企业的采购合同（中小企业预留合同）：</w:t>
      </w:r>
      <w:r>
        <w:rPr>
          <w:rFonts w:hint="eastAsia" w:ascii="宋体" w:hAnsi="宋体" w:eastAsia="宋体" w:cs="宋体"/>
          <w:iCs/>
          <w:color w:val="auto"/>
          <w:szCs w:val="21"/>
          <w:highlight w:val="none"/>
        </w:rPr>
        <w:t>是    否</w:t>
      </w:r>
    </w:p>
    <w:p w14:paraId="4B22CAA2">
      <w:pPr>
        <w:numPr>
          <w:ilvl w:val="255"/>
          <w:numId w:val="0"/>
        </w:num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         若本项目不专门面向中小企业采购，是否给予小微企业评审优惠：</w:t>
      </w:r>
      <w:r>
        <w:rPr>
          <w:rFonts w:hint="eastAsia" w:ascii="宋体" w:hAnsi="宋体" w:eastAsia="宋体" w:cs="宋体"/>
          <w:iCs/>
          <w:color w:val="auto"/>
          <w:szCs w:val="21"/>
          <w:highlight w:val="none"/>
        </w:rPr>
        <w:t>是   否</w:t>
      </w:r>
    </w:p>
    <w:p w14:paraId="7501F0D5">
      <w:pPr>
        <w:numPr>
          <w:ilvl w:val="255"/>
          <w:numId w:val="0"/>
        </w:num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iCs/>
          <w:color w:val="auto"/>
          <w:szCs w:val="21"/>
          <w:highlight w:val="none"/>
        </w:rPr>
      </w:pPr>
      <w:r>
        <w:rPr>
          <w:rFonts w:hint="eastAsia" w:ascii="宋体" w:hAnsi="宋体" w:eastAsia="宋体" w:cs="宋体"/>
          <w:color w:val="auto"/>
          <w:highlight w:val="none"/>
        </w:rPr>
        <w:t xml:space="preserve">         中标（成交）采购标的制造商是否为残疾人福利性单位：</w:t>
      </w:r>
      <w:r>
        <w:rPr>
          <w:rFonts w:hint="eastAsia" w:ascii="宋体" w:hAnsi="宋体" w:eastAsia="宋体" w:cs="宋体"/>
          <w:iCs/>
          <w:color w:val="auto"/>
          <w:szCs w:val="21"/>
          <w:highlight w:val="none"/>
        </w:rPr>
        <w:t>是   否</w:t>
      </w:r>
    </w:p>
    <w:p w14:paraId="41962666">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中标（成交）采购标的制造商是否为监狱企业：</w:t>
      </w:r>
      <w:r>
        <w:rPr>
          <w:rFonts w:hint="eastAsia" w:ascii="宋体" w:hAnsi="宋体" w:eastAsia="宋体" w:cs="宋体"/>
          <w:iCs/>
          <w:color w:val="auto"/>
          <w:szCs w:val="21"/>
          <w:highlight w:val="none"/>
        </w:rPr>
        <w:t>是       否</w:t>
      </w:r>
    </w:p>
    <w:p w14:paraId="211130D3">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
        </w:rPr>
        <w:t>7</w:t>
      </w:r>
      <w:r>
        <w:rPr>
          <w:rFonts w:hint="eastAsia" w:ascii="宋体" w:hAnsi="宋体" w:eastAsia="宋体" w:cs="宋体"/>
          <w:color w:val="auto"/>
          <w:szCs w:val="21"/>
          <w:highlight w:val="none"/>
        </w:rPr>
        <w:t>）合同是否分包：</w:t>
      </w:r>
      <w:r>
        <w:rPr>
          <w:rFonts w:hint="eastAsia" w:ascii="宋体" w:hAnsi="宋体" w:eastAsia="宋体" w:cs="宋体"/>
          <w:iCs/>
          <w:color w:val="auto"/>
          <w:szCs w:val="21"/>
          <w:highlight w:val="none"/>
        </w:rPr>
        <w:t>是       否</w:t>
      </w:r>
    </w:p>
    <w:p w14:paraId="5EC59034">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分包主要内容：</w:t>
      </w:r>
      <w:r>
        <w:rPr>
          <w:rFonts w:hint="eastAsia" w:ascii="宋体" w:hAnsi="宋体" w:eastAsia="宋体" w:cs="宋体"/>
          <w:color w:val="auto"/>
          <w:szCs w:val="21"/>
          <w:highlight w:val="none"/>
          <w:u w:val="single"/>
        </w:rPr>
        <w:t xml:space="preserve">                                            </w:t>
      </w:r>
    </w:p>
    <w:p w14:paraId="57541E33">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分包供应商/制造商名称（如供应商和制造商不同，请分别填写）：</w:t>
      </w:r>
    </w:p>
    <w:p w14:paraId="32E8535D">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p>
    <w:p w14:paraId="10628D43">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分包供应商/制造商类型（如果供应商和制造商不同，只填写制造商类型）：</w:t>
      </w:r>
    </w:p>
    <w:p w14:paraId="436B0801">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 大型企业  中型企业  小微型企业  </w:t>
      </w:r>
    </w:p>
    <w:p w14:paraId="12D185D3">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color w:val="auto"/>
          <w:highlight w:val="none"/>
        </w:rPr>
      </w:pPr>
      <w:r>
        <w:rPr>
          <w:rFonts w:hint="eastAsia" w:ascii="宋体" w:hAnsi="宋体" w:eastAsia="宋体" w:cs="宋体"/>
          <w:iCs/>
          <w:color w:val="auto"/>
          <w:szCs w:val="21"/>
          <w:highlight w:val="none"/>
        </w:rPr>
        <w:t xml:space="preserve"> 残疾人福利性单位 监狱企业 其他</w:t>
      </w:r>
    </w:p>
    <w:p w14:paraId="4D9E3A8C">
      <w:pPr>
        <w:numPr>
          <w:ilvl w:val="255"/>
          <w:numId w:val="0"/>
        </w:num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
        </w:rPr>
        <w:t>8</w:t>
      </w:r>
      <w:r>
        <w:rPr>
          <w:rFonts w:hint="eastAsia" w:ascii="宋体" w:hAnsi="宋体" w:eastAsia="宋体" w:cs="宋体"/>
          <w:color w:val="auto"/>
          <w:szCs w:val="21"/>
          <w:highlight w:val="none"/>
        </w:rPr>
        <w:t>）中标（成交）供应商是否为外商投资企业：</w:t>
      </w:r>
      <w:r>
        <w:rPr>
          <w:rFonts w:hint="eastAsia" w:ascii="宋体" w:hAnsi="宋体" w:eastAsia="宋体" w:cs="宋体"/>
          <w:iCs/>
          <w:color w:val="auto"/>
          <w:szCs w:val="21"/>
          <w:highlight w:val="none"/>
        </w:rPr>
        <w:t>是       否</w:t>
      </w:r>
    </w:p>
    <w:p w14:paraId="7A35A6E5">
      <w:pPr>
        <w:pStyle w:val="263"/>
        <w:pBdr>
          <w:top w:val="none" w:color="auto" w:sz="0" w:space="1"/>
          <w:left w:val="none" w:color="auto" w:sz="0" w:space="4"/>
          <w:bottom w:val="none" w:color="auto" w:sz="0" w:space="1"/>
          <w:right w:val="none" w:color="auto" w:sz="0" w:space="4"/>
        </w:pBdr>
        <w:tabs>
          <w:tab w:val="left" w:pos="1340"/>
        </w:tabs>
        <w:spacing w:line="360" w:lineRule="auto"/>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hint="eastAsia" w:ascii="宋体" w:hAnsi="宋体" w:eastAsia="宋体" w:cs="宋体"/>
          <w:iCs/>
          <w:color w:val="auto"/>
          <w:sz w:val="21"/>
          <w:highlight w:val="none"/>
        </w:rPr>
        <w:t></w:t>
      </w:r>
      <w:r>
        <w:rPr>
          <w:rFonts w:hint="eastAsia" w:ascii="宋体" w:hAnsi="宋体" w:eastAsia="宋体" w:cs="宋体"/>
          <w:color w:val="auto"/>
          <w:sz w:val="21"/>
          <w:highlight w:val="none"/>
        </w:rPr>
        <w:t xml:space="preserve">全部由外国投资者投资  </w:t>
      </w:r>
      <w:r>
        <w:rPr>
          <w:rFonts w:hint="eastAsia" w:ascii="宋体" w:hAnsi="宋体" w:eastAsia="宋体" w:cs="宋体"/>
          <w:iCs/>
          <w:color w:val="auto"/>
          <w:sz w:val="21"/>
          <w:highlight w:val="none"/>
        </w:rPr>
        <w:t>部分由外国投资者投资</w:t>
      </w:r>
    </w:p>
    <w:p w14:paraId="1A84A976">
      <w:pPr>
        <w:numPr>
          <w:ilvl w:val="255"/>
          <w:numId w:val="0"/>
        </w:num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
        </w:rPr>
        <w:t>9</w:t>
      </w:r>
      <w:r>
        <w:rPr>
          <w:rFonts w:hint="eastAsia" w:ascii="宋体" w:hAnsi="宋体" w:eastAsia="宋体" w:cs="宋体"/>
          <w:color w:val="auto"/>
          <w:szCs w:val="21"/>
          <w:highlight w:val="none"/>
        </w:rPr>
        <w:t>）是否涉及进口产品：</w:t>
      </w:r>
    </w:p>
    <w:p w14:paraId="7EC9ED97">
      <w:pPr>
        <w:numPr>
          <w:ilvl w:val="255"/>
          <w:numId w:val="0"/>
        </w:num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是，《政府采购品目分类目录》底级品目名称：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金额：</w:t>
      </w:r>
      <w:r>
        <w:rPr>
          <w:rFonts w:hint="eastAsia" w:ascii="宋体" w:hAnsi="宋体" w:eastAsia="宋体" w:cs="宋体"/>
          <w:color w:val="auto"/>
          <w:szCs w:val="21"/>
          <w:highlight w:val="none"/>
          <w:u w:val="single"/>
        </w:rPr>
        <w:t xml:space="preserve">        </w:t>
      </w:r>
    </w:p>
    <w:p w14:paraId="4C1CCCD7">
      <w:pPr>
        <w:numPr>
          <w:ilvl w:val="255"/>
          <w:numId w:val="0"/>
        </w:num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国别：</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品牌：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规格型号：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29392072">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否</w:t>
      </w:r>
    </w:p>
    <w:p w14:paraId="5B6743A1">
      <w:pPr>
        <w:numPr>
          <w:ilvl w:val="255"/>
          <w:numId w:val="0"/>
        </w:numPr>
        <w:pBdr>
          <w:top w:val="none" w:color="auto" w:sz="0" w:space="1"/>
          <w:left w:val="none" w:color="auto" w:sz="0" w:space="4"/>
          <w:bottom w:val="none" w:color="auto" w:sz="0" w:space="1"/>
          <w:right w:val="none" w:color="auto" w:sz="0" w:space="4"/>
        </w:pBdr>
        <w:tabs>
          <w:tab w:val="left" w:pos="740"/>
        </w:tabs>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w:t>
      </w:r>
      <w:r>
        <w:rPr>
          <w:rFonts w:hint="eastAsia" w:ascii="宋体" w:hAnsi="宋体" w:eastAsia="宋体" w:cs="宋体"/>
          <w:color w:val="auto"/>
          <w:szCs w:val="21"/>
          <w:highlight w:val="none"/>
          <w:lang w:val="en"/>
        </w:rPr>
        <w:t>0</w:t>
      </w:r>
      <w:r>
        <w:rPr>
          <w:rFonts w:hint="eastAsia" w:ascii="宋体" w:hAnsi="宋体" w:eastAsia="宋体" w:cs="宋体"/>
          <w:color w:val="auto"/>
          <w:szCs w:val="21"/>
          <w:highlight w:val="none"/>
        </w:rPr>
        <w:t>）是否涉及节能产品：</w:t>
      </w:r>
    </w:p>
    <w:p w14:paraId="6A7ABC0E">
      <w:pPr>
        <w:numPr>
          <w:ilvl w:val="255"/>
          <w:numId w:val="0"/>
        </w:numPr>
        <w:pBdr>
          <w:top w:val="none" w:color="auto" w:sz="0" w:space="1"/>
          <w:left w:val="none" w:color="auto" w:sz="0" w:space="4"/>
          <w:bottom w:val="none" w:color="auto" w:sz="0" w:space="1"/>
          <w:right w:val="none" w:color="auto" w:sz="0" w:space="4"/>
        </w:pBdr>
        <w:tabs>
          <w:tab w:val="left" w:pos="740"/>
        </w:tabs>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         是，《节能产品政府采购品目清单》的底级品目名称：</w:t>
      </w:r>
      <w:r>
        <w:rPr>
          <w:rFonts w:hint="eastAsia" w:ascii="宋体" w:hAnsi="宋体" w:eastAsia="宋体" w:cs="宋体"/>
          <w:color w:val="auto"/>
          <w:szCs w:val="21"/>
          <w:highlight w:val="none"/>
          <w:u w:val="single"/>
        </w:rPr>
        <w:t xml:space="preserve">         </w:t>
      </w:r>
      <w:r>
        <w:rPr>
          <w:rFonts w:hint="eastAsia" w:ascii="宋体" w:hAnsi="宋体" w:eastAsia="宋体" w:cs="宋体"/>
          <w:iCs/>
          <w:color w:val="auto"/>
          <w:szCs w:val="21"/>
          <w:highlight w:val="none"/>
        </w:rPr>
        <w:t xml:space="preserve">     </w:t>
      </w:r>
    </w:p>
    <w:p w14:paraId="0599BAD2">
      <w:pPr>
        <w:numPr>
          <w:ilvl w:val="255"/>
          <w:numId w:val="0"/>
        </w:numPr>
        <w:pBdr>
          <w:top w:val="none" w:color="auto" w:sz="0" w:space="1"/>
          <w:left w:val="none" w:color="auto" w:sz="0" w:space="4"/>
          <w:bottom w:val="none" w:color="auto" w:sz="0" w:space="1"/>
          <w:right w:val="none" w:color="auto" w:sz="0" w:space="4"/>
        </w:pBdr>
        <w:tabs>
          <w:tab w:val="left" w:pos="740"/>
        </w:tabs>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                强制采购       优先采购    </w:t>
      </w:r>
    </w:p>
    <w:p w14:paraId="6B2AD377">
      <w:pPr>
        <w:numPr>
          <w:ilvl w:val="255"/>
          <w:numId w:val="0"/>
        </w:numPr>
        <w:pBdr>
          <w:top w:val="none" w:color="auto" w:sz="0" w:space="1"/>
          <w:left w:val="none" w:color="auto" w:sz="0" w:space="4"/>
          <w:bottom w:val="none" w:color="auto" w:sz="0" w:space="1"/>
          <w:right w:val="none" w:color="auto" w:sz="0" w:space="4"/>
        </w:pBdr>
        <w:tabs>
          <w:tab w:val="left" w:pos="740"/>
        </w:tabs>
        <w:spacing w:line="360" w:lineRule="auto"/>
        <w:rPr>
          <w:rFonts w:hint="eastAsia" w:ascii="宋体" w:hAnsi="宋体" w:eastAsia="宋体" w:cs="宋体"/>
          <w:color w:val="auto"/>
          <w:szCs w:val="21"/>
          <w:highlight w:val="none"/>
        </w:rPr>
      </w:pPr>
      <w:r>
        <w:rPr>
          <w:rFonts w:hint="eastAsia" w:ascii="宋体" w:hAnsi="宋体" w:eastAsia="宋体" w:cs="宋体"/>
          <w:iCs/>
          <w:color w:val="auto"/>
          <w:szCs w:val="21"/>
          <w:highlight w:val="none"/>
        </w:rPr>
        <w:t xml:space="preserve">         </w:t>
      </w:r>
      <w:r>
        <w:rPr>
          <w:rFonts w:hint="eastAsia" w:ascii="宋体" w:hAnsi="宋体" w:eastAsia="宋体" w:cs="宋体"/>
          <w:color w:val="auto"/>
          <w:szCs w:val="21"/>
          <w:highlight w:val="none"/>
        </w:rPr>
        <w:t>否</w:t>
      </w:r>
    </w:p>
    <w:p w14:paraId="511F5771">
      <w:pPr>
        <w:numPr>
          <w:ilvl w:val="255"/>
          <w:numId w:val="0"/>
        </w:numPr>
        <w:pBdr>
          <w:top w:val="none" w:color="auto" w:sz="0" w:space="1"/>
          <w:left w:val="none" w:color="auto" w:sz="0" w:space="4"/>
          <w:bottom w:val="none" w:color="auto" w:sz="0" w:space="1"/>
          <w:right w:val="none" w:color="auto" w:sz="0" w:space="4"/>
        </w:pBdr>
        <w:tabs>
          <w:tab w:val="left" w:pos="740"/>
        </w:tabs>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是否涉及环境标志产品：</w:t>
      </w:r>
    </w:p>
    <w:p w14:paraId="3B83DDED">
      <w:pPr>
        <w:numPr>
          <w:ilvl w:val="255"/>
          <w:numId w:val="0"/>
        </w:numPr>
        <w:pBdr>
          <w:top w:val="none" w:color="auto" w:sz="0" w:space="1"/>
          <w:left w:val="none" w:color="auto" w:sz="0" w:space="4"/>
          <w:bottom w:val="none" w:color="auto" w:sz="0" w:space="1"/>
          <w:right w:val="none" w:color="auto" w:sz="0" w:space="4"/>
        </w:pBdr>
        <w:tabs>
          <w:tab w:val="left" w:pos="740"/>
        </w:tabs>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是，《环境标志产品政府采购品目清单》的底级品目名称：</w:t>
      </w:r>
      <w:r>
        <w:rPr>
          <w:rFonts w:hint="eastAsia" w:ascii="宋体" w:hAnsi="宋体" w:eastAsia="宋体" w:cs="宋体"/>
          <w:color w:val="auto"/>
          <w:szCs w:val="21"/>
          <w:highlight w:val="none"/>
          <w:u w:val="single"/>
        </w:rPr>
        <w:t xml:space="preserve">         </w:t>
      </w:r>
      <w:r>
        <w:rPr>
          <w:rFonts w:hint="eastAsia" w:ascii="宋体" w:hAnsi="宋体" w:eastAsia="宋体" w:cs="宋体"/>
          <w:iCs/>
          <w:color w:val="auto"/>
          <w:szCs w:val="21"/>
          <w:highlight w:val="none"/>
        </w:rPr>
        <w:t xml:space="preserve"> </w:t>
      </w:r>
    </w:p>
    <w:p w14:paraId="1EB3581F">
      <w:pPr>
        <w:numPr>
          <w:ilvl w:val="255"/>
          <w:numId w:val="0"/>
        </w:numPr>
        <w:pBdr>
          <w:top w:val="none" w:color="auto" w:sz="0" w:space="1"/>
          <w:left w:val="none" w:color="auto" w:sz="0" w:space="4"/>
          <w:bottom w:val="none" w:color="auto" w:sz="0" w:space="1"/>
          <w:right w:val="none" w:color="auto" w:sz="0" w:space="4"/>
        </w:pBdr>
        <w:tabs>
          <w:tab w:val="left" w:pos="740"/>
        </w:tabs>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                强制采购       优先采购    </w:t>
      </w:r>
    </w:p>
    <w:p w14:paraId="3E000CCA">
      <w:pPr>
        <w:numPr>
          <w:ilvl w:val="255"/>
          <w:numId w:val="0"/>
        </w:numPr>
        <w:pBdr>
          <w:top w:val="none" w:color="auto" w:sz="0" w:space="1"/>
          <w:left w:val="none" w:color="auto" w:sz="0" w:space="4"/>
          <w:bottom w:val="none" w:color="auto" w:sz="0" w:space="1"/>
          <w:right w:val="none" w:color="auto" w:sz="0" w:space="4"/>
        </w:pBdr>
        <w:tabs>
          <w:tab w:val="left" w:pos="740"/>
        </w:tabs>
        <w:spacing w:line="360" w:lineRule="auto"/>
        <w:rPr>
          <w:rFonts w:hint="eastAsia" w:ascii="宋体" w:hAnsi="宋体" w:eastAsia="宋体" w:cs="宋体"/>
          <w:color w:val="auto"/>
          <w:szCs w:val="21"/>
          <w:highlight w:val="none"/>
        </w:rPr>
      </w:pPr>
      <w:r>
        <w:rPr>
          <w:rFonts w:hint="eastAsia" w:ascii="宋体" w:hAnsi="宋体" w:eastAsia="宋体" w:cs="宋体"/>
          <w:iCs/>
          <w:color w:val="auto"/>
          <w:szCs w:val="21"/>
          <w:highlight w:val="none"/>
        </w:rPr>
        <w:t xml:space="preserve">         </w:t>
      </w:r>
      <w:r>
        <w:rPr>
          <w:rFonts w:hint="eastAsia" w:ascii="宋体" w:hAnsi="宋体" w:eastAsia="宋体" w:cs="宋体"/>
          <w:color w:val="auto"/>
          <w:szCs w:val="21"/>
          <w:highlight w:val="none"/>
        </w:rPr>
        <w:t>否</w:t>
      </w:r>
    </w:p>
    <w:p w14:paraId="65252B20">
      <w:pPr>
        <w:pStyle w:val="263"/>
        <w:numPr>
          <w:ilvl w:val="255"/>
          <w:numId w:val="0"/>
        </w:num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是否涉及绿色产品： </w:t>
      </w:r>
    </w:p>
    <w:p w14:paraId="11590D4E">
      <w:pPr>
        <w:pStyle w:val="263"/>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highlight w:val="none"/>
          <w:u w:val="single"/>
        </w:rPr>
      </w:pPr>
      <w:r>
        <w:rPr>
          <w:rFonts w:hint="eastAsia" w:ascii="宋体" w:hAnsi="宋体" w:eastAsia="宋体" w:cs="宋体"/>
          <w:color w:val="auto"/>
          <w:sz w:val="21"/>
          <w:highlight w:val="none"/>
        </w:rPr>
        <w:t xml:space="preserve">     是，绿色产品政府采购相关政策确定的底级品目名称：</w:t>
      </w:r>
      <w:r>
        <w:rPr>
          <w:rFonts w:hint="eastAsia" w:ascii="宋体" w:hAnsi="宋体" w:eastAsia="宋体" w:cs="宋体"/>
          <w:color w:val="auto"/>
          <w:highlight w:val="none"/>
          <w:u w:val="single"/>
        </w:rPr>
        <w:t xml:space="preserve">         </w:t>
      </w:r>
    </w:p>
    <w:p w14:paraId="4B49D446">
      <w:pPr>
        <w:numPr>
          <w:ilvl w:val="255"/>
          <w:numId w:val="0"/>
        </w:numPr>
        <w:pBdr>
          <w:top w:val="none" w:color="auto" w:sz="0" w:space="1"/>
          <w:left w:val="none" w:color="auto" w:sz="0" w:space="4"/>
          <w:bottom w:val="none" w:color="auto" w:sz="0" w:space="1"/>
          <w:right w:val="none" w:color="auto" w:sz="0" w:space="4"/>
        </w:pBdr>
        <w:tabs>
          <w:tab w:val="left" w:pos="740"/>
        </w:tabs>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                强制采购       优先采购    </w:t>
      </w:r>
    </w:p>
    <w:p w14:paraId="35AFDFEB">
      <w:pPr>
        <w:pStyle w:val="263"/>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否</w:t>
      </w:r>
    </w:p>
    <w:p w14:paraId="2FF7E252">
      <w:pPr>
        <w:numPr>
          <w:ilvl w:val="255"/>
          <w:numId w:val="0"/>
        </w:num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w:t>
      </w:r>
      <w:r>
        <w:rPr>
          <w:rFonts w:hint="eastAsia" w:ascii="宋体" w:hAnsi="宋体" w:eastAsia="宋体" w:cs="宋体"/>
          <w:color w:val="auto"/>
          <w:szCs w:val="21"/>
          <w:highlight w:val="none"/>
          <w:lang w:val="en"/>
        </w:rPr>
        <w:t>1</w:t>
      </w:r>
      <w:r>
        <w:rPr>
          <w:rFonts w:hint="eastAsia" w:ascii="宋体" w:hAnsi="宋体" w:eastAsia="宋体" w:cs="宋体"/>
          <w:color w:val="auto"/>
          <w:szCs w:val="21"/>
          <w:highlight w:val="none"/>
        </w:rPr>
        <w:t>）涉及商品包装和快递包装的，是否参考《商品包装政府采购需求标准（试行）》、《快递包装政府采购需求标准（试行）》明确产品及相关快递服务的具体包装要求：</w:t>
      </w:r>
    </w:p>
    <w:p w14:paraId="77A40DB5">
      <w:pPr>
        <w:numPr>
          <w:ilvl w:val="255"/>
          <w:numId w:val="0"/>
        </w:num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       否      不涉及</w:t>
      </w:r>
    </w:p>
    <w:p w14:paraId="413C8723">
      <w:pPr>
        <w:numPr>
          <w:ilvl w:val="0"/>
          <w:numId w:val="1"/>
        </w:numPr>
        <w:pBdr>
          <w:top w:val="none" w:color="auto" w:sz="0" w:space="1"/>
          <w:left w:val="none" w:color="auto" w:sz="0" w:space="4"/>
          <w:bottom w:val="none" w:color="auto" w:sz="0" w:space="1"/>
          <w:right w:val="none" w:color="auto" w:sz="0" w:space="4"/>
        </w:pBd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合同金额</w:t>
      </w:r>
    </w:p>
    <w:p w14:paraId="460C76D5">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（1）合同金额小写：</w:t>
      </w:r>
      <w:r>
        <w:rPr>
          <w:rFonts w:hint="eastAsia" w:ascii="宋体" w:hAnsi="宋体" w:eastAsia="宋体" w:cs="宋体"/>
          <w:color w:val="auto"/>
          <w:szCs w:val="21"/>
          <w:highlight w:val="none"/>
          <w:u w:val="single"/>
        </w:rPr>
        <w:t xml:space="preserve">                           </w:t>
      </w:r>
    </w:p>
    <w:p w14:paraId="2F17C754">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大写：</w:t>
      </w:r>
      <w:r>
        <w:rPr>
          <w:rFonts w:hint="eastAsia" w:ascii="宋体" w:hAnsi="宋体" w:eastAsia="宋体" w:cs="宋体"/>
          <w:color w:val="auto"/>
          <w:szCs w:val="21"/>
          <w:highlight w:val="none"/>
          <w:u w:val="single"/>
        </w:rPr>
        <w:t xml:space="preserve">                           </w:t>
      </w:r>
    </w:p>
    <w:p w14:paraId="4EC1701C">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分包金额（如有）小写：</w:t>
      </w:r>
      <w:r>
        <w:rPr>
          <w:rFonts w:hint="eastAsia" w:ascii="宋体" w:hAnsi="宋体" w:eastAsia="宋体" w:cs="宋体"/>
          <w:color w:val="auto"/>
          <w:szCs w:val="21"/>
          <w:highlight w:val="none"/>
          <w:u w:val="single"/>
        </w:rPr>
        <w:t xml:space="preserve">                   </w:t>
      </w:r>
    </w:p>
    <w:p w14:paraId="7B53F92B">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大写：</w:t>
      </w:r>
      <w:r>
        <w:rPr>
          <w:rFonts w:hint="eastAsia" w:ascii="宋体" w:hAnsi="宋体" w:eastAsia="宋体" w:cs="宋体"/>
          <w:color w:val="auto"/>
          <w:szCs w:val="21"/>
          <w:highlight w:val="none"/>
          <w:u w:val="single"/>
        </w:rPr>
        <w:t xml:space="preserve">                       </w:t>
      </w:r>
    </w:p>
    <w:p w14:paraId="35EFF071">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（注：固定单价合同应填写单价和最高限价）</w:t>
      </w:r>
    </w:p>
    <w:p w14:paraId="7681077E">
      <w:pPr>
        <w:numPr>
          <w:ilvl w:val="255"/>
          <w:numId w:val="0"/>
        </w:num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（2）合同定价方式（采用组合定价方式的，可以勾选多项）：</w:t>
      </w:r>
    </w:p>
    <w:p w14:paraId="2892C372">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iCs/>
          <w:color w:val="auto"/>
          <w:szCs w:val="21"/>
          <w:highlight w:val="none"/>
        </w:rPr>
        <w:t xml:space="preserve">  固定总价 固定单价 固定费率 成本补偿 绩效激励 其他</w:t>
      </w:r>
      <w:r>
        <w:rPr>
          <w:rFonts w:hint="eastAsia" w:ascii="宋体" w:hAnsi="宋体" w:eastAsia="宋体" w:cs="宋体"/>
          <w:color w:val="auto"/>
          <w:szCs w:val="21"/>
          <w:highlight w:val="none"/>
          <w:u w:val="single"/>
        </w:rPr>
        <w:t xml:space="preserve">       </w:t>
      </w:r>
    </w:p>
    <w:p w14:paraId="25DA62AB">
      <w:pPr>
        <w:pStyle w:val="264"/>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（3）付款方式（按项目实际勾选填写）：</w:t>
      </w:r>
    </w:p>
    <w:p w14:paraId="52AB0C3A">
      <w:pPr>
        <w:pBdr>
          <w:top w:val="none" w:color="auto" w:sz="0" w:space="1"/>
          <w:left w:val="none" w:color="auto" w:sz="0" w:space="4"/>
          <w:bottom w:val="none" w:color="auto" w:sz="0" w:space="1"/>
          <w:right w:val="none" w:color="auto" w:sz="0" w:space="4"/>
        </w:pBdr>
        <w:spacing w:line="360" w:lineRule="auto"/>
        <w:ind w:firstLine="63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全额付款：</w:t>
      </w:r>
      <w:r>
        <w:rPr>
          <w:rFonts w:hint="eastAsia" w:ascii="宋体" w:hAnsi="宋体" w:eastAsia="宋体" w:cs="宋体"/>
          <w:color w:val="auto"/>
          <w:szCs w:val="21"/>
          <w:highlight w:val="none"/>
          <w:u w:val="single"/>
        </w:rPr>
        <w:t xml:space="preserve">     （应明确一次性支付合同款项的条件）                    </w:t>
      </w:r>
    </w:p>
    <w:p w14:paraId="26D29AAD">
      <w:pPr>
        <w:pBdr>
          <w:top w:val="none" w:color="auto" w:sz="0" w:space="1"/>
          <w:left w:val="none" w:color="auto" w:sz="0" w:space="4"/>
          <w:bottom w:val="none" w:color="auto" w:sz="0" w:space="1"/>
          <w:right w:val="none" w:color="auto" w:sz="0" w:space="4"/>
        </w:pBdr>
        <w:spacing w:line="360" w:lineRule="auto"/>
        <w:ind w:firstLine="630"/>
        <w:rPr>
          <w:rFonts w:hint="eastAsia" w:ascii="宋体" w:hAnsi="宋体" w:eastAsia="宋体" w:cs="宋体"/>
          <w:color w:val="auto"/>
          <w:highlight w:val="none"/>
        </w:rPr>
      </w:pPr>
      <w:r>
        <w:rPr>
          <w:rFonts w:hint="eastAsia" w:ascii="宋体" w:hAnsi="宋体" w:eastAsia="宋体" w:cs="宋体"/>
          <w:color w:val="auto"/>
          <w:szCs w:val="21"/>
          <w:highlight w:val="none"/>
        </w:rPr>
        <w:t>分期付款：</w:t>
      </w:r>
      <w:r>
        <w:rPr>
          <w:rFonts w:hint="eastAsia" w:ascii="宋体" w:hAnsi="宋体" w:eastAsia="宋体" w:cs="宋体"/>
          <w:color w:val="auto"/>
          <w:szCs w:val="21"/>
          <w:highlight w:val="none"/>
          <w:u w:val="single"/>
        </w:rPr>
        <w:t xml:space="preserve">  （应明确分期支付合同款项的各期比例和支付条件，各期支付条件应与分期履约验收情况挂钩） </w:t>
      </w:r>
      <w:r>
        <w:rPr>
          <w:rFonts w:hint="eastAsia" w:ascii="宋体" w:hAnsi="宋体" w:eastAsia="宋体" w:cs="宋体"/>
          <w:color w:val="auto"/>
          <w:szCs w:val="21"/>
          <w:highlight w:val="none"/>
        </w:rPr>
        <w:t>，其中涉及预付款的：</w:t>
      </w:r>
      <w:r>
        <w:rPr>
          <w:rFonts w:hint="eastAsia" w:ascii="宋体" w:hAnsi="宋体" w:eastAsia="宋体" w:cs="宋体"/>
          <w:color w:val="auto"/>
          <w:szCs w:val="21"/>
          <w:highlight w:val="none"/>
          <w:u w:val="single"/>
        </w:rPr>
        <w:t xml:space="preserve"> （应明确预付款的支付比例和支付条件） </w:t>
      </w:r>
    </w:p>
    <w:p w14:paraId="378A5CD8">
      <w:pPr>
        <w:pBdr>
          <w:top w:val="none" w:color="auto" w:sz="0" w:space="1"/>
          <w:left w:val="none" w:color="auto" w:sz="0" w:space="4"/>
          <w:bottom w:val="none" w:color="auto" w:sz="0" w:space="1"/>
          <w:right w:val="none" w:color="auto" w:sz="0" w:space="4"/>
        </w:pBdr>
        <w:spacing w:line="360" w:lineRule="auto"/>
        <w:ind w:firstLine="63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成本补偿：</w:t>
      </w:r>
      <w:r>
        <w:rPr>
          <w:rFonts w:hint="eastAsia" w:ascii="宋体" w:hAnsi="宋体" w:eastAsia="宋体" w:cs="宋体"/>
          <w:color w:val="auto"/>
          <w:szCs w:val="21"/>
          <w:highlight w:val="none"/>
          <w:u w:val="single"/>
        </w:rPr>
        <w:t xml:space="preserve">      （应明确按照成本补偿方式的支付方式和支付条件）   </w:t>
      </w:r>
    </w:p>
    <w:p w14:paraId="40A5DDD0">
      <w:pPr>
        <w:pBdr>
          <w:top w:val="none" w:color="auto" w:sz="0" w:space="1"/>
          <w:left w:val="none" w:color="auto" w:sz="0" w:space="4"/>
          <w:bottom w:val="none" w:color="auto" w:sz="0" w:space="1"/>
          <w:right w:val="none" w:color="auto" w:sz="0" w:space="4"/>
        </w:pBdr>
        <w:spacing w:line="360" w:lineRule="auto"/>
        <w:ind w:firstLine="63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绩效激励：</w:t>
      </w:r>
      <w:r>
        <w:rPr>
          <w:rFonts w:hint="eastAsia" w:ascii="宋体" w:hAnsi="宋体" w:eastAsia="宋体" w:cs="宋体"/>
          <w:color w:val="auto"/>
          <w:szCs w:val="21"/>
          <w:highlight w:val="none"/>
          <w:u w:val="single"/>
        </w:rPr>
        <w:t xml:space="preserve">      （应明确按照绩效激励方式的支付方式和支付条件）   </w:t>
      </w:r>
    </w:p>
    <w:p w14:paraId="27B69A03">
      <w:pPr>
        <w:numPr>
          <w:ilvl w:val="0"/>
          <w:numId w:val="1"/>
        </w:numPr>
        <w:pBdr>
          <w:top w:val="none" w:color="auto" w:sz="0" w:space="1"/>
          <w:left w:val="none" w:color="auto" w:sz="0" w:space="4"/>
          <w:bottom w:val="none" w:color="auto" w:sz="0" w:space="1"/>
          <w:right w:val="none" w:color="auto" w:sz="0" w:space="4"/>
        </w:pBdr>
        <w:spacing w:line="360" w:lineRule="auto"/>
        <w:ind w:firstLine="422"/>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合同履行</w:t>
      </w:r>
    </w:p>
    <w:p w14:paraId="58F3BC78">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707E218D">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（2）履约地点</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u w:val="single"/>
        </w:rPr>
        <w:t xml:space="preserve">                             </w:t>
      </w:r>
    </w:p>
    <w:p w14:paraId="4D2409D2">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（3）履约担保：</w:t>
      </w:r>
      <w:r>
        <w:rPr>
          <w:rFonts w:hint="eastAsia" w:ascii="宋体" w:hAnsi="宋体" w:eastAsia="宋体" w:cs="宋体"/>
          <w:color w:val="auto"/>
          <w:highlight w:val="none"/>
        </w:rPr>
        <w:t>是否收取履约保证金：</w:t>
      </w:r>
      <w:r>
        <w:rPr>
          <w:rFonts w:hint="eastAsia" w:ascii="宋体" w:hAnsi="宋体" w:eastAsia="宋体" w:cs="宋体"/>
          <w:color w:val="auto"/>
          <w:szCs w:val="21"/>
          <w:highlight w:val="none"/>
        </w:rPr>
        <w:t>是    否</w:t>
      </w:r>
    </w:p>
    <w:p w14:paraId="6A421571">
      <w:pPr>
        <w:pStyle w:val="263"/>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1"/>
          <w:highlight w:val="none"/>
        </w:rPr>
      </w:pPr>
      <w:r>
        <w:rPr>
          <w:rFonts w:hint="eastAsia" w:ascii="宋体" w:hAnsi="宋体" w:eastAsia="宋体" w:cs="宋体"/>
          <w:bCs/>
          <w:color w:val="auto"/>
          <w:highlight w:val="none"/>
        </w:rPr>
        <w:t xml:space="preserve">  </w:t>
      </w:r>
      <w:r>
        <w:rPr>
          <w:rFonts w:hint="eastAsia" w:ascii="宋体" w:hAnsi="宋体" w:eastAsia="宋体" w:cs="宋体"/>
          <w:color w:val="auto"/>
          <w:sz w:val="21"/>
          <w:highlight w:val="none"/>
        </w:rPr>
        <w:t xml:space="preserve">  收取履约保证金形式：</w:t>
      </w:r>
      <w:r>
        <w:rPr>
          <w:rFonts w:hint="eastAsia" w:ascii="宋体" w:hAnsi="宋体" w:eastAsia="宋体" w:cs="宋体"/>
          <w:bCs/>
          <w:color w:val="auto"/>
          <w:sz w:val="21"/>
          <w:highlight w:val="none"/>
          <w:u w:val="single"/>
        </w:rPr>
        <w:t xml:space="preserve">                            </w:t>
      </w:r>
    </w:p>
    <w:p w14:paraId="70DABFB2">
      <w:pPr>
        <w:pStyle w:val="263"/>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rPr>
        <w:t xml:space="preserve">                            </w:t>
      </w:r>
    </w:p>
    <w:p w14:paraId="518B0C22">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    履约担保期限：</w:t>
      </w:r>
      <w:r>
        <w:rPr>
          <w:rFonts w:hint="eastAsia" w:ascii="宋体" w:hAnsi="宋体" w:eastAsia="宋体" w:cs="宋体"/>
          <w:bCs/>
          <w:color w:val="auto"/>
          <w:szCs w:val="21"/>
          <w:highlight w:val="none"/>
          <w:u w:val="single"/>
        </w:rPr>
        <w:t xml:space="preserve">                                  </w:t>
      </w:r>
    </w:p>
    <w:p w14:paraId="32245C7B">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（4）分期履行要求：</w:t>
      </w:r>
      <w:r>
        <w:rPr>
          <w:rFonts w:hint="eastAsia" w:ascii="宋体" w:hAnsi="宋体" w:eastAsia="宋体" w:cs="宋体"/>
          <w:bCs/>
          <w:color w:val="auto"/>
          <w:szCs w:val="21"/>
          <w:highlight w:val="none"/>
          <w:u w:val="single"/>
        </w:rPr>
        <w:t xml:space="preserve">                                                        </w:t>
      </w:r>
    </w:p>
    <w:p w14:paraId="25F30B58">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（5）风险处置措施和替代方案：</w:t>
      </w:r>
      <w:r>
        <w:rPr>
          <w:rFonts w:hint="eastAsia" w:ascii="宋体" w:hAnsi="宋体" w:eastAsia="宋体" w:cs="宋体"/>
          <w:color w:val="auto"/>
          <w:szCs w:val="21"/>
          <w:highlight w:val="none"/>
          <w:u w:val="single"/>
        </w:rPr>
        <w:t xml:space="preserve">                                                               </w:t>
      </w:r>
    </w:p>
    <w:p w14:paraId="6034CFD8">
      <w:pPr>
        <w:numPr>
          <w:ilvl w:val="0"/>
          <w:numId w:val="1"/>
        </w:numPr>
        <w:pBdr>
          <w:top w:val="none" w:color="auto" w:sz="0" w:space="1"/>
          <w:left w:val="none" w:color="auto" w:sz="0" w:space="4"/>
          <w:bottom w:val="none" w:color="auto" w:sz="0" w:space="1"/>
          <w:right w:val="none" w:color="auto" w:sz="0" w:space="4"/>
        </w:pBd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合同验收</w:t>
      </w:r>
    </w:p>
    <w:p w14:paraId="49E9C940">
      <w:pPr>
        <w:numPr>
          <w:ilvl w:val="0"/>
          <w:numId w:val="3"/>
        </w:num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验收组织方式：</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 xml:space="preserve">自行组织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委托第三方组织</w:t>
      </w:r>
    </w:p>
    <w:p w14:paraId="0BEA9618">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验收主体：</w:t>
      </w:r>
      <w:r>
        <w:rPr>
          <w:rFonts w:hint="eastAsia" w:ascii="宋体" w:hAnsi="宋体" w:eastAsia="宋体" w:cs="宋体"/>
          <w:bCs/>
          <w:color w:val="auto"/>
          <w:szCs w:val="21"/>
          <w:highlight w:val="none"/>
          <w:u w:val="single"/>
        </w:rPr>
        <w:t xml:space="preserve">                  </w:t>
      </w:r>
    </w:p>
    <w:p w14:paraId="365A9A37">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是否邀请本项目的其他供应商参加验收：</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否</w:t>
      </w:r>
    </w:p>
    <w:p w14:paraId="5BEF4092">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是否邀请专家参加验收：</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否</w:t>
      </w:r>
    </w:p>
    <w:p w14:paraId="1A8758EB">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是否邀请服务对象参加验收：</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否</w:t>
      </w:r>
    </w:p>
    <w:p w14:paraId="301FB22C">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是否邀请第三方检测机构参加验收：</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否</w:t>
      </w:r>
    </w:p>
    <w:p w14:paraId="0CFD739F">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是否进行抽查检测：</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是，抽查比例：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否</w:t>
      </w:r>
    </w:p>
    <w:p w14:paraId="154EE7F5">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是否存在破坏性检测：</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是，</w:t>
      </w:r>
      <w:r>
        <w:rPr>
          <w:rFonts w:hint="eastAsia" w:ascii="宋体" w:hAnsi="宋体" w:eastAsia="宋体" w:cs="宋体"/>
          <w:bCs/>
          <w:color w:val="auto"/>
          <w:szCs w:val="21"/>
          <w:highlight w:val="none"/>
          <w:u w:val="single"/>
        </w:rPr>
        <w:t>（应明确对被破坏的检测产品的处理方式）</w:t>
      </w:r>
    </w:p>
    <w:p w14:paraId="5F21EFBD">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否</w:t>
      </w:r>
    </w:p>
    <w:p w14:paraId="52B41498">
      <w:pPr>
        <w:pBdr>
          <w:top w:val="none" w:color="auto" w:sz="0" w:space="1"/>
          <w:left w:val="none" w:color="auto" w:sz="0" w:space="4"/>
          <w:bottom w:val="none" w:color="auto" w:sz="0" w:space="1"/>
          <w:right w:val="none" w:color="auto" w:sz="0" w:space="4"/>
        </w:pBdr>
        <w:spacing w:line="360" w:lineRule="auto"/>
        <w:ind w:firstLine="84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验收组织的其他事项：</w:t>
      </w:r>
      <w:r>
        <w:rPr>
          <w:rFonts w:hint="eastAsia" w:ascii="宋体" w:hAnsi="宋体" w:eastAsia="宋体" w:cs="宋体"/>
          <w:bCs/>
          <w:color w:val="auto"/>
          <w:szCs w:val="21"/>
          <w:highlight w:val="none"/>
          <w:u w:val="single"/>
        </w:rPr>
        <w:t xml:space="preserve">                </w:t>
      </w:r>
    </w:p>
    <w:p w14:paraId="3B816AB7">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（2）履约验收时间：</w:t>
      </w:r>
      <w:r>
        <w:rPr>
          <w:rFonts w:hint="eastAsia" w:ascii="宋体" w:hAnsi="宋体" w:eastAsia="宋体" w:cs="宋体"/>
          <w:bCs/>
          <w:color w:val="auto"/>
          <w:szCs w:val="21"/>
          <w:highlight w:val="none"/>
          <w:u w:val="single"/>
        </w:rPr>
        <w:t xml:space="preserve">（计划于何时验收/供应商提出验收申请之日起   日内组织验收） </w:t>
      </w:r>
    </w:p>
    <w:p w14:paraId="00302D9B">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（3）履约验收方式：</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 xml:space="preserve">一次性验收         </w:t>
      </w:r>
    </w:p>
    <w:p w14:paraId="79EEF6E2">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分期/分项验收：</w:t>
      </w:r>
      <w:r>
        <w:rPr>
          <w:rFonts w:hint="eastAsia" w:ascii="宋体" w:hAnsi="宋体" w:eastAsia="宋体" w:cs="宋体"/>
          <w:bCs/>
          <w:color w:val="auto"/>
          <w:szCs w:val="21"/>
          <w:highlight w:val="none"/>
          <w:u w:val="single"/>
        </w:rPr>
        <w:t xml:space="preserve"> （应明确分期</w:t>
      </w:r>
      <w:r>
        <w:rPr>
          <w:rFonts w:hint="eastAsia" w:ascii="宋体" w:hAnsi="宋体" w:eastAsia="宋体" w:cs="宋体"/>
          <w:bCs/>
          <w:color w:val="auto"/>
          <w:szCs w:val="21"/>
          <w:highlight w:val="none"/>
          <w:u w:val="single"/>
          <w:lang w:val="en"/>
        </w:rPr>
        <w:t>/分项验收的工作安排</w:t>
      </w:r>
      <w:r>
        <w:rPr>
          <w:rFonts w:hint="eastAsia" w:ascii="宋体" w:hAnsi="宋体" w:eastAsia="宋体" w:cs="宋体"/>
          <w:bCs/>
          <w:color w:val="auto"/>
          <w:szCs w:val="21"/>
          <w:highlight w:val="none"/>
          <w:u w:val="single"/>
        </w:rPr>
        <w:t xml:space="preserve">）  </w:t>
      </w:r>
    </w:p>
    <w:p w14:paraId="2F5F1232">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（4）履约验收程序：</w:t>
      </w:r>
      <w:r>
        <w:rPr>
          <w:rFonts w:hint="eastAsia" w:ascii="宋体" w:hAnsi="宋体" w:eastAsia="宋体" w:cs="宋体"/>
          <w:bCs/>
          <w:color w:val="auto"/>
          <w:szCs w:val="21"/>
          <w:highlight w:val="none"/>
          <w:u w:val="single"/>
        </w:rPr>
        <w:t xml:space="preserve">                                         </w:t>
      </w:r>
    </w:p>
    <w:p w14:paraId="3E25F12A">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（5）履约验收的内容：</w:t>
      </w:r>
      <w:r>
        <w:rPr>
          <w:rFonts w:hint="eastAsia" w:ascii="宋体" w:hAnsi="宋体" w:eastAsia="宋体" w:cs="宋体"/>
          <w:bCs/>
          <w:color w:val="auto"/>
          <w:szCs w:val="21"/>
          <w:highlight w:val="none"/>
          <w:u w:val="single"/>
        </w:rPr>
        <w:t xml:space="preserve"> （应当包括每一项技术和商务要求的履约情况，特别是落实政府采购扶持中小企业，支持绿色发展和乡村振兴等政策情况）                                      </w:t>
      </w:r>
    </w:p>
    <w:p w14:paraId="3591D400">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（6）履约验收标准：</w:t>
      </w:r>
      <w:r>
        <w:rPr>
          <w:rFonts w:hint="eastAsia" w:ascii="宋体" w:hAnsi="宋体" w:eastAsia="宋体" w:cs="宋体"/>
          <w:bCs/>
          <w:color w:val="auto"/>
          <w:szCs w:val="21"/>
          <w:highlight w:val="none"/>
          <w:u w:val="single"/>
        </w:rPr>
        <w:t xml:space="preserve">                                         </w:t>
      </w:r>
    </w:p>
    <w:p w14:paraId="0B82F4CD">
      <w:pPr>
        <w:pStyle w:val="263"/>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1"/>
          <w:highlight w:val="none"/>
        </w:rPr>
      </w:pPr>
      <w:r>
        <w:rPr>
          <w:rFonts w:hint="eastAsia" w:ascii="宋体" w:hAnsi="宋体" w:eastAsia="宋体" w:cs="宋体"/>
          <w:bCs/>
          <w:color w:val="auto"/>
          <w:sz w:val="21"/>
          <w:highlight w:val="none"/>
        </w:rPr>
        <w:t>（7）是否以采购活动中供应商提供的样品作为参考：</w:t>
      </w:r>
      <w:r>
        <w:rPr>
          <w:rFonts w:hint="eastAsia" w:ascii="宋体" w:hAnsi="宋体" w:eastAsia="宋体" w:cs="宋体"/>
          <w:color w:val="auto"/>
          <w:sz w:val="21"/>
          <w:highlight w:val="none"/>
        </w:rPr>
        <w:t></w:t>
      </w:r>
      <w:r>
        <w:rPr>
          <w:rFonts w:hint="eastAsia" w:ascii="宋体" w:hAnsi="宋体" w:eastAsia="宋体" w:cs="宋体"/>
          <w:bCs/>
          <w:color w:val="auto"/>
          <w:sz w:val="21"/>
          <w:highlight w:val="none"/>
        </w:rPr>
        <w:t xml:space="preserve">是  </w:t>
      </w:r>
      <w:r>
        <w:rPr>
          <w:rFonts w:hint="eastAsia" w:ascii="宋体" w:hAnsi="宋体" w:eastAsia="宋体" w:cs="宋体"/>
          <w:color w:val="auto"/>
          <w:sz w:val="21"/>
          <w:highlight w:val="none"/>
        </w:rPr>
        <w:t></w:t>
      </w:r>
      <w:r>
        <w:rPr>
          <w:rFonts w:hint="eastAsia" w:ascii="宋体" w:hAnsi="宋体" w:eastAsia="宋体" w:cs="宋体"/>
          <w:bCs/>
          <w:color w:val="auto"/>
          <w:sz w:val="21"/>
          <w:highlight w:val="none"/>
        </w:rPr>
        <w:t>否</w:t>
      </w:r>
    </w:p>
    <w:p w14:paraId="5F8F0608">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（8）履约验收其他事项：</w:t>
      </w:r>
      <w:r>
        <w:rPr>
          <w:rFonts w:hint="eastAsia" w:ascii="宋体" w:hAnsi="宋体" w:eastAsia="宋体" w:cs="宋体"/>
          <w:bCs/>
          <w:color w:val="auto"/>
          <w:szCs w:val="21"/>
          <w:highlight w:val="none"/>
          <w:u w:val="single"/>
        </w:rPr>
        <w:t xml:space="preserve">      （产权过户登记等）          </w:t>
      </w:r>
    </w:p>
    <w:p w14:paraId="5F309096">
      <w:pPr>
        <w:numPr>
          <w:ilvl w:val="0"/>
          <w:numId w:val="1"/>
        </w:numPr>
        <w:pBdr>
          <w:top w:val="none" w:color="auto" w:sz="0" w:space="1"/>
          <w:left w:val="none" w:color="auto" w:sz="0" w:space="4"/>
          <w:bottom w:val="none" w:color="auto" w:sz="0" w:space="1"/>
          <w:right w:val="none" w:color="auto" w:sz="0" w:space="4"/>
        </w:pBd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组成合同的文件</w:t>
      </w:r>
    </w:p>
    <w:p w14:paraId="34ABDCBF">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本协议书与下列文件一起构成合同文件，如下述文件之间有任何抵触、矛盾或歧义，应按以下顺序解释：</w:t>
      </w:r>
    </w:p>
    <w:p w14:paraId="6FA93B10">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（1）政府采购合同协议书及其变更、补充协议</w:t>
      </w:r>
    </w:p>
    <w:p w14:paraId="463CB9C2">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（2）政府采购合同专用条款</w:t>
      </w:r>
    </w:p>
    <w:p w14:paraId="68B800CF">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（3）政府采购合同通用条款</w:t>
      </w:r>
    </w:p>
    <w:p w14:paraId="167E127C">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（4）中标（成交）通知书</w:t>
      </w:r>
    </w:p>
    <w:p w14:paraId="6AD86FEF">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（5）投标（响应）文件</w:t>
      </w:r>
    </w:p>
    <w:p w14:paraId="778B8683">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（6）采购文件</w:t>
      </w:r>
    </w:p>
    <w:p w14:paraId="20DFDE62">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（7）有关技术文件，图纸</w:t>
      </w:r>
    </w:p>
    <w:p w14:paraId="17EF6D84">
      <w:pPr>
        <w:pStyle w:val="263"/>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（8）国家法律、行政法规和规章制度规定或合同约定的作为合同组成部分的其他文件</w:t>
      </w:r>
    </w:p>
    <w:p w14:paraId="40C1A711">
      <w:pPr>
        <w:numPr>
          <w:ilvl w:val="0"/>
          <w:numId w:val="1"/>
        </w:numPr>
        <w:pBdr>
          <w:top w:val="none" w:color="auto" w:sz="0" w:space="1"/>
          <w:left w:val="none" w:color="auto" w:sz="0" w:space="4"/>
          <w:bottom w:val="none" w:color="auto" w:sz="0" w:space="1"/>
          <w:right w:val="none" w:color="auto" w:sz="0" w:space="4"/>
        </w:pBd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合同生效</w:t>
      </w:r>
    </w:p>
    <w:p w14:paraId="35AB3606">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生效。</w:t>
      </w:r>
    </w:p>
    <w:p w14:paraId="61A11621">
      <w:pPr>
        <w:numPr>
          <w:ilvl w:val="0"/>
          <w:numId w:val="1"/>
        </w:numPr>
        <w:pBdr>
          <w:top w:val="none" w:color="auto" w:sz="0" w:space="1"/>
          <w:left w:val="none" w:color="auto" w:sz="0" w:space="4"/>
          <w:bottom w:val="none" w:color="auto" w:sz="0" w:space="1"/>
          <w:right w:val="none" w:color="auto" w:sz="0" w:space="4"/>
        </w:pBdr>
        <w:spacing w:line="360" w:lineRule="auto"/>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合同份数</w:t>
      </w:r>
    </w:p>
    <w:p w14:paraId="3CFF24E8">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份，甲方执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份，乙方执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份，均具有同等法律效力。</w:t>
      </w:r>
    </w:p>
    <w:p w14:paraId="21573B11">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3A372EF4">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合同订立地点：</w:t>
      </w:r>
      <w:r>
        <w:rPr>
          <w:rFonts w:hint="eastAsia" w:ascii="宋体" w:hAnsi="宋体" w:eastAsia="宋体" w:cs="宋体"/>
          <w:color w:val="auto"/>
          <w:szCs w:val="21"/>
          <w:highlight w:val="none"/>
          <w:u w:val="single"/>
        </w:rPr>
        <w:t xml:space="preserve">                           </w:t>
      </w:r>
    </w:p>
    <w:p w14:paraId="380D32C5">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rPr>
        <w:t>附件：具体标的及其技术要求和商务要求、联合协议、分包意向协议等。</w:t>
      </w:r>
    </w:p>
    <w:p w14:paraId="37F3706B">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7DB2AFD9">
      <w:pPr>
        <w:pStyle w:val="264"/>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tbl>
      <w:tblPr>
        <w:tblStyle w:val="36"/>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136"/>
        <w:gridCol w:w="2725"/>
        <w:gridCol w:w="2236"/>
        <w:gridCol w:w="2390"/>
      </w:tblGrid>
      <w:tr w14:paraId="49A4C18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jc w:val="center"/>
        </w:trPr>
        <w:tc>
          <w:tcPr>
            <w:tcW w:w="4303" w:type="dxa"/>
            <w:gridSpan w:val="2"/>
            <w:noWrap w:val="0"/>
            <w:vAlign w:val="center"/>
          </w:tcPr>
          <w:p w14:paraId="7226110F">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甲方（采购人、受采购人委托签订合同的单位或采购文件约定的合同甲方）</w:t>
            </w:r>
          </w:p>
        </w:tc>
        <w:tc>
          <w:tcPr>
            <w:tcW w:w="4095" w:type="dxa"/>
            <w:gridSpan w:val="2"/>
            <w:noWrap w:val="0"/>
            <w:vAlign w:val="center"/>
          </w:tcPr>
          <w:p w14:paraId="1CB6E29F">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乙方（供应商）</w:t>
            </w:r>
          </w:p>
        </w:tc>
      </w:tr>
      <w:tr w14:paraId="29E88E8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jc w:val="center"/>
        </w:trPr>
        <w:tc>
          <w:tcPr>
            <w:tcW w:w="1891" w:type="dxa"/>
            <w:noWrap w:val="0"/>
            <w:vAlign w:val="center"/>
          </w:tcPr>
          <w:p w14:paraId="37C7A4A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单位名称（公章或合同章）</w:t>
            </w:r>
          </w:p>
        </w:tc>
        <w:tc>
          <w:tcPr>
            <w:tcW w:w="2412" w:type="dxa"/>
            <w:noWrap w:val="0"/>
            <w:vAlign w:val="center"/>
          </w:tcPr>
          <w:p w14:paraId="14E76C6C">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979" w:type="dxa"/>
            <w:noWrap w:val="0"/>
            <w:vAlign w:val="center"/>
          </w:tcPr>
          <w:p w14:paraId="4A4C5B0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单位名称（公章或合同章）</w:t>
            </w:r>
          </w:p>
        </w:tc>
        <w:tc>
          <w:tcPr>
            <w:tcW w:w="2116" w:type="dxa"/>
            <w:noWrap w:val="0"/>
            <w:vAlign w:val="center"/>
          </w:tcPr>
          <w:p w14:paraId="0BE6DE0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pacing w:val="20"/>
                <w:szCs w:val="21"/>
                <w:highlight w:val="none"/>
              </w:rPr>
            </w:pPr>
          </w:p>
        </w:tc>
      </w:tr>
      <w:tr w14:paraId="18A3485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jc w:val="center"/>
        </w:trPr>
        <w:tc>
          <w:tcPr>
            <w:tcW w:w="1891" w:type="dxa"/>
            <w:vMerge w:val="restart"/>
            <w:noWrap w:val="0"/>
            <w:vAlign w:val="center"/>
          </w:tcPr>
          <w:p w14:paraId="4191891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p w14:paraId="0B3EB91F">
            <w:pPr>
              <w:pBdr>
                <w:top w:val="none" w:color="auto" w:sz="0" w:space="1"/>
                <w:left w:val="none" w:color="auto" w:sz="0" w:space="4"/>
                <w:bottom w:val="none" w:color="auto" w:sz="0" w:space="1"/>
                <w:right w:val="none" w:color="auto" w:sz="0" w:space="4"/>
              </w:pBdr>
              <w:spacing w:line="360" w:lineRule="auto"/>
              <w:ind w:firstLine="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2412" w:type="dxa"/>
            <w:vMerge w:val="restart"/>
            <w:noWrap w:val="0"/>
            <w:vAlign w:val="center"/>
          </w:tcPr>
          <w:p w14:paraId="16E3278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979" w:type="dxa"/>
            <w:noWrap w:val="0"/>
            <w:vAlign w:val="center"/>
          </w:tcPr>
          <w:p w14:paraId="751C0118">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p w14:paraId="30D90E75">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或其委托代理人（签章）</w:t>
            </w:r>
          </w:p>
        </w:tc>
        <w:tc>
          <w:tcPr>
            <w:tcW w:w="2116" w:type="dxa"/>
            <w:noWrap w:val="0"/>
            <w:vAlign w:val="center"/>
          </w:tcPr>
          <w:p w14:paraId="1BBCBA5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r>
      <w:tr w14:paraId="5028408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vMerge w:val="continue"/>
            <w:noWrap w:val="0"/>
            <w:vAlign w:val="center"/>
          </w:tcPr>
          <w:p w14:paraId="42AB9B9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2412" w:type="dxa"/>
            <w:vMerge w:val="continue"/>
            <w:noWrap w:val="0"/>
            <w:vAlign w:val="center"/>
          </w:tcPr>
          <w:p w14:paraId="588C9F35">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979" w:type="dxa"/>
            <w:noWrap w:val="0"/>
            <w:vAlign w:val="center"/>
          </w:tcPr>
          <w:p w14:paraId="3656951C">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拥有者性别</w:t>
            </w:r>
          </w:p>
        </w:tc>
        <w:tc>
          <w:tcPr>
            <w:tcW w:w="2116" w:type="dxa"/>
            <w:noWrap w:val="0"/>
            <w:vAlign w:val="center"/>
          </w:tcPr>
          <w:p w14:paraId="610B6FA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pacing w:val="20"/>
                <w:szCs w:val="21"/>
                <w:highlight w:val="none"/>
              </w:rPr>
            </w:pPr>
          </w:p>
        </w:tc>
      </w:tr>
      <w:tr w14:paraId="3B9BE85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1964AFD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住所</w:t>
            </w:r>
          </w:p>
        </w:tc>
        <w:tc>
          <w:tcPr>
            <w:tcW w:w="2412" w:type="dxa"/>
            <w:noWrap w:val="0"/>
            <w:vAlign w:val="center"/>
          </w:tcPr>
          <w:p w14:paraId="378B552C">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979" w:type="dxa"/>
            <w:noWrap w:val="0"/>
            <w:vAlign w:val="center"/>
          </w:tcPr>
          <w:p w14:paraId="6BE84E9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住所</w:t>
            </w:r>
          </w:p>
        </w:tc>
        <w:tc>
          <w:tcPr>
            <w:tcW w:w="2116" w:type="dxa"/>
            <w:noWrap w:val="0"/>
            <w:vAlign w:val="center"/>
          </w:tcPr>
          <w:p w14:paraId="431D941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pacing w:val="20"/>
                <w:szCs w:val="21"/>
                <w:highlight w:val="none"/>
              </w:rPr>
            </w:pPr>
          </w:p>
        </w:tc>
      </w:tr>
      <w:tr w14:paraId="4F865EF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60DD9DB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2412" w:type="dxa"/>
            <w:noWrap w:val="0"/>
            <w:vAlign w:val="center"/>
          </w:tcPr>
          <w:p w14:paraId="452B7FF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979" w:type="dxa"/>
            <w:noWrap w:val="0"/>
            <w:vAlign w:val="center"/>
          </w:tcPr>
          <w:p w14:paraId="3EE5CB6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 系 人</w:t>
            </w:r>
          </w:p>
        </w:tc>
        <w:tc>
          <w:tcPr>
            <w:tcW w:w="2116" w:type="dxa"/>
            <w:noWrap w:val="0"/>
            <w:vAlign w:val="center"/>
          </w:tcPr>
          <w:p w14:paraId="65042CF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pacing w:val="20"/>
                <w:szCs w:val="21"/>
                <w:highlight w:val="none"/>
              </w:rPr>
            </w:pPr>
          </w:p>
        </w:tc>
      </w:tr>
      <w:tr w14:paraId="471CF4E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4AB9B75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2412" w:type="dxa"/>
            <w:noWrap w:val="0"/>
            <w:vAlign w:val="center"/>
          </w:tcPr>
          <w:p w14:paraId="67BCC56F">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979" w:type="dxa"/>
            <w:noWrap w:val="0"/>
            <w:vAlign w:val="center"/>
          </w:tcPr>
          <w:p w14:paraId="557C8EC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tc>
        <w:tc>
          <w:tcPr>
            <w:tcW w:w="2116" w:type="dxa"/>
            <w:noWrap w:val="0"/>
            <w:vAlign w:val="center"/>
          </w:tcPr>
          <w:p w14:paraId="57C6BBB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pacing w:val="20"/>
                <w:szCs w:val="21"/>
                <w:highlight w:val="none"/>
              </w:rPr>
            </w:pPr>
          </w:p>
        </w:tc>
      </w:tr>
      <w:tr w14:paraId="4F84528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15A941B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p>
        </w:tc>
        <w:tc>
          <w:tcPr>
            <w:tcW w:w="2412" w:type="dxa"/>
            <w:noWrap w:val="0"/>
            <w:vAlign w:val="center"/>
          </w:tcPr>
          <w:p w14:paraId="3712D195">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979" w:type="dxa"/>
            <w:noWrap w:val="0"/>
            <w:vAlign w:val="center"/>
          </w:tcPr>
          <w:p w14:paraId="5CC91F2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p>
        </w:tc>
        <w:tc>
          <w:tcPr>
            <w:tcW w:w="2116" w:type="dxa"/>
            <w:noWrap w:val="0"/>
            <w:vAlign w:val="center"/>
          </w:tcPr>
          <w:p w14:paraId="586B3EC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pacing w:val="20"/>
                <w:szCs w:val="21"/>
                <w:highlight w:val="none"/>
              </w:rPr>
            </w:pPr>
          </w:p>
        </w:tc>
      </w:tr>
      <w:tr w14:paraId="60485BA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12C8B54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2412" w:type="dxa"/>
            <w:noWrap w:val="0"/>
            <w:vAlign w:val="center"/>
          </w:tcPr>
          <w:p w14:paraId="6AFC158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979" w:type="dxa"/>
            <w:noWrap w:val="0"/>
            <w:vAlign w:val="center"/>
          </w:tcPr>
          <w:p w14:paraId="66F89C0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c>
          <w:tcPr>
            <w:tcW w:w="2116" w:type="dxa"/>
            <w:noWrap w:val="0"/>
            <w:vAlign w:val="center"/>
          </w:tcPr>
          <w:p w14:paraId="3D22F28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pacing w:val="20"/>
                <w:szCs w:val="21"/>
                <w:highlight w:val="none"/>
              </w:rPr>
            </w:pPr>
          </w:p>
        </w:tc>
      </w:tr>
      <w:tr w14:paraId="29C1015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0F6D30E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2412" w:type="dxa"/>
            <w:noWrap w:val="0"/>
            <w:vAlign w:val="center"/>
          </w:tcPr>
          <w:p w14:paraId="1A15021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979" w:type="dxa"/>
            <w:noWrap w:val="0"/>
            <w:vAlign w:val="center"/>
          </w:tcPr>
          <w:p w14:paraId="2BBC488C">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电子邮箱</w:t>
            </w:r>
          </w:p>
        </w:tc>
        <w:tc>
          <w:tcPr>
            <w:tcW w:w="2116" w:type="dxa"/>
            <w:noWrap w:val="0"/>
            <w:vAlign w:val="center"/>
          </w:tcPr>
          <w:p w14:paraId="55C67D0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pacing w:val="20"/>
                <w:szCs w:val="21"/>
                <w:highlight w:val="none"/>
              </w:rPr>
            </w:pPr>
          </w:p>
        </w:tc>
      </w:tr>
      <w:tr w14:paraId="1167B6F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1891" w:type="dxa"/>
            <w:noWrap w:val="0"/>
            <w:vAlign w:val="center"/>
          </w:tcPr>
          <w:p w14:paraId="5CD165C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2412" w:type="dxa"/>
            <w:noWrap w:val="0"/>
            <w:vAlign w:val="center"/>
          </w:tcPr>
          <w:p w14:paraId="4E06365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979" w:type="dxa"/>
            <w:noWrap w:val="0"/>
            <w:vAlign w:val="center"/>
          </w:tcPr>
          <w:p w14:paraId="79DCD9B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统一社会信用代码</w:t>
            </w:r>
          </w:p>
        </w:tc>
        <w:tc>
          <w:tcPr>
            <w:tcW w:w="2116" w:type="dxa"/>
            <w:noWrap w:val="0"/>
            <w:vAlign w:val="center"/>
          </w:tcPr>
          <w:p w14:paraId="24B7BF05">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pacing w:val="20"/>
                <w:szCs w:val="21"/>
                <w:highlight w:val="none"/>
              </w:rPr>
            </w:pPr>
          </w:p>
        </w:tc>
      </w:tr>
      <w:tr w14:paraId="7EC5E02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restart"/>
            <w:noWrap w:val="0"/>
            <w:vAlign w:val="center"/>
          </w:tcPr>
          <w:p w14:paraId="51536D8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979" w:type="dxa"/>
            <w:noWrap w:val="0"/>
            <w:vAlign w:val="center"/>
          </w:tcPr>
          <w:p w14:paraId="02766C7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开户名称</w:t>
            </w:r>
          </w:p>
        </w:tc>
        <w:tc>
          <w:tcPr>
            <w:tcW w:w="2116" w:type="dxa"/>
            <w:noWrap w:val="0"/>
            <w:vAlign w:val="center"/>
          </w:tcPr>
          <w:p w14:paraId="244DAC8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pacing w:val="20"/>
                <w:szCs w:val="21"/>
                <w:highlight w:val="none"/>
              </w:rPr>
            </w:pPr>
          </w:p>
        </w:tc>
      </w:tr>
      <w:tr w14:paraId="22A04F3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continue"/>
            <w:noWrap w:val="0"/>
            <w:vAlign w:val="center"/>
          </w:tcPr>
          <w:p w14:paraId="76C4C62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979" w:type="dxa"/>
            <w:noWrap w:val="0"/>
            <w:vAlign w:val="center"/>
          </w:tcPr>
          <w:p w14:paraId="61AA4C3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p>
        </w:tc>
        <w:tc>
          <w:tcPr>
            <w:tcW w:w="2116" w:type="dxa"/>
            <w:noWrap w:val="0"/>
            <w:vAlign w:val="center"/>
          </w:tcPr>
          <w:p w14:paraId="458877E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pacing w:val="20"/>
                <w:szCs w:val="21"/>
                <w:highlight w:val="none"/>
              </w:rPr>
            </w:pPr>
          </w:p>
        </w:tc>
      </w:tr>
      <w:tr w14:paraId="5A12402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4303" w:type="dxa"/>
            <w:gridSpan w:val="2"/>
            <w:vMerge w:val="continue"/>
            <w:noWrap w:val="0"/>
            <w:vAlign w:val="center"/>
          </w:tcPr>
          <w:p w14:paraId="1A544AB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979" w:type="dxa"/>
            <w:noWrap w:val="0"/>
            <w:vAlign w:val="center"/>
          </w:tcPr>
          <w:p w14:paraId="3968C8CF">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银行账号</w:t>
            </w:r>
          </w:p>
        </w:tc>
        <w:tc>
          <w:tcPr>
            <w:tcW w:w="2116" w:type="dxa"/>
            <w:noWrap w:val="0"/>
            <w:vAlign w:val="center"/>
          </w:tcPr>
          <w:p w14:paraId="45D46C98">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pacing w:val="20"/>
                <w:szCs w:val="21"/>
                <w:highlight w:val="none"/>
              </w:rPr>
            </w:pPr>
          </w:p>
        </w:tc>
      </w:tr>
      <w:tr w14:paraId="4DB8D3D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jc w:val="center"/>
        </w:trPr>
        <w:tc>
          <w:tcPr>
            <w:tcW w:w="8398" w:type="dxa"/>
            <w:gridSpan w:val="4"/>
            <w:noWrap w:val="0"/>
            <w:vAlign w:val="center"/>
          </w:tcPr>
          <w:p w14:paraId="771376D4">
            <w:pPr>
              <w:pStyle w:val="246"/>
              <w:pBdr>
                <w:top w:val="none" w:color="auto" w:sz="0" w:space="1"/>
                <w:left w:val="none" w:color="auto" w:sz="0" w:space="4"/>
                <w:bottom w:val="none" w:color="auto" w:sz="0" w:space="1"/>
                <w:right w:val="none" w:color="auto" w:sz="0" w:space="4"/>
              </w:pBdr>
              <w:spacing w:after="0" w:line="360" w:lineRule="auto"/>
              <w:ind w:left="0"/>
              <w:jc w:val="left"/>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注：涉及联合体或其他合同主体的信息应按上表格式加列。</w:t>
            </w:r>
          </w:p>
        </w:tc>
      </w:tr>
    </w:tbl>
    <w:p w14:paraId="60118826">
      <w:pPr>
        <w:pStyle w:val="232"/>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1"/>
          <w:szCs w:val="21"/>
          <w:highlight w:val="none"/>
          <w:u w:val="single"/>
        </w:rPr>
        <w:br w:type="page" w:clear="all"/>
      </w:r>
      <w:bookmarkStart w:id="5" w:name="_Toc27624"/>
      <w:r>
        <w:rPr>
          <w:rFonts w:hint="eastAsia" w:ascii="宋体" w:hAnsi="宋体" w:eastAsia="宋体" w:cs="宋体"/>
          <w:b w:val="0"/>
          <w:bCs w:val="0"/>
          <w:color w:val="auto"/>
          <w:sz w:val="28"/>
          <w:szCs w:val="28"/>
          <w:highlight w:val="none"/>
        </w:rPr>
        <w:t>第二节 政府采购合同通用条款</w:t>
      </w:r>
      <w:bookmarkEnd w:id="5"/>
    </w:p>
    <w:p w14:paraId="37D24604">
      <w:pPr>
        <w:pBdr>
          <w:top w:val="none" w:color="auto" w:sz="0" w:space="1"/>
          <w:left w:val="none" w:color="auto" w:sz="0" w:space="4"/>
          <w:bottom w:val="none" w:color="auto" w:sz="0" w:space="1"/>
          <w:right w:val="none" w:color="auto" w:sz="0" w:space="4"/>
        </w:pBdr>
        <w:tabs>
          <w:tab w:val="left" w:pos="8820"/>
          <w:tab w:val="left" w:pos="9345"/>
          <w:tab w:val="left" w:pos="9765"/>
        </w:tabs>
        <w:spacing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bCs/>
          <w:color w:val="auto"/>
          <w:sz w:val="24"/>
          <w:highlight w:val="none"/>
        </w:rPr>
        <w:t>定义</w:t>
      </w:r>
    </w:p>
    <w:p w14:paraId="087E2ADC">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合同当事人</w:t>
      </w:r>
    </w:p>
    <w:p w14:paraId="064D6825">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（1）采购人（以下称甲方）是指使用财政性资金，通过政府采购方式向供应商购买货物及其相关服务的国家机关、事业单位、团体组织。</w:t>
      </w:r>
    </w:p>
    <w:p w14:paraId="3D86D82B">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（2）供应商（以下称乙方）是指参加政府采购活动并且中标（成交），向采购人提供合同约定的货物及其相关服务的法人、非法人组织或者自然人。</w:t>
      </w:r>
    </w:p>
    <w:p w14:paraId="01B8FDE8">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（3）其他合同主体是指除采购人和供应商以外，</w:t>
      </w:r>
      <w:r>
        <w:rPr>
          <w:rFonts w:hint="eastAsia" w:ascii="宋体" w:hAnsi="宋体" w:eastAsia="宋体" w:cs="宋体"/>
          <w:bCs/>
          <w:color w:val="auto"/>
          <w:szCs w:val="21"/>
          <w:highlight w:val="none"/>
        </w:rPr>
        <w:t>依法参与合同缔结或履行，享有权利、承担义务的合同当事人</w:t>
      </w:r>
      <w:r>
        <w:rPr>
          <w:rFonts w:hint="eastAsia" w:ascii="宋体" w:hAnsi="宋体" w:eastAsia="宋体" w:cs="宋体"/>
          <w:color w:val="auto"/>
          <w:szCs w:val="21"/>
          <w:highlight w:val="none"/>
        </w:rPr>
        <w:t>。</w:t>
      </w:r>
    </w:p>
    <w:p w14:paraId="3327E81E">
      <w:pPr>
        <w:pBdr>
          <w:top w:val="none" w:color="auto" w:sz="0" w:space="1"/>
          <w:left w:val="none" w:color="auto" w:sz="0" w:space="4"/>
          <w:bottom w:val="none" w:color="auto" w:sz="0" w:space="1"/>
          <w:right w:val="none" w:color="auto" w:sz="0" w:space="4"/>
        </w:pBdr>
        <w:tabs>
          <w:tab w:val="left" w:pos="570"/>
          <w:tab w:val="left" w:pos="9240"/>
          <w:tab w:val="left" w:pos="9555"/>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本合同下列术语应解释为：</w:t>
      </w:r>
    </w:p>
    <w:p w14:paraId="520A50C8">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（1）“合同”系指</w:t>
      </w:r>
      <w:r>
        <w:rPr>
          <w:rFonts w:hint="eastAsia" w:ascii="宋体" w:hAnsi="宋体" w:eastAsia="宋体" w:cs="宋体"/>
          <w:bCs/>
          <w:color w:val="auto"/>
          <w:szCs w:val="21"/>
          <w:highlight w:val="none"/>
        </w:rPr>
        <w:t>合同当事人意思表示达成一致的任何协议，包括签署的</w:t>
      </w:r>
      <w:r>
        <w:rPr>
          <w:rFonts w:hint="eastAsia" w:ascii="宋体" w:hAnsi="宋体" w:eastAsia="宋体" w:cs="宋体"/>
          <w:color w:val="auto"/>
          <w:szCs w:val="21"/>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54C7B663">
      <w:pPr>
        <w:pBdr>
          <w:top w:val="none" w:color="auto" w:sz="0" w:space="1"/>
          <w:left w:val="none" w:color="auto" w:sz="0" w:space="4"/>
          <w:bottom w:val="none" w:color="auto" w:sz="0" w:space="1"/>
          <w:right w:val="none" w:color="auto" w:sz="0" w:space="4"/>
        </w:pBdr>
        <w:tabs>
          <w:tab w:val="left" w:pos="570"/>
          <w:tab w:val="left" w:pos="9240"/>
          <w:tab w:val="left" w:pos="9555"/>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（2）“合同价款”系指根据本合同规定乙方在全面履行合同义务后甲方应支付给乙方的价款。</w:t>
      </w:r>
    </w:p>
    <w:p w14:paraId="1081545C">
      <w:pPr>
        <w:pBdr>
          <w:top w:val="none" w:color="auto" w:sz="0" w:space="1"/>
          <w:left w:val="none" w:color="auto" w:sz="0" w:space="4"/>
          <w:bottom w:val="none" w:color="auto" w:sz="0" w:space="1"/>
          <w:right w:val="none" w:color="auto" w:sz="0" w:space="4"/>
        </w:pBdr>
        <w:tabs>
          <w:tab w:val="left" w:pos="570"/>
          <w:tab w:val="left" w:pos="9240"/>
          <w:tab w:val="left" w:pos="9555"/>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（3）“货物”系指乙方根据本合同规定须向甲方提供的各种形态和种类的物品，包括原材料、设备、产品（包括软件）及相关的其备品备件、工具、手册及其他技术资料和材料等。</w:t>
      </w:r>
    </w:p>
    <w:p w14:paraId="0D0EA6E5">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63561CE9">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5C19B761">
      <w:pPr>
        <w:pBdr>
          <w:top w:val="none" w:color="auto" w:sz="0" w:space="1"/>
          <w:left w:val="none" w:color="auto" w:sz="0" w:space="4"/>
          <w:bottom w:val="none" w:color="auto" w:sz="0" w:space="1"/>
          <w:right w:val="none" w:color="auto" w:sz="0" w:space="4"/>
        </w:pBdr>
        <w:tabs>
          <w:tab w:val="left" w:pos="570"/>
          <w:tab w:val="left" w:pos="9240"/>
          <w:tab w:val="left" w:pos="9555"/>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w:t>
      </w:r>
    </w:p>
    <w:p w14:paraId="20A1E983">
      <w:pPr>
        <w:pBdr>
          <w:top w:val="none" w:color="auto" w:sz="0" w:space="1"/>
          <w:left w:val="none" w:color="auto" w:sz="0" w:space="4"/>
          <w:bottom w:val="none" w:color="auto" w:sz="0" w:space="1"/>
          <w:right w:val="none" w:color="auto" w:sz="0" w:space="4"/>
        </w:pBdr>
        <w:tabs>
          <w:tab w:val="left" w:pos="570"/>
          <w:tab w:val="left" w:pos="9240"/>
          <w:tab w:val="left" w:pos="9555"/>
        </w:tabs>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（7）其他术语解释，见【</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w:t>
      </w:r>
    </w:p>
    <w:p w14:paraId="0568F3DA">
      <w:pPr>
        <w:numPr>
          <w:ilvl w:val="0"/>
          <w:numId w:val="4"/>
        </w:num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合同标的及金额</w:t>
      </w:r>
    </w:p>
    <w:p w14:paraId="694752D7">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b/>
          <w:bCs/>
          <w:i/>
          <w:iCs/>
          <w:color w:val="auto"/>
          <w:szCs w:val="21"/>
          <w:highlight w:val="none"/>
        </w:rPr>
      </w:pPr>
      <w:r>
        <w:rPr>
          <w:rFonts w:hint="eastAsia" w:ascii="宋体" w:hAnsi="宋体" w:eastAsia="宋体" w:cs="宋体"/>
          <w:color w:val="auto"/>
          <w:szCs w:val="21"/>
          <w:highlight w:val="none"/>
        </w:rPr>
        <w:t>2.1 合同标的及金额应与中标（成交）结果一致。乙方为履行本合同而发生的所有费用均应包含在合同价款中，甲方不再另行支付其他任何费用。</w:t>
      </w:r>
    </w:p>
    <w:p w14:paraId="4DAB28B0">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 履行合同的时间、地点和方式</w:t>
      </w:r>
    </w:p>
    <w:p w14:paraId="16A1BB25">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乙方应当在约定的时间、地点，按照约定方式履行合同。</w:t>
      </w:r>
    </w:p>
    <w:p w14:paraId="197B87E0">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4. 甲方的权利和义务</w:t>
      </w:r>
    </w:p>
    <w:p w14:paraId="3789F41E">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3338EB78">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28F379B4">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4.3甲方有权要求乙方对缺陷部分予以修复，并按合同约定享有货物保修及其他合同约定的权利。</w:t>
      </w:r>
    </w:p>
    <w:p w14:paraId="612A4C26">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4.4甲方应当按照合同约定及时对交付的货物进行验收，未在</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约定的期限内对乙方履约提出任何异议或者向乙方作出任何说明的，视为验收通过。</w:t>
      </w:r>
    </w:p>
    <w:p w14:paraId="72AEBB20">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4.5 甲方应当根据合同约定及时向乙方支付合同价款，不得以内部人员变更、履行内部付款流程等为由，拒绝或迟延支付。</w:t>
      </w:r>
    </w:p>
    <w:p w14:paraId="40AD670A">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4.6 国家法律法规规定及</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约定应由甲方承担的其他义务和责任。</w:t>
      </w:r>
    </w:p>
    <w:p w14:paraId="1DC39007">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5. 乙方的权利和义务</w:t>
      </w:r>
    </w:p>
    <w:p w14:paraId="62793A88">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5.1 签署合同后，乙方应确定项目负责人（或项目联系人），负责与本合同有关的事务。</w:t>
      </w:r>
    </w:p>
    <w:p w14:paraId="1DF596D4">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5.2乙方应按照合同要求履约，充分合理安排，确保提供的货物及相关服务符合合同有关要求。接受项目行业管理部门及政府有关部门的指导，配合甲方的履约检查及验收，并负责项目实施过程中的所有协调工作。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2F43028">
      <w:pPr>
        <w:pStyle w:val="244"/>
        <w:pBdr>
          <w:top w:val="none" w:color="auto" w:sz="0" w:space="1"/>
          <w:left w:val="none" w:color="auto" w:sz="0" w:space="4"/>
          <w:bottom w:val="none" w:color="auto" w:sz="0" w:space="1"/>
          <w:right w:val="none" w:color="auto" w:sz="0" w:space="4"/>
        </w:pBdr>
        <w:spacing w:after="0" w:line="360" w:lineRule="auto"/>
        <w:ind w:firstLine="369"/>
        <w:rPr>
          <w:rFonts w:hint="eastAsia" w:ascii="宋体" w:hAnsi="宋体" w:eastAsia="宋体" w:cs="宋体"/>
          <w:color w:val="auto"/>
          <w:szCs w:val="21"/>
          <w:highlight w:val="none"/>
        </w:rPr>
      </w:pPr>
      <w:r>
        <w:rPr>
          <w:rFonts w:hint="eastAsia" w:ascii="宋体" w:hAnsi="宋体" w:eastAsia="宋体" w:cs="宋体"/>
          <w:color w:val="auto"/>
          <w:szCs w:val="21"/>
          <w:highlight w:val="none"/>
        </w:rPr>
        <w:t>5.3 乙方有权根据合同约定向甲方收取合同价款。</w:t>
      </w:r>
    </w:p>
    <w:p w14:paraId="252C0A8B">
      <w:pPr>
        <w:pStyle w:val="244"/>
        <w:pBdr>
          <w:top w:val="none" w:color="auto" w:sz="0" w:space="1"/>
          <w:left w:val="none" w:color="auto" w:sz="0" w:space="4"/>
          <w:bottom w:val="none" w:color="auto" w:sz="0" w:space="1"/>
          <w:right w:val="none" w:color="auto" w:sz="0" w:space="4"/>
        </w:pBdr>
        <w:spacing w:after="0" w:line="360" w:lineRule="auto"/>
        <w:ind w:firstLine="369"/>
        <w:rPr>
          <w:rFonts w:hint="eastAsia" w:ascii="宋体" w:hAnsi="宋体" w:eastAsia="宋体" w:cs="宋体"/>
          <w:color w:val="auto"/>
          <w:szCs w:val="21"/>
          <w:highlight w:val="none"/>
        </w:rPr>
      </w:pPr>
      <w:r>
        <w:rPr>
          <w:rFonts w:hint="eastAsia" w:ascii="宋体" w:hAnsi="宋体" w:eastAsia="宋体" w:cs="宋体"/>
          <w:color w:val="auto"/>
          <w:szCs w:val="21"/>
          <w:highlight w:val="none"/>
        </w:rPr>
        <w:t>5.4国家法律法规规定及</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约定应由乙方承担的其他义务和责任。</w:t>
      </w:r>
    </w:p>
    <w:p w14:paraId="43FEB013">
      <w:pPr>
        <w:numPr>
          <w:ilvl w:val="0"/>
          <w:numId w:val="5"/>
        </w:num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合同履行</w:t>
      </w:r>
    </w:p>
    <w:p w14:paraId="15F02CD7">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 甲乙双方应当按照</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约定顺序履行合同义务；如果没有先后顺序的，应当同时履行。</w:t>
      </w:r>
    </w:p>
    <w:p w14:paraId="2D6E8D20">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3623F6E1">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 货物包装、运输、保险和交付要求</w:t>
      </w:r>
    </w:p>
    <w:p w14:paraId="066EB88E">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本合同</w:t>
      </w:r>
      <w:r>
        <w:rPr>
          <w:rFonts w:hint="eastAsia" w:ascii="宋体" w:hAnsi="宋体" w:eastAsia="宋体" w:cs="宋体"/>
          <w:bCs/>
          <w:color w:val="auto"/>
          <w:szCs w:val="21"/>
          <w:highlight w:val="none"/>
        </w:rPr>
        <w:t>涉及商品包装、快递包装的，</w:t>
      </w:r>
      <w:r>
        <w:rPr>
          <w:rFonts w:hint="eastAsia" w:ascii="宋体" w:hAnsi="宋体" w:eastAsia="宋体" w:cs="宋体"/>
          <w:color w:val="auto"/>
          <w:szCs w:val="21"/>
          <w:highlight w:val="none"/>
        </w:rPr>
        <w:t>除</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另有约定外，</w:t>
      </w:r>
      <w:r>
        <w:rPr>
          <w:rFonts w:hint="eastAsia" w:ascii="宋体" w:hAnsi="宋体" w:eastAsia="宋体" w:cs="宋体"/>
          <w:color w:val="auto"/>
          <w:szCs w:val="21"/>
          <w:highlight w:val="none"/>
        </w:rPr>
        <w:t>包装应适应远距离运输、防潮、防震、防锈和防野蛮装卸等要求，确保货物安全无损地运抵</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约定的</w:t>
      </w:r>
      <w:r>
        <w:rPr>
          <w:rFonts w:hint="eastAsia" w:ascii="宋体" w:hAnsi="宋体" w:eastAsia="宋体" w:cs="宋体"/>
          <w:color w:val="auto"/>
          <w:szCs w:val="21"/>
          <w:highlight w:val="none"/>
        </w:rPr>
        <w:t>指定现场。</w:t>
      </w:r>
    </w:p>
    <w:p w14:paraId="395C3308">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7.2 除</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另有约定外，</w:t>
      </w:r>
      <w:r>
        <w:rPr>
          <w:rFonts w:hint="eastAsia" w:ascii="宋体" w:hAnsi="宋体" w:eastAsia="宋体" w:cs="宋体"/>
          <w:color w:val="auto"/>
          <w:szCs w:val="21"/>
          <w:highlight w:val="none"/>
        </w:rPr>
        <w:t>乙方负责办理将货物运抵本合同规定的交货地点，并装卸、交付至甲方的一切运输事项，相关费用应包含在合同价款中。</w:t>
      </w:r>
    </w:p>
    <w:p w14:paraId="6A96D917">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 货物保险要求按</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规定执行</w:t>
      </w:r>
      <w:r>
        <w:rPr>
          <w:rFonts w:hint="eastAsia" w:ascii="宋体" w:hAnsi="宋体" w:eastAsia="宋体" w:cs="宋体"/>
          <w:color w:val="auto"/>
          <w:szCs w:val="21"/>
          <w:highlight w:val="none"/>
        </w:rPr>
        <w:t>。</w:t>
      </w:r>
    </w:p>
    <w:p w14:paraId="26372706">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FF0BD43">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7.5 乙方在运输到达之前应提前通知甲方，并提示货物运输装卸的注意事项，甲方配合乙方做好货物的接收工作。</w:t>
      </w:r>
    </w:p>
    <w:p w14:paraId="2F9CBA31">
      <w:pPr>
        <w:pStyle w:val="263"/>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7.6 如因包装、运输问题导致货物损毁、丢失或者品质下降，甲方有权要求降价、换货、拒收部分或整批货物，由此产生的费用和损失，均由乙方承担。</w:t>
      </w:r>
    </w:p>
    <w:p w14:paraId="2A2D69E1">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 质量标准和保证</w:t>
      </w:r>
    </w:p>
    <w:p w14:paraId="53C3A80F">
      <w:pPr>
        <w:pStyle w:val="248"/>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b/>
          <w:color w:val="auto"/>
          <w:highlight w:val="none"/>
        </w:rPr>
      </w:pPr>
      <w:r>
        <w:rPr>
          <w:rFonts w:hint="eastAsia" w:ascii="宋体" w:hAnsi="宋体" w:eastAsia="宋体" w:cs="宋体"/>
          <w:color w:val="auto"/>
          <w:highlight w:val="none"/>
        </w:rPr>
        <w:t>8.1 质量标准</w:t>
      </w:r>
    </w:p>
    <w:p w14:paraId="2A9BE9AC">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F26EDA3">
      <w:pPr>
        <w:pStyle w:val="248"/>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（2）采用中华人民共和国法定计量单位。</w:t>
      </w:r>
    </w:p>
    <w:p w14:paraId="04B8A75F">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（3）乙方所提供的货物应符合国家有关安全、环保、卫生的规定。</w:t>
      </w:r>
    </w:p>
    <w:p w14:paraId="576404C9">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322F4D04">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8.2 保证</w:t>
      </w:r>
    </w:p>
    <w:p w14:paraId="00819895">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规定或乙方书面承诺（两者以较长的为准）的质量保证期内，本保证保持有效。</w:t>
      </w:r>
    </w:p>
    <w:p w14:paraId="37A06002">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（2）在质量保证期内所发现的缺陷，甲方应尽快以书面形式通知乙方。</w:t>
      </w:r>
    </w:p>
    <w:p w14:paraId="73B4EBE5">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（3）乙方收到通知后，应在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规定的响应时间内以合理的速度免费维修或更换有缺陷的货物或部件。</w:t>
      </w:r>
    </w:p>
    <w:p w14:paraId="08692A65">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5993FEC8">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rPr>
        <w:t>（5）乙方在约定的时间内未能弥补缺陷，甲方可采取必要的补救措施，但其风险和费用将由乙方承担，甲方根据合同约定对乙方行使的其他权利不受影响。</w:t>
      </w:r>
    </w:p>
    <w:p w14:paraId="00A2B3CD">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9.权利瑕疵担保</w:t>
      </w:r>
    </w:p>
    <w:p w14:paraId="4D585917">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9.1 乙方保证对其出售的货物享有合法的权利。</w:t>
      </w:r>
    </w:p>
    <w:p w14:paraId="38FAEF36">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 </w:t>
      </w:r>
      <w:r>
        <w:rPr>
          <w:rFonts w:hint="eastAsia" w:ascii="宋体" w:hAnsi="宋体" w:eastAsia="宋体" w:cs="宋体"/>
          <w:color w:val="auto"/>
          <w:szCs w:val="15"/>
          <w:highlight w:val="none"/>
        </w:rPr>
        <w:t>乙方保证在交付的货物上不存在抵押权等担保物权。</w:t>
      </w:r>
    </w:p>
    <w:p w14:paraId="608226E7">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9.3 如甲方使用上述货物构成对第三人侵权的，则由乙方承担全部责任。</w:t>
      </w:r>
    </w:p>
    <w:p w14:paraId="0F094629">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10.知识产权保护</w:t>
      </w:r>
    </w:p>
    <w:p w14:paraId="51214571">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 乙方对其所销售的货物应当享有知识产权或经权利人合法授权，保证没有侵犯任何第三人的知识产权等权利。</w:t>
      </w:r>
      <w:bookmarkStart w:id="6"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6"/>
      <w:r>
        <w:rPr>
          <w:rFonts w:hint="eastAsia" w:ascii="宋体" w:hAnsi="宋体" w:eastAsia="宋体" w:cs="宋体"/>
          <w:color w:val="auto"/>
          <w:szCs w:val="21"/>
          <w:highlight w:val="none"/>
        </w:rPr>
        <w:t>。</w:t>
      </w:r>
    </w:p>
    <w:p w14:paraId="780E2C6A">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11.保密义务</w:t>
      </w:r>
    </w:p>
    <w:p w14:paraId="0D2C5020">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15"/>
          <w:highlight w:val="none"/>
        </w:rPr>
      </w:pPr>
      <w:r>
        <w:rPr>
          <w:rFonts w:hint="eastAsia" w:ascii="宋体" w:hAnsi="宋体" w:eastAsia="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14:paraId="574A5656">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12.合同价款支付</w:t>
      </w:r>
    </w:p>
    <w:p w14:paraId="5831E545">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 合同价款支付按照国库集中支付制度及财政管理相关规定执行。</w:t>
      </w:r>
    </w:p>
    <w:p w14:paraId="0AE561B2">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0213B170">
      <w:pPr>
        <w:pStyle w:val="244"/>
        <w:pBdr>
          <w:top w:val="none" w:color="auto" w:sz="0" w:space="1"/>
          <w:left w:val="none" w:color="auto" w:sz="0" w:space="4"/>
          <w:bottom w:val="none" w:color="auto" w:sz="0" w:space="1"/>
          <w:right w:val="none" w:color="auto" w:sz="0" w:space="4"/>
        </w:pBdr>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13.履约保证金</w:t>
      </w:r>
    </w:p>
    <w:p w14:paraId="18985392">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 </w:t>
      </w:r>
      <w:r>
        <w:rPr>
          <w:rFonts w:hint="eastAsia" w:ascii="宋体" w:hAnsi="宋体" w:eastAsia="宋体" w:cs="宋体"/>
          <w:color w:val="auto"/>
          <w:szCs w:val="15"/>
          <w:highlight w:val="none"/>
        </w:rPr>
        <w:t>乙方应当以支票、汇票、本票或者金融机构、担保机构出具的保函等非现金形式提交。</w:t>
      </w:r>
    </w:p>
    <w:p w14:paraId="351E3F96">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 如果乙方出现</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约定情形的</w:t>
      </w:r>
      <w:r>
        <w:rPr>
          <w:rFonts w:hint="eastAsia" w:ascii="宋体" w:hAnsi="宋体" w:eastAsia="宋体" w:cs="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507AF2AE">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13.3 甲方在项目通过验收后按照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规定的时间内将履约保证金退还乙方；逾期退还的，乙方可要求甲方支付违约金，违约金按照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规定支付。</w:t>
      </w:r>
    </w:p>
    <w:p w14:paraId="137B4FEC">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14.</w:t>
      </w:r>
      <w:r>
        <w:rPr>
          <w:rFonts w:hint="eastAsia" w:ascii="宋体" w:hAnsi="宋体" w:eastAsia="宋体" w:cs="宋体"/>
          <w:b/>
          <w:color w:val="auto"/>
          <w:sz w:val="24"/>
          <w:highlight w:val="none"/>
        </w:rPr>
        <w:t>售后服务</w:t>
      </w:r>
    </w:p>
    <w:p w14:paraId="79DC09F5">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除项目不涉及或采购活动中明确约定无须承担外，乙方还应提供下列服务：</w:t>
      </w:r>
    </w:p>
    <w:p w14:paraId="3348E77F">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（1）货物的现场移动、安装、调试、启动监督及技术支持；</w:t>
      </w:r>
    </w:p>
    <w:p w14:paraId="072A0F74">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（2）提供货物组装和维修所需的专用工具和辅助材料；</w:t>
      </w:r>
    </w:p>
    <w:p w14:paraId="4E2514EB">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21"/>
          <w:highlight w:val="none"/>
        </w:rPr>
        <w:t>约定的期限内对所有的货物实施运行监督、维修，但前提条件是该服务并不能免除乙方在质量保证期内所承担的义务；</w:t>
      </w:r>
    </w:p>
    <w:p w14:paraId="3BB2E8F6">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（4）在制造商所在地或指定现场就货物的安装、启动、运营、维护、废弃处置等对甲方操作人员进行培训</w:t>
      </w:r>
      <w:r>
        <w:rPr>
          <w:rFonts w:hint="eastAsia" w:ascii="宋体" w:hAnsi="宋体" w:eastAsia="宋体" w:cs="宋体"/>
          <w:color w:val="auto"/>
          <w:szCs w:val="15"/>
          <w:highlight w:val="none"/>
        </w:rPr>
        <w:t>；</w:t>
      </w:r>
    </w:p>
    <w:p w14:paraId="0482C64F">
      <w:pPr>
        <w:pStyle w:val="263"/>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5E26B854">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规定由乙方提供的其他服务。</w:t>
      </w:r>
    </w:p>
    <w:p w14:paraId="360F3093">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 乙方提供的售后服务的费用已包含在合同价款中，甲方不再另行支付。</w:t>
      </w:r>
    </w:p>
    <w:p w14:paraId="23D2D2B8">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15.违约责任</w:t>
      </w:r>
    </w:p>
    <w:p w14:paraId="67866277">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15.1 质量瑕疵的违约责任</w:t>
      </w:r>
    </w:p>
    <w:p w14:paraId="46D80EB9">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乙方提供的产品不符合合同约定的质量标准或存在产品质量缺陷，甲方有权要求乙方根据</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要求</w:t>
      </w:r>
      <w:r>
        <w:rPr>
          <w:rFonts w:hint="eastAsia" w:ascii="宋体" w:hAnsi="宋体" w:eastAsia="宋体" w:cs="宋体"/>
          <w:color w:val="auto"/>
          <w:szCs w:val="21"/>
          <w:highlight w:val="none"/>
        </w:rPr>
        <w:t>及时修理、重作、更换，并承担由此给甲方造成的损失。</w:t>
      </w:r>
    </w:p>
    <w:p w14:paraId="28DA8CDD">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15.2 迟延交货的违约责任</w:t>
      </w:r>
    </w:p>
    <w:p w14:paraId="7B67CFB6">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1409EEA">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规定执行。如果涉及公共利益，且赔偿金额无法弥补公共利益损失，甲方可要求继续履行或者采取其他补救措施。</w:t>
      </w:r>
    </w:p>
    <w:p w14:paraId="18A67E88">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 迟延支付的违约责任</w:t>
      </w:r>
    </w:p>
    <w:p w14:paraId="419E998A">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甲方存在迟延支付乙方合同款项的，应当承担</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规定的逾期付款利息。</w:t>
      </w:r>
    </w:p>
    <w:p w14:paraId="209EA040">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15.4 其他违约责任根据项目实际需要按</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规定执行。</w:t>
      </w:r>
    </w:p>
    <w:p w14:paraId="1C00D8C8">
      <w:pPr>
        <w:numPr>
          <w:ilvl w:val="0"/>
          <w:numId w:val="6"/>
        </w:num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合同变更、中止与终止</w:t>
      </w:r>
    </w:p>
    <w:p w14:paraId="556D1132">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16.1 合同的变更</w:t>
      </w:r>
    </w:p>
    <w:p w14:paraId="20CE81E3">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67D4ACDE">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 合同的中止</w:t>
      </w:r>
    </w:p>
    <w:p w14:paraId="25F77F45">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（1）合同履行过程中因供应商就采购文件、采购过程或结果提起投诉的，甲方认为有必要的，可以中止合同的履行。</w:t>
      </w:r>
    </w:p>
    <w:p w14:paraId="65C2B2E2">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9D004DF">
      <w:pPr>
        <w:pStyle w:val="263"/>
        <w:pBdr>
          <w:top w:val="none" w:color="auto" w:sz="0" w:space="1"/>
          <w:left w:val="none" w:color="auto" w:sz="0" w:space="4"/>
          <w:bottom w:val="none" w:color="auto" w:sz="0" w:space="1"/>
          <w:right w:val="none" w:color="auto" w:sz="0" w:space="4"/>
        </w:pBdr>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0A80A219">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szCs w:val="21"/>
          <w:highlight w:val="none"/>
        </w:rPr>
        <w:t>（4）甲方不得以行政区划调整、政府换届、机构或者职能调整以及相关责任人更替为由中止合同。</w:t>
      </w:r>
    </w:p>
    <w:p w14:paraId="0FD14E5B">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16.3 合同的终止</w:t>
      </w:r>
    </w:p>
    <w:p w14:paraId="63A5ACF6">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（1）合同因有效期限届满而终止；</w:t>
      </w:r>
    </w:p>
    <w:p w14:paraId="5E27D846">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（2）乙方未按合同约定履行，构成根本性违约的，甲方有权终止合同，并追究乙方的违约责任。</w:t>
      </w:r>
    </w:p>
    <w:p w14:paraId="7AA1B7BA">
      <w:pPr>
        <w:pStyle w:val="263"/>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涉及国家利益、社会公共利益的情形</w:t>
      </w:r>
    </w:p>
    <w:p w14:paraId="2CF54DA9">
      <w:pPr>
        <w:pStyle w:val="263"/>
        <w:pBdr>
          <w:top w:val="none" w:color="auto" w:sz="0" w:space="1"/>
          <w:left w:val="none" w:color="auto" w:sz="0" w:space="4"/>
          <w:bottom w:val="none" w:color="auto" w:sz="0" w:space="1"/>
          <w:right w:val="none" w:color="auto" w:sz="0" w:space="4"/>
        </w:pBdr>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40D21503">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17.合同分包</w:t>
      </w:r>
    </w:p>
    <w:p w14:paraId="5AE2BB56">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 乙方不得将合同转包给其他供应商。涉及合同分包的，乙方应根据采购文件和投标（响应）文件规定进行合同分包。</w:t>
      </w:r>
    </w:p>
    <w:p w14:paraId="2CB467A3">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17.2 乙方执行政府采购政策向中小企业依法分包的，乙方应当按采购文件和投标（响应）文件签订分包意向协议，分包意向协议属于本合同组成部分。</w:t>
      </w:r>
    </w:p>
    <w:p w14:paraId="2D7BF13D">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18.不可抗力</w:t>
      </w:r>
    </w:p>
    <w:p w14:paraId="58C77136">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不可抗力是指合同双方不能预见、不能避免且不能克服的客观情况。</w:t>
      </w:r>
    </w:p>
    <w:p w14:paraId="3B900BEE">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18.2 任何一方对由于不可抗力造成的部分或全部不能履行合同不承担违约责任。但迟延履行后发生不可抗力的，不能免除责任。</w:t>
      </w:r>
    </w:p>
    <w:p w14:paraId="30A993DF">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6FE0ED5">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19.解决争议的方法</w:t>
      </w:r>
    </w:p>
    <w:p w14:paraId="0E6F2D77">
      <w:pPr>
        <w:pStyle w:val="263"/>
        <w:pBdr>
          <w:top w:val="none" w:color="auto" w:sz="0" w:space="1"/>
          <w:left w:val="none" w:color="auto" w:sz="0" w:space="4"/>
          <w:bottom w:val="none" w:color="auto" w:sz="0" w:space="1"/>
          <w:right w:val="none" w:color="auto" w:sz="0" w:space="4"/>
        </w:pBdr>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353AE0C0">
      <w:pPr>
        <w:pStyle w:val="263"/>
        <w:pBdr>
          <w:top w:val="none" w:color="auto" w:sz="0" w:space="1"/>
          <w:left w:val="none" w:color="auto" w:sz="0" w:space="4"/>
          <w:bottom w:val="none" w:color="auto" w:sz="0" w:space="1"/>
          <w:right w:val="none" w:color="auto" w:sz="0" w:space="4"/>
        </w:pBdr>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6B29CF00">
      <w:pPr>
        <w:pStyle w:val="263"/>
        <w:pBdr>
          <w:top w:val="none" w:color="auto" w:sz="0" w:space="1"/>
          <w:left w:val="none" w:color="auto" w:sz="0" w:space="4"/>
          <w:bottom w:val="none" w:color="auto" w:sz="0" w:space="1"/>
          <w:right w:val="none" w:color="auto" w:sz="0" w:space="4"/>
        </w:pBdr>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5E8B5C98">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20.政府采购政策</w:t>
      </w:r>
    </w:p>
    <w:p w14:paraId="088C3FDD">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 </w:t>
      </w:r>
      <w:r>
        <w:rPr>
          <w:rFonts w:hint="eastAsia" w:ascii="宋体" w:hAnsi="宋体" w:eastAsia="宋体" w:cs="宋体"/>
          <w:color w:val="auto"/>
          <w:highlight w:val="none"/>
          <w:lang w:val="en-GB"/>
        </w:rPr>
        <w:t>本合同应当按照规定执行政府采购政策。</w:t>
      </w:r>
    </w:p>
    <w:p w14:paraId="4E23648B">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 本合同依法执行政府采购政策的方式和内容，属于合同履约验收的范围。</w:t>
      </w:r>
      <w:r>
        <w:rPr>
          <w:rFonts w:hint="eastAsia" w:ascii="宋体" w:hAnsi="宋体" w:eastAsia="宋体" w:cs="宋体"/>
          <w:color w:val="auto"/>
          <w:highlight w:val="none"/>
        </w:rPr>
        <w:t>甲乙双方</w:t>
      </w:r>
      <w:r>
        <w:rPr>
          <w:rFonts w:hint="eastAsia" w:ascii="宋体" w:hAnsi="宋体" w:eastAsia="宋体" w:cs="宋体"/>
          <w:color w:val="auto"/>
          <w:highlight w:val="none"/>
          <w:lang w:val="en-GB"/>
        </w:rPr>
        <w:t>未按规定要求执行政府采购政策造成损失的</w:t>
      </w:r>
      <w:r>
        <w:rPr>
          <w:rFonts w:hint="eastAsia" w:ascii="宋体" w:hAnsi="宋体" w:eastAsia="宋体" w:cs="宋体"/>
          <w:color w:val="auto"/>
          <w:szCs w:val="21"/>
          <w:highlight w:val="none"/>
        </w:rPr>
        <w:t>，有过错的一方应当承担赔偿责任，双方都有过错的，各自承担相应的责任。</w:t>
      </w:r>
    </w:p>
    <w:p w14:paraId="4ADF19D3">
      <w:pPr>
        <w:pStyle w:val="244"/>
        <w:pBdr>
          <w:top w:val="none" w:color="auto" w:sz="0" w:space="1"/>
          <w:left w:val="none" w:color="auto" w:sz="0" w:space="4"/>
          <w:bottom w:val="none" w:color="auto" w:sz="0" w:space="1"/>
          <w:right w:val="none" w:color="auto" w:sz="0" w:space="4"/>
        </w:pBdr>
        <w:spacing w:after="0" w:line="360" w:lineRule="auto"/>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509EA27">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21.法律适用</w:t>
      </w:r>
    </w:p>
    <w:p w14:paraId="7D81B2B4">
      <w:pPr>
        <w:pStyle w:val="263"/>
        <w:pBdr>
          <w:top w:val="none" w:color="auto" w:sz="0" w:space="1"/>
          <w:left w:val="none" w:color="auto" w:sz="0" w:space="4"/>
          <w:bottom w:val="none" w:color="auto" w:sz="0" w:space="1"/>
          <w:right w:val="none" w:color="auto" w:sz="0" w:space="4"/>
        </w:pBdr>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6C0BEEDD">
      <w:pPr>
        <w:pStyle w:val="263"/>
        <w:pBdr>
          <w:top w:val="none" w:color="auto" w:sz="0" w:space="1"/>
          <w:left w:val="none" w:color="auto" w:sz="0" w:space="4"/>
          <w:bottom w:val="none" w:color="auto" w:sz="0" w:space="1"/>
          <w:right w:val="none" w:color="auto" w:sz="0" w:space="4"/>
        </w:pBdr>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045C3315">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 通知</w:t>
      </w:r>
    </w:p>
    <w:p w14:paraId="3949DD4A">
      <w:pPr>
        <w:pStyle w:val="263"/>
        <w:pBdr>
          <w:top w:val="none" w:color="auto" w:sz="0" w:space="1"/>
          <w:left w:val="none" w:color="auto" w:sz="0" w:space="4"/>
          <w:bottom w:val="none" w:color="auto" w:sz="0" w:space="1"/>
          <w:right w:val="none" w:color="auto" w:sz="0" w:space="4"/>
        </w:pBdr>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79A8F1EE">
      <w:pPr>
        <w:pStyle w:val="263"/>
        <w:pBdr>
          <w:top w:val="none" w:color="auto" w:sz="0" w:space="1"/>
          <w:left w:val="none" w:color="auto" w:sz="0" w:space="4"/>
          <w:bottom w:val="none" w:color="auto" w:sz="0" w:space="1"/>
          <w:right w:val="none" w:color="auto" w:sz="0" w:space="4"/>
        </w:pBdr>
        <w:spacing w:line="360" w:lineRule="auto"/>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22.2 一方当事人变更名称、住所、联系人、联系电话或电子邮箱等信息的，应当在变更后3日内及时书面通知对方，对方实际收到变更通知前的送达仍为有效送达。</w:t>
      </w:r>
    </w:p>
    <w:p w14:paraId="2D78FFF1">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 本合同一方给另一方的通知均应采用书面形式，传真或快递送到本合同中规定的对方的地址和办理签收手续。</w:t>
      </w:r>
    </w:p>
    <w:p w14:paraId="07F2EA9F">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22.4 通知以送达之日或通知书中规定的生效之日起生效，两者中以较迟之日为准。</w:t>
      </w:r>
    </w:p>
    <w:p w14:paraId="58D6F6CA">
      <w:pPr>
        <w:numPr>
          <w:ilvl w:val="0"/>
          <w:numId w:val="7"/>
        </w:num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合同未尽事项</w:t>
      </w:r>
    </w:p>
    <w:p w14:paraId="1651D27F">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23.1 合同未尽事项见</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w:t>
      </w:r>
    </w:p>
    <w:p w14:paraId="6181E4CA">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8"/>
          <w:szCs w:val="28"/>
          <w:highlight w:val="none"/>
        </w:rPr>
      </w:pPr>
      <w:r>
        <w:rPr>
          <w:rFonts w:hint="eastAsia" w:ascii="宋体" w:hAnsi="宋体" w:eastAsia="宋体" w:cs="宋体"/>
          <w:bCs/>
          <w:color w:val="auto"/>
          <w:szCs w:val="21"/>
          <w:highlight w:val="none"/>
        </w:rPr>
        <w:t xml:space="preserve">    23.2 合同附件与合同正文具有同等的法律效力。</w:t>
      </w:r>
      <w:bookmarkStart w:id="7" w:name="_Toc20313"/>
    </w:p>
    <w:p w14:paraId="780D179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p>
    <w:p w14:paraId="0773DFF5">
      <w:pPr>
        <w:pStyle w:val="232"/>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第三节 政府采购合同专用条款</w:t>
      </w:r>
      <w:bookmarkEnd w:id="7"/>
    </w:p>
    <w:tbl>
      <w:tblPr>
        <w:tblStyle w:val="36"/>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3382A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7BE913E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1482144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第1.2（6）项</w:t>
            </w:r>
          </w:p>
        </w:tc>
        <w:tc>
          <w:tcPr>
            <w:tcW w:w="1742" w:type="dxa"/>
            <w:noWrap w:val="0"/>
            <w:vAlign w:val="center"/>
          </w:tcPr>
          <w:p w14:paraId="58F8A8C8">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联合体具体要求</w:t>
            </w:r>
          </w:p>
        </w:tc>
        <w:tc>
          <w:tcPr>
            <w:tcW w:w="5170" w:type="dxa"/>
            <w:noWrap w:val="0"/>
            <w:vAlign w:val="center"/>
          </w:tcPr>
          <w:p w14:paraId="50AC73E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23C09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10B57C5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58E3B42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第1.2（7）项</w:t>
            </w:r>
          </w:p>
        </w:tc>
        <w:tc>
          <w:tcPr>
            <w:tcW w:w="1742" w:type="dxa"/>
            <w:noWrap w:val="0"/>
            <w:vAlign w:val="center"/>
          </w:tcPr>
          <w:p w14:paraId="4D5E28D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其他术语解释</w:t>
            </w:r>
          </w:p>
        </w:tc>
        <w:tc>
          <w:tcPr>
            <w:tcW w:w="5170" w:type="dxa"/>
            <w:noWrap w:val="0"/>
            <w:vAlign w:val="center"/>
          </w:tcPr>
          <w:p w14:paraId="51671CE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35833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7ED688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7F98CC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第4.4款</w:t>
            </w:r>
          </w:p>
        </w:tc>
        <w:tc>
          <w:tcPr>
            <w:tcW w:w="1742" w:type="dxa"/>
            <w:noWrap w:val="0"/>
            <w:vAlign w:val="center"/>
          </w:tcPr>
          <w:p w14:paraId="0A8C67E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履约验收中甲方提出异议或作出说明的期限</w:t>
            </w:r>
          </w:p>
        </w:tc>
        <w:tc>
          <w:tcPr>
            <w:tcW w:w="5170" w:type="dxa"/>
            <w:noWrap w:val="0"/>
            <w:vAlign w:val="center"/>
          </w:tcPr>
          <w:p w14:paraId="64C658C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合同货物安装调试完毕后七日内。</w:t>
            </w:r>
          </w:p>
        </w:tc>
      </w:tr>
      <w:tr w14:paraId="78DB0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003BA8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1EFB316C">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第4.6款</w:t>
            </w:r>
          </w:p>
        </w:tc>
        <w:tc>
          <w:tcPr>
            <w:tcW w:w="1742" w:type="dxa"/>
            <w:noWrap w:val="0"/>
            <w:vAlign w:val="center"/>
          </w:tcPr>
          <w:p w14:paraId="3624C04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约定甲方承担的其他义务和责任</w:t>
            </w:r>
          </w:p>
        </w:tc>
        <w:tc>
          <w:tcPr>
            <w:tcW w:w="5170" w:type="dxa"/>
            <w:noWrap w:val="0"/>
            <w:vAlign w:val="center"/>
          </w:tcPr>
          <w:p w14:paraId="288B492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07EBA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E05256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5278026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highlight w:val="none"/>
              </w:rPr>
            </w:pPr>
            <w:r>
              <w:rPr>
                <w:rFonts w:hint="eastAsia" w:ascii="宋体" w:hAnsi="宋体" w:eastAsia="宋体" w:cs="宋体"/>
                <w:color w:val="auto"/>
                <w:szCs w:val="21"/>
                <w:highlight w:val="none"/>
              </w:rPr>
              <w:t>第5.4款</w:t>
            </w:r>
          </w:p>
        </w:tc>
        <w:tc>
          <w:tcPr>
            <w:tcW w:w="1742" w:type="dxa"/>
            <w:noWrap w:val="0"/>
            <w:vAlign w:val="center"/>
          </w:tcPr>
          <w:p w14:paraId="0BE2829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约定乙方承担的其他义务和责任</w:t>
            </w:r>
          </w:p>
        </w:tc>
        <w:tc>
          <w:tcPr>
            <w:tcW w:w="5170" w:type="dxa"/>
            <w:noWrap w:val="0"/>
            <w:vAlign w:val="center"/>
          </w:tcPr>
          <w:p w14:paraId="05317B9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7B2AD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B489AFC">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7A21015">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第6.1款</w:t>
            </w:r>
          </w:p>
        </w:tc>
        <w:tc>
          <w:tcPr>
            <w:tcW w:w="1742" w:type="dxa"/>
            <w:noWrap w:val="0"/>
            <w:vAlign w:val="center"/>
          </w:tcPr>
          <w:p w14:paraId="1A54BD2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履行合同义务的顺序</w:t>
            </w:r>
          </w:p>
        </w:tc>
        <w:tc>
          <w:tcPr>
            <w:tcW w:w="5170" w:type="dxa"/>
            <w:noWrap w:val="0"/>
            <w:vAlign w:val="center"/>
          </w:tcPr>
          <w:p w14:paraId="12ACB89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04741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1E75BBF5">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4D35B68">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第7.1款</w:t>
            </w:r>
          </w:p>
        </w:tc>
        <w:tc>
          <w:tcPr>
            <w:tcW w:w="1742" w:type="dxa"/>
            <w:noWrap w:val="0"/>
            <w:vAlign w:val="center"/>
          </w:tcPr>
          <w:p w14:paraId="2518CC2C">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包装特殊要求</w:t>
            </w:r>
          </w:p>
        </w:tc>
        <w:tc>
          <w:tcPr>
            <w:tcW w:w="5170" w:type="dxa"/>
            <w:noWrap w:val="0"/>
            <w:vAlign w:val="center"/>
          </w:tcPr>
          <w:p w14:paraId="47A5140F">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无</w:t>
            </w:r>
          </w:p>
        </w:tc>
      </w:tr>
      <w:tr w14:paraId="6C646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46D48E5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c>
          <w:tcPr>
            <w:tcW w:w="1742" w:type="dxa"/>
            <w:noWrap w:val="0"/>
            <w:vAlign w:val="center"/>
          </w:tcPr>
          <w:p w14:paraId="7F11B35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指定现场</w:t>
            </w:r>
          </w:p>
        </w:tc>
        <w:tc>
          <w:tcPr>
            <w:tcW w:w="5170" w:type="dxa"/>
            <w:noWrap w:val="0"/>
            <w:vAlign w:val="center"/>
          </w:tcPr>
          <w:p w14:paraId="3828463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连云港市计量检定测试中心</w:t>
            </w:r>
          </w:p>
        </w:tc>
      </w:tr>
      <w:tr w14:paraId="48B96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59F2AC7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2D0B119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第7.2款</w:t>
            </w:r>
          </w:p>
        </w:tc>
        <w:tc>
          <w:tcPr>
            <w:tcW w:w="1742" w:type="dxa"/>
            <w:noWrap w:val="0"/>
            <w:vAlign w:val="center"/>
          </w:tcPr>
          <w:p w14:paraId="2079EC0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运输特殊要求</w:t>
            </w:r>
          </w:p>
        </w:tc>
        <w:tc>
          <w:tcPr>
            <w:tcW w:w="5170" w:type="dxa"/>
            <w:noWrap w:val="0"/>
            <w:vAlign w:val="center"/>
          </w:tcPr>
          <w:p w14:paraId="29ACE4C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无</w:t>
            </w:r>
          </w:p>
        </w:tc>
      </w:tr>
      <w:tr w14:paraId="1CB7B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1DC90E3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617B7D4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第7.3款</w:t>
            </w:r>
          </w:p>
        </w:tc>
        <w:tc>
          <w:tcPr>
            <w:tcW w:w="1742" w:type="dxa"/>
            <w:noWrap w:val="0"/>
            <w:vAlign w:val="center"/>
          </w:tcPr>
          <w:p w14:paraId="59BE15F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保险要求</w:t>
            </w:r>
          </w:p>
        </w:tc>
        <w:tc>
          <w:tcPr>
            <w:tcW w:w="5170" w:type="dxa"/>
            <w:noWrap w:val="0"/>
            <w:vAlign w:val="center"/>
          </w:tcPr>
          <w:p w14:paraId="4DA1C75F">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无</w:t>
            </w:r>
          </w:p>
        </w:tc>
      </w:tr>
      <w:tr w14:paraId="2E302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8EC935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1A3F183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第8.2（1）项</w:t>
            </w:r>
          </w:p>
        </w:tc>
        <w:tc>
          <w:tcPr>
            <w:tcW w:w="1742" w:type="dxa"/>
            <w:noWrap w:val="0"/>
            <w:vAlign w:val="center"/>
          </w:tcPr>
          <w:p w14:paraId="67EA4C4F">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质量保证期</w:t>
            </w:r>
          </w:p>
        </w:tc>
        <w:tc>
          <w:tcPr>
            <w:tcW w:w="5170" w:type="dxa"/>
            <w:noWrap w:val="0"/>
            <w:vAlign w:val="center"/>
          </w:tcPr>
          <w:p w14:paraId="02F9386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p>
        </w:tc>
      </w:tr>
      <w:tr w14:paraId="48981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B2C586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06FC0FE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第8.2（3）项</w:t>
            </w:r>
          </w:p>
        </w:tc>
        <w:tc>
          <w:tcPr>
            <w:tcW w:w="1742" w:type="dxa"/>
            <w:noWrap w:val="0"/>
            <w:vAlign w:val="center"/>
          </w:tcPr>
          <w:p w14:paraId="3FA294E8">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货物质量缺陷</w:t>
            </w:r>
          </w:p>
          <w:p w14:paraId="354DA8E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响应时间</w:t>
            </w:r>
          </w:p>
        </w:tc>
        <w:tc>
          <w:tcPr>
            <w:tcW w:w="5170" w:type="dxa"/>
            <w:noWrap w:val="0"/>
            <w:vAlign w:val="center"/>
          </w:tcPr>
          <w:p w14:paraId="68C3204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乙方在接到甲方通知后在24小时内到达甲方现场。</w:t>
            </w:r>
          </w:p>
        </w:tc>
      </w:tr>
      <w:tr w14:paraId="077C9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AC0842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4D21363C">
            <w:pPr>
              <w:pStyle w:val="263"/>
              <w:pBdr>
                <w:top w:val="none" w:color="auto" w:sz="0" w:space="1"/>
                <w:left w:val="none" w:color="auto" w:sz="0" w:space="4"/>
                <w:bottom w:val="none" w:color="auto" w:sz="0" w:space="1"/>
                <w:right w:val="none" w:color="auto" w:sz="0" w:space="4"/>
              </w:pBdr>
              <w:spacing w:line="360" w:lineRule="auto"/>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t>第11.1款</w:t>
            </w:r>
          </w:p>
        </w:tc>
        <w:tc>
          <w:tcPr>
            <w:tcW w:w="1742" w:type="dxa"/>
            <w:noWrap w:val="0"/>
            <w:vAlign w:val="center"/>
          </w:tcPr>
          <w:p w14:paraId="428F3C9C">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其他应当保密的信息</w:t>
            </w:r>
          </w:p>
        </w:tc>
        <w:tc>
          <w:tcPr>
            <w:tcW w:w="5170" w:type="dxa"/>
            <w:noWrap w:val="0"/>
            <w:vAlign w:val="center"/>
          </w:tcPr>
          <w:p w14:paraId="2DBF6ED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21248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5524CCC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2D36D70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第12.2款</w:t>
            </w:r>
          </w:p>
        </w:tc>
        <w:tc>
          <w:tcPr>
            <w:tcW w:w="1742" w:type="dxa"/>
            <w:noWrap w:val="0"/>
            <w:vAlign w:val="center"/>
          </w:tcPr>
          <w:p w14:paraId="45C3849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合同价款支付时间</w:t>
            </w:r>
          </w:p>
        </w:tc>
        <w:tc>
          <w:tcPr>
            <w:tcW w:w="5170" w:type="dxa"/>
            <w:noWrap w:val="0"/>
            <w:vAlign w:val="center"/>
          </w:tcPr>
          <w:p w14:paraId="7C9B4EAC">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合同签订后支付 50% 预付款，全部设备验收合格付清剩余 50%。</w:t>
            </w:r>
          </w:p>
        </w:tc>
      </w:tr>
      <w:tr w14:paraId="31AFA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6D91624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112507F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第13.2款</w:t>
            </w:r>
          </w:p>
        </w:tc>
        <w:tc>
          <w:tcPr>
            <w:tcW w:w="1742" w:type="dxa"/>
            <w:noWrap w:val="0"/>
            <w:vAlign w:val="center"/>
          </w:tcPr>
          <w:p w14:paraId="470E71A8">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履约保证金不予退还的情形</w:t>
            </w:r>
          </w:p>
        </w:tc>
        <w:tc>
          <w:tcPr>
            <w:tcW w:w="5170" w:type="dxa"/>
            <w:noWrap w:val="0"/>
            <w:vAlign w:val="center"/>
          </w:tcPr>
          <w:p w14:paraId="4F4E4C5C">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1、乙方违约的，甲方将根据违约责任条款扣除其全部或部分履约保证金。如乙方违约给甲方造成的损失超过履约保证金的，应当依法赔偿超过部分的损失。</w:t>
            </w:r>
          </w:p>
          <w:p w14:paraId="0185AF2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2、逾期退还履约保证金的甲方承担违约责任，按照中国人民银行同期贷款基准利率支付超期资金占用费。</w:t>
            </w:r>
          </w:p>
        </w:tc>
      </w:tr>
      <w:tr w14:paraId="55D67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658F75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0C5B065">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第13.3款</w:t>
            </w:r>
          </w:p>
        </w:tc>
        <w:tc>
          <w:tcPr>
            <w:tcW w:w="1742" w:type="dxa"/>
            <w:noWrap w:val="0"/>
            <w:vAlign w:val="center"/>
          </w:tcPr>
          <w:p w14:paraId="601A8CB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履约保证金退还时间及逾期退还的违约金</w:t>
            </w:r>
          </w:p>
        </w:tc>
        <w:tc>
          <w:tcPr>
            <w:tcW w:w="5170" w:type="dxa"/>
            <w:noWrap w:val="0"/>
            <w:vAlign w:val="center"/>
          </w:tcPr>
          <w:p w14:paraId="4F0B2CDB">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1、乙方违约的，甲方将根据违约责任条款扣除其全部或部分履约保证金。如乙方违约给甲方造成的损失超过履约保证金的，应当依法赔偿超过部分的损失。</w:t>
            </w:r>
          </w:p>
          <w:p w14:paraId="0825C49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2、逾期退还履约保证金的甲方承担违约责任，按照中国人民银行同期贷款基准利率支付超期资金占用费。</w:t>
            </w:r>
          </w:p>
        </w:tc>
      </w:tr>
      <w:tr w14:paraId="3E0B9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6B8CAC8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DA36F9F">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第14.1（3）项</w:t>
            </w:r>
          </w:p>
        </w:tc>
        <w:tc>
          <w:tcPr>
            <w:tcW w:w="1742" w:type="dxa"/>
            <w:noWrap w:val="0"/>
            <w:vAlign w:val="center"/>
          </w:tcPr>
          <w:p w14:paraId="40F4A0F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运行监督、维修期限</w:t>
            </w:r>
          </w:p>
        </w:tc>
        <w:tc>
          <w:tcPr>
            <w:tcW w:w="5170" w:type="dxa"/>
            <w:noWrap w:val="0"/>
            <w:vAlign w:val="center"/>
          </w:tcPr>
          <w:p w14:paraId="56697E8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详见第四章采购需求</w:t>
            </w:r>
          </w:p>
        </w:tc>
      </w:tr>
      <w:tr w14:paraId="7A7B5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5CADE09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51806F0C">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第14.1（5）项</w:t>
            </w:r>
          </w:p>
        </w:tc>
        <w:tc>
          <w:tcPr>
            <w:tcW w:w="1742" w:type="dxa"/>
            <w:noWrap w:val="0"/>
            <w:vAlign w:val="center"/>
          </w:tcPr>
          <w:p w14:paraId="05D3818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货物回收的约定</w:t>
            </w:r>
          </w:p>
        </w:tc>
        <w:tc>
          <w:tcPr>
            <w:tcW w:w="5170" w:type="dxa"/>
            <w:noWrap w:val="0"/>
            <w:vAlign w:val="center"/>
          </w:tcPr>
          <w:p w14:paraId="34132AE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11D1F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8688478">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4BCA1AE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第14.1（6）项</w:t>
            </w:r>
          </w:p>
        </w:tc>
        <w:tc>
          <w:tcPr>
            <w:tcW w:w="1742" w:type="dxa"/>
            <w:noWrap w:val="0"/>
            <w:vAlign w:val="center"/>
          </w:tcPr>
          <w:p w14:paraId="4D4ED34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乙方提供的其他服务</w:t>
            </w:r>
          </w:p>
        </w:tc>
        <w:tc>
          <w:tcPr>
            <w:tcW w:w="5170" w:type="dxa"/>
            <w:noWrap w:val="0"/>
            <w:vAlign w:val="center"/>
          </w:tcPr>
          <w:p w14:paraId="396F63B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3D0D3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A711BD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4D40124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第15.1款</w:t>
            </w:r>
          </w:p>
        </w:tc>
        <w:tc>
          <w:tcPr>
            <w:tcW w:w="1742" w:type="dxa"/>
            <w:noWrap w:val="0"/>
            <w:vAlign w:val="center"/>
          </w:tcPr>
          <w:p w14:paraId="51940CF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修理、重作、更换相关具体规定</w:t>
            </w:r>
          </w:p>
        </w:tc>
        <w:tc>
          <w:tcPr>
            <w:tcW w:w="5170" w:type="dxa"/>
            <w:noWrap w:val="0"/>
            <w:vAlign w:val="center"/>
          </w:tcPr>
          <w:p w14:paraId="374A2BB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《中华人民共和国产品质量法》第四十条</w:t>
            </w:r>
          </w:p>
        </w:tc>
      </w:tr>
      <w:tr w14:paraId="773FA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3C8351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144038C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第15.2（2）项</w:t>
            </w:r>
          </w:p>
        </w:tc>
        <w:tc>
          <w:tcPr>
            <w:tcW w:w="1742" w:type="dxa"/>
            <w:noWrap w:val="0"/>
            <w:vAlign w:val="center"/>
          </w:tcPr>
          <w:p w14:paraId="5A3AF88F">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迟延交货赔偿费</w:t>
            </w:r>
          </w:p>
        </w:tc>
        <w:tc>
          <w:tcPr>
            <w:tcW w:w="5170" w:type="dxa"/>
            <w:noWrap w:val="0"/>
            <w:vAlign w:val="center"/>
          </w:tcPr>
          <w:p w14:paraId="4ECC5530">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每延迟一天交付，按照合同金额1‰向甲方支付逾期交付违约金，违约金总额不超过合同总额的1%。（因甲方原因，逾期交付违约金不予计算）</w:t>
            </w:r>
          </w:p>
        </w:tc>
      </w:tr>
      <w:tr w14:paraId="1E8AD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CE915E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BAFDE7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第15.3款</w:t>
            </w:r>
          </w:p>
        </w:tc>
        <w:tc>
          <w:tcPr>
            <w:tcW w:w="1742" w:type="dxa"/>
            <w:noWrap w:val="0"/>
            <w:vAlign w:val="center"/>
          </w:tcPr>
          <w:p w14:paraId="4F34F96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逾期付款利息</w:t>
            </w:r>
          </w:p>
        </w:tc>
        <w:tc>
          <w:tcPr>
            <w:tcW w:w="5170" w:type="dxa"/>
            <w:noWrap w:val="0"/>
            <w:vAlign w:val="center"/>
          </w:tcPr>
          <w:p w14:paraId="2068313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在逾期时段按月息2%计息</w:t>
            </w:r>
          </w:p>
        </w:tc>
      </w:tr>
      <w:tr w14:paraId="7881A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76" w:hRule="atLeast"/>
          <w:jc w:val="center"/>
        </w:trPr>
        <w:tc>
          <w:tcPr>
            <w:tcW w:w="1607" w:type="dxa"/>
            <w:noWrap w:val="0"/>
            <w:vAlign w:val="center"/>
          </w:tcPr>
          <w:p w14:paraId="007DF16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70F86D2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第15.4款</w:t>
            </w:r>
          </w:p>
        </w:tc>
        <w:tc>
          <w:tcPr>
            <w:tcW w:w="1742" w:type="dxa"/>
            <w:noWrap w:val="0"/>
            <w:vAlign w:val="center"/>
          </w:tcPr>
          <w:p w14:paraId="4BA41CA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其他违约责任</w:t>
            </w:r>
          </w:p>
        </w:tc>
        <w:tc>
          <w:tcPr>
            <w:tcW w:w="5170" w:type="dxa"/>
            <w:noWrap w:val="0"/>
            <w:vAlign w:val="center"/>
          </w:tcPr>
          <w:p w14:paraId="1E260FA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如乙方无法提供制造商质保承诺或协议的，甲方有权单方面解除合同、扣除履约保证金、将乙方清退出场，同时报政府采购监督管理部门</w:t>
            </w:r>
          </w:p>
        </w:tc>
      </w:tr>
      <w:tr w14:paraId="271CA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607" w:type="dxa"/>
            <w:noWrap w:val="0"/>
            <w:vAlign w:val="center"/>
          </w:tcPr>
          <w:p w14:paraId="70BEFBE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52EAFC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第19.2款</w:t>
            </w:r>
          </w:p>
        </w:tc>
        <w:tc>
          <w:tcPr>
            <w:tcW w:w="1742" w:type="dxa"/>
            <w:noWrap w:val="0"/>
            <w:vAlign w:val="center"/>
          </w:tcPr>
          <w:p w14:paraId="1424E84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解决争议的方法</w:t>
            </w:r>
          </w:p>
        </w:tc>
        <w:tc>
          <w:tcPr>
            <w:tcW w:w="5170" w:type="dxa"/>
            <w:noWrap w:val="0"/>
            <w:vAlign w:val="center"/>
          </w:tcPr>
          <w:p w14:paraId="3F1F9DEC">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因本合同及合同有关事项发生的争议，按下列第（2）种方式解决：</w:t>
            </w:r>
          </w:p>
          <w:p w14:paraId="3F64E072">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（1）向仲裁委员会申请仲裁，仲裁地点为        ；</w:t>
            </w:r>
          </w:p>
          <w:p w14:paraId="521831EE">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Cs w:val="21"/>
                <w:highlight w:val="none"/>
                <w:u w:val="single"/>
              </w:rPr>
            </w:pPr>
            <w:r>
              <w:rPr>
                <w:rFonts w:hint="eastAsia" w:ascii="宋体" w:hAnsi="宋体" w:eastAsia="宋体" w:cs="宋体"/>
                <w:iCs/>
                <w:color w:val="auto"/>
                <w:szCs w:val="21"/>
                <w:highlight w:val="none"/>
              </w:rPr>
              <w:t>（2）向连云港市人民法院起诉。</w:t>
            </w:r>
          </w:p>
        </w:tc>
      </w:tr>
      <w:tr w14:paraId="75A65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012B834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第二节</w:t>
            </w:r>
          </w:p>
          <w:p w14:paraId="3CE62E6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第23.1款</w:t>
            </w:r>
          </w:p>
        </w:tc>
        <w:tc>
          <w:tcPr>
            <w:tcW w:w="1742" w:type="dxa"/>
            <w:noWrap w:val="0"/>
            <w:vAlign w:val="center"/>
          </w:tcPr>
          <w:p w14:paraId="1371FD7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其他专用条款</w:t>
            </w:r>
          </w:p>
        </w:tc>
        <w:tc>
          <w:tcPr>
            <w:tcW w:w="5170" w:type="dxa"/>
            <w:noWrap w:val="0"/>
            <w:vAlign w:val="center"/>
          </w:tcPr>
          <w:p w14:paraId="5A6A2CF6">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Cs w:val="21"/>
                <w:highlight w:val="none"/>
              </w:rPr>
            </w:pPr>
          </w:p>
        </w:tc>
      </w:tr>
    </w:tbl>
    <w:p w14:paraId="7C09652D">
      <w:pPr>
        <w:widowControl/>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p>
    <w:p w14:paraId="05266BC9">
      <w:pPr>
        <w:pStyle w:val="231"/>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val="0"/>
          <w:color w:val="auto"/>
          <w:highlight w:val="none"/>
        </w:rPr>
      </w:pPr>
      <w:bookmarkStart w:id="8" w:name="_Toc165205797"/>
      <w:r>
        <w:rPr>
          <w:rFonts w:hint="eastAsia" w:ascii="宋体" w:hAnsi="宋体" w:eastAsia="宋体" w:cs="宋体"/>
          <w:b w:val="0"/>
          <w:color w:val="auto"/>
          <w:highlight w:val="none"/>
        </w:rPr>
        <w:t>第四章  采购需求</w:t>
      </w:r>
      <w:bookmarkEnd w:id="8"/>
    </w:p>
    <w:p w14:paraId="014D366B">
      <w:pPr>
        <w:spacing w:line="360" w:lineRule="auto"/>
        <w:ind w:firstLine="482" w:firstLineChars="200"/>
        <w:rPr>
          <w:rFonts w:hint="eastAsia" w:cs="Times New Roman" w:asciiTheme="minorEastAsia" w:hAnsiTheme="minorEastAsia"/>
          <w:color w:val="auto"/>
          <w:sz w:val="24"/>
          <w:szCs w:val="24"/>
          <w:highlight w:val="none"/>
        </w:rPr>
      </w:pPr>
      <w:r>
        <w:rPr>
          <w:rFonts w:hint="eastAsia" w:cs="Times New Roman" w:asciiTheme="minorEastAsia" w:hAnsiTheme="minorEastAsia"/>
          <w:b/>
          <w:bCs/>
          <w:color w:val="auto"/>
          <w:sz w:val="24"/>
          <w:szCs w:val="24"/>
          <w:highlight w:val="none"/>
        </w:rPr>
        <w:t>说明：本项目属性为货物，</w:t>
      </w:r>
      <w:r>
        <w:rPr>
          <w:rFonts w:hint="eastAsia" w:cs="Times New Roman" w:asciiTheme="minorEastAsia" w:hAnsiTheme="minorEastAsia"/>
          <w:b/>
          <w:color w:val="auto"/>
          <w:sz w:val="24"/>
          <w:szCs w:val="21"/>
          <w:highlight w:val="none"/>
        </w:rPr>
        <w:t>采购标的对应的中小企业划分标准所属行业为</w:t>
      </w:r>
      <w:r>
        <w:rPr>
          <w:rFonts w:hint="eastAsia" w:asciiTheme="minorEastAsia" w:hAnsiTheme="minorEastAsia"/>
          <w:b/>
          <w:color w:val="auto"/>
          <w:sz w:val="24"/>
          <w:szCs w:val="21"/>
          <w:highlight w:val="none"/>
          <w:u w:val="single"/>
        </w:rPr>
        <w:t>工业</w:t>
      </w:r>
      <w:r>
        <w:rPr>
          <w:rFonts w:hint="eastAsia" w:cs="Times New Roman" w:asciiTheme="minorEastAsia" w:hAnsiTheme="minorEastAsia"/>
          <w:b/>
          <w:color w:val="auto"/>
          <w:sz w:val="24"/>
          <w:szCs w:val="21"/>
          <w:highlight w:val="none"/>
        </w:rPr>
        <w:t>。</w:t>
      </w:r>
    </w:p>
    <w:p w14:paraId="36046992">
      <w:pPr>
        <w:numPr>
          <w:ilvl w:val="0"/>
          <w:numId w:val="8"/>
        </w:numPr>
        <w:spacing w:line="360" w:lineRule="auto"/>
        <w:ind w:firstLine="480" w:firstLineChars="200"/>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5E356714">
      <w:pPr>
        <w:numPr>
          <w:ilvl w:val="0"/>
          <w:numId w:val="8"/>
        </w:numPr>
        <w:autoSpaceDE w:val="0"/>
        <w:autoSpaceDN w:val="0"/>
        <w:adjustRightInd w:val="0"/>
        <w:spacing w:line="360" w:lineRule="auto"/>
        <w:ind w:left="0" w:leftChars="0" w:firstLine="482" w:firstLineChars="200"/>
        <w:jc w:val="left"/>
        <w:rPr>
          <w:rFonts w:hint="eastAsia" w:cs="Times New Roman" w:asciiTheme="minorEastAsia" w:hAnsiTheme="minorEastAsia"/>
          <w:b/>
          <w:bCs/>
          <w:color w:val="auto"/>
          <w:sz w:val="24"/>
          <w:szCs w:val="24"/>
          <w:highlight w:val="none"/>
        </w:rPr>
      </w:pPr>
      <w:r>
        <w:rPr>
          <w:rFonts w:hint="eastAsia" w:cs="Times New Roman" w:asciiTheme="minorEastAsia" w:hAnsiTheme="minorEastAsia"/>
          <w:b/>
          <w:bCs/>
          <w:color w:val="auto"/>
          <w:sz w:val="24"/>
          <w:szCs w:val="24"/>
          <w:highlight w:val="none"/>
        </w:rPr>
        <w:t>本项目需求中标注★号的部分为实质性要求和条件（由采购人根据实际情况设置），投标人必须作出满足或者优于原要求和条件的响应，否则投标无效。</w:t>
      </w:r>
    </w:p>
    <w:p w14:paraId="5F4D14A3">
      <w:pPr>
        <w:pStyle w:val="2"/>
        <w:jc w:val="center"/>
        <w:rPr>
          <w:rFonts w:hint="eastAsia" w:eastAsia="宋体"/>
          <w:highlight w:val="none"/>
          <w:lang w:eastAsia="zh-CN"/>
        </w:rPr>
      </w:pPr>
      <w:r>
        <w:rPr>
          <w:rFonts w:hint="eastAsia" w:ascii="宋体" w:hAnsi="宋体" w:eastAsia="宋体" w:cs="宋体"/>
          <w:b/>
          <w:bCs/>
          <w:color w:val="auto"/>
          <w:sz w:val="32"/>
          <w:szCs w:val="32"/>
          <w:highlight w:val="none"/>
        </w:rPr>
        <w:t>采购包1</w:t>
      </w:r>
      <w:r>
        <w:rPr>
          <w:rFonts w:hint="eastAsia" w:ascii="宋体" w:hAnsi="宋体" w:eastAsia="宋体" w:cs="宋体"/>
          <w:b/>
          <w:bCs/>
          <w:color w:val="auto"/>
          <w:sz w:val="32"/>
          <w:szCs w:val="32"/>
          <w:highlight w:val="none"/>
          <w:lang w:eastAsia="zh-CN"/>
        </w:rPr>
        <w:t>、</w:t>
      </w: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2</w:t>
      </w:r>
      <w:r>
        <w:rPr>
          <w:rFonts w:hint="eastAsia" w:ascii="宋体" w:hAnsi="宋体" w:eastAsia="宋体" w:cs="宋体"/>
          <w:b/>
          <w:bCs/>
          <w:color w:val="auto"/>
          <w:sz w:val="32"/>
          <w:szCs w:val="32"/>
          <w:highlight w:val="none"/>
          <w:lang w:eastAsia="zh-CN"/>
        </w:rPr>
        <w:t>、</w:t>
      </w: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3</w:t>
      </w:r>
      <w:r>
        <w:rPr>
          <w:rFonts w:hint="eastAsia" w:ascii="宋体" w:hAnsi="宋体" w:eastAsia="宋体" w:cs="宋体"/>
          <w:b/>
          <w:bCs/>
          <w:color w:val="auto"/>
          <w:sz w:val="32"/>
          <w:szCs w:val="32"/>
          <w:highlight w:val="none"/>
          <w:lang w:eastAsia="zh-CN"/>
        </w:rPr>
        <w:t>、</w:t>
      </w: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4</w:t>
      </w:r>
      <w:r>
        <w:rPr>
          <w:rFonts w:hint="eastAsia" w:ascii="宋体" w:hAnsi="宋体" w:eastAsia="宋体" w:cs="宋体"/>
          <w:b/>
          <w:bCs/>
          <w:color w:val="auto"/>
          <w:sz w:val="32"/>
          <w:szCs w:val="32"/>
          <w:highlight w:val="none"/>
          <w:lang w:eastAsia="zh-CN"/>
        </w:rPr>
        <w:t>、</w:t>
      </w: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5</w:t>
      </w:r>
      <w:r>
        <w:rPr>
          <w:rFonts w:hint="eastAsia" w:ascii="宋体" w:hAnsi="宋体" w:eastAsia="宋体" w:cs="宋体"/>
          <w:b/>
          <w:bCs/>
          <w:color w:val="auto"/>
          <w:sz w:val="32"/>
          <w:szCs w:val="32"/>
          <w:highlight w:val="none"/>
          <w:lang w:eastAsia="zh-CN"/>
        </w:rPr>
        <w:t>、</w:t>
      </w: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6：</w:t>
      </w:r>
    </w:p>
    <w:tbl>
      <w:tblPr>
        <w:tblStyle w:val="37"/>
        <w:tblW w:w="9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7"/>
        <w:gridCol w:w="8753"/>
      </w:tblGrid>
      <w:tr w14:paraId="7F9DB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500" w:type="dxa"/>
            <w:gridSpan w:val="2"/>
            <w:tcBorders>
              <w:top w:val="nil"/>
              <w:left w:val="nil"/>
              <w:bottom w:val="single" w:color="auto" w:sz="4" w:space="0"/>
              <w:right w:val="nil"/>
            </w:tcBorders>
            <w:noWrap w:val="0"/>
            <w:vAlign w:val="center"/>
          </w:tcPr>
          <w:p w14:paraId="2788EF29">
            <w:pPr>
              <w:keepNext w:val="0"/>
              <w:keepLines w:val="0"/>
              <w:suppressLineNumbers w:val="0"/>
              <w:spacing w:before="0" w:beforeAutospacing="0" w:after="0" w:afterAutospacing="0" w:line="360" w:lineRule="auto"/>
              <w:ind w:left="0" w:right="0"/>
              <w:jc w:val="center"/>
              <w:rPr>
                <w:rFonts w:hint="default" w:ascii="宋体" w:hAnsi="宋体" w:eastAsia="宋体"/>
                <w:color w:val="auto"/>
                <w:sz w:val="24"/>
                <w:szCs w:val="24"/>
                <w:highlight w:val="none"/>
              </w:rPr>
            </w:pPr>
            <w:r>
              <w:rPr>
                <w:rFonts w:hint="default" w:ascii="宋体" w:hAnsi="宋体" w:eastAsia="宋体"/>
                <w:color w:val="auto"/>
                <w:sz w:val="24"/>
                <w:szCs w:val="24"/>
                <w:highlight w:val="none"/>
              </w:rPr>
              <w:t>采购需求中须满足的实质性要求和条件</w:t>
            </w:r>
          </w:p>
        </w:tc>
      </w:tr>
      <w:tr w14:paraId="58A50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747" w:type="dxa"/>
            <w:tcBorders>
              <w:top w:val="single" w:color="auto" w:sz="4" w:space="0"/>
            </w:tcBorders>
            <w:noWrap w:val="0"/>
          </w:tcPr>
          <w:p w14:paraId="76007513">
            <w:pPr>
              <w:keepNext w:val="0"/>
              <w:keepLines w:val="0"/>
              <w:suppressLineNumbers w:val="0"/>
              <w:spacing w:before="0" w:beforeAutospacing="0" w:after="0" w:afterAutospacing="0" w:line="360" w:lineRule="auto"/>
              <w:ind w:left="0" w:right="0"/>
              <w:jc w:val="center"/>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序号</w:t>
            </w:r>
          </w:p>
        </w:tc>
        <w:tc>
          <w:tcPr>
            <w:tcW w:w="8753" w:type="dxa"/>
            <w:tcBorders>
              <w:top w:val="single" w:color="auto" w:sz="4" w:space="0"/>
            </w:tcBorders>
            <w:noWrap w:val="0"/>
          </w:tcPr>
          <w:p w14:paraId="323AB623">
            <w:pPr>
              <w:keepNext w:val="0"/>
              <w:keepLines w:val="0"/>
              <w:suppressLineNumbers w:val="0"/>
              <w:spacing w:before="0" w:beforeAutospacing="0" w:after="0" w:afterAutospacing="0" w:line="360" w:lineRule="auto"/>
              <w:ind w:left="0" w:right="0" w:firstLine="482"/>
              <w:jc w:val="center"/>
              <w:rPr>
                <w:rFonts w:hint="default" w:ascii="宋体" w:hAnsi="宋体" w:eastAsia="宋体"/>
                <w:b/>
                <w:color w:val="auto"/>
                <w:sz w:val="24"/>
                <w:szCs w:val="24"/>
                <w:highlight w:val="none"/>
              </w:rPr>
            </w:pPr>
            <w:r>
              <w:rPr>
                <w:rFonts w:hint="default" w:ascii="宋体" w:hAnsi="宋体" w:eastAsia="宋体"/>
                <w:b/>
                <w:color w:val="auto"/>
                <w:sz w:val="24"/>
                <w:szCs w:val="24"/>
                <w:highlight w:val="none"/>
              </w:rPr>
              <w:t>实质性要求和条件</w:t>
            </w:r>
          </w:p>
        </w:tc>
      </w:tr>
      <w:tr w14:paraId="51DA1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47" w:type="dxa"/>
            <w:noWrap w:val="0"/>
            <w:vAlign w:val="center"/>
          </w:tcPr>
          <w:p w14:paraId="27D8CEA1">
            <w:pPr>
              <w:keepNext w:val="0"/>
              <w:keepLines w:val="0"/>
              <w:suppressLineNumbers w:val="0"/>
              <w:spacing w:before="0" w:beforeAutospacing="0" w:after="0" w:afterAutospacing="0" w:line="360" w:lineRule="auto"/>
              <w:ind w:left="0" w:right="0"/>
              <w:jc w:val="center"/>
              <w:rPr>
                <w:rFonts w:hint="eastAsia" w:ascii="宋体" w:hAnsi="宋体" w:eastAsia="宋体"/>
                <w:b w:val="0"/>
                <w:bCs w:val="0"/>
                <w:color w:val="auto"/>
                <w:sz w:val="24"/>
                <w:szCs w:val="24"/>
                <w:highlight w:val="none"/>
                <w:lang w:eastAsia="zh-CN"/>
              </w:rPr>
            </w:pPr>
            <w:r>
              <w:rPr>
                <w:rFonts w:hint="eastAsia" w:ascii="宋体" w:hAnsi="宋体" w:eastAsia="宋体"/>
                <w:b w:val="0"/>
                <w:bCs w:val="0"/>
                <w:color w:val="auto"/>
                <w:sz w:val="24"/>
                <w:szCs w:val="24"/>
                <w:highlight w:val="none"/>
                <w:lang w:val="en-US" w:eastAsia="zh-CN"/>
              </w:rPr>
              <w:t>1</w:t>
            </w:r>
          </w:p>
        </w:tc>
        <w:tc>
          <w:tcPr>
            <w:tcW w:w="8753" w:type="dxa"/>
            <w:noWrap w:val="0"/>
            <w:vAlign w:val="center"/>
          </w:tcPr>
          <w:p w14:paraId="525D32EE">
            <w:pPr>
              <w:keepNext w:val="0"/>
              <w:keepLines w:val="0"/>
              <w:suppressLineNumbers w:val="0"/>
              <w:spacing w:before="0" w:beforeAutospacing="0" w:after="0" w:afterAutospacing="0" w:line="360" w:lineRule="auto"/>
              <w:ind w:left="0" w:right="0"/>
              <w:jc w:val="left"/>
              <w:rPr>
                <w:rFonts w:hint="default"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★付款方式：合同签订后，采购人向供应商支付合同价款的 50% 作为预付款；全部设备验收合格后，由中标单位开具合规</w:t>
            </w:r>
            <w:r>
              <w:rPr>
                <w:rFonts w:hint="eastAsia" w:ascii="宋体" w:hAnsi="宋体" w:eastAsia="宋体"/>
                <w:b w:val="0"/>
                <w:bCs w:val="0"/>
                <w:color w:val="auto"/>
                <w:sz w:val="24"/>
                <w:szCs w:val="24"/>
                <w:highlight w:val="none"/>
                <w:lang w:val="en-US" w:eastAsia="zh-CN"/>
              </w:rPr>
              <w:t>增值税专用</w:t>
            </w:r>
            <w:r>
              <w:rPr>
                <w:rFonts w:hint="eastAsia" w:ascii="宋体" w:hAnsi="宋体" w:eastAsia="宋体"/>
                <w:b w:val="0"/>
                <w:bCs w:val="0"/>
                <w:color w:val="auto"/>
                <w:sz w:val="24"/>
                <w:szCs w:val="24"/>
                <w:highlight w:val="none"/>
              </w:rPr>
              <w:t>发票，中标单位凭采购人出具的验收报告，申请支付剩余款项，付清至合同价款的 100%。</w:t>
            </w:r>
          </w:p>
        </w:tc>
      </w:tr>
      <w:tr w14:paraId="4F3A5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jc w:val="center"/>
        </w:trPr>
        <w:tc>
          <w:tcPr>
            <w:tcW w:w="747" w:type="dxa"/>
            <w:noWrap w:val="0"/>
            <w:vAlign w:val="center"/>
          </w:tcPr>
          <w:p w14:paraId="34F23AC4">
            <w:pPr>
              <w:keepNext w:val="0"/>
              <w:keepLines w:val="0"/>
              <w:suppressLineNumbers w:val="0"/>
              <w:spacing w:before="0" w:beforeAutospacing="0" w:after="0" w:afterAutospacing="0" w:line="360" w:lineRule="auto"/>
              <w:ind w:left="0" w:right="0"/>
              <w:jc w:val="center"/>
              <w:rPr>
                <w:rFonts w:hint="default"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2</w:t>
            </w:r>
          </w:p>
        </w:tc>
        <w:tc>
          <w:tcPr>
            <w:tcW w:w="8753" w:type="dxa"/>
            <w:noWrap w:val="0"/>
            <w:vAlign w:val="center"/>
          </w:tcPr>
          <w:p w14:paraId="146A6FED">
            <w:pPr>
              <w:keepNext w:val="0"/>
              <w:keepLines w:val="0"/>
              <w:suppressLineNumbers w:val="0"/>
              <w:spacing w:before="0" w:beforeAutospacing="0" w:after="0" w:afterAutospacing="0" w:line="360" w:lineRule="auto"/>
              <w:ind w:left="0" w:right="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交货期</w:t>
            </w:r>
            <w:r>
              <w:rPr>
                <w:rFonts w:hint="eastAsia" w:ascii="宋体" w:hAnsi="宋体" w:eastAsia="宋体" w:cs="Times New Roman"/>
                <w:b w:val="0"/>
                <w:bCs w:val="0"/>
                <w:color w:val="auto"/>
                <w:sz w:val="24"/>
                <w:szCs w:val="24"/>
                <w:highlight w:val="none"/>
                <w:lang w:val="en-US" w:eastAsia="zh-CN"/>
              </w:rPr>
              <w:t>：合同签订生效后2个月。</w:t>
            </w:r>
          </w:p>
        </w:tc>
      </w:tr>
    </w:tbl>
    <w:p w14:paraId="49EB2D99">
      <w:pPr>
        <w:pStyle w:val="265"/>
        <w:numPr>
          <w:ilvl w:val="0"/>
          <w:numId w:val="0"/>
        </w:numPr>
        <w:ind w:leftChars="200"/>
        <w:rPr>
          <w:rFonts w:hint="eastAsia"/>
          <w:color w:val="auto"/>
          <w:highlight w:val="none"/>
        </w:rPr>
      </w:pPr>
    </w:p>
    <w:p w14:paraId="4BBB65BA">
      <w:pPr>
        <w:pStyle w:val="265"/>
        <w:numPr>
          <w:ilvl w:val="0"/>
          <w:numId w:val="0"/>
        </w:numPr>
        <w:rPr>
          <w:rFonts w:hint="eastAsia"/>
          <w:color w:val="auto"/>
          <w:highlight w:val="none"/>
        </w:rPr>
      </w:pPr>
    </w:p>
    <w:p w14:paraId="2EC41EF9">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采购包1：</w:t>
      </w:r>
    </w:p>
    <w:p w14:paraId="2B012E6C">
      <w:pPr>
        <w:pBdr>
          <w:top w:val="none" w:color="auto" w:sz="0" w:space="1"/>
          <w:left w:val="none" w:color="auto" w:sz="0" w:space="4"/>
          <w:bottom w:val="none" w:color="auto" w:sz="0" w:space="1"/>
          <w:right w:val="none" w:color="auto" w:sz="0" w:space="4"/>
        </w:pBdr>
        <w:spacing w:line="360" w:lineRule="auto"/>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一、项目概况</w:t>
      </w:r>
    </w:p>
    <w:p w14:paraId="660CE43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本项目为</w:t>
      </w:r>
      <w:r>
        <w:rPr>
          <w:rFonts w:hint="eastAsia" w:ascii="宋体" w:hAnsi="宋体" w:eastAsia="宋体" w:cs="宋体"/>
          <w:color w:val="auto"/>
          <w:sz w:val="24"/>
          <w:szCs w:val="24"/>
          <w:highlight w:val="none"/>
        </w:rPr>
        <w:t>2026年计量检验检测设备更新，拟采购出租车计价器检定装置、</w:t>
      </w:r>
      <w:r>
        <w:rPr>
          <w:rFonts w:hint="eastAsia" w:ascii="宋体" w:hAnsi="宋体" w:eastAsia="宋体" w:cs="宋体"/>
          <w:color w:val="auto"/>
          <w:sz w:val="24"/>
          <w:szCs w:val="24"/>
          <w:highlight w:val="none"/>
          <w:lang w:val="en-US" w:eastAsia="zh-CN"/>
        </w:rPr>
        <w:t>质量比较仪</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标准砝码组-1t、标准砝码组-20kg</w:t>
      </w:r>
      <w:r>
        <w:rPr>
          <w:rFonts w:hint="eastAsia" w:ascii="宋体" w:hAnsi="宋体" w:eastAsia="宋体" w:cs="宋体"/>
          <w:color w:val="auto"/>
          <w:sz w:val="24"/>
          <w:szCs w:val="24"/>
          <w:highlight w:val="none"/>
        </w:rPr>
        <w:t>，项目总预算118万元。</w:t>
      </w:r>
    </w:p>
    <w:p w14:paraId="240B60C6">
      <w:pPr>
        <w:numPr>
          <w:ilvl w:val="0"/>
          <w:numId w:val="9"/>
        </w:num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货物（标的）采购清单</w:t>
      </w:r>
      <w:r>
        <w:rPr>
          <w:rFonts w:hint="eastAsia" w:ascii="宋体" w:hAnsi="宋体" w:cs="宋体"/>
          <w:b/>
          <w:color w:val="auto"/>
          <w:sz w:val="28"/>
          <w:szCs w:val="28"/>
          <w:highlight w:val="none"/>
          <w:lang w:val="en-US" w:eastAsia="zh-CN"/>
        </w:rPr>
        <w:t>及</w:t>
      </w:r>
      <w:r>
        <w:rPr>
          <w:rFonts w:hint="eastAsia" w:ascii="宋体" w:hAnsi="宋体" w:eastAsia="宋体" w:cs="宋体"/>
          <w:b/>
          <w:color w:val="auto"/>
          <w:sz w:val="28"/>
          <w:szCs w:val="28"/>
          <w:highlight w:val="none"/>
        </w:rPr>
        <w:t>技术参数及功能指标</w:t>
      </w:r>
    </w:p>
    <w:tbl>
      <w:tblPr>
        <w:tblStyle w:val="37"/>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188"/>
        <w:gridCol w:w="846"/>
        <w:gridCol w:w="2504"/>
        <w:gridCol w:w="2017"/>
      </w:tblGrid>
      <w:tr w14:paraId="1680C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40AFFE28">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序号</w:t>
            </w:r>
          </w:p>
        </w:tc>
        <w:tc>
          <w:tcPr>
            <w:tcW w:w="0" w:type="auto"/>
            <w:vAlign w:val="center"/>
          </w:tcPr>
          <w:p w14:paraId="4F431C76">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设备名称</w:t>
            </w:r>
          </w:p>
        </w:tc>
        <w:tc>
          <w:tcPr>
            <w:tcW w:w="0" w:type="auto"/>
            <w:vAlign w:val="center"/>
          </w:tcPr>
          <w:p w14:paraId="5A138C68">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数量</w:t>
            </w:r>
          </w:p>
        </w:tc>
        <w:tc>
          <w:tcPr>
            <w:tcW w:w="0" w:type="auto"/>
            <w:vAlign w:val="center"/>
          </w:tcPr>
          <w:p w14:paraId="56DE4296">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单位</w:t>
            </w:r>
          </w:p>
        </w:tc>
        <w:tc>
          <w:tcPr>
            <w:tcW w:w="2017" w:type="dxa"/>
            <w:vAlign w:val="center"/>
          </w:tcPr>
          <w:p w14:paraId="0471C1FB">
            <w:pPr>
              <w:widowControl/>
              <w:snapToGrid w:val="0"/>
              <w:ind w:left="0" w:leftChars="0" w:right="0" w:rightChars="0" w:firstLine="0" w:firstLineChars="0"/>
              <w:jc w:val="center"/>
              <w:textAlignment w:val="center"/>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分项最高限价（万元）</w:t>
            </w:r>
          </w:p>
        </w:tc>
      </w:tr>
      <w:tr w14:paraId="23504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3040F811">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1</w:t>
            </w:r>
          </w:p>
        </w:tc>
        <w:tc>
          <w:tcPr>
            <w:tcW w:w="0" w:type="auto"/>
            <w:vAlign w:val="center"/>
          </w:tcPr>
          <w:p w14:paraId="595B2026">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出租车计价器检定装置</w:t>
            </w:r>
          </w:p>
        </w:tc>
        <w:tc>
          <w:tcPr>
            <w:tcW w:w="0" w:type="auto"/>
            <w:vAlign w:val="center"/>
          </w:tcPr>
          <w:p w14:paraId="4F10D388">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54124C2F">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73429298">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40</w:t>
            </w:r>
          </w:p>
        </w:tc>
      </w:tr>
      <w:tr w14:paraId="74409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D187BA2">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0" w:type="auto"/>
            <w:vAlign w:val="center"/>
          </w:tcPr>
          <w:p w14:paraId="41F94E2F">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质量比较仪</w:t>
            </w:r>
          </w:p>
        </w:tc>
        <w:tc>
          <w:tcPr>
            <w:tcW w:w="0" w:type="auto"/>
            <w:vAlign w:val="center"/>
          </w:tcPr>
          <w:p w14:paraId="69AA1B35">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3199C982">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1F5F59D1">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40</w:t>
            </w:r>
          </w:p>
        </w:tc>
      </w:tr>
      <w:tr w14:paraId="64090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4784B4A">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0" w:type="auto"/>
            <w:vAlign w:val="center"/>
          </w:tcPr>
          <w:p w14:paraId="60674BFF">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标准砝码组-1t</w:t>
            </w:r>
          </w:p>
        </w:tc>
        <w:tc>
          <w:tcPr>
            <w:tcW w:w="0" w:type="auto"/>
            <w:vAlign w:val="center"/>
          </w:tcPr>
          <w:p w14:paraId="38016A2B">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1</w:t>
            </w:r>
          </w:p>
        </w:tc>
        <w:tc>
          <w:tcPr>
            <w:tcW w:w="0" w:type="auto"/>
            <w:vAlign w:val="center"/>
          </w:tcPr>
          <w:p w14:paraId="5A28F066">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套（18块）</w:t>
            </w:r>
          </w:p>
        </w:tc>
        <w:tc>
          <w:tcPr>
            <w:tcW w:w="2017" w:type="dxa"/>
            <w:vAlign w:val="center"/>
          </w:tcPr>
          <w:p w14:paraId="3652EF46">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18</w:t>
            </w:r>
          </w:p>
        </w:tc>
      </w:tr>
      <w:tr w14:paraId="7BEEE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50C75ADA">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3188" w:type="dxa"/>
            <w:vAlign w:val="center"/>
          </w:tcPr>
          <w:p w14:paraId="641CCD9A">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标准砝码组-20kg</w:t>
            </w:r>
          </w:p>
        </w:tc>
        <w:tc>
          <w:tcPr>
            <w:tcW w:w="846" w:type="dxa"/>
            <w:vAlign w:val="center"/>
          </w:tcPr>
          <w:p w14:paraId="33F1110A">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0BA098CE">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套（100块）</w:t>
            </w:r>
          </w:p>
        </w:tc>
        <w:tc>
          <w:tcPr>
            <w:tcW w:w="2017" w:type="dxa"/>
            <w:vAlign w:val="center"/>
          </w:tcPr>
          <w:p w14:paraId="6EE9665A">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20</w:t>
            </w:r>
          </w:p>
        </w:tc>
      </w:tr>
    </w:tbl>
    <w:p w14:paraId="1F4621C1">
      <w:pPr>
        <w:widowControl w:val="0"/>
        <w:numPr>
          <w:ilvl w:val="0"/>
          <w:numId w:val="0"/>
        </w:numPr>
        <w:pBdr>
          <w:top w:val="none" w:color="auto" w:sz="0" w:space="1"/>
          <w:left w:val="none" w:color="auto" w:sz="0" w:space="4"/>
          <w:bottom w:val="none" w:color="auto" w:sz="0" w:space="1"/>
          <w:right w:val="none" w:color="auto" w:sz="0" w:space="4"/>
        </w:pBdr>
        <w:spacing w:line="360" w:lineRule="auto"/>
        <w:ind w:firstLine="482" w:firstLineChars="200"/>
        <w:jc w:val="left"/>
        <w:rPr>
          <w:rFonts w:hint="eastAsia" w:ascii="宋体" w:hAnsi="宋体" w:eastAsia="宋体" w:cs="宋体"/>
          <w:b/>
          <w:bCs/>
          <w:color w:val="auto"/>
          <w:sz w:val="24"/>
          <w:szCs w:val="24"/>
          <w:highlight w:val="none"/>
          <w:lang w:val="en-US" w:eastAsia="zh-CN"/>
        </w:rPr>
      </w:pPr>
      <w:r>
        <w:rPr>
          <w:rFonts w:ascii="宋体" w:hAnsi="宋体" w:eastAsia="宋体" w:cs="宋体"/>
          <w:b/>
          <w:bCs/>
          <w:color w:val="auto"/>
          <w:sz w:val="24"/>
          <w:szCs w:val="24"/>
          <w:highlight w:val="none"/>
        </w:rPr>
        <w:t>★投标人填报的任意一项货物投标综合单价，超过对应分项单价最高限价的，否决投标。注：无单价限价的品目，不受本条单价约束。</w:t>
      </w:r>
    </w:p>
    <w:p w14:paraId="2940B928">
      <w:pPr>
        <w:pBdr>
          <w:top w:val="none" w:color="auto" w:sz="0" w:space="1"/>
          <w:left w:val="none" w:color="auto" w:sz="0" w:space="4"/>
          <w:bottom w:val="none" w:color="auto" w:sz="0" w:space="1"/>
          <w:right w:val="none" w:color="auto" w:sz="0" w:space="4"/>
        </w:pBdr>
        <w:spacing w:line="360" w:lineRule="auto"/>
        <w:ind w:firstLine="480" w:firstLineChars="200"/>
        <w:jc w:val="left"/>
        <w:rPr>
          <w:rFonts w:hint="eastAsia" w:ascii="宋体" w:hAnsi="宋体" w:eastAsia="宋体" w:cs="宋体"/>
          <w:b/>
          <w:color w:val="auto"/>
          <w:sz w:val="28"/>
          <w:szCs w:val="28"/>
          <w:highlight w:val="none"/>
        </w:rPr>
      </w:pPr>
      <w:bookmarkStart w:id="9" w:name="_Toc139966432"/>
      <w:bookmarkStart w:id="10" w:name="_Toc139967216"/>
      <w:r>
        <w:rPr>
          <w:rFonts w:hint="eastAsia" w:ascii="宋体" w:hAnsi="宋体" w:eastAsia="宋体"/>
          <w:b w:val="0"/>
          <w:bCs w:val="0"/>
          <w:color w:val="auto"/>
          <w:sz w:val="24"/>
          <w:szCs w:val="24"/>
          <w:highlight w:val="none"/>
        </w:rPr>
        <w:t>本项目核心产品为：</w:t>
      </w:r>
      <w:r>
        <w:rPr>
          <w:rFonts w:hint="eastAsia" w:ascii="宋体" w:hAnsi="宋体" w:cs="宋体"/>
          <w:bCs/>
          <w:color w:val="auto"/>
          <w:kern w:val="2"/>
          <w:sz w:val="24"/>
          <w:szCs w:val="24"/>
          <w:highlight w:val="none"/>
          <w:u w:val="single"/>
          <w:lang w:val="en-US" w:eastAsia="zh-CN"/>
        </w:rPr>
        <w:t>质量比较仪</w:t>
      </w:r>
      <w:r>
        <w:rPr>
          <w:rFonts w:hint="eastAsia" w:ascii="宋体" w:hAnsi="宋体" w:eastAsia="宋体"/>
          <w:b w:val="0"/>
          <w:bCs w:val="0"/>
          <w:color w:val="auto"/>
          <w:sz w:val="24"/>
          <w:szCs w:val="24"/>
          <w:highlight w:val="none"/>
        </w:rPr>
        <w:t>。</w:t>
      </w:r>
    </w:p>
    <w:p w14:paraId="51D19FFD">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（一）</w:t>
      </w:r>
      <w:r>
        <w:rPr>
          <w:rFonts w:hint="default" w:ascii="宋体" w:hAnsi="宋体" w:eastAsia="宋体" w:cs="宋体"/>
          <w:b/>
          <w:color w:val="auto"/>
          <w:sz w:val="28"/>
          <w:szCs w:val="28"/>
          <w:highlight w:val="none"/>
          <w:lang w:val="en-US" w:eastAsia="zh-CN"/>
        </w:rPr>
        <w:t>出租车计价器检定装置</w:t>
      </w:r>
    </w:p>
    <w:p w14:paraId="637264F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1.功能要求：</w:t>
      </w:r>
    </w:p>
    <w:p w14:paraId="5DF3517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★1.1.满足规</w:t>
      </w:r>
      <w:r>
        <w:rPr>
          <w:rFonts w:hint="eastAsia" w:ascii="宋体" w:hAnsi="宋体" w:eastAsia="宋体" w:cs="宋体"/>
          <w:b w:val="0"/>
          <w:bCs w:val="0"/>
          <w:color w:val="auto"/>
          <w:sz w:val="24"/>
          <w:szCs w:val="24"/>
          <w:highlight w:val="none"/>
        </w:rPr>
        <w:t>程及溯源要求</w:t>
      </w:r>
    </w:p>
    <w:p w14:paraId="6C25A97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bookmarkStart w:id="11" w:name="OLE_LINK5"/>
      <w:r>
        <w:rPr>
          <w:rFonts w:hint="eastAsia" w:ascii="宋体" w:hAnsi="宋体" w:eastAsia="宋体" w:cs="宋体"/>
          <w:b w:val="0"/>
          <w:bCs w:val="0"/>
          <w:color w:val="auto"/>
          <w:sz w:val="24"/>
          <w:szCs w:val="24"/>
          <w:highlight w:val="none"/>
        </w:rPr>
        <w:t>滚轮测距法出租车计价器检定装置的技术指标必须满足JJG517-2016《出租汽车计价器》、</w:t>
      </w:r>
      <w:r>
        <w:rPr>
          <w:rFonts w:hint="eastAsia" w:ascii="宋体" w:hAnsi="宋体" w:eastAsia="宋体" w:cs="宋体"/>
          <w:color w:val="auto"/>
          <w:sz w:val="24"/>
          <w:szCs w:val="24"/>
          <w:highlight w:val="none"/>
          <w:lang w:val="en-US" w:eastAsia="zh-CN"/>
        </w:rPr>
        <w:t>JJG 738-2024《出租汽车计价器检定装置检定规程》</w:t>
      </w:r>
      <w:r>
        <w:rPr>
          <w:rFonts w:hint="eastAsia" w:ascii="宋体" w:hAnsi="宋体" w:eastAsia="宋体" w:cs="宋体"/>
          <w:b w:val="0"/>
          <w:bCs w:val="0"/>
          <w:color w:val="auto"/>
          <w:sz w:val="24"/>
          <w:szCs w:val="24"/>
          <w:highlight w:val="none"/>
        </w:rPr>
        <w:t>的要求。该装置须具备针对诸如救护车、新能源车等重型出租汽车的检定能力</w:t>
      </w:r>
      <w:bookmarkEnd w:id="11"/>
      <w:r>
        <w:rPr>
          <w:rFonts w:hint="eastAsia" w:ascii="宋体" w:hAnsi="宋体" w:eastAsia="宋体" w:cs="宋体"/>
          <w:b w:val="0"/>
          <w:bCs w:val="0"/>
          <w:color w:val="auto"/>
          <w:sz w:val="24"/>
          <w:szCs w:val="24"/>
          <w:highlight w:val="none"/>
        </w:rPr>
        <w:t>，</w:t>
      </w:r>
      <w:r>
        <w:rPr>
          <w:rFonts w:hint="eastAsia" w:ascii="宋体" w:hAnsi="宋体" w:eastAsia="宋体" w:cs="宋体"/>
          <w:color w:val="auto"/>
          <w:sz w:val="24"/>
          <w:szCs w:val="24"/>
          <w:highlight w:val="none"/>
          <w:lang w:val="en-US" w:eastAsia="zh-CN"/>
        </w:rPr>
        <w:t>有</w:t>
      </w:r>
      <w:bookmarkStart w:id="12" w:name="OLE_LINK38"/>
      <w:r>
        <w:rPr>
          <w:rFonts w:hint="eastAsia" w:ascii="宋体" w:hAnsi="宋体" w:eastAsia="宋体" w:cs="宋体"/>
          <w:color w:val="auto"/>
          <w:sz w:val="24"/>
          <w:szCs w:val="24"/>
          <w:highlight w:val="none"/>
          <w:lang w:val="en-US" w:eastAsia="zh-CN"/>
        </w:rPr>
        <w:t>具有法定资质的省级及以上法定计量检定机构（或依法授权的计量技术机构）</w:t>
      </w:r>
      <w:bookmarkEnd w:id="12"/>
      <w:r>
        <w:rPr>
          <w:rFonts w:hint="eastAsia" w:ascii="宋体" w:hAnsi="宋体" w:eastAsia="宋体" w:cs="宋体"/>
          <w:color w:val="auto"/>
          <w:sz w:val="24"/>
          <w:szCs w:val="24"/>
          <w:highlight w:val="none"/>
          <w:lang w:val="en-US" w:eastAsia="zh-CN"/>
        </w:rPr>
        <w:t>出具的计量检定证书，满足国家计量检定系统量值传递要求，满足社会公用计量标准的建标要求（依据JJF 1033-2023《计量标准考核规范》）。</w:t>
      </w:r>
    </w:p>
    <w:p w14:paraId="1802B42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bookmarkStart w:id="13" w:name="OLE_LINK20"/>
      <w:bookmarkStart w:id="14" w:name="OLE_LINK21"/>
      <w:r>
        <w:rPr>
          <w:rFonts w:hint="eastAsia" w:ascii="宋体" w:hAnsi="宋体" w:eastAsia="宋体" w:cs="宋体"/>
          <w:b w:val="0"/>
          <w:bCs w:val="0"/>
          <w:color w:val="auto"/>
          <w:sz w:val="24"/>
          <w:szCs w:val="24"/>
          <w:highlight w:val="none"/>
        </w:rPr>
        <w:t>★</w:t>
      </w:r>
      <w:bookmarkEnd w:id="13"/>
      <w:bookmarkEnd w:id="14"/>
      <w:r>
        <w:rPr>
          <w:rFonts w:hint="eastAsia" w:ascii="宋体" w:hAnsi="宋体" w:eastAsia="宋体" w:cs="宋体"/>
          <w:b w:val="0"/>
          <w:bCs w:val="0"/>
          <w:color w:val="auto"/>
          <w:sz w:val="24"/>
          <w:szCs w:val="24"/>
          <w:highlight w:val="none"/>
        </w:rPr>
        <w:t>1.2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装置基本参数要求</w:t>
      </w:r>
    </w:p>
    <w:p w14:paraId="7CB2655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1.2.1.</w:t>
      </w:r>
      <w:r>
        <w:rPr>
          <w:rFonts w:hint="eastAsia" w:ascii="宋体" w:hAnsi="宋体" w:eastAsia="宋体" w:cs="宋体"/>
          <w:b w:val="0"/>
          <w:bCs w:val="0"/>
          <w:color w:val="auto"/>
          <w:sz w:val="24"/>
          <w:szCs w:val="24"/>
          <w:highlight w:val="none"/>
        </w:rPr>
        <w:t>主滚轮周长：1000mm，MPE：±0.2%；</w:t>
      </w:r>
    </w:p>
    <w:p w14:paraId="62E7417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1.2.2.</w:t>
      </w:r>
      <w:r>
        <w:rPr>
          <w:rFonts w:hint="eastAsia" w:ascii="宋体" w:hAnsi="宋体" w:eastAsia="宋体" w:cs="宋体"/>
          <w:b w:val="0"/>
          <w:bCs w:val="0"/>
          <w:color w:val="auto"/>
          <w:sz w:val="24"/>
          <w:szCs w:val="24"/>
          <w:highlight w:val="none"/>
        </w:rPr>
        <w:t>计数器计数范围：（0～9999）r，MPE：±（读数*0.1%）±1r；</w:t>
      </w:r>
    </w:p>
    <w:p w14:paraId="5CC6E07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1.2.3.</w:t>
      </w:r>
      <w:r>
        <w:rPr>
          <w:rFonts w:hint="eastAsia" w:ascii="宋体" w:hAnsi="宋体" w:eastAsia="宋体" w:cs="宋体"/>
          <w:b w:val="0"/>
          <w:bCs w:val="0"/>
          <w:color w:val="auto"/>
          <w:sz w:val="24"/>
          <w:szCs w:val="24"/>
          <w:highlight w:val="none"/>
        </w:rPr>
        <w:t>正常检定时速度：40或60km/h。MPE：±3km/h（在60km/h时）；</w:t>
      </w:r>
    </w:p>
    <w:p w14:paraId="549E59E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1.2.4.</w:t>
      </w:r>
      <w:r>
        <w:rPr>
          <w:rFonts w:hint="eastAsia" w:ascii="宋体" w:hAnsi="宋体" w:eastAsia="宋体" w:cs="宋体"/>
          <w:b w:val="0"/>
          <w:bCs w:val="0"/>
          <w:color w:val="auto"/>
          <w:sz w:val="24"/>
          <w:szCs w:val="24"/>
          <w:highlight w:val="none"/>
        </w:rPr>
        <w:t>噪音：空转≤75dB、重载≤85dB。</w:t>
      </w:r>
    </w:p>
    <w:p w14:paraId="59EC960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1.2.5.</w:t>
      </w:r>
      <w:r>
        <w:rPr>
          <w:rFonts w:hint="eastAsia" w:ascii="宋体" w:hAnsi="宋体" w:eastAsia="宋体" w:cs="宋体"/>
          <w:b w:val="0"/>
          <w:bCs w:val="0"/>
          <w:color w:val="auto"/>
          <w:sz w:val="24"/>
          <w:szCs w:val="24"/>
          <w:highlight w:val="none"/>
        </w:rPr>
        <w:t>主滚轮带动出租汽车驱动轮转动。</w:t>
      </w:r>
    </w:p>
    <w:p w14:paraId="652904C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技术指标要求：</w:t>
      </w:r>
    </w:p>
    <w:p w14:paraId="44405F6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2.1.</w:t>
      </w:r>
      <w:r>
        <w:rPr>
          <w:rFonts w:hint="eastAsia" w:ascii="宋体" w:hAnsi="宋体" w:eastAsia="宋体" w:cs="宋体"/>
          <w:b w:val="0"/>
          <w:bCs w:val="0"/>
          <w:color w:val="auto"/>
          <w:sz w:val="24"/>
          <w:szCs w:val="24"/>
          <w:highlight w:val="none"/>
        </w:rPr>
        <w:t>装置总宽度不得小于3000mm，有效检测轮距宽度为950</w:t>
      </w:r>
      <w:bookmarkStart w:id="15" w:name="OLE_LINK7"/>
      <w:bookmarkStart w:id="16" w:name="OLE_LINK8"/>
      <w:r>
        <w:rPr>
          <w:rFonts w:hint="eastAsia" w:ascii="宋体" w:hAnsi="宋体" w:eastAsia="宋体" w:cs="宋体"/>
          <w:b w:val="0"/>
          <w:bCs w:val="0"/>
          <w:color w:val="auto"/>
          <w:sz w:val="24"/>
          <w:szCs w:val="24"/>
          <w:highlight w:val="none"/>
        </w:rPr>
        <w:t>～2500mm</w:t>
      </w:r>
      <w:bookmarkEnd w:id="15"/>
      <w:bookmarkEnd w:id="16"/>
      <w:r>
        <w:rPr>
          <w:rFonts w:hint="eastAsia" w:ascii="宋体" w:hAnsi="宋体" w:eastAsia="宋体" w:cs="宋体"/>
          <w:b w:val="0"/>
          <w:bCs w:val="0"/>
          <w:color w:val="auto"/>
          <w:sz w:val="24"/>
          <w:szCs w:val="24"/>
          <w:highlight w:val="none"/>
        </w:rPr>
        <w:t>，轴距范围2500～3800mm。</w:t>
      </w:r>
    </w:p>
    <w:p w14:paraId="7498209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2.2.</w:t>
      </w:r>
      <w:r>
        <w:rPr>
          <w:rFonts w:hint="eastAsia" w:ascii="宋体" w:hAnsi="宋体" w:eastAsia="宋体" w:cs="宋体"/>
          <w:b w:val="0"/>
          <w:bCs w:val="0"/>
          <w:color w:val="auto"/>
          <w:sz w:val="24"/>
          <w:szCs w:val="24"/>
          <w:highlight w:val="none"/>
        </w:rPr>
        <w:t>装置框架须采用整体式钢板结构；</w:t>
      </w:r>
    </w:p>
    <w:p w14:paraId="0B2759F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w:t>
      </w:r>
      <w:r>
        <w:rPr>
          <w:rFonts w:hint="eastAsia" w:ascii="宋体" w:hAnsi="宋体" w:eastAsia="宋体" w:cs="宋体"/>
          <w:color w:val="auto"/>
          <w:sz w:val="24"/>
          <w:szCs w:val="24"/>
          <w:highlight w:val="none"/>
          <w:lang w:val="en-US" w:eastAsia="zh-CN"/>
        </w:rPr>
        <w:t>装置须采用内置电机驱动主滚轮，电机和变频器的功率不得低于15kW，可无级调速；须采用高速轴承，保证驱动平稳、可靠、低噪声。</w:t>
      </w:r>
    </w:p>
    <w:p w14:paraId="7FB2034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2.4.</w:t>
      </w:r>
      <w:r>
        <w:rPr>
          <w:rFonts w:hint="eastAsia" w:ascii="宋体" w:hAnsi="宋体" w:eastAsia="宋体" w:cs="宋体"/>
          <w:b w:val="0"/>
          <w:bCs w:val="0"/>
          <w:color w:val="auto"/>
          <w:sz w:val="24"/>
          <w:szCs w:val="24"/>
          <w:highlight w:val="none"/>
        </w:rPr>
        <w:t>所有滚轮应采用耐磨、耐腐蚀材质制作，表面经硬化或防腐处理，满足动平衡校正要求，确保运行平稳及使用寿命。</w:t>
      </w:r>
    </w:p>
    <w:p w14:paraId="1EF7D78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★2.5.装置须具备可靠、灵敏的自动刹车功能，在检定异常或紧急状态下能快速、安全制动，保障被检车辆及人员安全。</w:t>
      </w:r>
      <w:bookmarkStart w:id="17" w:name="OLE_LINK28"/>
      <w:bookmarkStart w:id="18" w:name="OLE_LINK27"/>
    </w:p>
    <w:p w14:paraId="4160A61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2.6.检定装置须装备具有防侧滑限位保护及升降功能的整体式平台，适应不同轴距、轮距的被检车辆；检定结束后防侧滑装置自动张开、起落装置自动顶起，方便车辆驶出；防侧滑装置夹紧距离和起落装置起落高度可自行设定。</w:t>
      </w:r>
      <w:bookmarkEnd w:id="17"/>
      <w:bookmarkEnd w:id="18"/>
    </w:p>
    <w:p w14:paraId="33D113B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2.7.</w:t>
      </w:r>
      <w:r>
        <w:rPr>
          <w:rFonts w:hint="eastAsia" w:ascii="宋体" w:hAnsi="宋体" w:eastAsia="宋体" w:cs="宋体"/>
          <w:b w:val="0"/>
          <w:bCs w:val="0"/>
          <w:color w:val="auto"/>
          <w:sz w:val="24"/>
          <w:szCs w:val="24"/>
          <w:highlight w:val="none"/>
        </w:rPr>
        <w:t>装置具有自动注油系统，定时定量给运动部位注润滑油。</w:t>
      </w:r>
    </w:p>
    <w:p w14:paraId="76EEB01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2.8.</w:t>
      </w:r>
      <w:r>
        <w:rPr>
          <w:rFonts w:hint="eastAsia" w:ascii="宋体" w:hAnsi="宋体" w:eastAsia="宋体" w:cs="宋体"/>
          <w:b w:val="0"/>
          <w:bCs w:val="0"/>
          <w:color w:val="auto"/>
          <w:sz w:val="24"/>
          <w:szCs w:val="24"/>
          <w:highlight w:val="none"/>
        </w:rPr>
        <w:t>装置驱动及制动系统可采用电动、气动或液压等成熟可靠技术，并满足相应的性能与安全指标要求。</w:t>
      </w:r>
    </w:p>
    <w:p w14:paraId="3DE572C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bookmarkStart w:id="19" w:name="OLE_LINK22"/>
      <w:bookmarkStart w:id="20" w:name="OLE_LINK23"/>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2.9.</w:t>
      </w:r>
      <w:r>
        <w:rPr>
          <w:rFonts w:hint="eastAsia" w:ascii="宋体" w:hAnsi="宋体" w:eastAsia="宋体" w:cs="宋体"/>
          <w:b w:val="0"/>
          <w:bCs w:val="0"/>
          <w:color w:val="auto"/>
          <w:sz w:val="24"/>
          <w:szCs w:val="24"/>
          <w:highlight w:val="none"/>
        </w:rPr>
        <w:t>装置须配备一台具有测量、采集、显示、传输、计算、调速功能的多功能测控系统。</w:t>
      </w:r>
    </w:p>
    <w:bookmarkEnd w:id="19"/>
    <w:bookmarkEnd w:id="20"/>
    <w:p w14:paraId="0EAC4C7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2.10.</w:t>
      </w:r>
      <w:r>
        <w:rPr>
          <w:rFonts w:hint="eastAsia" w:ascii="宋体" w:hAnsi="宋体" w:eastAsia="宋体" w:cs="宋体"/>
          <w:b w:val="0"/>
          <w:bCs w:val="0"/>
          <w:color w:val="auto"/>
          <w:sz w:val="24"/>
          <w:szCs w:val="24"/>
          <w:highlight w:val="none"/>
        </w:rPr>
        <w:t>须有车号自动摄入识别系统，可自动识别新能源和燃油车的绿牌/蓝牌等车牌号并将信息显示在LED屏幕上。</w:t>
      </w:r>
    </w:p>
    <w:p w14:paraId="02FDFB6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2.11.</w:t>
      </w:r>
      <w:r>
        <w:rPr>
          <w:rFonts w:hint="eastAsia" w:ascii="宋体" w:hAnsi="宋体" w:eastAsia="宋体" w:cs="宋体"/>
          <w:b w:val="0"/>
          <w:bCs w:val="0"/>
          <w:color w:val="auto"/>
          <w:sz w:val="24"/>
          <w:szCs w:val="24"/>
          <w:highlight w:val="none"/>
        </w:rPr>
        <w:t>装置须配一块LED点阵显示屏，用来实时显示相关提示和指令，被检车辆信息、检定状态、检定结果，增强检定透明度。</w:t>
      </w:r>
    </w:p>
    <w:p w14:paraId="4DDC4F2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2.12.</w:t>
      </w:r>
      <w:r>
        <w:rPr>
          <w:rFonts w:hint="eastAsia" w:ascii="宋体" w:hAnsi="宋体" w:eastAsia="宋体" w:cs="宋体"/>
          <w:b w:val="0"/>
          <w:bCs w:val="0"/>
          <w:color w:val="auto"/>
          <w:sz w:val="24"/>
          <w:szCs w:val="24"/>
          <w:highlight w:val="none"/>
        </w:rPr>
        <w:t>检定装置须配备手持智能检测终端，可无线操控整个检定流程，液晶显示，双向通讯，有二维码识别功能，用于录入车辆信息及铅封号。</w:t>
      </w:r>
    </w:p>
    <w:p w14:paraId="0893931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13.</w:t>
      </w:r>
      <w:r>
        <w:rPr>
          <w:rFonts w:hint="eastAsia" w:ascii="宋体" w:hAnsi="宋体" w:eastAsia="宋体" w:cs="宋体"/>
          <w:color w:val="auto"/>
          <w:sz w:val="24"/>
          <w:szCs w:val="24"/>
          <w:highlight w:val="none"/>
          <w:lang w:val="en-US" w:eastAsia="zh-CN"/>
        </w:rPr>
        <w:t>电脑及显示器1套：CPU主频不低于3.0GHz、双核及以上（CPU及操作系统须符合安全可靠测评要求），内存不低于8G，固态硬盘不低于512G，27寸显示器；激光打印机一台</w:t>
      </w:r>
    </w:p>
    <w:p w14:paraId="074C095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3.软件部分技术要求</w:t>
      </w:r>
    </w:p>
    <w:p w14:paraId="0B0FA7A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3.1.</w:t>
      </w:r>
      <w:r>
        <w:rPr>
          <w:rFonts w:hint="eastAsia" w:ascii="宋体" w:hAnsi="宋体" w:eastAsia="宋体" w:cs="宋体"/>
          <w:b w:val="0"/>
          <w:bCs w:val="0"/>
          <w:color w:val="auto"/>
          <w:sz w:val="24"/>
          <w:szCs w:val="24"/>
          <w:highlight w:val="none"/>
        </w:rPr>
        <w:t>设置、修改、注销人员（如检定员、管理员）的工号、姓名、权限、数字签名、密码；</w:t>
      </w:r>
    </w:p>
    <w:p w14:paraId="72A0537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3.2.</w:t>
      </w:r>
      <w:r>
        <w:rPr>
          <w:rFonts w:hint="eastAsia" w:ascii="宋体" w:hAnsi="宋体" w:eastAsia="宋体" w:cs="宋体"/>
          <w:b w:val="0"/>
          <w:bCs w:val="0"/>
          <w:color w:val="auto"/>
          <w:sz w:val="24"/>
          <w:szCs w:val="24"/>
          <w:highlight w:val="none"/>
        </w:rPr>
        <w:t>基本数据设置，包括：出租车公司及个体户信息、车型信息、计价器信息等各项参数；</w:t>
      </w:r>
    </w:p>
    <w:p w14:paraId="0BAFD2B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3.3.</w:t>
      </w:r>
      <w:r>
        <w:rPr>
          <w:rFonts w:hint="eastAsia" w:ascii="宋体" w:hAnsi="宋体" w:eastAsia="宋体" w:cs="宋体"/>
          <w:b w:val="0"/>
          <w:bCs w:val="0"/>
          <w:color w:val="auto"/>
          <w:sz w:val="24"/>
          <w:szCs w:val="24"/>
          <w:highlight w:val="none"/>
        </w:rPr>
        <w:t>系统参数设置，如设置通信端口、变频器的频率、加速度以及基本检定信息（检定依据、标准器型号、标准器器号、有效期间隔）；</w:t>
      </w:r>
    </w:p>
    <w:p w14:paraId="73340E3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3.4.</w:t>
      </w:r>
      <w:r>
        <w:rPr>
          <w:rFonts w:hint="eastAsia" w:ascii="宋体" w:hAnsi="宋体" w:eastAsia="宋体" w:cs="宋体"/>
          <w:b w:val="0"/>
          <w:bCs w:val="0"/>
          <w:color w:val="auto"/>
          <w:sz w:val="24"/>
          <w:szCs w:val="24"/>
          <w:highlight w:val="none"/>
        </w:rPr>
        <w:t>数据库维护，如数据库整理、数据库备份和还原；</w:t>
      </w:r>
    </w:p>
    <w:p w14:paraId="2F11923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3.5.</w:t>
      </w:r>
      <w:r>
        <w:rPr>
          <w:rFonts w:hint="eastAsia" w:ascii="宋体" w:hAnsi="宋体" w:eastAsia="宋体" w:cs="宋体"/>
          <w:b w:val="0"/>
          <w:bCs w:val="0"/>
          <w:color w:val="auto"/>
          <w:sz w:val="24"/>
          <w:szCs w:val="24"/>
          <w:highlight w:val="none"/>
        </w:rPr>
        <w:t>检定数据的统计、周检计划、车辆信息统计及计价器信息统计等；</w:t>
      </w:r>
    </w:p>
    <w:p w14:paraId="50224F9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3.6.</w:t>
      </w:r>
      <w:r>
        <w:rPr>
          <w:rFonts w:hint="eastAsia" w:ascii="宋体" w:hAnsi="宋体" w:eastAsia="宋体" w:cs="宋体"/>
          <w:b w:val="0"/>
          <w:bCs w:val="0"/>
          <w:color w:val="auto"/>
          <w:sz w:val="24"/>
          <w:szCs w:val="24"/>
          <w:highlight w:val="none"/>
        </w:rPr>
        <w:t>能自动数据处理、判断检测结果、交换数据、打印检定证书。</w:t>
      </w:r>
    </w:p>
    <w:p w14:paraId="4F5371D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3.7.</w:t>
      </w:r>
      <w:r>
        <w:rPr>
          <w:rFonts w:hint="eastAsia" w:ascii="宋体" w:hAnsi="宋体" w:eastAsia="宋体" w:cs="宋体"/>
          <w:b w:val="0"/>
          <w:bCs w:val="0"/>
          <w:color w:val="auto"/>
          <w:sz w:val="24"/>
          <w:szCs w:val="24"/>
          <w:highlight w:val="none"/>
        </w:rPr>
        <w:t>检定软件可自动计算结果、生成并打印原始记录和检定证书，能与管理系统联网。</w:t>
      </w:r>
    </w:p>
    <w:p w14:paraId="75EC952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bookmarkStart w:id="21" w:name="OLE_LINK16"/>
      <w:bookmarkStart w:id="22" w:name="OLE_LINK15"/>
      <w:r>
        <w:rPr>
          <w:rFonts w:hint="eastAsia" w:ascii="宋体" w:hAnsi="宋体" w:eastAsia="宋体" w:cs="宋体"/>
          <w:b w:val="0"/>
          <w:bCs w:val="0"/>
          <w:color w:val="auto"/>
          <w:sz w:val="24"/>
          <w:szCs w:val="24"/>
          <w:highlight w:val="none"/>
        </w:rPr>
        <w:t>▲</w:t>
      </w:r>
      <w:bookmarkEnd w:id="21"/>
      <w:bookmarkEnd w:id="22"/>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8.</w:t>
      </w:r>
      <w:r>
        <w:rPr>
          <w:rFonts w:hint="eastAsia" w:ascii="宋体" w:hAnsi="宋体" w:eastAsia="宋体" w:cs="宋体"/>
          <w:color w:val="auto"/>
          <w:sz w:val="24"/>
          <w:szCs w:val="24"/>
          <w:highlight w:val="none"/>
          <w:lang w:val="en-US" w:eastAsia="zh-CN"/>
        </w:rPr>
        <w:t>整车检测系统软件应与采购人现有业务管理系统实现数据对接，实现检定数据联网共享功能；投标人须在投标文件中提供对接技术方案（包括数据库类型、通信协议、接口方式、数据字段等），并承诺配合采购人完成系统联调。</w:t>
      </w:r>
    </w:p>
    <w:p w14:paraId="0521B6EE">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（二）质量比较仪</w:t>
      </w:r>
    </w:p>
    <w:p w14:paraId="43EB6B3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功能要求：</w:t>
      </w:r>
    </w:p>
    <w:p w14:paraId="7217A4E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标配⽓候模块，记录监测温度、湿度、压⼒、空⽓密度等环境参数，并能实时显⽰在⽐较仪的屏幕上；</w:t>
      </w:r>
    </w:p>
    <w:p w14:paraId="1F51853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⽓候模块的温度传感器可读性：0.01°C，湿度传感器可读性：0.1%RH，⽓压传感器可读性：0.01hPa；</w:t>
      </w:r>
    </w:p>
    <w:p w14:paraId="2D11365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⽐较仪对称重传感器采取了磁屏蔽，避免低等级砝码⾃⾝所带磁性对称重传感器的影响，提⾼结果准确性。</w:t>
      </w:r>
    </w:p>
    <w:p w14:paraId="568F04E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技术指标要求：</w:t>
      </w:r>
    </w:p>
    <w:p w14:paraId="08E00A0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称重范围：≥300kg</w:t>
      </w:r>
    </w:p>
    <w:p w14:paraId="209C229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可读性：≤0.02g</w:t>
      </w:r>
    </w:p>
    <w:p w14:paraId="228A945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重复性：≤0.20g</w:t>
      </w:r>
    </w:p>
    <w:p w14:paraId="6F6C7FA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典型重复性：≤0.08g</w:t>
      </w:r>
    </w:p>
    <w:p w14:paraId="6791988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线性：4g</w:t>
      </w:r>
    </w:p>
    <w:p w14:paraId="48BFF16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稳定时间：10S</w:t>
      </w:r>
    </w:p>
    <w:p w14:paraId="78D0D3E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应用范围：F2等级：100-200kg，M1等级：50-200kg，M2等级：10-200kg，M3等级：5-200kg</w:t>
      </w:r>
    </w:p>
    <w:p w14:paraId="29C96805">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（三）标准砝码组-1t</w:t>
      </w:r>
    </w:p>
    <w:p w14:paraId="3B79B91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数量：1套（18块）</w:t>
      </w:r>
    </w:p>
    <w:p w14:paraId="6F9D674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技术指标要求：</w:t>
      </w:r>
    </w:p>
    <w:p w14:paraId="14C9610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1.规格1000kg，等级：M1；</w:t>
      </w:r>
    </w:p>
    <w:p w14:paraId="3C7B73D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2.材质：碳钢；</w:t>
      </w:r>
    </w:p>
    <w:p w14:paraId="6F123AE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3.形状：方形；可叉可吊；尺寸：≤长560mm宽600mm高470mm；尺寸的最大允许误差为±10mm</w:t>
      </w:r>
    </w:p>
    <w:p w14:paraId="0666C81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4.生产工艺：外壳、调整腔体使用≥8mm，碳钢无缝焊接；内部使用全新料整块碳钢板（不得使用零碎料）填充；所有钢板采用等离子切割保证所有板材的平整度及砝码拼接精度；采用机器人焊接保证密封性、耐撞击；</w:t>
      </w:r>
    </w:p>
    <w:p w14:paraId="78F8230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5.砝码端面表面镌刻凹字铭牌信息；</w:t>
      </w:r>
    </w:p>
    <w:p w14:paraId="3DF9A82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▲6.砝码调整腔为304不锈钢螺丝及调整套，调整腔密封盖板具有密封圈，确保砝码不进水，且终身可调节质量值；砝码质量误差：5g±1g，且所有砝码无负值，首次调整物不超过3kg；</w:t>
      </w:r>
    </w:p>
    <w:p w14:paraId="2E4FDA0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.砝码质量稳定性：在12个月内砝码的质量应满足JJG99-2022《砝码》规程对M1等级的砝码要求</w:t>
      </w:r>
    </w:p>
    <w:p w14:paraId="6E82E497">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（四）标准砝码组-20kg</w:t>
      </w:r>
    </w:p>
    <w:p w14:paraId="2875652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数量：1套（100块）</w:t>
      </w:r>
    </w:p>
    <w:p w14:paraId="21523C2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技术指标要求：</w:t>
      </w:r>
    </w:p>
    <w:p w14:paraId="7307DDD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1.型号：20kg，等级:M1等级，</w:t>
      </w:r>
    </w:p>
    <w:p w14:paraId="470DE21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sz w:val="24"/>
          <w:szCs w:val="24"/>
          <w:highlight w:val="none"/>
          <w:lang w:val="en-US" w:eastAsia="zh-CN"/>
        </w:rPr>
        <w:t>2.材质：整块304不锈钢材质，不允许焊接</w:t>
      </w:r>
    </w:p>
    <w:p w14:paraId="4A3CBA8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3.密度≥7.9g/cm³</w:t>
      </w:r>
    </w:p>
    <w:p w14:paraId="6DC6FAD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4.形状：六面体（锁型）；外形尺寸≤226mm×118mm×128mm；</w:t>
      </w:r>
    </w:p>
    <w:p w14:paraId="3714902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5.表面处理：拉丝，表面粗糙度Ra不大于1μm、Rz不大于5μm，刻有等级、规格及唯一的编号（打印单位名称、等级、规格、唯一的器号、厂商LOGO）；</w:t>
      </w:r>
    </w:p>
    <w:p w14:paraId="5D7916B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▲6.修正值：符合计量检定规程JJG99-2022《砝码》最大允许误差，无负值。</w:t>
      </w:r>
    </w:p>
    <w:p w14:paraId="0E84273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sz w:val="24"/>
          <w:szCs w:val="24"/>
          <w:highlight w:val="none"/>
          <w:lang w:val="en-US" w:eastAsia="zh-CN"/>
        </w:rPr>
        <w:t>7.砝码质量稳定性：在12个月内砝码的质量应满足JJG99-2022《砝码》规程对M1等级的砝码要求</w:t>
      </w:r>
    </w:p>
    <w:p w14:paraId="52FF7B10">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（五）实施及维修要求：</w:t>
      </w:r>
    </w:p>
    <w:p w14:paraId="67D83CE3">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总体</w:t>
      </w:r>
      <w:r>
        <w:rPr>
          <w:rFonts w:hint="eastAsia" w:ascii="宋体" w:hAnsi="宋体" w:eastAsia="宋体" w:cs="宋体"/>
          <w:color w:val="auto"/>
          <w:sz w:val="24"/>
          <w:szCs w:val="24"/>
          <w:highlight w:val="none"/>
          <w:lang w:val="en-US" w:eastAsia="zh-CN"/>
        </w:rPr>
        <w:t>实施</w:t>
      </w:r>
      <w:r>
        <w:rPr>
          <w:rFonts w:ascii="宋体" w:hAnsi="宋体" w:eastAsia="宋体" w:cs="宋体"/>
          <w:color w:val="auto"/>
          <w:sz w:val="24"/>
          <w:szCs w:val="24"/>
          <w:highlight w:val="none"/>
        </w:rPr>
        <w:t>要求：供应商负责本项目全部设备的供货、运输就位、安装调试、系统对接、检定校准、现场培训、质保售后等全部工作，设备及软件须符合国家相关计量规程规范，满足社会公用计量标准建标使用要求。</w:t>
      </w:r>
    </w:p>
    <w:p w14:paraId="7047A19F">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安装调试要求：完成设备现场安装、整机调试及软件部署；完成与采购人现有业务管理系统数据对接，实现检定数据联网共享，相关费用由供应商承担，直至对接调试正常。</w:t>
      </w:r>
    </w:p>
    <w:p w14:paraId="1ED60CB0">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3.交货期：合同签订生效后2个月，交货时应有具有法定资质的省级及以上法定计量检定机构（或依法授权的计量技术机构）出具的检定/校准证书，且证书数据须符合本招标文件要求。</w:t>
      </w:r>
    </w:p>
    <w:p w14:paraId="3133D9A4">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质保及维修要求：质保期自项目验收合格之日起计算：质量比较仪质保 2 年；1t、20kg 标准砝码组质保 3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p>
    <w:p w14:paraId="2B3F3F70">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5.培训要求：</w:t>
      </w:r>
      <w:r>
        <w:rPr>
          <w:rFonts w:ascii="宋体" w:hAnsi="宋体" w:eastAsia="宋体" w:cs="宋体"/>
          <w:color w:val="auto"/>
          <w:sz w:val="24"/>
          <w:szCs w:val="24"/>
          <w:highlight w:val="none"/>
        </w:rPr>
        <w:t>安装调试完成后开展现场培训</w:t>
      </w:r>
      <w:r>
        <w:rPr>
          <w:rFonts w:hint="eastAsia" w:ascii="宋体" w:hAnsi="宋体" w:eastAsia="宋体" w:cs="宋体"/>
          <w:color w:val="auto"/>
          <w:sz w:val="24"/>
          <w:szCs w:val="24"/>
          <w:highlight w:val="none"/>
          <w:lang w:val="en-US" w:eastAsia="zh-CN"/>
        </w:rPr>
        <w:t>，培训讲师需具有工程师及以上职称，保证参训人员熟练掌握设备使用方法，且具有一定故障和紧急情况处理能力。</w:t>
      </w:r>
      <w:bookmarkEnd w:id="9"/>
      <w:bookmarkEnd w:id="10"/>
    </w:p>
    <w:p w14:paraId="17DED24E">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验收要求：全部工作完成后由供应商申请验收，采购人对照采购需求逐项核查，证书、功能、指标全部合格后方可通过验收。</w:t>
      </w:r>
    </w:p>
    <w:p w14:paraId="6363580A">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（六）其他</w:t>
      </w:r>
    </w:p>
    <w:p w14:paraId="5D710A60">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1、本项目报价不得超过预算价（最高限价）。</w:t>
      </w:r>
    </w:p>
    <w:p w14:paraId="567A77F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2、工作中涉及的敏感资料、电子数据等相关信息，中标人应严格执行保密的相关规定，不得以任何方式向任何第三人披露、泄露或许可第三人使用，否则追究其相应法律责任。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b/>
          <w:bCs/>
          <w:color w:val="auto"/>
          <w:sz w:val="32"/>
          <w:szCs w:val="32"/>
          <w:highlight w:val="none"/>
        </w:rPr>
        <w:br w:type="page"/>
      </w:r>
    </w:p>
    <w:p w14:paraId="75A0E494">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2</w:t>
      </w:r>
      <w:r>
        <w:rPr>
          <w:rFonts w:hint="eastAsia" w:ascii="宋体" w:hAnsi="宋体" w:eastAsia="宋体" w:cs="宋体"/>
          <w:b/>
          <w:bCs/>
          <w:color w:val="auto"/>
          <w:sz w:val="32"/>
          <w:szCs w:val="32"/>
          <w:highlight w:val="none"/>
        </w:rPr>
        <w:t>：</w:t>
      </w:r>
    </w:p>
    <w:p w14:paraId="120D2587">
      <w:pPr>
        <w:pBdr>
          <w:top w:val="none" w:color="auto" w:sz="0" w:space="1"/>
          <w:left w:val="none" w:color="auto" w:sz="0" w:space="4"/>
          <w:bottom w:val="none" w:color="auto" w:sz="0" w:space="1"/>
          <w:right w:val="none" w:color="auto" w:sz="0" w:space="4"/>
        </w:pBdr>
        <w:spacing w:line="360" w:lineRule="auto"/>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一、项目概况</w:t>
      </w:r>
    </w:p>
    <w:p w14:paraId="664D8C2F">
      <w:pPr>
        <w:keepNext w:val="0"/>
        <w:keepLines w:val="0"/>
        <w:pageBreakBefore w:val="0"/>
        <w:numPr>
          <w:ilvl w:val="0"/>
          <w:numId w:val="0"/>
        </w:numPr>
        <w:kinsoku/>
        <w:wordWrap/>
        <w:overflowPunct/>
        <w:topLinePunct w:val="0"/>
        <w:bidi w:val="0"/>
        <w:spacing w:line="560" w:lineRule="exact"/>
        <w:ind w:firstLine="480" w:firstLineChars="200"/>
        <w:jc w:val="left"/>
        <w:textAlignment w:val="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本项目为</w:t>
      </w:r>
      <w:r>
        <w:rPr>
          <w:rFonts w:hint="eastAsia" w:ascii="宋体" w:hAnsi="宋体" w:eastAsia="宋体" w:cs="宋体"/>
          <w:color w:val="auto"/>
          <w:sz w:val="24"/>
          <w:szCs w:val="24"/>
          <w:highlight w:val="none"/>
        </w:rPr>
        <w:t>2026年计量检验检测设备更新</w:t>
      </w:r>
      <w:r>
        <w:rPr>
          <w:rFonts w:ascii="宋体" w:hAnsi="宋体" w:eastAsia="宋体" w:cs="宋体"/>
          <w:color w:val="auto"/>
          <w:sz w:val="24"/>
          <w:szCs w:val="24"/>
          <w:highlight w:val="none"/>
        </w:rPr>
        <w:t>，拟采</w:t>
      </w:r>
      <w:r>
        <w:rPr>
          <w:rFonts w:hint="eastAsia" w:ascii="宋体" w:hAnsi="宋体" w:eastAsia="宋体" w:cs="宋体"/>
          <w:color w:val="auto"/>
          <w:sz w:val="24"/>
          <w:szCs w:val="24"/>
          <w:highlight w:val="none"/>
        </w:rPr>
        <w:t>购便携式气体、粉尘、烟尘采样仪校验装置、</w:t>
      </w:r>
      <w:r>
        <w:rPr>
          <w:rFonts w:hint="default" w:ascii="宋体" w:hAnsi="宋体" w:eastAsia="宋体" w:cs="宋体"/>
          <w:color w:val="auto"/>
          <w:sz w:val="24"/>
          <w:szCs w:val="24"/>
          <w:highlight w:val="none"/>
        </w:rPr>
        <w:t>酸度计检定仪</w:t>
      </w:r>
      <w:r>
        <w:rPr>
          <w:rFonts w:hint="eastAsia" w:ascii="宋体" w:hAnsi="宋体" w:eastAsia="宋体" w:cs="宋体"/>
          <w:color w:val="auto"/>
          <w:sz w:val="24"/>
          <w:szCs w:val="24"/>
          <w:highlight w:val="none"/>
        </w:rPr>
        <w:t>、</w:t>
      </w:r>
      <w:r>
        <w:rPr>
          <w:rFonts w:hint="default" w:ascii="宋体" w:hAnsi="宋体" w:eastAsia="宋体" w:cs="宋体"/>
          <w:color w:val="auto"/>
          <w:sz w:val="24"/>
          <w:szCs w:val="24"/>
          <w:highlight w:val="none"/>
        </w:rPr>
        <w:t>智能数字压力校验仪</w:t>
      </w:r>
      <w:r>
        <w:rPr>
          <w:rFonts w:hint="eastAsia" w:ascii="宋体" w:hAnsi="宋体" w:eastAsia="宋体" w:cs="宋体"/>
          <w:color w:val="auto"/>
          <w:sz w:val="24"/>
          <w:szCs w:val="24"/>
          <w:highlight w:val="none"/>
          <w:lang w:eastAsia="zh-CN"/>
        </w:rPr>
        <w:t>、</w:t>
      </w:r>
      <w:r>
        <w:rPr>
          <w:rFonts w:hint="default" w:ascii="宋体" w:hAnsi="宋体" w:eastAsia="宋体" w:cs="宋体"/>
          <w:color w:val="auto"/>
          <w:sz w:val="24"/>
          <w:szCs w:val="24"/>
          <w:highlight w:val="none"/>
        </w:rPr>
        <w:t>活塞式压力计（含全自动）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数字压力计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过程校验仪，项</w:t>
      </w:r>
      <w:r>
        <w:rPr>
          <w:rFonts w:ascii="宋体" w:hAnsi="宋体" w:eastAsia="宋体" w:cs="宋体"/>
          <w:color w:val="auto"/>
          <w:sz w:val="24"/>
          <w:szCs w:val="24"/>
          <w:highlight w:val="none"/>
        </w:rPr>
        <w:t>目总预算11</w:t>
      </w:r>
      <w:r>
        <w:rPr>
          <w:rFonts w:hint="eastAsia" w:ascii="宋体" w:hAnsi="宋体" w:eastAsia="宋体" w:cs="宋体"/>
          <w:color w:val="auto"/>
          <w:sz w:val="24"/>
          <w:szCs w:val="24"/>
          <w:highlight w:val="none"/>
          <w:lang w:val="en-US" w:eastAsia="zh-CN"/>
        </w:rPr>
        <w:t>3</w:t>
      </w:r>
      <w:r>
        <w:rPr>
          <w:rFonts w:ascii="宋体" w:hAnsi="宋体" w:eastAsia="宋体" w:cs="宋体"/>
          <w:color w:val="auto"/>
          <w:sz w:val="24"/>
          <w:szCs w:val="24"/>
          <w:highlight w:val="none"/>
        </w:rPr>
        <w:t>万元</w:t>
      </w:r>
      <w:r>
        <w:rPr>
          <w:rFonts w:hint="eastAsia" w:ascii="宋体" w:hAnsi="宋体" w:eastAsia="宋体" w:cs="宋体"/>
          <w:color w:val="auto"/>
          <w:sz w:val="24"/>
          <w:szCs w:val="24"/>
          <w:highlight w:val="none"/>
        </w:rPr>
        <w:t>。</w:t>
      </w:r>
    </w:p>
    <w:p w14:paraId="06ED8CAF">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二、货物（标的）采购清单</w:t>
      </w:r>
      <w:r>
        <w:rPr>
          <w:rFonts w:hint="eastAsia" w:ascii="宋体" w:hAnsi="宋体" w:cs="宋体"/>
          <w:b/>
          <w:color w:val="auto"/>
          <w:sz w:val="28"/>
          <w:szCs w:val="28"/>
          <w:highlight w:val="none"/>
          <w:lang w:val="en-US" w:eastAsia="zh-CN"/>
        </w:rPr>
        <w:t>及</w:t>
      </w:r>
      <w:r>
        <w:rPr>
          <w:rFonts w:hint="eastAsia" w:ascii="宋体" w:hAnsi="宋体" w:eastAsia="宋体" w:cs="宋体"/>
          <w:b/>
          <w:color w:val="auto"/>
          <w:sz w:val="28"/>
          <w:szCs w:val="28"/>
          <w:highlight w:val="none"/>
        </w:rPr>
        <w:t>技术参数及功能指标</w:t>
      </w:r>
    </w:p>
    <w:tbl>
      <w:tblPr>
        <w:tblStyle w:val="37"/>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188"/>
        <w:gridCol w:w="846"/>
        <w:gridCol w:w="2504"/>
        <w:gridCol w:w="2017"/>
      </w:tblGrid>
      <w:tr w14:paraId="3DF87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4E4FC140">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序号</w:t>
            </w:r>
          </w:p>
        </w:tc>
        <w:tc>
          <w:tcPr>
            <w:tcW w:w="0" w:type="auto"/>
            <w:vAlign w:val="center"/>
          </w:tcPr>
          <w:p w14:paraId="1210CCE3">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设备名称</w:t>
            </w:r>
          </w:p>
        </w:tc>
        <w:tc>
          <w:tcPr>
            <w:tcW w:w="0" w:type="auto"/>
            <w:vAlign w:val="center"/>
          </w:tcPr>
          <w:p w14:paraId="31D863C6">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数量</w:t>
            </w:r>
          </w:p>
        </w:tc>
        <w:tc>
          <w:tcPr>
            <w:tcW w:w="0" w:type="auto"/>
            <w:vAlign w:val="center"/>
          </w:tcPr>
          <w:p w14:paraId="1FBB3B5B">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单位</w:t>
            </w:r>
          </w:p>
        </w:tc>
        <w:tc>
          <w:tcPr>
            <w:tcW w:w="2017" w:type="dxa"/>
            <w:vAlign w:val="center"/>
          </w:tcPr>
          <w:p w14:paraId="509CB876">
            <w:pPr>
              <w:widowControl/>
              <w:snapToGrid w:val="0"/>
              <w:ind w:left="0" w:leftChars="0" w:right="0" w:rightChars="0" w:firstLine="0" w:firstLineChars="0"/>
              <w:jc w:val="center"/>
              <w:textAlignment w:val="center"/>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分项最高限价（万元）</w:t>
            </w:r>
          </w:p>
        </w:tc>
      </w:tr>
      <w:tr w14:paraId="37535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A2B6F00">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1</w:t>
            </w:r>
          </w:p>
        </w:tc>
        <w:tc>
          <w:tcPr>
            <w:tcW w:w="0" w:type="auto"/>
            <w:vAlign w:val="center"/>
          </w:tcPr>
          <w:p w14:paraId="5351B0F6">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便携式气体、粉尘、烟尘采样仪校验装置</w:t>
            </w:r>
          </w:p>
        </w:tc>
        <w:tc>
          <w:tcPr>
            <w:tcW w:w="0" w:type="auto"/>
            <w:vAlign w:val="center"/>
          </w:tcPr>
          <w:p w14:paraId="03DAE073">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3A30FC14">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480FBB91">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w:t>
            </w:r>
          </w:p>
        </w:tc>
      </w:tr>
      <w:tr w14:paraId="53E71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154D6DE3">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0" w:type="auto"/>
            <w:vAlign w:val="center"/>
          </w:tcPr>
          <w:p w14:paraId="46200F4E">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酸度计检定仪</w:t>
            </w:r>
          </w:p>
        </w:tc>
        <w:tc>
          <w:tcPr>
            <w:tcW w:w="0" w:type="auto"/>
            <w:vAlign w:val="center"/>
          </w:tcPr>
          <w:p w14:paraId="03B5C869">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09B706FB">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317631AC">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w:t>
            </w:r>
          </w:p>
        </w:tc>
      </w:tr>
      <w:tr w14:paraId="34A49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C523D43">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0" w:type="auto"/>
            <w:vAlign w:val="center"/>
          </w:tcPr>
          <w:p w14:paraId="1259186A">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智能数字压力校验仪</w:t>
            </w:r>
          </w:p>
        </w:tc>
        <w:tc>
          <w:tcPr>
            <w:tcW w:w="0" w:type="auto"/>
            <w:vAlign w:val="center"/>
          </w:tcPr>
          <w:p w14:paraId="2D16FB64">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1</w:t>
            </w:r>
          </w:p>
        </w:tc>
        <w:tc>
          <w:tcPr>
            <w:tcW w:w="0" w:type="auto"/>
            <w:vAlign w:val="center"/>
          </w:tcPr>
          <w:p w14:paraId="5EF45898">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套</w:t>
            </w:r>
          </w:p>
        </w:tc>
        <w:tc>
          <w:tcPr>
            <w:tcW w:w="2017" w:type="dxa"/>
            <w:vAlign w:val="center"/>
          </w:tcPr>
          <w:p w14:paraId="5F06D5C8">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30</w:t>
            </w:r>
          </w:p>
        </w:tc>
      </w:tr>
      <w:tr w14:paraId="11D31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4F6D232C">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3188" w:type="dxa"/>
            <w:vAlign w:val="center"/>
          </w:tcPr>
          <w:p w14:paraId="6F49564A">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活塞式压力计（含全自动）</w:t>
            </w:r>
          </w:p>
        </w:tc>
        <w:tc>
          <w:tcPr>
            <w:tcW w:w="846" w:type="dxa"/>
            <w:vAlign w:val="center"/>
          </w:tcPr>
          <w:p w14:paraId="04F1026A">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7EF94BD1">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套</w:t>
            </w:r>
          </w:p>
        </w:tc>
        <w:tc>
          <w:tcPr>
            <w:tcW w:w="2017" w:type="dxa"/>
            <w:vAlign w:val="center"/>
          </w:tcPr>
          <w:p w14:paraId="60DF38F5">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30</w:t>
            </w:r>
          </w:p>
        </w:tc>
      </w:tr>
      <w:tr w14:paraId="14BB2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1F2FD1EA">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3188" w:type="dxa"/>
            <w:vAlign w:val="center"/>
          </w:tcPr>
          <w:p w14:paraId="3FC8B8D3">
            <w:pPr>
              <w:widowControl/>
              <w:snapToGrid w:val="0"/>
              <w:ind w:left="0" w:leftChars="0" w:right="0" w:rightChars="0" w:firstLine="0" w:firstLineChars="0"/>
              <w:jc w:val="left"/>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数字压力计</w:t>
            </w:r>
          </w:p>
        </w:tc>
        <w:tc>
          <w:tcPr>
            <w:tcW w:w="846" w:type="dxa"/>
            <w:vAlign w:val="center"/>
          </w:tcPr>
          <w:p w14:paraId="41E14937">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1</w:t>
            </w:r>
          </w:p>
        </w:tc>
        <w:tc>
          <w:tcPr>
            <w:tcW w:w="2504" w:type="dxa"/>
            <w:vAlign w:val="center"/>
          </w:tcPr>
          <w:p w14:paraId="48763C98">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套</w:t>
            </w:r>
          </w:p>
        </w:tc>
        <w:tc>
          <w:tcPr>
            <w:tcW w:w="2017" w:type="dxa"/>
            <w:vAlign w:val="center"/>
          </w:tcPr>
          <w:p w14:paraId="15E1597F">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34</w:t>
            </w:r>
          </w:p>
        </w:tc>
      </w:tr>
      <w:tr w14:paraId="6697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2F35FC16">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3188" w:type="dxa"/>
            <w:vAlign w:val="center"/>
          </w:tcPr>
          <w:p w14:paraId="5AF70CCF">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过程校验仪</w:t>
            </w:r>
          </w:p>
        </w:tc>
        <w:tc>
          <w:tcPr>
            <w:tcW w:w="846" w:type="dxa"/>
            <w:vAlign w:val="center"/>
          </w:tcPr>
          <w:p w14:paraId="7599966A">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437FFCC1">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套</w:t>
            </w:r>
          </w:p>
        </w:tc>
        <w:tc>
          <w:tcPr>
            <w:tcW w:w="2017" w:type="dxa"/>
            <w:vAlign w:val="center"/>
          </w:tcPr>
          <w:p w14:paraId="637A376A">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10</w:t>
            </w:r>
          </w:p>
        </w:tc>
      </w:tr>
    </w:tbl>
    <w:p w14:paraId="05C8E116">
      <w:pPr>
        <w:widowControl w:val="0"/>
        <w:numPr>
          <w:ilvl w:val="0"/>
          <w:numId w:val="0"/>
        </w:numPr>
        <w:pBdr>
          <w:top w:val="none" w:color="auto" w:sz="0" w:space="1"/>
          <w:left w:val="none" w:color="auto" w:sz="0" w:space="4"/>
          <w:bottom w:val="none" w:color="auto" w:sz="0" w:space="1"/>
          <w:right w:val="none" w:color="auto" w:sz="0" w:space="4"/>
        </w:pBdr>
        <w:spacing w:line="360" w:lineRule="auto"/>
        <w:ind w:firstLine="482" w:firstLineChars="200"/>
        <w:jc w:val="left"/>
        <w:rPr>
          <w:rFonts w:hint="eastAsia" w:ascii="宋体" w:hAnsi="宋体" w:eastAsia="宋体" w:cs="宋体"/>
          <w:b/>
          <w:bCs/>
          <w:color w:val="auto"/>
          <w:sz w:val="24"/>
          <w:szCs w:val="24"/>
          <w:highlight w:val="none"/>
          <w:lang w:val="en-US" w:eastAsia="zh-CN"/>
        </w:rPr>
      </w:pPr>
      <w:r>
        <w:rPr>
          <w:rFonts w:ascii="宋体" w:hAnsi="宋体" w:eastAsia="宋体" w:cs="宋体"/>
          <w:b/>
          <w:bCs/>
          <w:color w:val="auto"/>
          <w:sz w:val="24"/>
          <w:szCs w:val="24"/>
          <w:highlight w:val="none"/>
        </w:rPr>
        <w:t>★投标人填报的任意一项货物投标综合单价，超过对应分项单价最高限价的，否决投标。注：无单价限价的品目，不受本条单价约束。</w:t>
      </w:r>
    </w:p>
    <w:p w14:paraId="636E100E">
      <w:pPr>
        <w:pBdr>
          <w:top w:val="none" w:color="auto" w:sz="0" w:space="1"/>
          <w:left w:val="none" w:color="auto" w:sz="0" w:space="4"/>
          <w:bottom w:val="none" w:color="auto" w:sz="0" w:space="1"/>
          <w:right w:val="none" w:color="auto" w:sz="0" w:space="4"/>
        </w:pBdr>
        <w:spacing w:line="360" w:lineRule="auto"/>
        <w:ind w:firstLine="480" w:firstLineChars="200"/>
        <w:jc w:val="left"/>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本项目核心产品为：</w:t>
      </w:r>
      <w:r>
        <w:rPr>
          <w:rFonts w:hint="eastAsia" w:ascii="宋体" w:hAnsi="宋体" w:cs="宋体"/>
          <w:bCs/>
          <w:color w:val="auto"/>
          <w:kern w:val="2"/>
          <w:sz w:val="24"/>
          <w:szCs w:val="24"/>
          <w:highlight w:val="none"/>
          <w:u w:val="single"/>
          <w:lang w:val="en-US" w:eastAsia="zh-CN"/>
        </w:rPr>
        <w:t>活塞式压力计（含全自动）</w:t>
      </w:r>
      <w:r>
        <w:rPr>
          <w:rFonts w:hint="eastAsia" w:ascii="宋体" w:hAnsi="宋体" w:eastAsia="宋体"/>
          <w:b w:val="0"/>
          <w:bCs w:val="0"/>
          <w:color w:val="auto"/>
          <w:sz w:val="24"/>
          <w:szCs w:val="24"/>
          <w:highlight w:val="none"/>
        </w:rPr>
        <w:t>。</w:t>
      </w:r>
    </w:p>
    <w:p w14:paraId="324DCE4D">
      <w:pPr>
        <w:keepNext w:val="0"/>
        <w:keepLines w:val="0"/>
        <w:pageBreakBefore w:val="0"/>
        <w:numPr>
          <w:ilvl w:val="0"/>
          <w:numId w:val="0"/>
        </w:numPr>
        <w:kinsoku/>
        <w:wordWrap/>
        <w:overflowPunct/>
        <w:topLinePunct w:val="0"/>
        <w:bidi w:val="0"/>
        <w:spacing w:line="560" w:lineRule="exact"/>
        <w:ind w:firstLine="562" w:firstLineChars="200"/>
        <w:jc w:val="left"/>
        <w:textAlignment w:val="auto"/>
        <w:rPr>
          <w:rFonts w:hint="eastAsia" w:ascii="黑体" w:hAnsi="黑体" w:eastAsia="黑体" w:cs="黑体"/>
          <w:color w:val="auto"/>
          <w:sz w:val="32"/>
          <w:szCs w:val="32"/>
          <w:highlight w:val="none"/>
        </w:rPr>
      </w:pPr>
      <w:r>
        <w:rPr>
          <w:rFonts w:hint="eastAsia" w:ascii="宋体" w:hAnsi="宋体" w:eastAsia="宋体" w:cs="宋体"/>
          <w:b/>
          <w:color w:val="auto"/>
          <w:sz w:val="28"/>
          <w:szCs w:val="28"/>
          <w:highlight w:val="none"/>
          <w:lang w:val="en-US" w:eastAsia="zh-CN"/>
        </w:rPr>
        <w:t>（一）便携式气体、粉尘、烟尘采样仪校验装置</w:t>
      </w:r>
    </w:p>
    <w:p w14:paraId="33E7951B">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1.流量范围</w:t>
      </w:r>
    </w:p>
    <w:p w14:paraId="60AE6EBB">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流路段1：(10-2000)mL/min，分辨率0.1mL/min，最大允许偏差：准确度不超过±1%，重复性：≤0.5%，至少4路，各路独立使用。</w:t>
      </w:r>
    </w:p>
    <w:p w14:paraId="547CAF89">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流路段2：(2-230)L/min，分辨率0.01L/min，最大允许偏差：准确度不超过±1%，重复性：≤0.5%</w:t>
      </w:r>
    </w:p>
    <w:p w14:paraId="1B46B991">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流路段3：(200-1500)L/min(外置)，分辨率0.1L/min，最大允许偏差：准确度不超过±1%，重复性：≤0.5%</w:t>
      </w:r>
    </w:p>
    <w:p w14:paraId="0EB15D1F">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皂膜流量计(50-6000)mL/min(外置)，分辨率0.1L/min，最大允许偏差：准确度不超过±1%，重复性：≤0.5%</w:t>
      </w:r>
    </w:p>
    <w:p w14:paraId="4B823CCE">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▲2.设备内置≥7寸高清触摸屏，界面简洁直观，操作流程简化，上手门槛低；</w:t>
      </w:r>
    </w:p>
    <w:p w14:paraId="559DCD41">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▲3.内置动态烟温标定功能，支持PT100传感器，支持0℃-500℃任意温度点设定，灵活输出、准确便捷；</w:t>
      </w:r>
    </w:p>
    <w:p w14:paraId="3622DB21">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▲4.设备内置压力发生器，支持压力自动发生，无需手摇；</w:t>
      </w:r>
    </w:p>
    <w:p w14:paraId="691D67F7">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▲5.支持皂膜流量计外设扩展，可根据监测要求灵活升级测量配置；</w:t>
      </w:r>
    </w:p>
    <w:p w14:paraId="46254801">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6.支持OTA远程升级，降低维护成本；</w:t>
      </w:r>
    </w:p>
    <w:p w14:paraId="3BE437D5">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7.支持交直流两用供电，配备Type-C通用充电接口，大幅提高充电便捷性；</w:t>
      </w:r>
    </w:p>
    <w:p w14:paraId="66345900">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★满足JJG956-2013《大气采样器》检定规程、JJG943-2011《总悬浮颗粒物采样器》检定规程和JJG520-2005《粉尘采样器》检定规程要求。</w:t>
      </w:r>
    </w:p>
    <w:p w14:paraId="2BCBFA96">
      <w:pPr>
        <w:keepNext w:val="0"/>
        <w:keepLines w:val="0"/>
        <w:pageBreakBefore w:val="0"/>
        <w:kinsoku/>
        <w:wordWrap/>
        <w:overflowPunct/>
        <w:topLinePunct w:val="0"/>
        <w:bidi w:val="0"/>
        <w:snapToGrid/>
        <w:spacing w:after="0" w:line="560" w:lineRule="exact"/>
        <w:ind w:firstLine="562" w:firstLineChars="200"/>
        <w:jc w:val="left"/>
        <w:textAlignment w:val="auto"/>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（二）</w:t>
      </w:r>
      <w:r>
        <w:rPr>
          <w:rFonts w:hint="default" w:ascii="宋体" w:hAnsi="宋体" w:eastAsia="宋体" w:cs="宋体"/>
          <w:b/>
          <w:color w:val="auto"/>
          <w:sz w:val="28"/>
          <w:szCs w:val="28"/>
          <w:highlight w:val="none"/>
          <w:lang w:val="en-US" w:eastAsia="zh-CN"/>
        </w:rPr>
        <w:t>酸度计检定仪</w:t>
      </w:r>
    </w:p>
    <w:p w14:paraId="192C3E4A">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▲1.pH测量范围：0.000~14.000pH</w:t>
      </w:r>
    </w:p>
    <w:p w14:paraId="2BE14534">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▲2.mV输出范围：-2000.00mV~+2000.00mV</w:t>
      </w:r>
    </w:p>
    <w:p w14:paraId="1AAF8A4A">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▲3.pH年稳定性:等电位、量程不超过±0.0006</w:t>
      </w:r>
      <w:r>
        <w:rPr>
          <w:rFonts w:hint="default" w:ascii="宋体" w:hAnsi="宋体" w:eastAsia="宋体" w:cs="宋体"/>
          <w:color w:val="auto"/>
          <w:sz w:val="24"/>
          <w:szCs w:val="24"/>
          <w:highlight w:val="none"/>
          <w:lang w:val="en-US" w:eastAsia="zh-CN"/>
        </w:rPr>
        <w:tab/>
      </w:r>
    </w:p>
    <w:p w14:paraId="3B669964">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▲4.电位零点偏移(mV):不超过±0.03</w:t>
      </w:r>
    </w:p>
    <w:p w14:paraId="0EE83890">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▲5.电位示值误差(%FS):不超过±0.01</w:t>
      </w:r>
    </w:p>
    <w:p w14:paraId="0F70E48B">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▲6.pH示值误差:不超过±0.0006</w:t>
      </w:r>
    </w:p>
    <w:p w14:paraId="73110F8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▲7.温度补偿器误差(pH):不超过±0.0006</w:t>
      </w:r>
    </w:p>
    <w:p w14:paraId="60604F1F">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▲8.pH示值稳定性:等电位、量程不大于0.0002</w:t>
      </w:r>
    </w:p>
    <w:p w14:paraId="6C6A0645">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▲9.高阻器阻值误差/(GΩ):1GΩ高阻不超过±0.1</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3GΩ高阻不超过±0.3</w:t>
      </w:r>
    </w:p>
    <w:p w14:paraId="38CE6F75">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▲10.高分辨率彩色触摸屏显示（≥7寸）</w:t>
      </w:r>
    </w:p>
    <w:p w14:paraId="0E774063">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需有车牌自动识别系统，可自动识别新能源和燃油车的绿牌、蓝牌等车牌号码，并将信息显示在 LED 屏上，同时保存车辆图片信息。</w:t>
      </w:r>
    </w:p>
    <w:p w14:paraId="00E5A9B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★满足JJG119-2018《实验室pH(酸度)计》检定规程要求。</w:t>
      </w:r>
    </w:p>
    <w:p w14:paraId="4B5B094F">
      <w:pPr>
        <w:keepNext w:val="0"/>
        <w:keepLines w:val="0"/>
        <w:pageBreakBefore w:val="0"/>
        <w:kinsoku/>
        <w:wordWrap/>
        <w:overflowPunct/>
        <w:topLinePunct w:val="0"/>
        <w:bidi w:val="0"/>
        <w:snapToGrid/>
        <w:spacing w:after="0" w:line="560" w:lineRule="exact"/>
        <w:ind w:firstLine="562"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8"/>
          <w:szCs w:val="28"/>
          <w:highlight w:val="none"/>
          <w:lang w:val="en-US" w:eastAsia="zh-CN"/>
        </w:rPr>
        <w:t>（三）</w:t>
      </w:r>
      <w:r>
        <w:rPr>
          <w:rFonts w:hint="default" w:ascii="宋体" w:hAnsi="宋体" w:eastAsia="宋体" w:cs="宋体"/>
          <w:b/>
          <w:color w:val="auto"/>
          <w:sz w:val="28"/>
          <w:szCs w:val="28"/>
          <w:highlight w:val="none"/>
          <w:lang w:val="en-US" w:eastAsia="zh-CN"/>
        </w:rPr>
        <w:t>智能数字压力校验仪</w:t>
      </w:r>
    </w:p>
    <w:p w14:paraId="163B2389">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功能要求：</w:t>
      </w:r>
    </w:p>
    <w:p w14:paraId="75CEE92D">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智能数字压力校验仪用于校准精密压力表、一般压力表、双点电接点压力表、压力控制器、压力（差压）变送器、压力传感器等压力仪器仪表，测压范围（-0.1~70）MPa。</w:t>
      </w:r>
    </w:p>
    <w:p w14:paraId="01F2E2B7">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参考标准：</w:t>
      </w:r>
    </w:p>
    <w:p w14:paraId="018DE99F">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JJG882-2019《压力变送器检定规程》</w:t>
      </w:r>
    </w:p>
    <w:p w14:paraId="73A5B261">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JJG875—2019《数字压力计检定规程》</w:t>
      </w:r>
    </w:p>
    <w:p w14:paraId="434AC55F">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JJG52-2013《弹性元件式一般压力表、压力真空表和真空表检定规程》</w:t>
      </w:r>
    </w:p>
    <w:p w14:paraId="1DD45C36">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JJG49-2013《弹性元件式精密压力表和真空表检定规程》；</w:t>
      </w:r>
    </w:p>
    <w:p w14:paraId="5F57262A">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支持检定HART仪表功能，具备HART校验功能</w:t>
      </w:r>
    </w:p>
    <w:p w14:paraId="12CF46F9">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技术指标要求：</w:t>
      </w:r>
    </w:p>
    <w:p w14:paraId="71E6DD2B">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智能数字压力校验仪测压范围（-0.1~70）MPa</w:t>
      </w:r>
    </w:p>
    <w:p w14:paraId="2D0E98EF">
      <w:pPr>
        <w:keepNext w:val="0"/>
        <w:keepLines w:val="0"/>
        <w:pageBreakBefore w:val="0"/>
        <w:kinsoku/>
        <w:wordWrap/>
        <w:overflowPunct/>
        <w:topLinePunct w:val="0"/>
        <w:bidi w:val="0"/>
        <w:snapToGrid/>
        <w:spacing w:after="0" w:line="560" w:lineRule="exact"/>
        <w:ind w:firstLine="482" w:firstLineChars="200"/>
        <w:jc w:val="left"/>
        <w:textAlignment w:val="auto"/>
        <w:rPr>
          <w:rFonts w:hint="default" w:ascii="宋体" w:hAnsi="宋体" w:eastAsia="宋体" w:cs="宋体"/>
          <w:color w:val="auto"/>
          <w:sz w:val="24"/>
          <w:szCs w:val="24"/>
          <w:highlight w:val="none"/>
          <w:lang w:val="en-US" w:eastAsia="zh-CN"/>
        </w:rPr>
      </w:pPr>
      <w:r>
        <w:rPr>
          <w:rStyle w:val="39"/>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准确度等级0.02级，量程：（0～60）MPa、（0～25）MPa、（0～10）MPa、（0～6）MPa、（0～2.5）MPa、（0～1）MPa、(0～600)kPa、（0～250）kPa、(-100～0)kPa</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准确度等级0.0</w:t>
      </w: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级</w:t>
      </w:r>
      <w:r>
        <w:rPr>
          <w:rFonts w:hint="eastAsia" w:ascii="宋体" w:hAnsi="宋体" w:eastAsia="宋体" w:cs="宋体"/>
          <w:color w:val="auto"/>
          <w:sz w:val="24"/>
          <w:szCs w:val="24"/>
          <w:highlight w:val="none"/>
          <w:lang w:val="en-US" w:eastAsia="zh-CN"/>
        </w:rPr>
        <w:t>，量程：</w:t>
      </w:r>
      <w:r>
        <w:rPr>
          <w:rFonts w:hint="default" w:ascii="宋体" w:hAnsi="宋体" w:eastAsia="宋体" w:cs="宋体"/>
          <w:color w:val="auto"/>
          <w:sz w:val="24"/>
          <w:szCs w:val="24"/>
          <w:highlight w:val="none"/>
          <w:lang w:val="en-US" w:eastAsia="zh-CN"/>
        </w:rPr>
        <w:t>（-500～500)Pa</w:t>
      </w:r>
    </w:p>
    <w:p w14:paraId="62CFB0AF">
      <w:pPr>
        <w:keepNext w:val="0"/>
        <w:keepLines w:val="0"/>
        <w:pageBreakBefore w:val="0"/>
        <w:kinsoku/>
        <w:wordWrap/>
        <w:overflowPunct/>
        <w:topLinePunct w:val="0"/>
        <w:bidi w:val="0"/>
        <w:snapToGrid/>
        <w:spacing w:after="0" w:line="560" w:lineRule="exact"/>
        <w:ind w:firstLine="482" w:firstLineChars="200"/>
        <w:jc w:val="left"/>
        <w:textAlignment w:val="auto"/>
        <w:rPr>
          <w:rFonts w:hint="default" w:ascii="宋体" w:hAnsi="宋体" w:eastAsia="宋体" w:cs="宋体"/>
          <w:color w:val="auto"/>
          <w:sz w:val="24"/>
          <w:szCs w:val="24"/>
          <w:highlight w:val="none"/>
          <w:lang w:val="en-US" w:eastAsia="zh-CN"/>
        </w:rPr>
      </w:pPr>
      <w:r>
        <w:rPr>
          <w:rStyle w:val="39"/>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智能数字压力校验仪显示与传感器一体化</w:t>
      </w:r>
    </w:p>
    <w:p w14:paraId="0B210CD7">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具备清晰的多参数显示功能，可显示压力、电测值及温度补偿等信息，支持背光、电量显示及多种压力单位切换，显示位数满足测量精度要求</w:t>
      </w:r>
      <w:r>
        <w:rPr>
          <w:rFonts w:hint="eastAsia" w:ascii="宋体" w:hAnsi="宋体" w:cs="宋体"/>
          <w:color w:val="auto"/>
          <w:sz w:val="24"/>
          <w:szCs w:val="24"/>
          <w:highlight w:val="none"/>
          <w:lang w:val="en-US" w:eastAsia="zh-CN"/>
        </w:rPr>
        <w:t>。</w:t>
      </w:r>
    </w:p>
    <w:p w14:paraId="3EA02744">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电流测量：(-30～30)mA准确度</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(0.01%RD+0.005%F.S)，电压测量：(-30～30)V准确度</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(0.01%RD+0.005%F.S)，电压输出：DC24V</w:t>
      </w:r>
    </w:p>
    <w:p w14:paraId="3C307049">
      <w:pPr>
        <w:keepNext w:val="0"/>
        <w:keepLines w:val="0"/>
        <w:pageBreakBefore w:val="0"/>
        <w:kinsoku/>
        <w:wordWrap/>
        <w:overflowPunct/>
        <w:topLinePunct w:val="0"/>
        <w:bidi w:val="0"/>
        <w:snapToGrid/>
        <w:spacing w:after="0" w:line="560" w:lineRule="exact"/>
        <w:ind w:firstLine="482" w:firstLineChars="200"/>
        <w:jc w:val="left"/>
        <w:textAlignment w:val="auto"/>
        <w:rPr>
          <w:rFonts w:hint="default" w:ascii="宋体" w:hAnsi="宋体" w:eastAsia="宋体" w:cs="宋体"/>
          <w:color w:val="auto"/>
          <w:sz w:val="24"/>
          <w:szCs w:val="24"/>
          <w:highlight w:val="none"/>
          <w:lang w:val="en-US" w:eastAsia="zh-CN"/>
        </w:rPr>
      </w:pPr>
      <w:r>
        <w:rPr>
          <w:rStyle w:val="39"/>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2.6.支持HART通信协议、Profibus通信协议，具有过压报警功能</w:t>
      </w:r>
    </w:p>
    <w:p w14:paraId="6CD50FD1">
      <w:pPr>
        <w:keepNext w:val="0"/>
        <w:keepLines w:val="0"/>
        <w:pageBreakBefore w:val="0"/>
        <w:kinsoku/>
        <w:wordWrap/>
        <w:overflowPunct/>
        <w:topLinePunct w:val="0"/>
        <w:bidi w:val="0"/>
        <w:snapToGrid/>
        <w:spacing w:after="0" w:line="560" w:lineRule="exact"/>
        <w:ind w:firstLine="482" w:firstLineChars="200"/>
        <w:jc w:val="left"/>
        <w:textAlignment w:val="auto"/>
        <w:rPr>
          <w:rFonts w:hint="default" w:ascii="宋体" w:hAnsi="宋体" w:eastAsia="宋体" w:cs="宋体"/>
          <w:color w:val="auto"/>
          <w:sz w:val="24"/>
          <w:szCs w:val="24"/>
          <w:highlight w:val="none"/>
          <w:lang w:val="en-US" w:eastAsia="zh-CN"/>
        </w:rPr>
      </w:pPr>
      <w:r>
        <w:rPr>
          <w:rStyle w:val="39"/>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开关量双通道测量功能，带蜂鸣音提示。可校验双点电接点压力表，在测量开关量时显示开关动作值时可保持动作值</w:t>
      </w:r>
    </w:p>
    <w:p w14:paraId="6F88745A">
      <w:pPr>
        <w:keepNext w:val="0"/>
        <w:keepLines w:val="0"/>
        <w:pageBreakBefore w:val="0"/>
        <w:kinsoku/>
        <w:wordWrap/>
        <w:overflowPunct/>
        <w:topLinePunct w:val="0"/>
        <w:bidi w:val="0"/>
        <w:snapToGrid/>
        <w:spacing w:after="0" w:line="560" w:lineRule="exact"/>
        <w:ind w:firstLine="482" w:firstLineChars="200"/>
        <w:jc w:val="left"/>
        <w:textAlignment w:val="auto"/>
        <w:rPr>
          <w:rFonts w:hint="default" w:ascii="宋体" w:hAnsi="宋体" w:eastAsia="宋体" w:cs="宋体"/>
          <w:color w:val="auto"/>
          <w:sz w:val="24"/>
          <w:szCs w:val="24"/>
          <w:highlight w:val="none"/>
          <w:lang w:val="en-US" w:eastAsia="zh-CN"/>
        </w:rPr>
      </w:pPr>
      <w:r>
        <w:rPr>
          <w:rStyle w:val="39"/>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具备存储功能</w:t>
      </w:r>
    </w:p>
    <w:p w14:paraId="548C75B0">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配备防护外壳</w:t>
      </w:r>
    </w:p>
    <w:p w14:paraId="7A5AEA1F">
      <w:pPr>
        <w:keepNext w:val="0"/>
        <w:keepLines w:val="0"/>
        <w:pageBreakBefore w:val="0"/>
        <w:kinsoku/>
        <w:wordWrap/>
        <w:overflowPunct/>
        <w:topLinePunct w:val="0"/>
        <w:bidi w:val="0"/>
        <w:snapToGrid/>
        <w:spacing w:after="0" w:line="560" w:lineRule="exact"/>
        <w:ind w:firstLine="562" w:firstLineChars="200"/>
        <w:jc w:val="left"/>
        <w:textAlignment w:val="auto"/>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（四）</w:t>
      </w:r>
      <w:r>
        <w:rPr>
          <w:rFonts w:hint="default" w:ascii="宋体" w:hAnsi="宋体" w:eastAsia="宋体" w:cs="宋体"/>
          <w:b/>
          <w:color w:val="auto"/>
          <w:sz w:val="28"/>
          <w:szCs w:val="28"/>
          <w:highlight w:val="none"/>
          <w:lang w:val="en-US" w:eastAsia="zh-CN"/>
        </w:rPr>
        <w:t>活塞式压力计（含全自动）</w:t>
      </w:r>
    </w:p>
    <w:p w14:paraId="5C3BACCB">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rPr>
        <w:t>）气体活塞式压力计</w:t>
      </w:r>
    </w:p>
    <w:p w14:paraId="63A789CF">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1.符合JJG1086－2013《气体活塞式压力计》检定规程。</w:t>
      </w:r>
    </w:p>
    <w:p w14:paraId="5AB576A9">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2.测量范围：(-0.1～0.6)MPa；</w:t>
      </w:r>
    </w:p>
    <w:p w14:paraId="31F67415">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3.准确度等级：0.02级；</w:t>
      </w:r>
    </w:p>
    <w:p w14:paraId="6E37D024">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工作介质：纯净空气/高纯氮气；</w:t>
      </w:r>
    </w:p>
    <w:p w14:paraId="4CE65EB9">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测压方式：表压；</w:t>
      </w:r>
    </w:p>
    <w:p w14:paraId="0A75068F">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6.活塞杆：碳化钨，活塞筒：碳化钨；</w:t>
      </w:r>
    </w:p>
    <w:p w14:paraId="581C5A9F">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7.砝码材料：无磁不锈钢；</w:t>
      </w:r>
    </w:p>
    <w:p w14:paraId="73DA3CBE">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8.活塞杆应满足对应量程有效面积设计及相关检定规程要求；</w:t>
      </w:r>
    </w:p>
    <w:p w14:paraId="4D721E86">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9.活塞有效面积：5cm²；</w:t>
      </w:r>
    </w:p>
    <w:p w14:paraId="3E03A464">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单排2组M20*1.5快速接口；</w:t>
      </w:r>
    </w:p>
    <w:p w14:paraId="48E384B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具有双组保护换向阀，保护正负压切换，防止泄露；</w:t>
      </w:r>
    </w:p>
    <w:p w14:paraId="1D942ED7">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配备多级过滤系统，过滤精度满足工作介质纯净度要求，材质为不锈钢；</w:t>
      </w:r>
    </w:p>
    <w:p w14:paraId="39EEF11A">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正负压一体式设计；</w:t>
      </w:r>
    </w:p>
    <w:p w14:paraId="4F5BDC76">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★14.铝合金板面；</w:t>
      </w:r>
    </w:p>
    <w:p w14:paraId="5F150F71">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）液体活塞式压力计（量程0.1～6MPa）</w:t>
      </w:r>
    </w:p>
    <w:p w14:paraId="5D4517FE">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★1.符合JJG59－2022《液体活塞式压力计》检定规程，JJG99-2022《砝码》检定规程；</w:t>
      </w:r>
    </w:p>
    <w:p w14:paraId="548822B7">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★2.详细参数：</w:t>
      </w:r>
    </w:p>
    <w:p w14:paraId="3D6EBF05">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准确度等级：0.02级；</w:t>
      </w:r>
    </w:p>
    <w:p w14:paraId="203E76E1">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测量范围：（0.1~6）MPa；</w:t>
      </w:r>
    </w:p>
    <w:p w14:paraId="6909B2EA">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活塞有效面积：0.5cm2；</w:t>
      </w:r>
    </w:p>
    <w:p w14:paraId="02E4B2D7">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砝码材料：无磁不锈钢砝码；</w:t>
      </w:r>
    </w:p>
    <w:p w14:paraId="52460B26">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3.活塞材料：活塞缸、活塞筒为碳化钨材料；工作介质：变压器油与煤油混合油；</w:t>
      </w:r>
    </w:p>
    <w:p w14:paraId="0AE6D0E3">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4.活塞系统配置有活塞位置指示位移传感器，分辨力优于0.1mm；</w:t>
      </w:r>
    </w:p>
    <w:p w14:paraId="7A1015AE">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▲5.液晶显示：不小于5寸中文彩色触摸显示屏；</w:t>
      </w:r>
    </w:p>
    <w:p w14:paraId="2BC9ECFC">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5.1</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可显示活塞浮动位置</w:t>
      </w:r>
      <w:r>
        <w:rPr>
          <w:rFonts w:hint="eastAsia" w:ascii="宋体" w:hAnsi="宋体" w:eastAsia="宋体" w:cs="宋体"/>
          <w:color w:val="auto"/>
          <w:sz w:val="24"/>
          <w:szCs w:val="24"/>
          <w:highlight w:val="none"/>
          <w:lang w:val="en-US" w:eastAsia="zh-CN"/>
        </w:rPr>
        <w:t>；</w:t>
      </w:r>
    </w:p>
    <w:p w14:paraId="0C7F0C8E">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5.2</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可显示活塞转速，直观展示活塞是否达到工作转速（约30r/min）；</w:t>
      </w:r>
    </w:p>
    <w:p w14:paraId="7A387702">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5.3</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可显示环境温、湿度，在适宜的环境温湿度（温度：20±2℃</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湿度：&lt;80%）下工作活塞性能指标最优；</w:t>
      </w:r>
    </w:p>
    <w:p w14:paraId="5839D1B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5.4</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内置操作说明书；</w:t>
      </w:r>
    </w:p>
    <w:p w14:paraId="09705B84">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6.活塞台体内置有单向阀式预压泵；</w:t>
      </w:r>
    </w:p>
    <w:p w14:paraId="4CA48010">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7.设备设有排污系统设计；</w:t>
      </w:r>
    </w:p>
    <w:p w14:paraId="2A3ADD3A">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活塞调压器应具备防逆转或防后退安全设计，确保调压过程稳定可靠，并带有清晰的刻度或指针指示；</w:t>
      </w:r>
    </w:p>
    <w:p w14:paraId="58A439DF">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9.活塞系统应便于安装、拆卸、保存和送检，各量程活塞系统拆卸后即可独立送检；</w:t>
      </w:r>
    </w:p>
    <w:p w14:paraId="4B276F71">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lang w:val="en-US" w:eastAsia="zh-CN"/>
        </w:rPr>
        <w:t>）液体活塞式压力计（量程1～60MPa）</w:t>
      </w:r>
    </w:p>
    <w:p w14:paraId="01BBD0F9">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★1.符合JJG59－2022《液体活塞式压力计》检定规程，JJG99-2022《砝码》检定规程；</w:t>
      </w:r>
    </w:p>
    <w:p w14:paraId="3FC096C7">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2.详细参数：</w:t>
      </w:r>
    </w:p>
    <w:p w14:paraId="1337006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准确度等级：0.02级；</w:t>
      </w:r>
    </w:p>
    <w:p w14:paraId="771DF120">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测量范围：（1~60）MPa；</w:t>
      </w:r>
    </w:p>
    <w:p w14:paraId="2791429A">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活塞有效面积：0.05cm2；</w:t>
      </w:r>
    </w:p>
    <w:p w14:paraId="13B81F00">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砝码材料：无磁不锈钢砝码；</w:t>
      </w:r>
    </w:p>
    <w:p w14:paraId="6EEBF8CD">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3.活塞材料：活塞缸、活塞筒为碳化钨材料；工作介质：癸二酸二异辛酯；</w:t>
      </w:r>
    </w:p>
    <w:p w14:paraId="12971D5F">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4.活塞系统配置有活塞位置指示位移传感器，分辨力优于0.1mm，观察活塞平衡更加准确；</w:t>
      </w:r>
    </w:p>
    <w:p w14:paraId="0FA683A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▲5.液晶显示：不小于5寸中文彩色触摸显示屏；</w:t>
      </w:r>
    </w:p>
    <w:p w14:paraId="74CA6064">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5.1</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可显示活塞浮动位置；</w:t>
      </w:r>
    </w:p>
    <w:p w14:paraId="3C8CF68F">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5.2.可显示活塞转速，直观展示活塞是否达到工作转速（约30r/min）；</w:t>
      </w:r>
    </w:p>
    <w:p w14:paraId="1EB7CDF9">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5.3.可显示环境温、湿度，在适宜的环境温湿度（温度：20±2℃，湿度：&lt;80%）下工作活塞性能指标最优；</w:t>
      </w:r>
    </w:p>
    <w:p w14:paraId="2B04CFD5">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5.4.内置操作说明书；</w:t>
      </w:r>
    </w:p>
    <w:p w14:paraId="5724F091">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6.活塞台体内置有单向阀式预压泵；</w:t>
      </w:r>
    </w:p>
    <w:p w14:paraId="7FBD5A35">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7.设有排污系统设计；</w:t>
      </w:r>
    </w:p>
    <w:p w14:paraId="06CE5D33">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▲8.活塞调压器应在台体内部（有前进后退指针、刻度显示）旋转时不会往后退；</w:t>
      </w:r>
    </w:p>
    <w:p w14:paraId="275D1B53">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9.活塞系统应便于安装、拆卸、保存和送检，各量程活塞系统拆卸后即可独立送检；</w:t>
      </w:r>
    </w:p>
    <w:p w14:paraId="163F830B">
      <w:pPr>
        <w:keepNext w:val="0"/>
        <w:keepLines w:val="0"/>
        <w:pageBreakBefore w:val="0"/>
        <w:kinsoku/>
        <w:wordWrap/>
        <w:overflowPunct/>
        <w:topLinePunct w:val="0"/>
        <w:bidi w:val="0"/>
        <w:snapToGrid/>
        <w:spacing w:after="0" w:line="560" w:lineRule="exact"/>
        <w:ind w:firstLine="562" w:firstLineChars="200"/>
        <w:jc w:val="left"/>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（五）数字压力计</w:t>
      </w:r>
    </w:p>
    <w:p w14:paraId="7FD8826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1.功能要求：</w:t>
      </w:r>
    </w:p>
    <w:p w14:paraId="3A58D8A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▲1.1.智能数字压力模块用于校准精密压力表、一般压力表、双点电接点压力表、压力控制器、压力（差压）变送器、压力传感器等压力仪器仪表，测压范围（-0.1~250）MPa。</w:t>
      </w:r>
    </w:p>
    <w:p w14:paraId="6EB4EAA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★1.2.参考标准：</w:t>
      </w:r>
    </w:p>
    <w:p w14:paraId="5ABF82C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JJG882-2019《压力变送器检定规程》</w:t>
      </w:r>
    </w:p>
    <w:p w14:paraId="51B9C21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JJG875—2019《数字压力计检定规程》</w:t>
      </w:r>
    </w:p>
    <w:p w14:paraId="695D0D7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JJG52-2013《弹性元件式一般压力表、压力真空表和真空表检定规程》</w:t>
      </w:r>
    </w:p>
    <w:p w14:paraId="7392E5C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JJG49-2013《弹性元件式精密压力表和真空表检定规程》；</w:t>
      </w:r>
    </w:p>
    <w:p w14:paraId="1B4551B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▲1.3.应支持HART功能;</w:t>
      </w:r>
    </w:p>
    <w:p w14:paraId="7F6534B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2.技术指标要求：</w:t>
      </w:r>
    </w:p>
    <w:p w14:paraId="4374860D">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2.1.智能数字压力模块测压范围（-0.1~250）MPa</w:t>
      </w:r>
    </w:p>
    <w:p w14:paraId="00744D5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2.2.准确度等级0.02级，量程：（0～250)MPa、（0～100）MPa、（0～40）MPa、（0～16）MPa、（0～6）MPa、（0～4）MPa、(0～1.6)MPa、（0～400）kPa、（0～250）kPa、（-100～100）kPa</w:t>
      </w:r>
    </w:p>
    <w:p w14:paraId="54927FB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2.3.压力模块显示与传感器一体化</w:t>
      </w:r>
    </w:p>
    <w:p w14:paraId="44080BB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★2.4.显示精度：6位/5位/4位显示可调，三排显示：压力显示、电测显示、温度补偿功能显示，带背光、电池电量显示，9种压力单位可选；</w:t>
      </w:r>
    </w:p>
    <w:p w14:paraId="1FF928A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▲2.5.电流测量：(-30～30)mA准确度：±(0.01%RD+0.005%F.S)，电压测量：(-30～30)V准确度：±(0.01%RD+0.005%F.S)，电压输出：DC24V；</w:t>
      </w:r>
    </w:p>
    <w:p w14:paraId="28DCB75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2.6.支持HART通信协议、Profibus通信协议，具有过压报警功能；</w:t>
      </w:r>
    </w:p>
    <w:p w14:paraId="5D477D3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2.7.开关量双通道测量功能，带蜂鸣音提示。可校验双点电接点压力表，在测量开关量时显示开关动作值时可保持动作值；</w:t>
      </w:r>
    </w:p>
    <w:p w14:paraId="2C08553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2.8.具备存储功能</w:t>
      </w:r>
    </w:p>
    <w:p w14:paraId="4736E46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2.9.配备防护外壳</w:t>
      </w:r>
    </w:p>
    <w:p w14:paraId="54370D3C">
      <w:pPr>
        <w:keepNext w:val="0"/>
        <w:keepLines w:val="0"/>
        <w:pageBreakBefore w:val="0"/>
        <w:kinsoku/>
        <w:wordWrap/>
        <w:overflowPunct/>
        <w:topLinePunct w:val="0"/>
        <w:bidi w:val="0"/>
        <w:snapToGrid/>
        <w:spacing w:after="0" w:line="560" w:lineRule="exact"/>
        <w:ind w:firstLine="562" w:firstLineChars="200"/>
        <w:jc w:val="left"/>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（六）过程校验仪</w:t>
      </w:r>
    </w:p>
    <w:p w14:paraId="10C5B15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1.功能要求：</w:t>
      </w:r>
    </w:p>
    <w:p w14:paraId="5D74FED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有热电偶测量和输出提供自动和手动两种冷端温度补偿功能，可自定义输出量程，方便不同应用的0%～100%值的调用，具备压力测量及高精度直流电压、电流测量等功能，既可作为过程校验，也可用于压力表、压力变送器、压力开关检定的测量仪器。</w:t>
      </w:r>
    </w:p>
    <w:p w14:paraId="0613062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★2.参考标准：JJF1472-2014《过程仪表校验仪校准规范》、JJG882-2019《压力变送器检定规程》、JJG875—2019《数字压力计检定规程》；</w:t>
      </w:r>
    </w:p>
    <w:p w14:paraId="06595AC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3.技术指标要求：</w:t>
      </w:r>
    </w:p>
    <w:p w14:paraId="5D35BFEE">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▲3.1.电压测量：（0～50）V,电流（0～20）mA，频率（0～100）kHZ，电阻（0～5000）Ω，电压输出：DC24V，具备HART校验功能</w:t>
      </w:r>
    </w:p>
    <w:p w14:paraId="1C2D048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▲3.2.MPE:±0.01%</w:t>
      </w:r>
    </w:p>
    <w:p w14:paraId="435ADC1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数字压力模块0.02级等级，量程（-2.5～2.5)kPa、(0～160)kPa，显示精度：6位/5位/4位显示可调，三排显示：压力显示、电测显示、温度补偿功能显示，带背光、压力进度百分比显示，电池电量显示，9种压力单位可选；</w:t>
      </w:r>
    </w:p>
    <w:p w14:paraId="7F6208A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▲3.4.具备HART校验功能，可作为HART手操器校验HART仪表，支持Profibus通信协议；</w:t>
      </w:r>
    </w:p>
    <w:p w14:paraId="66393C3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▲3.5.开关量双通道测量功能，带蜂鸣音提示。</w:t>
      </w:r>
    </w:p>
    <w:p w14:paraId="6B9551EA">
      <w:pPr>
        <w:keepNext w:val="0"/>
        <w:keepLines w:val="0"/>
        <w:pageBreakBefore w:val="0"/>
        <w:kinsoku/>
        <w:wordWrap/>
        <w:overflowPunct/>
        <w:topLinePunct w:val="0"/>
        <w:bidi w:val="0"/>
        <w:snapToGrid/>
        <w:spacing w:after="0" w:line="560" w:lineRule="exact"/>
        <w:ind w:firstLine="562"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8"/>
          <w:szCs w:val="28"/>
          <w:highlight w:val="none"/>
          <w:lang w:val="en-US" w:eastAsia="zh-CN"/>
        </w:rPr>
        <w:t>（七）实施及维修要求</w:t>
      </w:r>
      <w:r>
        <w:rPr>
          <w:rFonts w:hint="default" w:ascii="宋体" w:hAnsi="宋体" w:eastAsia="宋体" w:cs="宋体"/>
          <w:b/>
          <w:color w:val="auto"/>
          <w:sz w:val="28"/>
          <w:szCs w:val="28"/>
          <w:highlight w:val="none"/>
          <w:lang w:val="en-US" w:eastAsia="zh-CN"/>
        </w:rPr>
        <w:t>：</w:t>
      </w:r>
    </w:p>
    <w:p w14:paraId="05608C96">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总体</w:t>
      </w:r>
      <w:r>
        <w:rPr>
          <w:rFonts w:hint="eastAsia" w:ascii="宋体" w:hAnsi="宋体" w:eastAsia="宋体" w:cs="宋体"/>
          <w:color w:val="auto"/>
          <w:sz w:val="24"/>
          <w:szCs w:val="24"/>
          <w:highlight w:val="none"/>
          <w:lang w:val="en-US" w:eastAsia="zh-CN"/>
        </w:rPr>
        <w:t>实施</w:t>
      </w:r>
      <w:r>
        <w:rPr>
          <w:rFonts w:ascii="宋体" w:hAnsi="宋体" w:eastAsia="宋体" w:cs="宋体"/>
          <w:color w:val="auto"/>
          <w:sz w:val="24"/>
          <w:szCs w:val="24"/>
          <w:highlight w:val="none"/>
        </w:rPr>
        <w:t>要求：供应商负责本包全部设备（便携式气体、粉尘、烟尘采样仪校验装置、酸度计检定仪、智能数字压力校验仪、活塞式压力计（含全自动）、数字压力计、过程校验仪）的供货、运输就位、安装调试、检定校准、现场培训、质保售后等全部工作，设备及软件须满足采购需求技术指标及对应国家计量规程、规范要求，确保设备可正常开展计量检定工作。</w:t>
      </w:r>
    </w:p>
    <w:p w14:paraId="102B7403">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安装调试要求：完成设备现场安装、整机调试、软件配置；具备通信、数据导出、OTA 远程升级、WiFi、HART/Profibus 通讯等功能的设备须调试至功能正常，各项性能指标达到采购需求及计量规程要求。</w:t>
      </w:r>
    </w:p>
    <w:p w14:paraId="09B760F2">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3.交货期：合同签订生效后2个月，交货时应有具有法定资质的省级及以上法定计量检定机构（或依法授权的计量技术机构）出具的检定/校准证书，且证书数据须符合本招标文件要求。</w:t>
      </w:r>
    </w:p>
    <w:p w14:paraId="461B9AD6">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rPr>
        <w:t>质保及维修要求：质保期自项目验收合格之日起计算：便携式气体、粉尘、烟尘采样仪校验装置、酸度计检定仪质保 2 年；智能数字压力校验仪、数字压力计、过程校验仪整机质保 2 年，准确度质保 3 年；活塞式压力计（含全自动）质保 3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p>
    <w:p w14:paraId="291E87A4">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5.培训要求：</w:t>
      </w:r>
      <w:r>
        <w:rPr>
          <w:rFonts w:ascii="宋体" w:hAnsi="宋体" w:eastAsia="宋体" w:cs="宋体"/>
          <w:color w:val="auto"/>
          <w:sz w:val="24"/>
          <w:szCs w:val="24"/>
          <w:highlight w:val="none"/>
        </w:rPr>
        <w:t>安装调试完成后开展现场培训</w:t>
      </w:r>
      <w:r>
        <w:rPr>
          <w:rFonts w:hint="eastAsia" w:ascii="宋体" w:hAnsi="宋体" w:eastAsia="宋体" w:cs="宋体"/>
          <w:color w:val="auto"/>
          <w:sz w:val="24"/>
          <w:szCs w:val="24"/>
          <w:highlight w:val="none"/>
          <w:lang w:val="en-US" w:eastAsia="zh-CN"/>
        </w:rPr>
        <w:t>，培训讲师需具有工程师及以上职称，保证参训人员熟练掌握设备使用方法，且具有一定故障和紧急情况处理能力。</w:t>
      </w:r>
    </w:p>
    <w:p w14:paraId="34888DB1">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验收要求：全部工作完成后由供应商申请验收，采购人对照采购需求逐项核查，证书、功能、指标全部合格后方可通过验收。</w:t>
      </w:r>
    </w:p>
    <w:p w14:paraId="669A6559">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w:t>
      </w:r>
      <w:r>
        <w:rPr>
          <w:rFonts w:hint="eastAsia" w:ascii="宋体" w:hAnsi="宋体" w:cs="宋体"/>
          <w:b/>
          <w:color w:val="auto"/>
          <w:sz w:val="28"/>
          <w:szCs w:val="28"/>
          <w:highlight w:val="none"/>
          <w:lang w:val="en-US" w:eastAsia="zh-CN"/>
        </w:rPr>
        <w:t>八</w:t>
      </w:r>
      <w:r>
        <w:rPr>
          <w:rFonts w:hint="eastAsia" w:ascii="宋体" w:hAnsi="宋体" w:eastAsia="宋体" w:cs="宋体"/>
          <w:b/>
          <w:color w:val="auto"/>
          <w:sz w:val="28"/>
          <w:szCs w:val="28"/>
          <w:highlight w:val="none"/>
          <w:lang w:val="en-US" w:eastAsia="zh-CN"/>
        </w:rPr>
        <w:t>）其他</w:t>
      </w:r>
    </w:p>
    <w:p w14:paraId="799C4557">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1、本项目报价不得超过预算价（最高限价）。</w:t>
      </w:r>
    </w:p>
    <w:p w14:paraId="70DF956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2、工作中涉及的敏感资料、电子数据等相关信息，中标人应严格执行保密的相关规定，不得以任何方式向任何第三人披露、泄露或许可第三人使用，否则追究其相应法律责任。</w:t>
      </w:r>
    </w:p>
    <w:p w14:paraId="6F8A2C76">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p>
    <w:p w14:paraId="00DFD7B6">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p>
    <w:p w14:paraId="7138AA63">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3</w:t>
      </w:r>
      <w:r>
        <w:rPr>
          <w:rFonts w:hint="eastAsia" w:ascii="宋体" w:hAnsi="宋体" w:eastAsia="宋体" w:cs="宋体"/>
          <w:b/>
          <w:bCs/>
          <w:color w:val="auto"/>
          <w:sz w:val="32"/>
          <w:szCs w:val="32"/>
          <w:highlight w:val="none"/>
        </w:rPr>
        <w:t>：</w:t>
      </w:r>
    </w:p>
    <w:p w14:paraId="04D76A99">
      <w:pPr>
        <w:pBdr>
          <w:top w:val="none" w:color="auto" w:sz="0" w:space="1"/>
          <w:left w:val="none" w:color="auto" w:sz="0" w:space="4"/>
          <w:bottom w:val="none" w:color="auto" w:sz="0" w:space="1"/>
          <w:right w:val="none" w:color="auto" w:sz="0" w:space="4"/>
        </w:pBdr>
        <w:spacing w:line="360" w:lineRule="auto"/>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一、项目概况</w:t>
      </w:r>
    </w:p>
    <w:p w14:paraId="24B64C5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本项目为</w:t>
      </w:r>
      <w:r>
        <w:rPr>
          <w:rFonts w:hint="eastAsia" w:ascii="宋体" w:hAnsi="宋体" w:eastAsia="宋体" w:cs="宋体"/>
          <w:color w:val="auto"/>
          <w:sz w:val="24"/>
          <w:szCs w:val="24"/>
          <w:highlight w:val="none"/>
        </w:rPr>
        <w:t>2026年计量检验检测设备更新</w:t>
      </w:r>
      <w:r>
        <w:rPr>
          <w:rFonts w:ascii="宋体" w:hAnsi="宋体" w:eastAsia="宋体" w:cs="宋体"/>
          <w:color w:val="auto"/>
          <w:sz w:val="24"/>
          <w:szCs w:val="24"/>
          <w:highlight w:val="none"/>
        </w:rPr>
        <w:t>，拟采购</w:t>
      </w:r>
      <w:r>
        <w:rPr>
          <w:rFonts w:hint="eastAsia" w:ascii="宋体" w:hAnsi="宋体" w:eastAsia="宋体" w:cs="宋体"/>
          <w:color w:val="auto"/>
          <w:sz w:val="24"/>
          <w:szCs w:val="24"/>
          <w:highlight w:val="none"/>
          <w:lang w:val="en-US" w:eastAsia="zh-CN"/>
        </w:rPr>
        <w:t>精密露点仪</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标准铂铑10-铂热电偶</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热电偶校准炉、冰点恒温器、温湿度实验设备自动检定系统一、温湿度实验设备自动检定系统二、黑体辐射源（低温）、黑体辐射源（中温）、黑体辐射源（高温）、全站仪</w:t>
      </w:r>
      <w:r>
        <w:rPr>
          <w:rFonts w:ascii="宋体" w:hAnsi="宋体" w:eastAsia="宋体" w:cs="宋体"/>
          <w:color w:val="auto"/>
          <w:sz w:val="24"/>
          <w:szCs w:val="24"/>
          <w:highlight w:val="none"/>
        </w:rPr>
        <w:t>，项目总预算1</w:t>
      </w: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8万元</w:t>
      </w:r>
      <w:r>
        <w:rPr>
          <w:rFonts w:hint="eastAsia" w:ascii="宋体" w:hAnsi="宋体" w:eastAsia="宋体" w:cs="宋体"/>
          <w:color w:val="auto"/>
          <w:sz w:val="24"/>
          <w:szCs w:val="24"/>
          <w:highlight w:val="none"/>
        </w:rPr>
        <w:t>。</w:t>
      </w:r>
    </w:p>
    <w:p w14:paraId="1F024773">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二、货物（标的）采购清单</w:t>
      </w:r>
      <w:r>
        <w:rPr>
          <w:rFonts w:hint="eastAsia" w:ascii="宋体" w:hAnsi="宋体" w:cs="宋体"/>
          <w:b/>
          <w:color w:val="auto"/>
          <w:sz w:val="28"/>
          <w:szCs w:val="28"/>
          <w:highlight w:val="none"/>
          <w:lang w:val="en-US" w:eastAsia="zh-CN"/>
        </w:rPr>
        <w:t>及</w:t>
      </w:r>
      <w:r>
        <w:rPr>
          <w:rFonts w:hint="eastAsia" w:ascii="宋体" w:hAnsi="宋体" w:eastAsia="宋体" w:cs="宋体"/>
          <w:b/>
          <w:color w:val="auto"/>
          <w:sz w:val="28"/>
          <w:szCs w:val="28"/>
          <w:highlight w:val="none"/>
        </w:rPr>
        <w:t>技术参数及功能指标</w:t>
      </w:r>
    </w:p>
    <w:tbl>
      <w:tblPr>
        <w:tblStyle w:val="37"/>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188"/>
        <w:gridCol w:w="846"/>
        <w:gridCol w:w="2504"/>
        <w:gridCol w:w="2017"/>
      </w:tblGrid>
      <w:tr w14:paraId="64690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2875D338">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序号</w:t>
            </w:r>
          </w:p>
        </w:tc>
        <w:tc>
          <w:tcPr>
            <w:tcW w:w="0" w:type="auto"/>
            <w:vAlign w:val="center"/>
          </w:tcPr>
          <w:p w14:paraId="319F1E8B">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设备名称</w:t>
            </w:r>
          </w:p>
        </w:tc>
        <w:tc>
          <w:tcPr>
            <w:tcW w:w="0" w:type="auto"/>
            <w:vAlign w:val="center"/>
          </w:tcPr>
          <w:p w14:paraId="3FE6093B">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数量</w:t>
            </w:r>
          </w:p>
        </w:tc>
        <w:tc>
          <w:tcPr>
            <w:tcW w:w="0" w:type="auto"/>
            <w:vAlign w:val="center"/>
          </w:tcPr>
          <w:p w14:paraId="04D9D1F5">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单位</w:t>
            </w:r>
          </w:p>
        </w:tc>
        <w:tc>
          <w:tcPr>
            <w:tcW w:w="2017" w:type="dxa"/>
            <w:vAlign w:val="center"/>
          </w:tcPr>
          <w:p w14:paraId="3076DDBA">
            <w:pPr>
              <w:widowControl/>
              <w:snapToGrid w:val="0"/>
              <w:ind w:left="0" w:leftChars="0" w:right="0" w:rightChars="0" w:firstLine="0" w:firstLineChars="0"/>
              <w:jc w:val="center"/>
              <w:textAlignment w:val="center"/>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分项最高限价（万元）</w:t>
            </w:r>
          </w:p>
        </w:tc>
      </w:tr>
      <w:tr w14:paraId="1A3B1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0" w:type="auto"/>
            <w:vAlign w:val="center"/>
          </w:tcPr>
          <w:p w14:paraId="3530FF10">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1</w:t>
            </w:r>
          </w:p>
        </w:tc>
        <w:tc>
          <w:tcPr>
            <w:tcW w:w="0" w:type="auto"/>
            <w:vAlign w:val="center"/>
          </w:tcPr>
          <w:p w14:paraId="2B0DAC18">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精密露点仪</w:t>
            </w:r>
          </w:p>
        </w:tc>
        <w:tc>
          <w:tcPr>
            <w:tcW w:w="0" w:type="auto"/>
            <w:vAlign w:val="center"/>
          </w:tcPr>
          <w:p w14:paraId="3DD6C095">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15E9A58C">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32BC45D8">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7</w:t>
            </w:r>
          </w:p>
        </w:tc>
      </w:tr>
      <w:tr w14:paraId="5FD0D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21E1AED9">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0" w:type="auto"/>
            <w:vAlign w:val="center"/>
          </w:tcPr>
          <w:p w14:paraId="69530775">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标准铂铑10-铂热电偶</w:t>
            </w:r>
          </w:p>
        </w:tc>
        <w:tc>
          <w:tcPr>
            <w:tcW w:w="0" w:type="auto"/>
            <w:vAlign w:val="center"/>
          </w:tcPr>
          <w:p w14:paraId="6348CFC3">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77FB34AB">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0D15181B">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w:t>
            </w:r>
          </w:p>
        </w:tc>
      </w:tr>
      <w:tr w14:paraId="03BD7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34DC53ED">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0" w:type="auto"/>
            <w:vAlign w:val="center"/>
          </w:tcPr>
          <w:p w14:paraId="7CE48B35">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热电偶校准炉</w:t>
            </w:r>
          </w:p>
        </w:tc>
        <w:tc>
          <w:tcPr>
            <w:tcW w:w="0" w:type="auto"/>
            <w:vAlign w:val="center"/>
          </w:tcPr>
          <w:p w14:paraId="7A25841A">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3206DD8E">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378FEC1C">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18</w:t>
            </w:r>
          </w:p>
        </w:tc>
      </w:tr>
      <w:tr w14:paraId="5ABE3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1A0C86CB">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3188" w:type="dxa"/>
            <w:vAlign w:val="center"/>
          </w:tcPr>
          <w:p w14:paraId="704B06BF">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冰点恒温器</w:t>
            </w:r>
          </w:p>
        </w:tc>
        <w:tc>
          <w:tcPr>
            <w:tcW w:w="846" w:type="dxa"/>
            <w:vAlign w:val="center"/>
          </w:tcPr>
          <w:p w14:paraId="455DC7E3">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287E0EA2">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3B87DFC2">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w:t>
            </w:r>
          </w:p>
        </w:tc>
      </w:tr>
      <w:tr w14:paraId="0015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0AE75E7D">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3188" w:type="dxa"/>
            <w:vAlign w:val="center"/>
          </w:tcPr>
          <w:p w14:paraId="0EA540BC">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温湿度实验设备自动检定系统一</w:t>
            </w:r>
          </w:p>
        </w:tc>
        <w:tc>
          <w:tcPr>
            <w:tcW w:w="846" w:type="dxa"/>
            <w:vAlign w:val="center"/>
          </w:tcPr>
          <w:p w14:paraId="4B3780FA">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2EBB3460">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00020CF1">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w:t>
            </w:r>
          </w:p>
        </w:tc>
      </w:tr>
      <w:tr w14:paraId="350B7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651A153B">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3188" w:type="dxa"/>
            <w:vAlign w:val="center"/>
          </w:tcPr>
          <w:p w14:paraId="30E9E4D3">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温湿度实验设备自动检定系统二</w:t>
            </w:r>
          </w:p>
        </w:tc>
        <w:tc>
          <w:tcPr>
            <w:tcW w:w="846" w:type="dxa"/>
            <w:vAlign w:val="center"/>
          </w:tcPr>
          <w:p w14:paraId="7856123C">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7501E128">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1E6BA748">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w:t>
            </w:r>
          </w:p>
        </w:tc>
      </w:tr>
      <w:tr w14:paraId="5B55F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733699D9">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3188" w:type="dxa"/>
            <w:vAlign w:val="center"/>
          </w:tcPr>
          <w:p w14:paraId="54696429">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黑体辐射源（低温）</w:t>
            </w:r>
          </w:p>
        </w:tc>
        <w:tc>
          <w:tcPr>
            <w:tcW w:w="846" w:type="dxa"/>
            <w:vAlign w:val="center"/>
          </w:tcPr>
          <w:p w14:paraId="37599413">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485111CA">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62189578">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19</w:t>
            </w:r>
          </w:p>
        </w:tc>
      </w:tr>
      <w:tr w14:paraId="3DD3B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1A36836A">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3188" w:type="dxa"/>
            <w:vAlign w:val="center"/>
          </w:tcPr>
          <w:p w14:paraId="1EAF2777">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黑体辐射源（中温）</w:t>
            </w:r>
          </w:p>
        </w:tc>
        <w:tc>
          <w:tcPr>
            <w:tcW w:w="846" w:type="dxa"/>
            <w:vAlign w:val="center"/>
          </w:tcPr>
          <w:p w14:paraId="55E5CBED">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0FC06F3F">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65F44C7C">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10</w:t>
            </w:r>
          </w:p>
        </w:tc>
      </w:tr>
      <w:tr w14:paraId="790A5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3BA70612">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3188" w:type="dxa"/>
            <w:vAlign w:val="center"/>
          </w:tcPr>
          <w:p w14:paraId="2571FB1D">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黑体辐射源（高温）</w:t>
            </w:r>
          </w:p>
        </w:tc>
        <w:tc>
          <w:tcPr>
            <w:tcW w:w="846" w:type="dxa"/>
            <w:vAlign w:val="center"/>
          </w:tcPr>
          <w:p w14:paraId="5FBFA92E">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71508249">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7E733EFC">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18</w:t>
            </w:r>
          </w:p>
        </w:tc>
      </w:tr>
      <w:tr w14:paraId="4F051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6A42441E">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3188" w:type="dxa"/>
            <w:vAlign w:val="center"/>
          </w:tcPr>
          <w:p w14:paraId="49FCBA9C">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全站仪</w:t>
            </w:r>
          </w:p>
        </w:tc>
        <w:tc>
          <w:tcPr>
            <w:tcW w:w="846" w:type="dxa"/>
            <w:vAlign w:val="center"/>
          </w:tcPr>
          <w:p w14:paraId="0036D180">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2B03A0CF">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3A5E505D">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38</w:t>
            </w:r>
          </w:p>
        </w:tc>
      </w:tr>
    </w:tbl>
    <w:p w14:paraId="35564375">
      <w:pPr>
        <w:widowControl w:val="0"/>
        <w:numPr>
          <w:ilvl w:val="0"/>
          <w:numId w:val="0"/>
        </w:numPr>
        <w:pBdr>
          <w:top w:val="none" w:color="auto" w:sz="0" w:space="1"/>
          <w:left w:val="none" w:color="auto" w:sz="0" w:space="4"/>
          <w:bottom w:val="none" w:color="auto" w:sz="0" w:space="1"/>
          <w:right w:val="none" w:color="auto" w:sz="0" w:space="4"/>
        </w:pBdr>
        <w:spacing w:line="360" w:lineRule="auto"/>
        <w:ind w:firstLine="482" w:firstLineChars="200"/>
        <w:jc w:val="left"/>
        <w:rPr>
          <w:rFonts w:hint="eastAsia" w:ascii="宋体" w:hAnsi="宋体" w:eastAsia="宋体" w:cs="宋体"/>
          <w:b/>
          <w:bCs/>
          <w:color w:val="auto"/>
          <w:sz w:val="24"/>
          <w:szCs w:val="24"/>
          <w:highlight w:val="none"/>
          <w:lang w:val="en-US" w:eastAsia="zh-CN"/>
        </w:rPr>
      </w:pPr>
      <w:r>
        <w:rPr>
          <w:rFonts w:ascii="宋体" w:hAnsi="宋体" w:eastAsia="宋体" w:cs="宋体"/>
          <w:b/>
          <w:bCs/>
          <w:color w:val="auto"/>
          <w:sz w:val="24"/>
          <w:szCs w:val="24"/>
          <w:highlight w:val="none"/>
        </w:rPr>
        <w:t>★投标人填报的任意一项货物投标综合单价，超过对应分项单价最高限价的，否决投标。注：无单价限价的品目，不受本条单价约束。</w:t>
      </w:r>
    </w:p>
    <w:p w14:paraId="3359995D">
      <w:pPr>
        <w:pBdr>
          <w:top w:val="none" w:color="auto" w:sz="0" w:space="1"/>
          <w:left w:val="none" w:color="auto" w:sz="0" w:space="4"/>
          <w:bottom w:val="none" w:color="auto" w:sz="0" w:space="1"/>
          <w:right w:val="none" w:color="auto" w:sz="0" w:space="4"/>
        </w:pBdr>
        <w:spacing w:line="360" w:lineRule="auto"/>
        <w:ind w:firstLine="480" w:firstLineChars="200"/>
        <w:jc w:val="left"/>
        <w:rPr>
          <w:rFonts w:hint="eastAsia" w:ascii="宋体" w:hAnsi="宋体" w:eastAsia="宋体" w:cs="宋体"/>
          <w:b/>
          <w:color w:val="auto"/>
          <w:sz w:val="28"/>
          <w:szCs w:val="28"/>
          <w:highlight w:val="none"/>
        </w:rPr>
      </w:pPr>
      <w:r>
        <w:rPr>
          <w:rFonts w:hint="eastAsia" w:ascii="宋体" w:hAnsi="宋体" w:eastAsia="宋体"/>
          <w:b w:val="0"/>
          <w:bCs w:val="0"/>
          <w:color w:val="auto"/>
          <w:sz w:val="24"/>
          <w:szCs w:val="24"/>
          <w:highlight w:val="none"/>
        </w:rPr>
        <w:t>本项目核心产品为：</w:t>
      </w:r>
      <w:r>
        <w:rPr>
          <w:rFonts w:hint="eastAsia" w:ascii="宋体" w:hAnsi="宋体" w:cs="宋体"/>
          <w:bCs/>
          <w:color w:val="auto"/>
          <w:kern w:val="2"/>
          <w:sz w:val="24"/>
          <w:szCs w:val="24"/>
          <w:highlight w:val="none"/>
          <w:u w:val="single"/>
          <w:lang w:val="en-US" w:eastAsia="zh-CN"/>
        </w:rPr>
        <w:t>热电偶校准炉</w:t>
      </w:r>
      <w:r>
        <w:rPr>
          <w:rFonts w:hint="eastAsia" w:ascii="宋体" w:hAnsi="宋体" w:eastAsia="宋体"/>
          <w:b w:val="0"/>
          <w:bCs w:val="0"/>
          <w:color w:val="auto"/>
          <w:sz w:val="24"/>
          <w:szCs w:val="24"/>
          <w:highlight w:val="none"/>
        </w:rPr>
        <w:t>。</w:t>
      </w:r>
    </w:p>
    <w:p w14:paraId="239F95FB">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kern w:val="0"/>
          <w:sz w:val="28"/>
          <w:szCs w:val="28"/>
          <w:highlight w:val="none"/>
          <w:lang w:val="en-US" w:eastAsia="zh-CN"/>
        </w:rPr>
        <w:t>精密露点仪</w:t>
      </w:r>
    </w:p>
    <w:p w14:paraId="04AC9B6C">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eastAsia="zh-CN"/>
        </w:rPr>
      </w:pPr>
      <w:r>
        <w:rPr>
          <w:rFonts w:hint="default" w:ascii="宋体" w:hAnsi="宋体" w:eastAsia="宋体" w:cs="宋体"/>
          <w:b w:val="0"/>
          <w:bCs w:val="0"/>
          <w:color w:val="auto"/>
          <w:kern w:val="0"/>
          <w:sz w:val="24"/>
          <w:szCs w:val="24"/>
          <w:highlight w:val="none"/>
          <w:lang w:eastAsia="zh-CN"/>
        </w:rPr>
        <w:t>技术指标：</w:t>
      </w:r>
    </w:p>
    <w:p w14:paraId="7196DBB0">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eastAsia="zh-CN"/>
        </w:rPr>
      </w:pPr>
      <w:r>
        <w:rPr>
          <w:rFonts w:hint="default" w:ascii="宋体" w:hAnsi="宋体" w:eastAsia="宋体" w:cs="宋体"/>
          <w:b w:val="0"/>
          <w:bCs w:val="0"/>
          <w:color w:val="auto"/>
          <w:kern w:val="0"/>
          <w:sz w:val="24"/>
          <w:szCs w:val="24"/>
          <w:highlight w:val="none"/>
          <w:lang w:eastAsia="zh-CN"/>
        </w:rPr>
        <w:t>1</w:t>
      </w:r>
      <w:r>
        <w:rPr>
          <w:rFonts w:hint="default"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eastAsia="zh-CN"/>
        </w:rPr>
        <w:t>露点范围：（-25～+90）℃</w:t>
      </w:r>
    </w:p>
    <w:p w14:paraId="62D833E7">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default" w:ascii="宋体" w:hAnsi="宋体" w:eastAsia="宋体" w:cs="宋体"/>
          <w:b w:val="0"/>
          <w:bCs w:val="0"/>
          <w:color w:val="auto"/>
          <w:kern w:val="0"/>
          <w:sz w:val="24"/>
          <w:szCs w:val="24"/>
          <w:highlight w:val="none"/>
          <w:lang w:eastAsia="zh-CN"/>
        </w:rPr>
        <w:t>2.露点测量精度：±0.15℃</w:t>
      </w:r>
    </w:p>
    <w:p w14:paraId="3E1590AD">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eastAsia="zh-CN"/>
        </w:rPr>
      </w:pPr>
      <w:r>
        <w:rPr>
          <w:rFonts w:hint="default" w:ascii="宋体" w:hAnsi="宋体" w:eastAsia="宋体" w:cs="宋体"/>
          <w:b w:val="0"/>
          <w:bCs w:val="0"/>
          <w:color w:val="auto"/>
          <w:kern w:val="0"/>
          <w:sz w:val="24"/>
          <w:szCs w:val="24"/>
          <w:highlight w:val="none"/>
          <w:lang w:eastAsia="zh-CN"/>
        </w:rPr>
        <w:t>3</w:t>
      </w:r>
      <w:r>
        <w:rPr>
          <w:rFonts w:hint="default"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eastAsia="zh-CN"/>
        </w:rPr>
        <w:t>温度范围：（-40～+90）℃</w:t>
      </w:r>
    </w:p>
    <w:p w14:paraId="22C70D6C">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default" w:ascii="宋体" w:hAnsi="宋体" w:eastAsia="宋体" w:cs="宋体"/>
          <w:b w:val="0"/>
          <w:bCs w:val="0"/>
          <w:color w:val="auto"/>
          <w:kern w:val="0"/>
          <w:sz w:val="24"/>
          <w:szCs w:val="24"/>
          <w:highlight w:val="none"/>
          <w:lang w:eastAsia="zh-CN"/>
        </w:rPr>
        <w:t>4.温度测量精度：±0.1℃</w:t>
      </w:r>
    </w:p>
    <w:p w14:paraId="199A520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eastAsia="zh-CN"/>
        </w:rPr>
      </w:pPr>
      <w:r>
        <w:rPr>
          <w:rFonts w:hint="default" w:ascii="宋体" w:hAnsi="宋体" w:eastAsia="宋体" w:cs="宋体"/>
          <w:b w:val="0"/>
          <w:bCs w:val="0"/>
          <w:color w:val="auto"/>
          <w:kern w:val="0"/>
          <w:sz w:val="24"/>
          <w:szCs w:val="24"/>
          <w:highlight w:val="none"/>
          <w:lang w:eastAsia="zh-CN"/>
        </w:rPr>
        <w:t>5</w:t>
      </w:r>
      <w:r>
        <w:rPr>
          <w:rFonts w:hint="default"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eastAsia="zh-CN"/>
        </w:rPr>
        <w:t>重复性：±0.05℃</w:t>
      </w:r>
    </w:p>
    <w:p w14:paraId="14C08BD7">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eastAsia="zh-CN"/>
        </w:rPr>
      </w:pPr>
      <w:r>
        <w:rPr>
          <w:rFonts w:hint="default" w:ascii="宋体" w:hAnsi="宋体" w:eastAsia="宋体" w:cs="宋体"/>
          <w:b w:val="0"/>
          <w:bCs w:val="0"/>
          <w:color w:val="auto"/>
          <w:kern w:val="0"/>
          <w:sz w:val="24"/>
          <w:szCs w:val="24"/>
          <w:highlight w:val="none"/>
          <w:lang w:eastAsia="zh-CN"/>
        </w:rPr>
        <w:t>6</w:t>
      </w:r>
      <w:r>
        <w:rPr>
          <w:rFonts w:hint="default"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eastAsia="zh-CN"/>
        </w:rPr>
        <w:t>灵敏性：±0.01℃</w:t>
      </w:r>
    </w:p>
    <w:p w14:paraId="68D18FEE">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default" w:ascii="宋体" w:hAnsi="宋体" w:eastAsia="宋体" w:cs="宋体"/>
          <w:b w:val="0"/>
          <w:bCs w:val="0"/>
          <w:color w:val="auto"/>
          <w:kern w:val="0"/>
          <w:sz w:val="24"/>
          <w:szCs w:val="24"/>
          <w:highlight w:val="none"/>
          <w:lang w:eastAsia="zh-CN"/>
        </w:rPr>
        <w:t>7.准确度等级：二级</w:t>
      </w:r>
    </w:p>
    <w:p w14:paraId="3CA1873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eastAsia="zh-CN"/>
        </w:rPr>
      </w:pPr>
      <w:r>
        <w:rPr>
          <w:rFonts w:hint="default" w:ascii="宋体" w:hAnsi="宋体" w:eastAsia="宋体" w:cs="宋体"/>
          <w:b w:val="0"/>
          <w:bCs w:val="0"/>
          <w:color w:val="auto"/>
          <w:kern w:val="0"/>
          <w:sz w:val="24"/>
          <w:szCs w:val="24"/>
          <w:highlight w:val="none"/>
          <w:lang w:eastAsia="zh-CN"/>
        </w:rPr>
        <w:t>8</w:t>
      </w:r>
      <w:r>
        <w:rPr>
          <w:rFonts w:hint="default"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eastAsia="zh-CN"/>
        </w:rPr>
        <w:t>响应时间：1分钟+10℃dp稳定测量</w:t>
      </w:r>
    </w:p>
    <w:p w14:paraId="00CF0F29">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eastAsia="zh-CN"/>
        </w:rPr>
      </w:pPr>
      <w:r>
        <w:rPr>
          <w:rFonts w:hint="default" w:ascii="宋体" w:hAnsi="宋体" w:eastAsia="宋体" w:cs="宋体"/>
          <w:b w:val="0"/>
          <w:bCs w:val="0"/>
          <w:color w:val="auto"/>
          <w:kern w:val="0"/>
          <w:sz w:val="24"/>
          <w:szCs w:val="24"/>
          <w:highlight w:val="none"/>
          <w:lang w:eastAsia="zh-CN"/>
        </w:rPr>
        <w:t>9</w:t>
      </w:r>
      <w:r>
        <w:rPr>
          <w:rFonts w:hint="default"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eastAsia="zh-CN"/>
        </w:rPr>
        <w:t>传感器要求：Pt1000温度传感器，1/10DIN，A级</w:t>
      </w:r>
    </w:p>
    <w:p w14:paraId="0B5B7DD6">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kern w:val="0"/>
          <w:sz w:val="28"/>
          <w:szCs w:val="28"/>
          <w:highlight w:val="none"/>
          <w:lang w:val="en-US" w:eastAsia="zh-CN"/>
        </w:rPr>
        <w:t>标准铂铑10-铂热电偶</w:t>
      </w:r>
    </w:p>
    <w:p w14:paraId="58B6276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1.温度范围：0~1084.62℃</w:t>
      </w:r>
    </w:p>
    <w:p w14:paraId="5D576DD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2.分度号：S</w:t>
      </w:r>
    </w:p>
    <w:p w14:paraId="150C94C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电极尺寸：φ0.5mm，长度不小于1000mm</w:t>
      </w:r>
    </w:p>
    <w:p w14:paraId="5A31066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4.等级：一等</w:t>
      </w:r>
    </w:p>
    <w:p w14:paraId="241A6C1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5</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保护管材质：石英</w:t>
      </w:r>
    </w:p>
    <w:p w14:paraId="5B42B7F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6</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保护管尺寸：φ7mmX550mm</w:t>
      </w:r>
    </w:p>
    <w:p w14:paraId="37E7EDB9">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7.</w:t>
      </w:r>
      <w:r>
        <w:rPr>
          <w:rFonts w:hint="eastAsia" w:ascii="宋体" w:hAnsi="宋体" w:eastAsia="宋体" w:cs="宋体"/>
          <w:b w:val="0"/>
          <w:bCs w:val="0"/>
          <w:color w:val="auto"/>
          <w:kern w:val="0"/>
          <w:sz w:val="24"/>
          <w:szCs w:val="24"/>
          <w:highlight w:val="none"/>
          <w:lang w:eastAsia="zh-CN"/>
        </w:rPr>
        <w:t>符合JJG75-2022《标准铂铑10-铂热电偶》</w:t>
      </w:r>
    </w:p>
    <w:p w14:paraId="4789B435">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kern w:val="0"/>
          <w:sz w:val="28"/>
          <w:szCs w:val="28"/>
          <w:highlight w:val="none"/>
          <w:lang w:val="en-US" w:eastAsia="zh-CN"/>
        </w:rPr>
        <w:t>热电偶校准炉</w:t>
      </w:r>
    </w:p>
    <w:p w14:paraId="6374CDB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热电偶校准炉</w:t>
      </w:r>
      <w:r>
        <w:rPr>
          <w:rFonts w:hint="eastAsia" w:ascii="宋体" w:hAnsi="宋体" w:eastAsia="宋体" w:cs="宋体"/>
          <w:b w:val="0"/>
          <w:bCs w:val="0"/>
          <w:color w:val="auto"/>
          <w:kern w:val="0"/>
          <w:sz w:val="24"/>
          <w:szCs w:val="24"/>
          <w:highlight w:val="none"/>
          <w:lang w:eastAsia="zh-CN"/>
        </w:rPr>
        <w:t>技术要求：</w:t>
      </w:r>
    </w:p>
    <w:p w14:paraId="3DBA5EE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1.测量范围：800~</w:t>
      </w:r>
      <w:r>
        <w:rPr>
          <w:rFonts w:hint="eastAsia" w:ascii="宋体" w:hAnsi="宋体" w:cs="宋体"/>
          <w:b w:val="0"/>
          <w:bCs w:val="0"/>
          <w:color w:val="auto"/>
          <w:kern w:val="0"/>
          <w:sz w:val="24"/>
          <w:szCs w:val="24"/>
          <w:highlight w:val="none"/>
          <w:lang w:val="en-US" w:eastAsia="zh-CN"/>
        </w:rPr>
        <w:t>12</w:t>
      </w:r>
      <w:r>
        <w:rPr>
          <w:rFonts w:hint="eastAsia" w:ascii="宋体" w:hAnsi="宋体" w:eastAsia="宋体" w:cs="宋体"/>
          <w:b w:val="0"/>
          <w:bCs w:val="0"/>
          <w:color w:val="auto"/>
          <w:kern w:val="0"/>
          <w:sz w:val="24"/>
          <w:szCs w:val="24"/>
          <w:highlight w:val="none"/>
          <w:lang w:eastAsia="zh-CN"/>
        </w:rPr>
        <w:t>00℃</w:t>
      </w:r>
    </w:p>
    <w:p w14:paraId="677C02D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2.均匀温场：最高温度点偏离炉几何中心&lt;20mm，±20mm温度梯度&lt;0.4℃；</w:t>
      </w:r>
    </w:p>
    <w:p w14:paraId="13565A5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eastAsia="zh-CN"/>
        </w:rPr>
        <w:t>外形尺寸：600X280X520mm</w:t>
      </w:r>
    </w:p>
    <w:p w14:paraId="2EF6697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lang w:eastAsia="zh-CN"/>
        </w:rPr>
        <w:t>炉膛尺寸：φ20X600mm</w:t>
      </w:r>
    </w:p>
    <w:p w14:paraId="7FBBFAA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5</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额定功率：4500W</w:t>
      </w:r>
    </w:p>
    <w:p w14:paraId="611425F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6</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额定电压：单相220V</w:t>
      </w:r>
    </w:p>
    <w:p w14:paraId="051FF8C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7</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整机重量：小于70KG（含电源）</w:t>
      </w:r>
    </w:p>
    <w:p w14:paraId="4274505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8</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结构形式：电源、炉体一体设计</w:t>
      </w:r>
    </w:p>
    <w:p w14:paraId="125FD7D4">
      <w:pPr>
        <w:keepNext w:val="0"/>
        <w:keepLines w:val="0"/>
        <w:pageBreakBefore w:val="0"/>
        <w:kinsoku/>
        <w:wordWrap/>
        <w:overflowPunct/>
        <w:topLinePunct w:val="0"/>
        <w:bidi w:val="0"/>
        <w:snapToGrid/>
        <w:spacing w:after="0" w:line="560" w:lineRule="exact"/>
        <w:ind w:firstLine="482" w:firstLineChars="200"/>
        <w:jc w:val="left"/>
        <w:textAlignment w:val="auto"/>
        <w:rPr>
          <w:rFonts w:hint="eastAsia" w:ascii="宋体" w:hAnsi="宋体" w:eastAsia="宋体" w:cs="宋体"/>
          <w:b w:val="0"/>
          <w:bCs w:val="0"/>
          <w:color w:val="auto"/>
          <w:kern w:val="0"/>
          <w:sz w:val="24"/>
          <w:szCs w:val="24"/>
          <w:highlight w:val="none"/>
          <w:lang w:eastAsia="zh-CN"/>
        </w:rPr>
      </w:pPr>
      <w:r>
        <w:rPr>
          <w:rStyle w:val="39"/>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9</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满足：《JJF1184-2024热电偶检定炉温度场测试技术规范》检定规程</w:t>
      </w:r>
    </w:p>
    <w:p w14:paraId="30EADC15">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（四）</w:t>
      </w:r>
      <w:r>
        <w:rPr>
          <w:rFonts w:hint="eastAsia" w:ascii="宋体" w:hAnsi="宋体" w:eastAsia="宋体" w:cs="宋体"/>
          <w:b/>
          <w:color w:val="auto"/>
          <w:kern w:val="0"/>
          <w:sz w:val="28"/>
          <w:szCs w:val="28"/>
          <w:highlight w:val="none"/>
          <w:lang w:val="en-US" w:eastAsia="zh-CN"/>
        </w:rPr>
        <w:t>冰点恒温器</w:t>
      </w:r>
    </w:p>
    <w:p w14:paraId="2B7CD77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技术指标：</w:t>
      </w:r>
    </w:p>
    <w:p w14:paraId="7B4DF36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1.显示分辨力：0.001℃</w:t>
      </w:r>
    </w:p>
    <w:p w14:paraId="175B9DC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2.准确度：0℃±0.03℃</w:t>
      </w:r>
    </w:p>
    <w:p w14:paraId="6C4CB1C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最大孔间差：0.01℃</w:t>
      </w:r>
    </w:p>
    <w:p w14:paraId="39934C2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4</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室温降至0℃：约12min</w:t>
      </w:r>
    </w:p>
    <w:p w14:paraId="742D571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5</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插入深度：200mm</w:t>
      </w:r>
    </w:p>
    <w:p w14:paraId="3E7A2DA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6</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开孔尺寸：φ8mm×5个</w:t>
      </w:r>
    </w:p>
    <w:p w14:paraId="37701A93">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（五）</w:t>
      </w:r>
      <w:r>
        <w:rPr>
          <w:rFonts w:hint="eastAsia" w:ascii="宋体" w:hAnsi="宋体" w:eastAsia="宋体" w:cs="宋体"/>
          <w:b/>
          <w:color w:val="auto"/>
          <w:kern w:val="0"/>
          <w:sz w:val="28"/>
          <w:szCs w:val="28"/>
          <w:highlight w:val="none"/>
          <w:lang w:val="en-US" w:eastAsia="zh-CN"/>
        </w:rPr>
        <w:t>温湿度实验设备自动检定系统一</w:t>
      </w:r>
    </w:p>
    <w:p w14:paraId="23F6372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技术参数：</w:t>
      </w:r>
    </w:p>
    <w:p w14:paraId="0DA49E5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lang w:eastAsia="zh-CN"/>
        </w:rPr>
        <w:t>无线温度采集主机</w:t>
      </w:r>
    </w:p>
    <w:p w14:paraId="2237FE5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温度通道数：10个通道；</w:t>
      </w:r>
    </w:p>
    <w:p w14:paraId="43C3326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温度测量范围：（-80~300）℃；分辨力：0.01℃；最大允许误差：±（0.15℃+0.002|t|）；</w:t>
      </w:r>
    </w:p>
    <w:p w14:paraId="69F573B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传感器：A级，Pt100，4线制，引线长5米，引线长度可定制。</w:t>
      </w:r>
    </w:p>
    <w:p w14:paraId="6C5B337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1.4</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通讯接口：Zigbee，蓝牙；</w:t>
      </w:r>
    </w:p>
    <w:p w14:paraId="1186FAD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1.5</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数据存储：记录数据容量不小于200万组；</w:t>
      </w:r>
    </w:p>
    <w:p w14:paraId="325B807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2.无线温湿度采集主机</w:t>
      </w:r>
    </w:p>
    <w:p w14:paraId="5209AEA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湿度通道：5个湿度通道；</w:t>
      </w:r>
    </w:p>
    <w:p w14:paraId="0021970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2.2.湿度测量范围：0%～100%RH（无冷凝），分辨率0.1%RH，精度±2%RH；</w:t>
      </w:r>
    </w:p>
    <w:p w14:paraId="2F2C32E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2.3.传感器：高精度温湿度探头（品牌不限，须满足本文件精度要求），引线长5米，引线长度可定制。</w:t>
      </w:r>
    </w:p>
    <w:p w14:paraId="0C61941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2.4</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数据传输：支持手机远程进行数据采集控制和数据读取；</w:t>
      </w:r>
    </w:p>
    <w:p w14:paraId="4AA8B57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2.5</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数据显示：支持液晶屏显示实时测量数据；</w:t>
      </w:r>
    </w:p>
    <w:p w14:paraId="53CA7E3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3.温度、湿度采集主机均支持屏幕实时显示温湿度数据；</w:t>
      </w:r>
    </w:p>
    <w:p w14:paraId="2A43F18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lang w:eastAsia="zh-CN"/>
        </w:rPr>
        <w:t>采用不低于1500mAh锂电池供电，满电连续运行时间不低于500小时，充电接口为Type-C接口；</w:t>
      </w:r>
    </w:p>
    <w:p w14:paraId="44C4D44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温湿度采集主机便携设计，便于现场携带使用；</w:t>
      </w:r>
    </w:p>
    <w:p w14:paraId="532DBE4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采集主机支持无线数据传输，可组网采集，组网接入数量不少于 32 台；</w:t>
      </w:r>
    </w:p>
    <w:p w14:paraId="3D8168D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探头支持无线通讯，可现场设置参数、实时查看测量数据；可导出 Excel 格式历史数据；可输出符合 JJF1101-2019《环境试验设备温度、湿度参数校准规范》要求的原始数据及校准报告；</w:t>
      </w:r>
    </w:p>
    <w:p w14:paraId="1125CF3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配置便携式无线数据处理终端，触控显示，可将测量数据实时上传云端服务器；支持电脑、手机远程访问查看实时数据与历史数据。</w:t>
      </w:r>
    </w:p>
    <w:p w14:paraId="1F5E0FAE">
      <w:pPr>
        <w:keepNext w:val="0"/>
        <w:keepLines w:val="0"/>
        <w:pageBreakBefore w:val="0"/>
        <w:kinsoku/>
        <w:wordWrap/>
        <w:overflowPunct/>
        <w:topLinePunct w:val="0"/>
        <w:bidi w:val="0"/>
        <w:snapToGrid/>
        <w:spacing w:after="0" w:line="560" w:lineRule="exact"/>
        <w:ind w:firstLine="482" w:firstLineChars="200"/>
        <w:jc w:val="left"/>
        <w:textAlignment w:val="auto"/>
        <w:rPr>
          <w:rFonts w:hint="eastAsia" w:ascii="宋体" w:hAnsi="宋体" w:eastAsia="宋体" w:cs="宋体"/>
          <w:b w:val="0"/>
          <w:bCs w:val="0"/>
          <w:color w:val="auto"/>
          <w:kern w:val="0"/>
          <w:sz w:val="24"/>
          <w:szCs w:val="24"/>
          <w:highlight w:val="none"/>
          <w:lang w:eastAsia="zh-CN"/>
        </w:rPr>
      </w:pPr>
      <w:r>
        <w:rPr>
          <w:rStyle w:val="39"/>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9.</w:t>
      </w:r>
      <w:r>
        <w:rPr>
          <w:rFonts w:hint="eastAsia" w:ascii="宋体" w:hAnsi="宋体" w:eastAsia="宋体" w:cs="宋体"/>
          <w:b w:val="0"/>
          <w:bCs w:val="0"/>
          <w:color w:val="auto"/>
          <w:kern w:val="0"/>
          <w:sz w:val="24"/>
          <w:szCs w:val="24"/>
          <w:highlight w:val="none"/>
          <w:lang w:eastAsia="zh-CN"/>
        </w:rPr>
        <w:t>符合JJF1101-2019《环境试验设备温度、湿度参数校准规范》、JJF2119-2024《低气压试验箱校准规范》</w:t>
      </w:r>
    </w:p>
    <w:p w14:paraId="219B676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配置清单：</w:t>
      </w:r>
    </w:p>
    <w:p w14:paraId="06C222C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lang w:eastAsia="zh-CN"/>
        </w:rPr>
        <w:t>无线温度采集主机*2台</w:t>
      </w:r>
    </w:p>
    <w:p w14:paraId="5DD532E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2.无线温湿度采集主机*1台</w:t>
      </w:r>
    </w:p>
    <w:p w14:paraId="62F326C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3.高精度温湿度探头*5个</w:t>
      </w:r>
    </w:p>
    <w:p w14:paraId="2D06088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4.3米PT100温度探头20支</w:t>
      </w:r>
    </w:p>
    <w:p w14:paraId="479C8F4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5.无线接收器*2个</w:t>
      </w:r>
    </w:p>
    <w:p w14:paraId="45B1447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6.用测试分析软件×1套</w:t>
      </w:r>
    </w:p>
    <w:p w14:paraId="4D376752">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（六）</w:t>
      </w:r>
      <w:r>
        <w:rPr>
          <w:rFonts w:hint="eastAsia" w:ascii="宋体" w:hAnsi="宋体" w:eastAsia="宋体" w:cs="宋体"/>
          <w:b/>
          <w:color w:val="auto"/>
          <w:kern w:val="0"/>
          <w:sz w:val="28"/>
          <w:szCs w:val="28"/>
          <w:highlight w:val="none"/>
          <w:lang w:val="en-US" w:eastAsia="zh-CN"/>
        </w:rPr>
        <w:t>温湿度实验设备自动检定系统二</w:t>
      </w:r>
    </w:p>
    <w:p w14:paraId="599B66D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技术参数：</w:t>
      </w:r>
    </w:p>
    <w:p w14:paraId="228504D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lang w:eastAsia="zh-CN"/>
        </w:rPr>
        <w:t>湿度测量范围：5%～95%RH（无冷凝），分辨率0.1%RH，精度±2%RH</w:t>
      </w:r>
    </w:p>
    <w:p w14:paraId="2AB4223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2.温度测量范围：-40℃～100℃，分辨率0.01℃，精度±0.1℃</w:t>
      </w:r>
    </w:p>
    <w:p w14:paraId="0A248AE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eastAsia="zh-CN"/>
        </w:rPr>
        <w:t>采集频率：1次/秒～1次/24小时</w:t>
      </w:r>
    </w:p>
    <w:p w14:paraId="40A5496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4.存储数据：≥5万组</w:t>
      </w:r>
    </w:p>
    <w:p w14:paraId="1BBB33D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lang w:eastAsia="zh-CN"/>
        </w:rPr>
        <w:t>传输方式：无线实时传输，支持无线组网；</w:t>
      </w:r>
    </w:p>
    <w:p w14:paraId="5971CE4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6.内置耐高温锂电池，可自行更换，电池寿命≥2年；</w:t>
      </w:r>
    </w:p>
    <w:p w14:paraId="1BAC1E4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7.探头温湿度一体，主体尺寸直径不大于35mm，高度不大于30mm，便于放置于空间狭小的被检设备内；</w:t>
      </w:r>
    </w:p>
    <w:p w14:paraId="0B5B508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8.探头具备通用传感器接口，便于插拔更换；</w:t>
      </w:r>
    </w:p>
    <w:p w14:paraId="343AC41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9.软件功能：支持输出JJF1564-2016《温湿度标准箱校准规范》报告</w:t>
      </w:r>
    </w:p>
    <w:p w14:paraId="2306A32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10.同时支持通过蓝牙和Zigbee无线数据实时传输；支持通过手机APP和微信小程序控制启停和数据实时查看；</w:t>
      </w:r>
    </w:p>
    <w:p w14:paraId="23D770D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11.</w:t>
      </w:r>
      <w:r>
        <w:rPr>
          <w:rFonts w:hint="eastAsia" w:ascii="宋体" w:hAnsi="宋体" w:eastAsia="宋体" w:cs="宋体"/>
          <w:b w:val="0"/>
          <w:bCs w:val="0"/>
          <w:color w:val="auto"/>
          <w:kern w:val="0"/>
          <w:sz w:val="24"/>
          <w:szCs w:val="24"/>
          <w:highlight w:val="none"/>
          <w:lang w:eastAsia="zh-CN"/>
        </w:rPr>
        <w:t>软件支持无线实时数据采集；支持数据实时显示、数据分析、报告输出，支持远程升级和维护，支持云端数据管理；</w:t>
      </w:r>
    </w:p>
    <w:p w14:paraId="21A1AD72">
      <w:pPr>
        <w:keepNext w:val="0"/>
        <w:keepLines w:val="0"/>
        <w:pageBreakBefore w:val="0"/>
        <w:kinsoku/>
        <w:wordWrap/>
        <w:overflowPunct/>
        <w:topLinePunct w:val="0"/>
        <w:bidi w:val="0"/>
        <w:snapToGrid/>
        <w:spacing w:after="0" w:line="560" w:lineRule="exact"/>
        <w:ind w:firstLine="482" w:firstLineChars="200"/>
        <w:jc w:val="left"/>
        <w:textAlignment w:val="auto"/>
        <w:rPr>
          <w:rFonts w:hint="eastAsia" w:ascii="宋体" w:hAnsi="宋体" w:eastAsia="宋体" w:cs="宋体"/>
          <w:b w:val="0"/>
          <w:bCs w:val="0"/>
          <w:color w:val="auto"/>
          <w:kern w:val="0"/>
          <w:sz w:val="24"/>
          <w:szCs w:val="24"/>
          <w:highlight w:val="none"/>
          <w:lang w:eastAsia="zh-CN"/>
        </w:rPr>
      </w:pPr>
      <w:r>
        <w:rPr>
          <w:rStyle w:val="39"/>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12.</w:t>
      </w:r>
      <w:r>
        <w:rPr>
          <w:rFonts w:hint="eastAsia" w:ascii="宋体" w:hAnsi="宋体" w:eastAsia="宋体" w:cs="宋体"/>
          <w:b w:val="0"/>
          <w:bCs w:val="0"/>
          <w:color w:val="auto"/>
          <w:kern w:val="0"/>
          <w:sz w:val="24"/>
          <w:szCs w:val="24"/>
          <w:highlight w:val="none"/>
          <w:lang w:eastAsia="zh-CN"/>
        </w:rPr>
        <w:t>符合JJF1101-2019《环境试验设备温度、湿度参数校准规范》、JJF2119-2024《低气压试验箱校准规范》</w:t>
      </w:r>
    </w:p>
    <w:p w14:paraId="2116D55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配置清单：</w:t>
      </w:r>
    </w:p>
    <w:p w14:paraId="6D4A9ED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1.无线实时温湿度探头（含高精度温湿度探头）9个</w:t>
      </w:r>
    </w:p>
    <w:p w14:paraId="71EEED7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2.无线接收器1个</w:t>
      </w:r>
    </w:p>
    <w:p w14:paraId="2A92F59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3.专用数据分析软件1套</w:t>
      </w:r>
    </w:p>
    <w:p w14:paraId="0A5EADA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4.手机APP软件1套</w:t>
      </w:r>
    </w:p>
    <w:p w14:paraId="569F006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5.数据处理装置：处理器主频不低于3.0GHz、四核及以上（CPU及操作系统须符合安全可靠测评要求），内存不低于16G，固态硬盘不小于1000G</w:t>
      </w:r>
    </w:p>
    <w:p w14:paraId="715DCCC6">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（七）</w:t>
      </w:r>
      <w:r>
        <w:rPr>
          <w:rFonts w:hint="eastAsia" w:ascii="宋体" w:hAnsi="宋体" w:eastAsia="宋体" w:cs="宋体"/>
          <w:b/>
          <w:color w:val="auto"/>
          <w:kern w:val="0"/>
          <w:sz w:val="28"/>
          <w:szCs w:val="28"/>
          <w:highlight w:val="none"/>
          <w:lang w:val="en-US" w:eastAsia="zh-CN"/>
        </w:rPr>
        <w:t>黑体辐射源（低温）</w:t>
      </w:r>
    </w:p>
    <w:p w14:paraId="622F079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技术指标：</w:t>
      </w:r>
    </w:p>
    <w:p w14:paraId="02CB9CE0">
      <w:pPr>
        <w:keepNext w:val="0"/>
        <w:keepLines w:val="0"/>
        <w:pageBreakBefore w:val="0"/>
        <w:kinsoku/>
        <w:wordWrap/>
        <w:overflowPunct/>
        <w:topLinePunct w:val="0"/>
        <w:bidi w:val="0"/>
        <w:snapToGrid/>
        <w:spacing w:after="0" w:line="560" w:lineRule="exact"/>
        <w:ind w:firstLine="482" w:firstLineChars="200"/>
        <w:jc w:val="left"/>
        <w:textAlignment w:val="auto"/>
        <w:rPr>
          <w:rFonts w:hint="eastAsia" w:ascii="宋体" w:hAnsi="宋体" w:eastAsia="宋体" w:cs="宋体"/>
          <w:b w:val="0"/>
          <w:bCs w:val="0"/>
          <w:color w:val="auto"/>
          <w:kern w:val="0"/>
          <w:sz w:val="24"/>
          <w:szCs w:val="24"/>
          <w:highlight w:val="none"/>
          <w:lang w:eastAsia="zh-CN"/>
        </w:rPr>
      </w:pPr>
      <w:r>
        <w:rPr>
          <w:rStyle w:val="39"/>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本设备符合《JJG856-2015工作用辐射温度计检定规程》辐射源的要求；</w:t>
      </w:r>
    </w:p>
    <w:p w14:paraId="58E66B6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温度范围：（-30～100）℃；</w:t>
      </w:r>
    </w:p>
    <w:p w14:paraId="329466E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腔体结构为圆球型腔；</w:t>
      </w:r>
    </w:p>
    <w:p w14:paraId="4E20A0D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4</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腔口直径：Φ50mm；</w:t>
      </w:r>
    </w:p>
    <w:p w14:paraId="0D71B30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5</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发射率:优于0.998；</w:t>
      </w:r>
    </w:p>
    <w:p w14:paraId="22D8A24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6</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温度分辨率:0.01℃全量程；</w:t>
      </w:r>
    </w:p>
    <w:p w14:paraId="34338C9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7</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稳定性:不大于（0.1%t℃或0.1℃的大者）/10min；</w:t>
      </w:r>
    </w:p>
    <w:p w14:paraId="5C1904F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8</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均匀性:不大于±（0.15℃或0.15%t的大者）；</w:t>
      </w:r>
    </w:p>
    <w:p w14:paraId="6BF50B3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9</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设备具备有效的防结霜功能，满足低温环境连续稳定运行要求；</w:t>
      </w:r>
    </w:p>
    <w:p w14:paraId="4282485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▲10</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温场均匀性好，黑体辐射源中心区域不小于φ35mm范围温度分布；</w:t>
      </w:r>
    </w:p>
    <w:p w14:paraId="4B32599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设备配备高效制冷加热系统，温场可完全包裹黑体腔体，有效工作区域的温度均匀度、温度波动度满足招标文件规定技术指标；</w:t>
      </w:r>
    </w:p>
    <w:p w14:paraId="1B6BC8B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12.具备校准波长调整功能（0.66～14）μm，可调整当前辐射源亮度温度；</w:t>
      </w:r>
    </w:p>
    <w:p w14:paraId="13DB904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13.具备校准发射率调整功能（0.8～1.0），可调整当前辐射源亮度温度；</w:t>
      </w:r>
    </w:p>
    <w:p w14:paraId="6A47F61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14.黑体腔体采用一体式定制材料球型结构，涂层在0℃低温条件下应不易破损、无剥落、附着力好；</w:t>
      </w:r>
    </w:p>
    <w:p w14:paraId="4B3596C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▲15.温度控制器应采用控温精度高、温度漂移小的高精度温控仪表（品牌不限）；</w:t>
      </w:r>
    </w:p>
    <w:p w14:paraId="731D9AF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16.升温/降温操作应简便快捷，具备防误操作设计；</w:t>
      </w:r>
    </w:p>
    <w:p w14:paraId="629BCD1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17</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整体设计有高低温超温保护、介质溢出口，保护制冷机在正常范围内工作；</w:t>
      </w:r>
    </w:p>
    <w:p w14:paraId="6698A21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18</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配有标准铂电阻5个位置插孔盖板，测试温场均匀性、波动度；</w:t>
      </w:r>
    </w:p>
    <w:p w14:paraId="1790B99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19</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带通讯接口，可二次开发，实现计量装置的自动测试；</w:t>
      </w:r>
    </w:p>
    <w:p w14:paraId="26A0988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20</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工作介质：防冻液；</w:t>
      </w:r>
    </w:p>
    <w:p w14:paraId="4846E7B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供电电源：(220±22)V，50Hz；</w:t>
      </w:r>
    </w:p>
    <w:p w14:paraId="0A4ECE9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功率约4kW；</w:t>
      </w:r>
    </w:p>
    <w:p w14:paraId="2E06E48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环境温度：18℃-25℃；</w:t>
      </w:r>
    </w:p>
    <w:p w14:paraId="656F212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24</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相对湿度：20%～85%；</w:t>
      </w:r>
    </w:p>
    <w:p w14:paraId="0F240FC3">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25</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额定工作条件：环境温度（5～40）℃，湿度85%RH以下；</w:t>
      </w:r>
    </w:p>
    <w:p w14:paraId="1FA1C422">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（八）</w:t>
      </w:r>
      <w:r>
        <w:rPr>
          <w:rFonts w:hint="eastAsia" w:ascii="宋体" w:hAnsi="宋体" w:eastAsia="宋体" w:cs="宋体"/>
          <w:b/>
          <w:color w:val="auto"/>
          <w:kern w:val="0"/>
          <w:sz w:val="28"/>
          <w:szCs w:val="28"/>
          <w:highlight w:val="none"/>
          <w:lang w:val="en-US" w:eastAsia="zh-CN"/>
        </w:rPr>
        <w:t>黑体辐射源（中温）</w:t>
      </w:r>
    </w:p>
    <w:p w14:paraId="46BE3AE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技术指标：</w:t>
      </w:r>
    </w:p>
    <w:p w14:paraId="0D30585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本设备符合《JJG856-2015工作用辐射温度计检定规程》的对黑体辐射源要求。</w:t>
      </w:r>
    </w:p>
    <w:p w14:paraId="33AE639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2.该设备应能作为工作用辐射温度计的参考辐射源使用，满足本项目计量性能要求；</w:t>
      </w:r>
    </w:p>
    <w:p w14:paraId="2EFBABD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温度范围（50～700）℃</w:t>
      </w:r>
    </w:p>
    <w:p w14:paraId="3718471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4</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腔体结构为圆球型；</w:t>
      </w:r>
    </w:p>
    <w:p w14:paraId="6C38695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5</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腔口直径</w:t>
      </w:r>
      <w:r>
        <w:rPr>
          <w:rFonts w:hint="eastAsia" w:ascii="宋体" w:hAnsi="宋体" w:eastAsia="宋体" w:cs="宋体"/>
          <w:b w:val="0"/>
          <w:bCs w:val="0"/>
          <w:color w:val="auto"/>
          <w:kern w:val="0"/>
          <w:sz w:val="24"/>
          <w:szCs w:val="24"/>
          <w:highlight w:val="none"/>
          <w:lang w:eastAsia="zh-CN"/>
        </w:rPr>
        <w:tab/>
      </w:r>
      <w:r>
        <w:rPr>
          <w:rFonts w:hint="eastAsia" w:ascii="宋体" w:hAnsi="宋体" w:eastAsia="宋体" w:cs="宋体"/>
          <w:b w:val="0"/>
          <w:bCs w:val="0"/>
          <w:color w:val="auto"/>
          <w:kern w:val="0"/>
          <w:sz w:val="24"/>
          <w:szCs w:val="24"/>
          <w:highlight w:val="none"/>
          <w:lang w:eastAsia="zh-CN"/>
        </w:rPr>
        <w:t>Φ65mm</w:t>
      </w:r>
    </w:p>
    <w:p w14:paraId="1CECBB9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6</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发射率高：优于0.998；</w:t>
      </w:r>
    </w:p>
    <w:p w14:paraId="28C1511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7</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稳定性：不大于（0.1℃与0.1%t℃的大者）/10min</w:t>
      </w:r>
    </w:p>
    <w:p w14:paraId="6423043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8</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均匀性：不大于±（0.15℃与0.15%t）的大者</w:t>
      </w:r>
    </w:p>
    <w:p w14:paraId="2A79A2F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▲9</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温度分辨率：0.1℃与0.01℃可切换</w:t>
      </w:r>
    </w:p>
    <w:p w14:paraId="03F408A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10.具备校准波长调整功能（0.66～14）μm，可调整当前辐射源亮度温度；</w:t>
      </w:r>
    </w:p>
    <w:p w14:paraId="481FCBE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11.具备校准发射率调整功能（0.8～1.0），可调整当前辐射源亮度温度；</w:t>
      </w:r>
    </w:p>
    <w:p w14:paraId="6EBB9BF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▲12.温度控制器应采用控温精度高、温度漂移小的高精度温控仪表（品牌不限）；</w:t>
      </w:r>
    </w:p>
    <w:p w14:paraId="31C4986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温度恒定时间长，在到达检定/校准设定温度值后，传递用辐射温度计的测量值可长时间恒定，实测在60min以上；</w:t>
      </w:r>
    </w:p>
    <w:p w14:paraId="343606E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14</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在控温稳定期间，温控表稳定，反馈值到达设定值后靶心亮温不出现单方向温漂，温度漂移近似为水平曲线，温度值可长时间恒定60min温度变化&lt;0.6℃；</w:t>
      </w:r>
    </w:p>
    <w:p w14:paraId="5E5C3F6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▲15</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具有降温自动断电功能；</w:t>
      </w:r>
    </w:p>
    <w:p w14:paraId="7FAFA1E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16</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升温及稳定时间：常温段整百度温度点升温稳定时间不大于70min；高温段整百度温度点升温稳定时间不超过20min；</w:t>
      </w:r>
    </w:p>
    <w:p w14:paraId="570F47E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▲17</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支持众多智能通讯协议：兼容ModbusRTU、ProfibusDP等主流工业协议，实现设备间无缝集成；</w:t>
      </w:r>
    </w:p>
    <w:p w14:paraId="07A5A15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18</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可二次开发，带通讯接口，实现计量装置的自动测试；</w:t>
      </w:r>
    </w:p>
    <w:p w14:paraId="49EEC0E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19</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参考黑体辐射源电阻丝等加热元件与外壳之间的绝缘电阻不小于20MΩ。</w:t>
      </w:r>
    </w:p>
    <w:p w14:paraId="12629AE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20</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供电电源：(220±22)V，50Hz；</w:t>
      </w:r>
    </w:p>
    <w:p w14:paraId="742C8FB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功 率</w:t>
      </w:r>
      <w:r>
        <w:rPr>
          <w:rFonts w:hint="eastAsia" w:ascii="宋体" w:hAnsi="宋体" w:eastAsia="宋体" w:cs="宋体"/>
          <w:b w:val="0"/>
          <w:bCs w:val="0"/>
          <w:color w:val="auto"/>
          <w:kern w:val="0"/>
          <w:sz w:val="24"/>
          <w:szCs w:val="24"/>
          <w:highlight w:val="none"/>
          <w:lang w:eastAsia="zh-CN"/>
        </w:rPr>
        <w:tab/>
      </w:r>
      <w:r>
        <w:rPr>
          <w:rFonts w:hint="eastAsia" w:ascii="宋体" w:hAnsi="宋体" w:eastAsia="宋体" w:cs="宋体"/>
          <w:b w:val="0"/>
          <w:bCs w:val="0"/>
          <w:color w:val="auto"/>
          <w:kern w:val="0"/>
          <w:sz w:val="24"/>
          <w:szCs w:val="24"/>
          <w:highlight w:val="none"/>
          <w:lang w:eastAsia="zh-CN"/>
        </w:rPr>
        <w:t>约4kW；</w:t>
      </w:r>
    </w:p>
    <w:p w14:paraId="3668B09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环境温度：18℃-25℃；</w:t>
      </w:r>
    </w:p>
    <w:p w14:paraId="3DFA3DD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相对湿度：20%～85%；</w:t>
      </w:r>
    </w:p>
    <w:p w14:paraId="44ACAC44">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24</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其他：实验环境无明显机械振动、强机械冲击和强电磁干扰；实验过程中应避免阳光和强辐射源对实验造成干扰；应避免空调气流、开门窗引起的对流对黑体辐射源的影响。</w:t>
      </w:r>
    </w:p>
    <w:p w14:paraId="053F7015">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（九）</w:t>
      </w:r>
      <w:r>
        <w:rPr>
          <w:rFonts w:hint="eastAsia" w:ascii="宋体" w:hAnsi="宋体" w:eastAsia="宋体" w:cs="宋体"/>
          <w:b/>
          <w:color w:val="auto"/>
          <w:kern w:val="0"/>
          <w:sz w:val="28"/>
          <w:szCs w:val="28"/>
          <w:highlight w:val="none"/>
          <w:lang w:val="en-US" w:eastAsia="zh-CN"/>
        </w:rPr>
        <w:t>黑体辐射源（高温）</w:t>
      </w:r>
    </w:p>
    <w:p w14:paraId="6E6A6AC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技术指标：</w:t>
      </w:r>
    </w:p>
    <w:p w14:paraId="6B3E5A5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本设备符合《JJG856-2015工作用辐射温度计检定规程》的对黑体辐射源要求。</w:t>
      </w:r>
    </w:p>
    <w:p w14:paraId="61738B9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2.该设备应能作为工作用辐射温度计的参考辐射源使用，满足本项目计量性能要求；</w:t>
      </w:r>
    </w:p>
    <w:p w14:paraId="5F9EE95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温度范围（700～</w:t>
      </w:r>
      <w:r>
        <w:rPr>
          <w:rFonts w:hint="eastAsia" w:ascii="宋体" w:hAnsi="宋体" w:cs="宋体"/>
          <w:b w:val="0"/>
          <w:bCs w:val="0"/>
          <w:color w:val="auto"/>
          <w:kern w:val="0"/>
          <w:sz w:val="24"/>
          <w:szCs w:val="24"/>
          <w:highlight w:val="none"/>
          <w:lang w:val="en-US" w:eastAsia="zh-CN"/>
        </w:rPr>
        <w:t>12</w:t>
      </w:r>
      <w:r>
        <w:rPr>
          <w:rFonts w:hint="eastAsia" w:ascii="宋体" w:hAnsi="宋体" w:eastAsia="宋体" w:cs="宋体"/>
          <w:b w:val="0"/>
          <w:bCs w:val="0"/>
          <w:color w:val="auto"/>
          <w:kern w:val="0"/>
          <w:sz w:val="24"/>
          <w:szCs w:val="24"/>
          <w:highlight w:val="none"/>
          <w:lang w:eastAsia="zh-CN"/>
        </w:rPr>
        <w:t>00）℃；</w:t>
      </w:r>
    </w:p>
    <w:p w14:paraId="55A7B5E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4</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腔体结构为圆球型；</w:t>
      </w:r>
    </w:p>
    <w:p w14:paraId="49F3691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5</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腔口直径</w:t>
      </w:r>
      <w:r>
        <w:rPr>
          <w:rFonts w:hint="eastAsia" w:ascii="宋体" w:hAnsi="宋体" w:eastAsia="宋体" w:cs="宋体"/>
          <w:b w:val="0"/>
          <w:bCs w:val="0"/>
          <w:color w:val="auto"/>
          <w:kern w:val="0"/>
          <w:sz w:val="24"/>
          <w:szCs w:val="24"/>
          <w:highlight w:val="none"/>
          <w:lang w:eastAsia="zh-CN"/>
        </w:rPr>
        <w:tab/>
      </w:r>
      <w:r>
        <w:rPr>
          <w:rFonts w:hint="eastAsia" w:ascii="宋体" w:hAnsi="宋体" w:eastAsia="宋体" w:cs="宋体"/>
          <w:b w:val="0"/>
          <w:bCs w:val="0"/>
          <w:color w:val="auto"/>
          <w:kern w:val="0"/>
          <w:sz w:val="24"/>
          <w:szCs w:val="24"/>
          <w:highlight w:val="none"/>
          <w:lang w:eastAsia="zh-CN"/>
        </w:rPr>
        <w:t>Φ50mm</w:t>
      </w:r>
    </w:p>
    <w:p w14:paraId="7583317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6</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发射率高：优于0.998；</w:t>
      </w:r>
    </w:p>
    <w:p w14:paraId="1CC6166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7</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稳定性：不大于（0.1℃与0.1%t℃的大者）/10min；</w:t>
      </w:r>
    </w:p>
    <w:p w14:paraId="69FEFC9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8</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均匀性：不大于±（0.15℃与0.15%t）的大者；</w:t>
      </w:r>
    </w:p>
    <w:p w14:paraId="7059792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9</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温度分辨率：0.1℃；</w:t>
      </w:r>
    </w:p>
    <w:p w14:paraId="7A118D8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10.具备校准波长调整功能（0.66～14）μm，可调整当前辐射源亮度温度；</w:t>
      </w:r>
    </w:p>
    <w:p w14:paraId="40ACFCE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11.具备校准发射率调整功能（0.8～1.0），可调整当前辐射源亮度温度；</w:t>
      </w:r>
    </w:p>
    <w:p w14:paraId="53CB3F0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可用有效温场区域大，黑体辐射源中心区域不小于φ35mm范围内布；</w:t>
      </w:r>
    </w:p>
    <w:p w14:paraId="5CE4D64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温度恒定时间长，在到达检定/校准设定温度值后，传递用辐射温度计的测量值可长时间恒定，实测在60min以上。</w:t>
      </w:r>
    </w:p>
    <w:p w14:paraId="32E1E8D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14.升温及稳定：常温升到1000℃≤80min；由1000℃升至</w:t>
      </w:r>
      <w:r>
        <w:rPr>
          <w:rFonts w:hint="eastAsia" w:ascii="宋体" w:hAnsi="宋体" w:cs="宋体"/>
          <w:b w:val="0"/>
          <w:bCs w:val="0"/>
          <w:color w:val="auto"/>
          <w:kern w:val="0"/>
          <w:sz w:val="24"/>
          <w:szCs w:val="24"/>
          <w:highlight w:val="none"/>
          <w:lang w:val="en-US" w:eastAsia="zh-CN"/>
        </w:rPr>
        <w:t>12</w:t>
      </w:r>
      <w:r>
        <w:rPr>
          <w:rFonts w:hint="eastAsia" w:ascii="宋体" w:hAnsi="宋体" w:eastAsia="宋体" w:cs="宋体"/>
          <w:b w:val="0"/>
          <w:bCs w:val="0"/>
          <w:color w:val="auto"/>
          <w:kern w:val="0"/>
          <w:sz w:val="24"/>
          <w:szCs w:val="24"/>
          <w:highlight w:val="none"/>
          <w:lang w:eastAsia="zh-CN"/>
        </w:rPr>
        <w:t>00℃≤80min；整百点升温稳定所需要的时间≤35分钟。稳定后，亮度温度不单一方向变化。设定温度稳定35分钟后，靶心亮度温度不应单一方向变化且温度变化&lt;0.6℃；</w:t>
      </w:r>
    </w:p>
    <w:p w14:paraId="0E71F4B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▲15</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设备具备灵活的安装与操作结构，支持位置调节与屏幕角度调整，便于计量人员站立操作，节约实验室校准空间；</w:t>
      </w:r>
    </w:p>
    <w:p w14:paraId="260ED5F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16</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触摸屏智能操控，智能人机交互界面，直观，操控简便；</w:t>
      </w:r>
    </w:p>
    <w:p w14:paraId="17966B7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17</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支持众多智能通讯协议：兼容ModbusRTU、ProfibusDP等主流工业协议，实现设备间无缝集成。</w:t>
      </w:r>
    </w:p>
    <w:p w14:paraId="1E32EFD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18</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可二次开发，带通讯接口，实现计量装置的自动测试。</w:t>
      </w:r>
    </w:p>
    <w:p w14:paraId="6F8C309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19</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安规检测黑体辐射源电阻丝等加热元件与外壳之间的绝缘电阻不小于20MΩ；</w:t>
      </w:r>
    </w:p>
    <w:p w14:paraId="20F9740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▲20</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具有降温自动断电功能；</w:t>
      </w:r>
    </w:p>
    <w:p w14:paraId="081B934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▲21.量值应可溯源至国家计量基准，量传标准器要求：温度（300～1000）℃、波长（8～14）μm 的精密辐射温度计；温度（800～1200）℃、波长（0.66/0.9）μm 的标准光电高温计。投标时须提供量传标准器有效期内的检定/校准证书，作为实质性响应依据。</w:t>
      </w:r>
    </w:p>
    <w:p w14:paraId="384DB08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供电电源：(220±22)V，50Hz；</w:t>
      </w:r>
    </w:p>
    <w:p w14:paraId="23B295D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功 率</w:t>
      </w:r>
      <w:r>
        <w:rPr>
          <w:rFonts w:hint="eastAsia" w:ascii="宋体" w:hAnsi="宋体" w:eastAsia="宋体" w:cs="宋体"/>
          <w:b w:val="0"/>
          <w:bCs w:val="0"/>
          <w:color w:val="auto"/>
          <w:kern w:val="0"/>
          <w:sz w:val="24"/>
          <w:szCs w:val="24"/>
          <w:highlight w:val="none"/>
          <w:lang w:eastAsia="zh-CN"/>
        </w:rPr>
        <w:tab/>
      </w:r>
      <w:r>
        <w:rPr>
          <w:rFonts w:hint="eastAsia" w:ascii="宋体" w:hAnsi="宋体" w:eastAsia="宋体" w:cs="宋体"/>
          <w:b w:val="0"/>
          <w:bCs w:val="0"/>
          <w:color w:val="auto"/>
          <w:kern w:val="0"/>
          <w:sz w:val="24"/>
          <w:szCs w:val="24"/>
          <w:highlight w:val="none"/>
          <w:lang w:eastAsia="zh-CN"/>
        </w:rPr>
        <w:t>约7kW；</w:t>
      </w:r>
    </w:p>
    <w:p w14:paraId="1138902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24</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环境温度：18℃-25℃；</w:t>
      </w:r>
    </w:p>
    <w:p w14:paraId="777B56B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25</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相对湿度：20%～85%；</w:t>
      </w:r>
    </w:p>
    <w:p w14:paraId="0F5A1CC2">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26</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其他：实验环境无明显机械振动、强机械冲击和强电磁干扰；实验过程中应避免阳光和强辐射源对实验造成干扰；应避免空调气流、开门窗引起的对流对黑体辐射源的影响。</w:t>
      </w:r>
    </w:p>
    <w:p w14:paraId="21ECC309">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（十）</w:t>
      </w:r>
      <w:r>
        <w:rPr>
          <w:rFonts w:hint="eastAsia" w:ascii="宋体" w:hAnsi="宋体" w:eastAsia="宋体" w:cs="宋体"/>
          <w:b/>
          <w:color w:val="auto"/>
          <w:kern w:val="0"/>
          <w:sz w:val="28"/>
          <w:szCs w:val="28"/>
          <w:highlight w:val="none"/>
          <w:lang w:val="en-US" w:eastAsia="zh-CN"/>
        </w:rPr>
        <w:t>全站仪</w:t>
      </w:r>
    </w:p>
    <w:p w14:paraId="7FFA664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具体要求：</w:t>
      </w:r>
    </w:p>
    <w:p w14:paraId="7FB638D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测量范围：无棱镜测距模式下测程大于500m，有棱镜测量模式大于3500m</w:t>
      </w:r>
    </w:p>
    <w:p w14:paraId="0C39CBB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测距误差：标准模式：1mm+1.5ppm；无棱镜模式：2mm+2ppm；</w:t>
      </w:r>
    </w:p>
    <w:p w14:paraId="2845BAA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测角误差：2〞，绝对编码，连续，对径测量，四重轴补偿</w:t>
      </w:r>
    </w:p>
    <w:p w14:paraId="1BBA89A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lang w:eastAsia="zh-CN"/>
        </w:rPr>
        <w:t>有无棱镜测距、马达驱动、自动照准功能，马达转速：45°/s</w:t>
      </w:r>
    </w:p>
    <w:p w14:paraId="251315F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lang w:eastAsia="zh-CN"/>
        </w:rPr>
        <w:t>测量原理：相位测量原理（要求有同轴、可见红色光斑）</w:t>
      </w:r>
    </w:p>
    <w:p w14:paraId="41C33F7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6</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激光点大小：50m处：≤8mm×20mm</w:t>
      </w:r>
    </w:p>
    <w:p w14:paraId="1F9B469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7</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显示分辨率：0.1mm,最短测距：0.9m</w:t>
      </w:r>
    </w:p>
    <w:p w14:paraId="1DB9186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8.操作系统：工业级嵌入式测量操作系统及配套软件（品牌不限，须支持自动照准、马达驱动及数据采集功能）</w:t>
      </w:r>
    </w:p>
    <w:p w14:paraId="2CC956A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9</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望远镜放大倍数：30X</w:t>
      </w:r>
    </w:p>
    <w:p w14:paraId="63ECD89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10</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电池类型：可更换锂电池，使用时间5-8小时，</w:t>
      </w:r>
    </w:p>
    <w:p w14:paraId="27AE7904">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eastAsia="zh-CN"/>
        </w:rPr>
        <w:t>11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工作温度：-20</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50</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，存储温度：-40</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70</w:t>
      </w:r>
      <w:r>
        <w:rPr>
          <w:rFonts w:hint="eastAsia" w:ascii="宋体" w:hAnsi="宋体" w:eastAsia="宋体" w:cs="宋体"/>
          <w:b w:val="0"/>
          <w:bCs w:val="0"/>
          <w:color w:val="auto"/>
          <w:kern w:val="0"/>
          <w:sz w:val="24"/>
          <w:szCs w:val="24"/>
          <w:highlight w:val="none"/>
          <w:lang w:val="en-US" w:eastAsia="zh-CN"/>
        </w:rPr>
        <w:t>℃</w:t>
      </w:r>
    </w:p>
    <w:p w14:paraId="3CF19EE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防尘防水等级：不低于IP55</w:t>
      </w:r>
    </w:p>
    <w:p w14:paraId="704B5FB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导向光工作范围：5-150m，定位精度：在100m处，5cm</w:t>
      </w:r>
    </w:p>
    <w:p w14:paraId="1889159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14</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仪器接口类型：RS232/蓝牙/微型USB端口</w:t>
      </w:r>
    </w:p>
    <w:p w14:paraId="5FF56DE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15</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仪器圆水准器灵敏度：6″/2mm，激光对中精度：在1.5m处，高1.5m</w:t>
      </w:r>
    </w:p>
    <w:p w14:paraId="634648E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▲16</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配置立式金属罐容量标定系统集成自动化全站仪，在专业软件的控制下，自动化全站仪按一定规律获取待测点的角度、距离或坐标，然后按数学几何模型由计算机自动计算有关参数，并最终输出容量标定成果等信息。</w:t>
      </w:r>
    </w:p>
    <w:p w14:paraId="0B04EA0A">
      <w:pPr>
        <w:keepNext w:val="0"/>
        <w:keepLines w:val="0"/>
        <w:pageBreakBefore w:val="0"/>
        <w:kinsoku/>
        <w:wordWrap/>
        <w:overflowPunct/>
        <w:topLinePunct w:val="0"/>
        <w:bidi w:val="0"/>
        <w:snapToGrid/>
        <w:spacing w:after="0" w:line="560" w:lineRule="exact"/>
        <w:ind w:firstLine="482" w:firstLineChars="200"/>
        <w:jc w:val="left"/>
        <w:textAlignment w:val="auto"/>
        <w:rPr>
          <w:rFonts w:hint="eastAsia" w:ascii="宋体" w:hAnsi="宋体" w:eastAsia="宋体" w:cs="宋体"/>
          <w:b w:val="0"/>
          <w:bCs w:val="0"/>
          <w:color w:val="auto"/>
          <w:kern w:val="0"/>
          <w:sz w:val="24"/>
          <w:szCs w:val="24"/>
          <w:highlight w:val="none"/>
          <w:lang w:eastAsia="zh-CN"/>
        </w:rPr>
      </w:pPr>
      <w:r>
        <w:rPr>
          <w:rStyle w:val="39"/>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17.系统功能必须满足：JJG100-2003《全站型电子速测仪》计量检定规程、JJG168-2018《立式金属罐容量》计量检定规程、JJG642-2007《球形金属罐容量》计量检定规程等要求。</w:t>
      </w:r>
    </w:p>
    <w:p w14:paraId="0B0DFCC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eastAsia="zh-CN"/>
        </w:rPr>
        <w:t>18</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同时具备立式罐容积内测和外测、立式罐底量容积测量、球罐容积测量等功能。可满足立式金属罐容量测量范围：(20～100000)m³、不确定度：(20～100)m³:Urel=0.3%(k=2);(100～700)m³:Urel=0.2%(k=2);≥700m³:Urel=0.1%(k=2)。</w:t>
      </w:r>
    </w:p>
    <w:p w14:paraId="431004B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19</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系统软件应包含不少于全站仪版立式罐内测和外测软件、立式罐罐底容量测量软件、立式罐数据后处理软件、球罐容积测量软件、球罐数据后处理软件。</w:t>
      </w:r>
    </w:p>
    <w:p w14:paraId="28341AC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20</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lang w:eastAsia="zh-CN"/>
        </w:rPr>
        <w:t>具备自动编制罐容积表，能出具excel格式电子版容积表，罐容积检定证书和excel格式电子版容积表的格式须满足要求。</w:t>
      </w:r>
    </w:p>
    <w:p w14:paraId="36184CF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eastAsia="zh-CN"/>
        </w:rPr>
        <w:t>21.数据处理装置：处理器主频不低于3.0GHz、四核及以上（CPU及操作系统须符合安全可靠测评要求），内存不低于16G，固态硬盘不小于1000G</w:t>
      </w:r>
      <w:r>
        <w:rPr>
          <w:rFonts w:hint="eastAsia" w:ascii="宋体" w:hAnsi="宋体" w:cs="宋体"/>
          <w:b w:val="0"/>
          <w:bCs w:val="0"/>
          <w:color w:val="auto"/>
          <w:kern w:val="0"/>
          <w:sz w:val="24"/>
          <w:szCs w:val="24"/>
          <w:highlight w:val="none"/>
          <w:lang w:eastAsia="zh-CN"/>
        </w:rPr>
        <w:t>。</w:t>
      </w:r>
    </w:p>
    <w:p w14:paraId="505CF27C">
      <w:pPr>
        <w:keepNext w:val="0"/>
        <w:keepLines w:val="0"/>
        <w:pageBreakBefore w:val="0"/>
        <w:kinsoku/>
        <w:wordWrap/>
        <w:overflowPunct/>
        <w:topLinePunct w:val="0"/>
        <w:bidi w:val="0"/>
        <w:snapToGrid/>
        <w:spacing w:after="0" w:line="560" w:lineRule="exact"/>
        <w:ind w:firstLine="562" w:firstLineChars="200"/>
        <w:jc w:val="left"/>
        <w:textAlignment w:val="auto"/>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（十一）实施及维修要求</w:t>
      </w:r>
      <w:r>
        <w:rPr>
          <w:rFonts w:hint="default" w:ascii="宋体" w:hAnsi="宋体" w:eastAsia="宋体" w:cs="宋体"/>
          <w:b/>
          <w:color w:val="auto"/>
          <w:sz w:val="28"/>
          <w:szCs w:val="28"/>
          <w:highlight w:val="none"/>
          <w:lang w:val="en-US" w:eastAsia="zh-CN"/>
        </w:rPr>
        <w:t>：</w:t>
      </w:r>
    </w:p>
    <w:p w14:paraId="2E442708">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总体</w:t>
      </w:r>
      <w:r>
        <w:rPr>
          <w:rFonts w:hint="eastAsia" w:ascii="宋体" w:hAnsi="宋体" w:eastAsia="宋体" w:cs="宋体"/>
          <w:color w:val="auto"/>
          <w:sz w:val="24"/>
          <w:szCs w:val="24"/>
          <w:highlight w:val="none"/>
          <w:lang w:val="en-US" w:eastAsia="zh-CN"/>
        </w:rPr>
        <w:t>实施</w:t>
      </w:r>
      <w:r>
        <w:rPr>
          <w:rFonts w:ascii="宋体" w:hAnsi="宋体" w:eastAsia="宋体" w:cs="宋体"/>
          <w:color w:val="auto"/>
          <w:sz w:val="24"/>
          <w:szCs w:val="24"/>
          <w:highlight w:val="none"/>
        </w:rPr>
        <w:t>要求：供应商负责本包全部设备（精密露点仪、标准铂铑 10</w:t>
      </w:r>
      <w:r>
        <w:rPr>
          <w:rFonts w:ascii="宋体" w:hAnsi="宋体" w:eastAsia="宋体" w:cs="宋体"/>
          <w:color w:val="auto"/>
          <w:sz w:val="24"/>
          <w:szCs w:val="24"/>
          <w:highlight w:val="none"/>
        </w:rPr>
        <w:noBreakHyphen/>
      </w:r>
      <w:r>
        <w:rPr>
          <w:rFonts w:ascii="宋体" w:hAnsi="宋体" w:eastAsia="宋体" w:cs="宋体"/>
          <w:color w:val="auto"/>
          <w:sz w:val="24"/>
          <w:szCs w:val="24"/>
          <w:highlight w:val="none"/>
        </w:rPr>
        <w:t>铂热电偶、热电偶校准炉、冰点恒温器、温湿度实验设备自动检定系统一、温湿度实验设备自动检定系统二、低温 / 中温 / 高温黑体辐射源、全站仪）的供货、运输就位、安装调试、检定校准、现场培训、质保售后等全部工作，设备及配套软件须满足采购需求技术指标及对应国家计量规程、规范要求，保障设备可正常开展计量检定工作，做好项目相关电子数据、敏感资料保密工作。</w:t>
      </w:r>
    </w:p>
    <w:p w14:paraId="4F8BDDC7">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安装调试要求：完成设备现场安装、整机调试、软件部署配置；无线采集、小程序 / APP、云端数据管理、通讯接口、二次开发接口、罐容量标定软件等功能调试至正常可用，各项性能指标满足采购需求及计量规程要求。</w:t>
      </w:r>
    </w:p>
    <w:p w14:paraId="7D33BF8D">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3.交货期：合同签订生效后2个月，交货时应有具有法定资质的省级及以上法定计量检定机构（或依法授权的计量技术机构）出具的检定/校准证书，且证书数据须符合本招标文件要求。</w:t>
      </w:r>
    </w:p>
    <w:p w14:paraId="3F7649D5">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rPr>
        <w:t>质保及维修要求：质保期自项目验收合格之日起计算：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p>
    <w:p w14:paraId="12A69B6B">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5.培训要求：安装调试完成后开展现场培训，培训讲师需具有工程师及以上职称，保证参训人员熟练掌握设备使用方法，且具有一定故障和紧急情况处理能力。</w:t>
      </w:r>
    </w:p>
    <w:p w14:paraId="2CE35C29">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6.验收要求：全部工作完成后由供应商申请验收，采购人对照采购需求逐项核查，证书、功能、指标全部合格后方可通过验收。</w:t>
      </w:r>
    </w:p>
    <w:p w14:paraId="0268C4C7">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（十</w:t>
      </w:r>
      <w:r>
        <w:rPr>
          <w:rFonts w:hint="eastAsia" w:ascii="宋体" w:hAnsi="宋体" w:cs="宋体"/>
          <w:b/>
          <w:color w:val="auto"/>
          <w:sz w:val="28"/>
          <w:szCs w:val="28"/>
          <w:highlight w:val="none"/>
          <w:lang w:val="en-US" w:eastAsia="zh-CN"/>
        </w:rPr>
        <w:t>二</w:t>
      </w:r>
      <w:r>
        <w:rPr>
          <w:rFonts w:hint="eastAsia" w:ascii="宋体" w:hAnsi="宋体" w:eastAsia="宋体" w:cs="宋体"/>
          <w:b/>
          <w:color w:val="auto"/>
          <w:sz w:val="28"/>
          <w:szCs w:val="28"/>
          <w:highlight w:val="none"/>
          <w:lang w:val="en-US" w:eastAsia="zh-CN"/>
        </w:rPr>
        <w:t>）其他</w:t>
      </w:r>
    </w:p>
    <w:p w14:paraId="6D3373D5">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1、本项目报价不得超过预算价（最高限价）。</w:t>
      </w:r>
    </w:p>
    <w:p w14:paraId="5902679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2、工作中涉及的敏感资料、电子数据等相关信息，中标人应严格执行保密的相关规定，不得以任何方式向任何第三人披露、泄露或许可第三人使用，否则追究其相应法律责任。</w:t>
      </w:r>
    </w:p>
    <w:p w14:paraId="6B9768AD">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p>
    <w:p w14:paraId="13C9C549">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p>
    <w:p w14:paraId="456A62D0">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p>
    <w:p w14:paraId="7C9FE9D2">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p>
    <w:p w14:paraId="5C85E968">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p>
    <w:p w14:paraId="154712F7">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p>
    <w:p w14:paraId="3FC5B542">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p>
    <w:p w14:paraId="771A19C0">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4</w:t>
      </w:r>
      <w:r>
        <w:rPr>
          <w:rFonts w:hint="eastAsia" w:ascii="宋体" w:hAnsi="宋体" w:eastAsia="宋体" w:cs="宋体"/>
          <w:b/>
          <w:bCs/>
          <w:color w:val="auto"/>
          <w:sz w:val="32"/>
          <w:szCs w:val="32"/>
          <w:highlight w:val="none"/>
        </w:rPr>
        <w:t>：</w:t>
      </w:r>
    </w:p>
    <w:p w14:paraId="6AB4596A">
      <w:pPr>
        <w:pBdr>
          <w:top w:val="none" w:color="auto" w:sz="0" w:space="1"/>
          <w:left w:val="none" w:color="auto" w:sz="0" w:space="4"/>
          <w:bottom w:val="none" w:color="auto" w:sz="0" w:space="1"/>
          <w:right w:val="none" w:color="auto" w:sz="0" w:space="4"/>
        </w:pBdr>
        <w:spacing w:line="360" w:lineRule="auto"/>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一、项目概况</w:t>
      </w:r>
    </w:p>
    <w:p w14:paraId="2B5DB02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本项目为</w:t>
      </w:r>
      <w:r>
        <w:rPr>
          <w:rFonts w:hint="eastAsia" w:ascii="宋体" w:hAnsi="宋体" w:eastAsia="宋体" w:cs="宋体"/>
          <w:color w:val="auto"/>
          <w:sz w:val="24"/>
          <w:szCs w:val="24"/>
          <w:highlight w:val="none"/>
        </w:rPr>
        <w:t>2026年计量检验检测设备更新</w:t>
      </w:r>
      <w:r>
        <w:rPr>
          <w:rFonts w:ascii="宋体" w:hAnsi="宋体" w:eastAsia="宋体" w:cs="宋体"/>
          <w:color w:val="auto"/>
          <w:sz w:val="24"/>
          <w:szCs w:val="24"/>
          <w:highlight w:val="none"/>
        </w:rPr>
        <w:t>，拟采购</w:t>
      </w:r>
      <w:r>
        <w:rPr>
          <w:rFonts w:hint="eastAsia" w:ascii="宋体" w:hAnsi="宋体" w:eastAsia="宋体" w:cs="宋体"/>
          <w:color w:val="auto"/>
          <w:sz w:val="24"/>
          <w:szCs w:val="24"/>
          <w:highlight w:val="none"/>
          <w:lang w:val="en-US" w:eastAsia="zh-CN"/>
        </w:rPr>
        <w:t>小角度检定仪</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扭矩板子检定仪</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电脑量块比较仪、高精度全自动光栅式测长机、标准测力仪</w:t>
      </w:r>
      <w:r>
        <w:rPr>
          <w:rFonts w:ascii="宋体" w:hAnsi="宋体" w:eastAsia="宋体" w:cs="宋体"/>
          <w:color w:val="auto"/>
          <w:sz w:val="24"/>
          <w:szCs w:val="24"/>
          <w:highlight w:val="none"/>
        </w:rPr>
        <w:t>，项目总预算</w:t>
      </w:r>
      <w:r>
        <w:rPr>
          <w:rFonts w:hint="eastAsia" w:ascii="宋体" w:hAnsi="宋体" w:eastAsia="宋体" w:cs="宋体"/>
          <w:color w:val="auto"/>
          <w:sz w:val="24"/>
          <w:szCs w:val="24"/>
          <w:highlight w:val="none"/>
          <w:lang w:val="en-US" w:eastAsia="zh-CN"/>
        </w:rPr>
        <w:t>154</w:t>
      </w:r>
      <w:r>
        <w:rPr>
          <w:rFonts w:ascii="宋体" w:hAnsi="宋体" w:eastAsia="宋体" w:cs="宋体"/>
          <w:color w:val="auto"/>
          <w:sz w:val="24"/>
          <w:szCs w:val="24"/>
          <w:highlight w:val="none"/>
        </w:rPr>
        <w:t>万元</w:t>
      </w:r>
      <w:r>
        <w:rPr>
          <w:rFonts w:hint="eastAsia" w:ascii="宋体" w:hAnsi="宋体" w:eastAsia="宋体" w:cs="宋体"/>
          <w:color w:val="auto"/>
          <w:sz w:val="24"/>
          <w:szCs w:val="24"/>
          <w:highlight w:val="none"/>
        </w:rPr>
        <w:t>。</w:t>
      </w:r>
    </w:p>
    <w:p w14:paraId="5865B122">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二、货物（标的）采购清单</w:t>
      </w:r>
      <w:r>
        <w:rPr>
          <w:rFonts w:hint="eastAsia" w:ascii="宋体" w:hAnsi="宋体" w:cs="宋体"/>
          <w:b/>
          <w:color w:val="auto"/>
          <w:sz w:val="28"/>
          <w:szCs w:val="28"/>
          <w:highlight w:val="none"/>
          <w:lang w:val="en-US" w:eastAsia="zh-CN"/>
        </w:rPr>
        <w:t>及</w:t>
      </w:r>
      <w:r>
        <w:rPr>
          <w:rFonts w:hint="eastAsia" w:ascii="宋体" w:hAnsi="宋体" w:eastAsia="宋体" w:cs="宋体"/>
          <w:b/>
          <w:color w:val="auto"/>
          <w:sz w:val="28"/>
          <w:szCs w:val="28"/>
          <w:highlight w:val="none"/>
        </w:rPr>
        <w:t>技术参数及功能指标</w:t>
      </w:r>
    </w:p>
    <w:tbl>
      <w:tblPr>
        <w:tblStyle w:val="37"/>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188"/>
        <w:gridCol w:w="846"/>
        <w:gridCol w:w="2504"/>
        <w:gridCol w:w="2017"/>
      </w:tblGrid>
      <w:tr w14:paraId="688DB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4C2490D5">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序号</w:t>
            </w:r>
          </w:p>
        </w:tc>
        <w:tc>
          <w:tcPr>
            <w:tcW w:w="0" w:type="auto"/>
            <w:vAlign w:val="center"/>
          </w:tcPr>
          <w:p w14:paraId="51EA4D8C">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设备名称</w:t>
            </w:r>
          </w:p>
        </w:tc>
        <w:tc>
          <w:tcPr>
            <w:tcW w:w="0" w:type="auto"/>
            <w:vAlign w:val="center"/>
          </w:tcPr>
          <w:p w14:paraId="4C45F758">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数量</w:t>
            </w:r>
          </w:p>
        </w:tc>
        <w:tc>
          <w:tcPr>
            <w:tcW w:w="0" w:type="auto"/>
            <w:vAlign w:val="center"/>
          </w:tcPr>
          <w:p w14:paraId="307E6799">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单位</w:t>
            </w:r>
          </w:p>
        </w:tc>
        <w:tc>
          <w:tcPr>
            <w:tcW w:w="2017" w:type="dxa"/>
            <w:vAlign w:val="center"/>
          </w:tcPr>
          <w:p w14:paraId="4A0465A2">
            <w:pPr>
              <w:widowControl/>
              <w:snapToGrid w:val="0"/>
              <w:ind w:left="0" w:leftChars="0" w:right="0" w:rightChars="0" w:firstLine="0" w:firstLineChars="0"/>
              <w:jc w:val="center"/>
              <w:textAlignment w:val="center"/>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分项最高限价（万元）</w:t>
            </w:r>
          </w:p>
        </w:tc>
      </w:tr>
      <w:tr w14:paraId="4519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62C0BE1C">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1</w:t>
            </w:r>
          </w:p>
        </w:tc>
        <w:tc>
          <w:tcPr>
            <w:tcW w:w="0" w:type="auto"/>
            <w:vAlign w:val="center"/>
          </w:tcPr>
          <w:p w14:paraId="65DB73F8">
            <w:pPr>
              <w:widowControl/>
              <w:snapToGrid w:val="0"/>
              <w:ind w:left="0" w:leftChars="0" w:right="0" w:rightChars="0" w:firstLine="0" w:firstLineChars="0"/>
              <w:jc w:val="both"/>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小角度检定仪</w:t>
            </w:r>
          </w:p>
        </w:tc>
        <w:tc>
          <w:tcPr>
            <w:tcW w:w="0" w:type="auto"/>
            <w:vAlign w:val="center"/>
          </w:tcPr>
          <w:p w14:paraId="50653180">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319CBA27">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6D69071D">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16</w:t>
            </w:r>
          </w:p>
        </w:tc>
      </w:tr>
      <w:tr w14:paraId="10A95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B83793B">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0" w:type="auto"/>
            <w:vAlign w:val="center"/>
          </w:tcPr>
          <w:p w14:paraId="30974E28">
            <w:pPr>
              <w:widowControl/>
              <w:snapToGrid w:val="0"/>
              <w:ind w:left="0" w:leftChars="0" w:right="0" w:rightChars="0" w:firstLine="0" w:firstLineChars="0"/>
              <w:jc w:val="both"/>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扭矩板子检定仪</w:t>
            </w:r>
          </w:p>
        </w:tc>
        <w:tc>
          <w:tcPr>
            <w:tcW w:w="0" w:type="auto"/>
            <w:vAlign w:val="center"/>
          </w:tcPr>
          <w:p w14:paraId="22F805F5">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403EBBAE">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44CB2734">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26</w:t>
            </w:r>
          </w:p>
        </w:tc>
      </w:tr>
      <w:tr w14:paraId="7C579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13DCBE4">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0" w:type="auto"/>
            <w:vAlign w:val="center"/>
          </w:tcPr>
          <w:p w14:paraId="5ADED8B9">
            <w:pPr>
              <w:widowControl/>
              <w:snapToGrid w:val="0"/>
              <w:ind w:left="0" w:leftChars="0" w:right="0" w:rightChars="0" w:firstLine="0" w:firstLineChars="0"/>
              <w:jc w:val="both"/>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电脑量块比较仪</w:t>
            </w:r>
          </w:p>
        </w:tc>
        <w:tc>
          <w:tcPr>
            <w:tcW w:w="0" w:type="auto"/>
            <w:vAlign w:val="center"/>
          </w:tcPr>
          <w:p w14:paraId="43FD1F2B">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72779D2B">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2642F315">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27</w:t>
            </w:r>
          </w:p>
        </w:tc>
      </w:tr>
      <w:tr w14:paraId="28F3A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5E7F1152">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3188" w:type="dxa"/>
            <w:vAlign w:val="center"/>
          </w:tcPr>
          <w:p w14:paraId="2FF75812">
            <w:pPr>
              <w:widowControl/>
              <w:snapToGrid w:val="0"/>
              <w:ind w:left="0" w:leftChars="0" w:right="0" w:rightChars="0" w:firstLine="0" w:firstLineChars="0"/>
              <w:jc w:val="both"/>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高精度全自动光栅式测长机</w:t>
            </w:r>
          </w:p>
        </w:tc>
        <w:tc>
          <w:tcPr>
            <w:tcW w:w="846" w:type="dxa"/>
            <w:vAlign w:val="center"/>
          </w:tcPr>
          <w:p w14:paraId="09D9CDA7">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023060A9">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73DE2928">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65</w:t>
            </w:r>
          </w:p>
        </w:tc>
      </w:tr>
      <w:tr w14:paraId="4841A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535F62EF">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3188" w:type="dxa"/>
            <w:vAlign w:val="center"/>
          </w:tcPr>
          <w:p w14:paraId="4EE67480">
            <w:pPr>
              <w:widowControl/>
              <w:snapToGrid w:val="0"/>
              <w:ind w:left="0" w:leftChars="0" w:right="0" w:rightChars="0" w:firstLine="0" w:firstLineChars="0"/>
              <w:jc w:val="both"/>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标准测力仪</w:t>
            </w:r>
          </w:p>
        </w:tc>
        <w:tc>
          <w:tcPr>
            <w:tcW w:w="846" w:type="dxa"/>
            <w:vAlign w:val="center"/>
          </w:tcPr>
          <w:p w14:paraId="0CBBE5BB">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eastAsia" w:ascii="宋体" w:hAnsi="Times New Roman" w:eastAsia="宋体" w:cs="Times New Roman"/>
                <w:b w:val="0"/>
                <w:bCs w:val="0"/>
                <w:color w:val="auto"/>
                <w:sz w:val="24"/>
                <w:szCs w:val="32"/>
                <w:highlight w:val="none"/>
                <w:lang w:val="en-US" w:eastAsia="zh-CN"/>
              </w:rPr>
              <w:t>1</w:t>
            </w:r>
          </w:p>
        </w:tc>
        <w:tc>
          <w:tcPr>
            <w:tcW w:w="2504" w:type="dxa"/>
            <w:vAlign w:val="center"/>
          </w:tcPr>
          <w:p w14:paraId="6C3C36A7">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31DCB516">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20</w:t>
            </w:r>
          </w:p>
        </w:tc>
      </w:tr>
    </w:tbl>
    <w:p w14:paraId="7F2CB050">
      <w:pPr>
        <w:widowControl w:val="0"/>
        <w:numPr>
          <w:ilvl w:val="0"/>
          <w:numId w:val="0"/>
        </w:numPr>
        <w:pBdr>
          <w:top w:val="none" w:color="auto" w:sz="0" w:space="1"/>
          <w:left w:val="none" w:color="auto" w:sz="0" w:space="4"/>
          <w:bottom w:val="none" w:color="auto" w:sz="0" w:space="1"/>
          <w:right w:val="none" w:color="auto" w:sz="0" w:space="4"/>
        </w:pBdr>
        <w:spacing w:line="360" w:lineRule="auto"/>
        <w:ind w:firstLine="482" w:firstLineChars="200"/>
        <w:jc w:val="left"/>
        <w:rPr>
          <w:rFonts w:hint="eastAsia" w:ascii="宋体" w:hAnsi="宋体" w:eastAsia="宋体" w:cs="宋体"/>
          <w:b/>
          <w:bCs/>
          <w:color w:val="auto"/>
          <w:sz w:val="28"/>
          <w:szCs w:val="28"/>
          <w:highlight w:val="none"/>
          <w:lang w:val="en-US" w:eastAsia="zh-CN"/>
        </w:rPr>
      </w:pPr>
      <w:r>
        <w:rPr>
          <w:rFonts w:ascii="宋体" w:hAnsi="宋体" w:eastAsia="宋体" w:cs="宋体"/>
          <w:b/>
          <w:bCs/>
          <w:color w:val="auto"/>
          <w:sz w:val="24"/>
          <w:szCs w:val="24"/>
          <w:highlight w:val="none"/>
        </w:rPr>
        <w:t>★投标人填报的任意一项货物投标综合单价，超过对应分项单价最高限价的，否决投标。注：无单价限价的品目，不受本条单价约束。</w:t>
      </w:r>
    </w:p>
    <w:p w14:paraId="0A09BB53">
      <w:pPr>
        <w:pBdr>
          <w:top w:val="none" w:color="auto" w:sz="0" w:space="1"/>
          <w:left w:val="none" w:color="auto" w:sz="0" w:space="4"/>
          <w:bottom w:val="none" w:color="auto" w:sz="0" w:space="1"/>
          <w:right w:val="none" w:color="auto" w:sz="0" w:space="4"/>
        </w:pBdr>
        <w:spacing w:line="360" w:lineRule="auto"/>
        <w:ind w:firstLine="480" w:firstLineChars="200"/>
        <w:jc w:val="left"/>
        <w:rPr>
          <w:rFonts w:hint="eastAsia" w:ascii="宋体" w:hAnsi="宋体" w:eastAsia="宋体" w:cs="宋体"/>
          <w:b/>
          <w:color w:val="auto"/>
          <w:sz w:val="28"/>
          <w:szCs w:val="28"/>
          <w:highlight w:val="none"/>
        </w:rPr>
      </w:pPr>
      <w:r>
        <w:rPr>
          <w:rFonts w:hint="eastAsia" w:ascii="宋体" w:hAnsi="宋体" w:eastAsia="宋体"/>
          <w:b w:val="0"/>
          <w:bCs w:val="0"/>
          <w:color w:val="auto"/>
          <w:sz w:val="24"/>
          <w:szCs w:val="24"/>
          <w:highlight w:val="none"/>
        </w:rPr>
        <w:t>本项目核心产品为：</w:t>
      </w:r>
      <w:r>
        <w:rPr>
          <w:rFonts w:hint="eastAsia" w:ascii="宋体" w:hAnsi="宋体" w:cs="宋体"/>
          <w:bCs/>
          <w:color w:val="auto"/>
          <w:kern w:val="2"/>
          <w:sz w:val="24"/>
          <w:szCs w:val="24"/>
          <w:highlight w:val="none"/>
          <w:u w:val="single"/>
          <w:lang w:val="en-US" w:eastAsia="zh-CN"/>
        </w:rPr>
        <w:t>高精度全自动光栅式测长机</w:t>
      </w:r>
      <w:r>
        <w:rPr>
          <w:rFonts w:hint="eastAsia" w:ascii="宋体" w:hAnsi="宋体" w:eastAsia="宋体"/>
          <w:b w:val="0"/>
          <w:bCs w:val="0"/>
          <w:color w:val="auto"/>
          <w:sz w:val="24"/>
          <w:szCs w:val="24"/>
          <w:highlight w:val="none"/>
        </w:rPr>
        <w:t>。</w:t>
      </w:r>
    </w:p>
    <w:p w14:paraId="46569341">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kern w:val="0"/>
          <w:sz w:val="28"/>
          <w:szCs w:val="28"/>
          <w:highlight w:val="none"/>
          <w:lang w:val="en-US" w:eastAsia="zh-CN"/>
        </w:rPr>
        <w:t>小角度检定仪</w:t>
      </w:r>
    </w:p>
    <w:p w14:paraId="643380BE">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rPr>
      </w:pPr>
      <w:r>
        <w:rPr>
          <w:rFonts w:hint="default" w:ascii="宋体" w:hAnsi="宋体" w:eastAsia="宋体" w:cs="宋体"/>
          <w:b w:val="0"/>
          <w:bCs w:val="0"/>
          <w:color w:val="auto"/>
          <w:kern w:val="0"/>
          <w:sz w:val="24"/>
          <w:szCs w:val="24"/>
          <w:highlight w:val="none"/>
        </w:rPr>
        <w:t>1</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rPr>
        <w:t>功能要求：</w:t>
      </w:r>
    </w:p>
    <w:p w14:paraId="144ED230">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rPr>
      </w:pPr>
      <w:r>
        <w:rPr>
          <w:rFonts w:hint="default" w:ascii="宋体" w:hAnsi="宋体" w:eastAsia="宋体" w:cs="宋体"/>
          <w:b w:val="0"/>
          <w:bCs w:val="0"/>
          <w:color w:val="auto"/>
          <w:kern w:val="0"/>
          <w:sz w:val="24"/>
          <w:szCs w:val="24"/>
          <w:highlight w:val="none"/>
        </w:rPr>
        <w:t>★1.1</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rPr>
        <w:t>满足规程及溯源要求</w:t>
      </w:r>
    </w:p>
    <w:p w14:paraId="20F8D3C7">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小角度检查仪必须满足JJG300-2002《小角度检查仪检定规程》和JJG103-2005《电子水平仪和合像水平仪检定规程》要求，满足社会公用计量标准的建标要求。</w:t>
      </w:r>
    </w:p>
    <w:p w14:paraId="4682B552">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rPr>
      </w:pPr>
      <w:r>
        <w:rPr>
          <w:rFonts w:hint="default" w:ascii="宋体" w:hAnsi="宋体" w:eastAsia="宋体" w:cs="宋体"/>
          <w:b w:val="0"/>
          <w:bCs w:val="0"/>
          <w:color w:val="auto"/>
          <w:kern w:val="0"/>
          <w:sz w:val="24"/>
          <w:szCs w:val="24"/>
          <w:highlight w:val="none"/>
        </w:rPr>
        <w:t>2</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rPr>
        <w:t>技术指标要求：</w:t>
      </w:r>
    </w:p>
    <w:p w14:paraId="2CBDBA4F">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bookmarkStart w:id="23" w:name="OLE_LINK9"/>
      <w:r>
        <w:rPr>
          <w:rFonts w:hint="default" w:ascii="宋体" w:hAnsi="宋体" w:eastAsia="宋体" w:cs="宋体"/>
          <w:b w:val="0"/>
          <w:bCs w:val="0"/>
          <w:color w:val="auto"/>
          <w:kern w:val="0"/>
          <w:sz w:val="24"/>
          <w:szCs w:val="24"/>
          <w:highlight w:val="none"/>
        </w:rPr>
        <w:t>★</w:t>
      </w:r>
      <w:bookmarkEnd w:id="23"/>
      <w:r>
        <w:rPr>
          <w:rFonts w:hint="default" w:ascii="宋体" w:hAnsi="宋体" w:eastAsia="宋体" w:cs="宋体"/>
          <w:b w:val="0"/>
          <w:bCs w:val="0"/>
          <w:color w:val="auto"/>
          <w:kern w:val="0"/>
          <w:sz w:val="24"/>
          <w:szCs w:val="24"/>
          <w:highlight w:val="none"/>
        </w:rPr>
        <w:t>2.1</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小角度检查仪</w:t>
      </w:r>
      <w:r>
        <w:rPr>
          <w:rFonts w:hint="default" w:ascii="宋体" w:hAnsi="宋体" w:eastAsia="宋体" w:cs="宋体"/>
          <w:b w:val="0"/>
          <w:bCs w:val="0"/>
          <w:color w:val="auto"/>
          <w:kern w:val="0"/>
          <w:sz w:val="24"/>
          <w:szCs w:val="24"/>
          <w:highlight w:val="none"/>
        </w:rPr>
        <w:t>满足JJG</w:t>
      </w:r>
      <w:r>
        <w:rPr>
          <w:rFonts w:hint="default" w:ascii="宋体" w:hAnsi="宋体" w:eastAsia="宋体" w:cs="宋体"/>
          <w:b w:val="0"/>
          <w:bCs w:val="0"/>
          <w:color w:val="auto"/>
          <w:kern w:val="0"/>
          <w:sz w:val="24"/>
          <w:szCs w:val="24"/>
          <w:highlight w:val="none"/>
          <w:lang w:val="en-US" w:eastAsia="zh-CN"/>
        </w:rPr>
        <w:t>300</w:t>
      </w:r>
      <w:r>
        <w:rPr>
          <w:rFonts w:hint="default" w:ascii="宋体" w:hAnsi="宋体" w:eastAsia="宋体" w:cs="宋体"/>
          <w:b w:val="0"/>
          <w:bCs w:val="0"/>
          <w:color w:val="auto"/>
          <w:kern w:val="0"/>
          <w:sz w:val="24"/>
          <w:szCs w:val="24"/>
          <w:highlight w:val="none"/>
        </w:rPr>
        <w:t>-200</w:t>
      </w:r>
      <w:r>
        <w:rPr>
          <w:rFonts w:hint="default" w:ascii="宋体" w:hAnsi="宋体" w:eastAsia="宋体" w:cs="宋体"/>
          <w:b w:val="0"/>
          <w:bCs w:val="0"/>
          <w:color w:val="auto"/>
          <w:kern w:val="0"/>
          <w:sz w:val="24"/>
          <w:szCs w:val="24"/>
          <w:highlight w:val="none"/>
          <w:lang w:val="en-US" w:eastAsia="zh-CN"/>
        </w:rPr>
        <w:t>2</w:t>
      </w:r>
      <w:r>
        <w:rPr>
          <w:rFonts w:hint="default" w:ascii="宋体" w:hAnsi="宋体" w:eastAsia="宋体" w:cs="宋体"/>
          <w:b w:val="0"/>
          <w:bCs w:val="0"/>
          <w:color w:val="auto"/>
          <w:kern w:val="0"/>
          <w:sz w:val="24"/>
          <w:szCs w:val="24"/>
          <w:highlight w:val="none"/>
        </w:rPr>
        <w:t>《</w:t>
      </w:r>
      <w:r>
        <w:rPr>
          <w:rFonts w:hint="default" w:ascii="宋体" w:hAnsi="宋体" w:eastAsia="宋体" w:cs="宋体"/>
          <w:b w:val="0"/>
          <w:bCs w:val="0"/>
          <w:color w:val="auto"/>
          <w:kern w:val="0"/>
          <w:sz w:val="24"/>
          <w:szCs w:val="24"/>
          <w:highlight w:val="none"/>
          <w:lang w:val="en-US" w:eastAsia="zh-CN"/>
        </w:rPr>
        <w:t>小角度检查仪</w:t>
      </w:r>
      <w:r>
        <w:rPr>
          <w:rFonts w:hint="default" w:ascii="宋体" w:hAnsi="宋体" w:eastAsia="宋体" w:cs="宋体"/>
          <w:b w:val="0"/>
          <w:bCs w:val="0"/>
          <w:color w:val="auto"/>
          <w:kern w:val="0"/>
          <w:sz w:val="24"/>
          <w:szCs w:val="24"/>
          <w:highlight w:val="none"/>
        </w:rPr>
        <w:t>》第4条所规定的</w:t>
      </w:r>
      <w:r>
        <w:rPr>
          <w:rFonts w:hint="default" w:ascii="宋体" w:hAnsi="宋体" w:eastAsia="宋体" w:cs="宋体"/>
          <w:b w:val="0"/>
          <w:bCs w:val="0"/>
          <w:color w:val="auto"/>
          <w:kern w:val="0"/>
          <w:sz w:val="24"/>
          <w:szCs w:val="24"/>
          <w:highlight w:val="none"/>
          <w:lang w:val="en-US" w:eastAsia="zh-CN"/>
        </w:rPr>
        <w:t>计量性能</w:t>
      </w:r>
      <w:r>
        <w:rPr>
          <w:rFonts w:hint="default" w:ascii="宋体" w:hAnsi="宋体" w:eastAsia="宋体" w:cs="宋体"/>
          <w:b w:val="0"/>
          <w:bCs w:val="0"/>
          <w:color w:val="auto"/>
          <w:kern w:val="0"/>
          <w:sz w:val="24"/>
          <w:szCs w:val="24"/>
          <w:highlight w:val="none"/>
        </w:rPr>
        <w:t>要求</w:t>
      </w:r>
      <w:r>
        <w:rPr>
          <w:rFonts w:hint="default" w:ascii="宋体" w:hAnsi="宋体" w:eastAsia="宋体" w:cs="宋体"/>
          <w:b w:val="0"/>
          <w:bCs w:val="0"/>
          <w:color w:val="auto"/>
          <w:kern w:val="0"/>
          <w:sz w:val="24"/>
          <w:szCs w:val="24"/>
          <w:highlight w:val="none"/>
          <w:lang w:val="en-US" w:eastAsia="zh-CN"/>
        </w:rPr>
        <w:t>。</w:t>
      </w:r>
    </w:p>
    <w:p w14:paraId="35650A34">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rPr>
        <w:t>▲2.</w:t>
      </w:r>
      <w:r>
        <w:rPr>
          <w:rFonts w:hint="default" w:ascii="宋体" w:hAnsi="宋体" w:eastAsia="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由</w:t>
      </w:r>
      <w:r>
        <w:rPr>
          <w:rFonts w:hint="default" w:ascii="宋体" w:hAnsi="宋体" w:eastAsia="宋体" w:cs="宋体"/>
          <w:b w:val="0"/>
          <w:bCs w:val="0"/>
          <w:color w:val="auto"/>
          <w:kern w:val="0"/>
          <w:sz w:val="24"/>
          <w:szCs w:val="24"/>
          <w:highlight w:val="none"/>
        </w:rPr>
        <w:t>电机自动</w:t>
      </w:r>
      <w:r>
        <w:rPr>
          <w:rFonts w:hint="default" w:ascii="宋体" w:hAnsi="宋体" w:eastAsia="宋体" w:cs="宋体"/>
          <w:b w:val="0"/>
          <w:bCs w:val="0"/>
          <w:color w:val="auto"/>
          <w:kern w:val="0"/>
          <w:sz w:val="24"/>
          <w:szCs w:val="24"/>
          <w:highlight w:val="none"/>
          <w:lang w:val="en-US" w:eastAsia="zh-CN"/>
        </w:rPr>
        <w:t>精确</w:t>
      </w:r>
      <w:r>
        <w:rPr>
          <w:rFonts w:hint="default" w:ascii="宋体" w:hAnsi="宋体" w:eastAsia="宋体" w:cs="宋体"/>
          <w:b w:val="0"/>
          <w:bCs w:val="0"/>
          <w:color w:val="auto"/>
          <w:kern w:val="0"/>
          <w:sz w:val="24"/>
          <w:szCs w:val="24"/>
          <w:highlight w:val="none"/>
        </w:rPr>
        <w:t>控制</w:t>
      </w:r>
      <w:r>
        <w:rPr>
          <w:rFonts w:hint="default" w:ascii="宋体" w:hAnsi="宋体" w:eastAsia="宋体" w:cs="宋体"/>
          <w:b w:val="0"/>
          <w:bCs w:val="0"/>
          <w:color w:val="auto"/>
          <w:kern w:val="0"/>
          <w:sz w:val="24"/>
          <w:szCs w:val="24"/>
          <w:highlight w:val="none"/>
          <w:lang w:val="en-US" w:eastAsia="zh-CN"/>
        </w:rPr>
        <w:t>升降</w:t>
      </w:r>
      <w:r>
        <w:rPr>
          <w:rFonts w:hint="default" w:ascii="宋体" w:hAnsi="宋体" w:eastAsia="宋体" w:cs="宋体"/>
          <w:b w:val="0"/>
          <w:bCs w:val="0"/>
          <w:color w:val="auto"/>
          <w:kern w:val="0"/>
          <w:sz w:val="24"/>
          <w:szCs w:val="24"/>
          <w:highlight w:val="none"/>
        </w:rPr>
        <w:t>，自动产生标准角度</w:t>
      </w:r>
      <w:r>
        <w:rPr>
          <w:rFonts w:hint="default" w:ascii="宋体" w:hAnsi="宋体" w:eastAsia="宋体" w:cs="宋体"/>
          <w:b w:val="0"/>
          <w:bCs w:val="0"/>
          <w:color w:val="auto"/>
          <w:kern w:val="0"/>
          <w:sz w:val="24"/>
          <w:szCs w:val="24"/>
          <w:highlight w:val="none"/>
          <w:lang w:eastAsia="zh-CN"/>
        </w:rPr>
        <w:t>。</w:t>
      </w:r>
    </w:p>
    <w:p w14:paraId="4F59C39F">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rPr>
        <w:t>▲2.</w:t>
      </w:r>
      <w:r>
        <w:rPr>
          <w:rFonts w:hint="default" w:ascii="宋体" w:hAnsi="宋体" w:eastAsia="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配备检定软件，</w:t>
      </w:r>
      <w:r>
        <w:rPr>
          <w:rFonts w:hint="default" w:ascii="宋体" w:hAnsi="宋体" w:eastAsia="宋体" w:cs="宋体"/>
          <w:b w:val="0"/>
          <w:bCs w:val="0"/>
          <w:color w:val="auto"/>
          <w:kern w:val="0"/>
          <w:sz w:val="24"/>
          <w:szCs w:val="24"/>
          <w:highlight w:val="none"/>
        </w:rPr>
        <w:t>可自动保存数据、自动计算检定结果并根据规程判定检定结论，可查看、导出历史检定记录。</w:t>
      </w:r>
    </w:p>
    <w:p w14:paraId="44CCB192">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rPr>
      </w:pPr>
      <w:r>
        <w:rPr>
          <w:rFonts w:hint="default" w:ascii="宋体" w:hAnsi="宋体" w:eastAsia="宋体" w:cs="宋体"/>
          <w:b w:val="0"/>
          <w:bCs w:val="0"/>
          <w:color w:val="auto"/>
          <w:kern w:val="0"/>
          <w:sz w:val="24"/>
          <w:szCs w:val="24"/>
          <w:highlight w:val="none"/>
        </w:rPr>
        <w:t>▲2.</w:t>
      </w:r>
      <w:r>
        <w:rPr>
          <w:rFonts w:hint="default" w:ascii="宋体" w:hAnsi="宋体" w:eastAsia="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rPr>
        <w:t>鉴于使用、送检需要，要求仪器箱装，便于携带。</w:t>
      </w:r>
    </w:p>
    <w:p w14:paraId="4382B737">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kern w:val="0"/>
          <w:sz w:val="28"/>
          <w:szCs w:val="28"/>
          <w:highlight w:val="none"/>
          <w:lang w:val="en-US" w:eastAsia="zh-CN"/>
        </w:rPr>
        <w:t>扭矩板子检定仪</w:t>
      </w:r>
    </w:p>
    <w:p w14:paraId="6384AF13">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功能要求：</w:t>
      </w:r>
    </w:p>
    <w:p w14:paraId="23FFD8F4">
      <w:pPr>
        <w:keepNext w:val="0"/>
        <w:keepLines w:val="0"/>
        <w:pageBreakBefore w:val="0"/>
        <w:kinsoku/>
        <w:wordWrap/>
        <w:overflowPunct/>
        <w:topLinePunct w:val="0"/>
        <w:bidi w:val="0"/>
        <w:snapToGrid/>
        <w:spacing w:after="0" w:line="560" w:lineRule="exact"/>
        <w:ind w:firstLine="420" w:firstLineChars="200"/>
        <w:jc w:val="left"/>
        <w:textAlignment w:val="auto"/>
        <w:rPr>
          <w:rFonts w:hint="default" w:ascii="宋体" w:hAnsi="宋体" w:eastAsia="宋体" w:cs="宋体"/>
          <w:b w:val="0"/>
          <w:bCs w:val="0"/>
          <w:color w:val="auto"/>
          <w:kern w:val="0"/>
          <w:sz w:val="24"/>
          <w:szCs w:val="24"/>
          <w:highlight w:val="none"/>
        </w:rPr>
      </w:pPr>
      <w:r>
        <w:rPr>
          <w:color w:val="auto"/>
          <w:highlight w:val="none"/>
        </w:rPr>
        <w:t>★</w:t>
      </w:r>
      <w:r>
        <w:rPr>
          <w:rFonts w:hint="eastAsia" w:ascii="宋体" w:hAnsi="宋体" w:eastAsia="宋体" w:cs="宋体"/>
          <w:b w:val="0"/>
          <w:bCs w:val="0"/>
          <w:color w:val="auto"/>
          <w:kern w:val="0"/>
          <w:sz w:val="24"/>
          <w:szCs w:val="24"/>
          <w:highlight w:val="none"/>
        </w:rPr>
        <w:t>1.1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满足规程及溯源要求</w:t>
      </w:r>
    </w:p>
    <w:p w14:paraId="7A538D26">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标准器必须满足JJG797-2013《扭矩扳子检定仪检定规程》和JJG707-2014《扭矩扳子检定规程》要求，满足社会公用计量标准的建标要求。</w:t>
      </w:r>
    </w:p>
    <w:p w14:paraId="0337B740">
      <w:pPr>
        <w:keepNext w:val="0"/>
        <w:keepLines w:val="0"/>
        <w:pageBreakBefore w:val="0"/>
        <w:kinsoku/>
        <w:wordWrap/>
        <w:overflowPunct/>
        <w:topLinePunct w:val="0"/>
        <w:bidi w:val="0"/>
        <w:snapToGrid/>
        <w:spacing w:after="0" w:line="560" w:lineRule="exact"/>
        <w:ind w:firstLine="482" w:firstLineChars="200"/>
        <w:jc w:val="left"/>
        <w:textAlignment w:val="auto"/>
        <w:rPr>
          <w:rFonts w:hint="default" w:ascii="宋体" w:hAnsi="宋体" w:eastAsia="宋体" w:cs="宋体"/>
          <w:b w:val="0"/>
          <w:bCs w:val="0"/>
          <w:color w:val="auto"/>
          <w:kern w:val="0"/>
          <w:sz w:val="24"/>
          <w:szCs w:val="24"/>
          <w:highlight w:val="none"/>
        </w:rPr>
      </w:pPr>
      <w:r>
        <w:rPr>
          <w:rStyle w:val="39"/>
          <w:rFonts w:hint="eastAsia"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rPr>
        <w:t>1.2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标准器组成：</w:t>
      </w:r>
    </w:p>
    <w:p w14:paraId="3A7E238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（1）包含以下规格的0.3级扭矩传感器：1Nm，10Nm，100Nm，1000Nm，5000Nm，所有传感器均为顺时针、逆时针双向；</w:t>
      </w:r>
    </w:p>
    <w:p w14:paraId="1425F75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（2）整套装置配有工装，用于检定方榫、管钳、开口钳、扭矩螺丝刀、六角扳手等各组转接头的扭矩扳子；</w:t>
      </w:r>
    </w:p>
    <w:p w14:paraId="0FAB376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（3）传感器和仪表配有箱子，便于送检、运输。</w:t>
      </w:r>
    </w:p>
    <w:p w14:paraId="6745CAF2">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技术指标要求：</w:t>
      </w:r>
    </w:p>
    <w:p w14:paraId="78EBF896">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rPr>
        <w:t>2.1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扭矩扳子检定仪满足JJG797-2013《扭矩扳子检定仪检定规程》第4条表1所规定的0.3级扭矩仪计量特性要求。</w:t>
      </w:r>
    </w:p>
    <w:p w14:paraId="7CD1664C">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rPr>
        <w:t>2.2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鉴于使用、送检需要，要求仪器箱装，便于携带。重的箱子带有轮子和拉杆。</w:t>
      </w:r>
    </w:p>
    <w:p w14:paraId="4831AE0A">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kern w:val="0"/>
          <w:sz w:val="28"/>
          <w:szCs w:val="28"/>
          <w:highlight w:val="none"/>
          <w:lang w:val="en-US" w:eastAsia="zh-CN"/>
        </w:rPr>
        <w:t>电脑量块比较仪</w:t>
      </w:r>
    </w:p>
    <w:p w14:paraId="3D9FC21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功能要求：</w:t>
      </w:r>
    </w:p>
    <w:p w14:paraId="5032A81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满足规程及溯源要求</w:t>
      </w:r>
    </w:p>
    <w:p w14:paraId="11F9D5A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标准器必须满足JJG146-2011《量块检定规程》和JJF1304-2011《量块比较仪校准规范》要求，满足社会公用计量标准的建标要求。</w:t>
      </w:r>
    </w:p>
    <w:p w14:paraId="250121B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rPr>
        <w:t>1.2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设备组成：</w:t>
      </w:r>
    </w:p>
    <w:p w14:paraId="67575A3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传感器、必备的配件和附件（包括：测量支架、隔热板、专用计算机、专用测量软件等）。</w:t>
      </w:r>
    </w:p>
    <w:p w14:paraId="4607243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技术指标要求：</w:t>
      </w:r>
    </w:p>
    <w:p w14:paraId="215607C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量块比较仪示值误差满足：±（0.030+0.005A）μm，可充分满足JJG146-2011对3等传4等及以下量块检定的要求。</w:t>
      </w:r>
    </w:p>
    <w:p w14:paraId="644C1BA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鉴于使用、送检需要，要求仪器箱装，便于携带。重的箱子带有轮子和拉杆。</w:t>
      </w:r>
    </w:p>
    <w:p w14:paraId="3748A74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▲2.3</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配备隔热板等相关配件，减小装置的系统误差。或配备其他有助于减小系统误差的设施。</w:t>
      </w:r>
    </w:p>
    <w:p w14:paraId="38A3B7F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rPr>
        <w:t>▲2.4</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软件应能根据规程自动完成中心长度和长度变动量的测量、计算、数据处理及最终判定</w:t>
      </w:r>
      <w:r>
        <w:rPr>
          <w:rFonts w:hint="eastAsia" w:ascii="宋体" w:hAnsi="宋体" w:eastAsia="宋体" w:cs="宋体"/>
          <w:b w:val="0"/>
          <w:bCs w:val="0"/>
          <w:color w:val="auto"/>
          <w:kern w:val="0"/>
          <w:sz w:val="24"/>
          <w:szCs w:val="24"/>
          <w:highlight w:val="none"/>
          <w:lang w:eastAsia="zh-CN"/>
        </w:rPr>
        <w:t>。</w:t>
      </w:r>
    </w:p>
    <w:p w14:paraId="1CA511E2">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（四）</w:t>
      </w:r>
      <w:r>
        <w:rPr>
          <w:rFonts w:hint="eastAsia" w:ascii="宋体" w:hAnsi="宋体" w:eastAsia="宋体" w:cs="宋体"/>
          <w:b/>
          <w:color w:val="auto"/>
          <w:kern w:val="0"/>
          <w:sz w:val="28"/>
          <w:szCs w:val="28"/>
          <w:highlight w:val="none"/>
          <w:lang w:val="en-US" w:eastAsia="zh-CN"/>
        </w:rPr>
        <w:t>高精度全自动光栅式测长机</w:t>
      </w:r>
    </w:p>
    <w:p w14:paraId="3CCFD92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★1.1满足规程及溯源要求</w:t>
      </w:r>
    </w:p>
    <w:p w14:paraId="328AC2C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标准器必须满足JJF 1066-2000 《测长机》要求，有省级以上计量院出具的校准证书，满足国家计量检定系统量值传递要求，满足社会公用计量标准的建标要求。</w:t>
      </w:r>
    </w:p>
    <w:p w14:paraId="04ABCB9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应符合JJG146-2011《量块检定规程》、JJG894-1995《标准环规检定规程》、JJG 343-2012《光滑极限量规检定规程》、JJG 21-2008《千分尺检定规程》、JJG 22-2014《内径千分尺检定规程》、JJG62-2017《塞尺检定规程》、JJF1207-2008《针规、量针校准规范》、JJF 1345-2012《圆柱螺纹量规校准规》范等几何量计量检定规程、规范的检定、校准方法要求。</w:t>
      </w:r>
    </w:p>
    <w:p w14:paraId="4B414B0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▲1.2测量方式</w:t>
      </w:r>
    </w:p>
    <w:p w14:paraId="3D7E27F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采用高精度光栅尺作为长度方向定位，可进行高精度全行程直接测量。</w:t>
      </w:r>
    </w:p>
    <w:p w14:paraId="7AC73A0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★1.3配件</w:t>
      </w:r>
    </w:p>
    <w:p w14:paraId="26C3EA3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应具备检定、校准量块、块规、光滑环塞规、螺纹环塞规、光滑卡规、千分尺校对杆、两点内径千分尺、光滑锥度环塞规、螺纹锥度环塞规等量具量规所使用的夹具配件。</w:t>
      </w:r>
    </w:p>
    <w:p w14:paraId="65F47F7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▲1.4软件</w:t>
      </w:r>
    </w:p>
    <w:p w14:paraId="472108C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软件应内置量块、螺纹、光滑极限量规、针规、量针、塞尺、内径千分尺等规程规范标准；</w:t>
      </w:r>
    </w:p>
    <w:p w14:paraId="345BD18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软件配备快速找拐点指示功能，可方便快速便携地找到被测件的拐点。</w:t>
      </w:r>
    </w:p>
    <w:p w14:paraId="5B20ECD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2、技术指标要求：</w:t>
      </w:r>
    </w:p>
    <w:p w14:paraId="2AD0918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★2.1、测长机满足JJF 1066-2000 《测长机》所规定的计量特性要求。</w:t>
      </w:r>
    </w:p>
    <w:p w14:paraId="66D3129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★2.2示值误差：≤（0.4＋L/1000）μm，其中L为被测长度，单位mm。</w:t>
      </w:r>
    </w:p>
    <w:p w14:paraId="5590EE6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★2.3测量范围：</w:t>
      </w:r>
    </w:p>
    <w:p w14:paraId="18CF578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外尺寸测量范围：覆盖（0～3000）mm。</w:t>
      </w:r>
    </w:p>
    <w:p w14:paraId="74A880B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内尺寸测量范围：覆盖（5～2900）mm。</w:t>
      </w:r>
    </w:p>
    <w:p w14:paraId="224CCA0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检测量块&amp;块规：（0.1~1000mm）；</w:t>
      </w:r>
    </w:p>
    <w:p w14:paraId="6F14C1A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光滑环规：φ5~φ200mm（壁厚≤50 mm，高度≤50mm）、光滑塞规：φ1~φ220mm；</w:t>
      </w:r>
    </w:p>
    <w:p w14:paraId="2C608AB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螺纹环规：M5~M200（螺距0.8~4mm）</w:t>
      </w:r>
    </w:p>
    <w:p w14:paraId="2EBE646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螺纹塞规：M1~M220（螺距0.25~5.5mm）；</w:t>
      </w:r>
    </w:p>
    <w:p w14:paraId="2FE95F9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光滑卡规：内卡5~200mm，外卡1~300mm</w:t>
      </w:r>
    </w:p>
    <w:p w14:paraId="65AA143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千分尺校对杆：25~3000mm；</w:t>
      </w:r>
    </w:p>
    <w:p w14:paraId="52CB285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塞尺：0.02~1mm</w:t>
      </w:r>
    </w:p>
    <w:p w14:paraId="4B8508E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针规：φ0.1~φ10mm</w:t>
      </w:r>
    </w:p>
    <w:p w14:paraId="4DF5690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三针：0.118~6.585mm；</w:t>
      </w:r>
    </w:p>
    <w:p w14:paraId="424A3CD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两点内径千分尺：25~3000mm；</w:t>
      </w:r>
    </w:p>
    <w:p w14:paraId="3EEBB42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三爪内径千分尺手动校准：φ6~φ200mm；</w:t>
      </w:r>
    </w:p>
    <w:p w14:paraId="7133A0F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★分辨力：≤0.01μm</w:t>
      </w:r>
    </w:p>
    <w:p w14:paraId="5A9AAFF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▲外尺寸重复性≤0.2μm</w:t>
      </w:r>
    </w:p>
    <w:p w14:paraId="755DE81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▲内尺寸重复性≤0.4μm</w:t>
      </w:r>
    </w:p>
    <w:p w14:paraId="519CDBFA">
      <w:pPr>
        <w:keepNext w:val="0"/>
        <w:keepLines w:val="0"/>
        <w:pageBreakBefore w:val="0"/>
        <w:kinsoku/>
        <w:wordWrap/>
        <w:overflowPunct/>
        <w:topLinePunct w:val="0"/>
        <w:bidi w:val="0"/>
        <w:snapToGrid/>
        <w:spacing w:after="0" w:line="560" w:lineRule="exact"/>
        <w:ind w:firstLine="562" w:firstLineChars="200"/>
        <w:jc w:val="left"/>
        <w:textAlignment w:val="auto"/>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（五）</w:t>
      </w:r>
      <w:r>
        <w:rPr>
          <w:rFonts w:hint="eastAsia" w:ascii="宋体" w:hAnsi="宋体" w:eastAsia="宋体" w:cs="宋体"/>
          <w:b/>
          <w:color w:val="auto"/>
          <w:kern w:val="0"/>
          <w:sz w:val="28"/>
          <w:szCs w:val="28"/>
          <w:highlight w:val="none"/>
          <w:lang w:val="en-US" w:eastAsia="zh-CN"/>
        </w:rPr>
        <w:t>标准测力仪</w:t>
      </w:r>
    </w:p>
    <w:p w14:paraId="75770FF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功能要求：</w:t>
      </w:r>
    </w:p>
    <w:p w14:paraId="7F1B068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满足规程及溯源要求</w:t>
      </w:r>
    </w:p>
    <w:p w14:paraId="698A7F9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标准器必须满足JJG144-2007《标准测力仪检定规程》和JJG139-2014《拉力、压力和万能试验机检定规程》要求，满足社会公用计量标准的建标要求。</w:t>
      </w:r>
    </w:p>
    <w:p w14:paraId="157B4A0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rPr>
        <w:t>1.2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标准器组成：</w:t>
      </w:r>
    </w:p>
    <w:p w14:paraId="7E5366C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（1）包含以下规格的0.3级标准测力仪：100N，600N，1000N，3000N，6000N，10kN，60kN，100kN，300kN，600kN，1000kN，2000kN，3000kN</w:t>
      </w:r>
    </w:p>
    <w:p w14:paraId="6D72133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（2）以上测力仪中，600kN以下（含600kN）均为拉压双向，且配备对应吊环。</w:t>
      </w:r>
    </w:p>
    <w:p w14:paraId="7BE6033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3）根据实际检测工作频次的需求，本标准装置需配备5套指示装置（仪表）。指示装置应能满足上述所有标准测力仪的量程覆盖要求及0.3级准确度等级要求。供应商可根据实际工作需求，提供满足上述计量性能要求且经济合理的等效配置方案（包含仪表与传感器的匹配组合）。</w:t>
      </w:r>
    </w:p>
    <w:p w14:paraId="53380EB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（4）测力仪配有箱子，箱子可安全稳定地装下该传感器、仪表及配件。</w:t>
      </w:r>
    </w:p>
    <w:p w14:paraId="14BE490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技术指标要求：</w:t>
      </w:r>
    </w:p>
    <w:p w14:paraId="3F9338D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★2.1</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标准测力仪满足JJG144-2007《标准测力仪检定规程》第4条表1所规定的0.3级标准测力仪计量特性要求。</w:t>
      </w:r>
    </w:p>
    <w:p w14:paraId="6A3098A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▲2.2</w:t>
      </w: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b w:val="0"/>
          <w:bCs w:val="0"/>
          <w:color w:val="auto"/>
          <w:kern w:val="0"/>
          <w:sz w:val="24"/>
          <w:szCs w:val="24"/>
          <w:highlight w:val="none"/>
        </w:rPr>
        <w:t>鉴于现场使用需要，要求仪器箱装，便于携带。2000kN以上测力仪箱子带有轮子和拉杆。</w:t>
      </w:r>
    </w:p>
    <w:p w14:paraId="440B0D18">
      <w:pPr>
        <w:keepNext w:val="0"/>
        <w:keepLines w:val="0"/>
        <w:pageBreakBefore w:val="0"/>
        <w:kinsoku/>
        <w:wordWrap/>
        <w:overflowPunct/>
        <w:topLinePunct w:val="0"/>
        <w:bidi w:val="0"/>
        <w:snapToGrid/>
        <w:spacing w:after="0" w:line="560" w:lineRule="exact"/>
        <w:ind w:firstLine="562" w:firstLineChars="200"/>
        <w:jc w:val="left"/>
        <w:textAlignment w:val="auto"/>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（六）实施及维修要求</w:t>
      </w:r>
      <w:r>
        <w:rPr>
          <w:rFonts w:hint="default" w:ascii="宋体" w:hAnsi="宋体" w:eastAsia="宋体" w:cs="宋体"/>
          <w:b/>
          <w:color w:val="auto"/>
          <w:sz w:val="28"/>
          <w:szCs w:val="28"/>
          <w:highlight w:val="none"/>
          <w:lang w:val="en-US" w:eastAsia="zh-CN"/>
        </w:rPr>
        <w:t>：</w:t>
      </w:r>
    </w:p>
    <w:p w14:paraId="727098B7">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总体</w:t>
      </w:r>
      <w:r>
        <w:rPr>
          <w:rFonts w:hint="eastAsia" w:ascii="宋体" w:hAnsi="宋体" w:eastAsia="宋体" w:cs="宋体"/>
          <w:color w:val="auto"/>
          <w:sz w:val="24"/>
          <w:szCs w:val="24"/>
          <w:highlight w:val="none"/>
          <w:lang w:val="en-US" w:eastAsia="zh-CN"/>
        </w:rPr>
        <w:t>实施</w:t>
      </w:r>
      <w:r>
        <w:rPr>
          <w:rFonts w:ascii="宋体" w:hAnsi="宋体" w:eastAsia="宋体" w:cs="宋体"/>
          <w:color w:val="auto"/>
          <w:sz w:val="24"/>
          <w:szCs w:val="24"/>
          <w:highlight w:val="none"/>
        </w:rPr>
        <w:t>要求：供应商负责本包全部设备（小角度检定仪、扭矩扳子检定仪、电脑量块比较仪、</w:t>
      </w:r>
      <w:r>
        <w:rPr>
          <w:rFonts w:hint="eastAsia" w:ascii="宋体" w:hAnsi="宋体" w:eastAsia="宋体" w:cs="宋体"/>
          <w:color w:val="auto"/>
          <w:sz w:val="24"/>
          <w:szCs w:val="24"/>
          <w:highlight w:val="none"/>
        </w:rPr>
        <w:t>高精度全自动光栅式测长机</w:t>
      </w:r>
      <w:r>
        <w:rPr>
          <w:rFonts w:ascii="宋体" w:hAnsi="宋体" w:eastAsia="宋体" w:cs="宋体"/>
          <w:color w:val="auto"/>
          <w:sz w:val="24"/>
          <w:szCs w:val="24"/>
          <w:highlight w:val="none"/>
        </w:rPr>
        <w:t>、标准测力仪）的供货、运输就位、安装调试、检定校准、现场培训、质保售后等全部工作。设备及配套软件须满足采购需求技术指标及对应国家计量规程、规范，满足社会公用计量标准建标条件，保障设备可正常开展计量检定业务；对项目敏感资料、电子数据做好保密，严禁外泄。</w:t>
      </w:r>
    </w:p>
    <w:p w14:paraId="1CA2D1CC">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安装调试要求：完成设备现场安装、整机调试及软件配置；实现设备自动检测、数据采集计算、结果自动判定、记录导出保存等全部软件功能，各类夹具、转接工装、传感器、仪表配套完整，整机各项性能指标满足采购需求及计量规程要求。</w:t>
      </w:r>
    </w:p>
    <w:p w14:paraId="3C917A15">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3.交货期：合同签订生效后2个月，交货时应有具有法定资质的省级及以上法定计量检定机构（或依法授权的计量技术机构）出具的检定/校准证书，且证书数据须符合本招标文件要求。</w:t>
      </w:r>
    </w:p>
    <w:p w14:paraId="3BF5FFB5">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rPr>
        <w:t>质保及维修要求：质保期自项目验收合格之日起计算：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p>
    <w:p w14:paraId="30402FD7">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5.培训要求：</w:t>
      </w:r>
      <w:r>
        <w:rPr>
          <w:rFonts w:ascii="宋体" w:hAnsi="宋体" w:eastAsia="宋体" w:cs="宋体"/>
          <w:color w:val="auto"/>
          <w:sz w:val="24"/>
          <w:szCs w:val="24"/>
          <w:highlight w:val="none"/>
        </w:rPr>
        <w:t>安装调试完成后开展现场培训</w:t>
      </w:r>
      <w:r>
        <w:rPr>
          <w:rFonts w:hint="eastAsia" w:ascii="宋体" w:hAnsi="宋体" w:eastAsia="宋体" w:cs="宋体"/>
          <w:color w:val="auto"/>
          <w:sz w:val="24"/>
          <w:szCs w:val="24"/>
          <w:highlight w:val="none"/>
          <w:lang w:val="en-US" w:eastAsia="zh-CN"/>
        </w:rPr>
        <w:t>，培训讲师需具有工程师及以上职称，保证参训人员熟练掌握设备使用方法，且具有一定故障和紧急情况处理能力。</w:t>
      </w:r>
    </w:p>
    <w:p w14:paraId="4F85B294">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验收要求：全部工作完成后由供应商申请验收，采购人对照采购需求逐项核查，证书、功能、指标全部合格后方可通过验收。</w:t>
      </w:r>
    </w:p>
    <w:p w14:paraId="6ADC2485">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w:t>
      </w:r>
      <w:r>
        <w:rPr>
          <w:rFonts w:hint="eastAsia" w:ascii="宋体" w:hAnsi="宋体" w:cs="宋体"/>
          <w:b/>
          <w:color w:val="auto"/>
          <w:sz w:val="28"/>
          <w:szCs w:val="28"/>
          <w:highlight w:val="none"/>
          <w:lang w:val="en-US" w:eastAsia="zh-CN"/>
        </w:rPr>
        <w:t>七</w:t>
      </w:r>
      <w:r>
        <w:rPr>
          <w:rFonts w:hint="eastAsia" w:ascii="宋体" w:hAnsi="宋体" w:eastAsia="宋体" w:cs="宋体"/>
          <w:b/>
          <w:color w:val="auto"/>
          <w:sz w:val="28"/>
          <w:szCs w:val="28"/>
          <w:highlight w:val="none"/>
          <w:lang w:val="en-US" w:eastAsia="zh-CN"/>
        </w:rPr>
        <w:t>）其他</w:t>
      </w:r>
    </w:p>
    <w:p w14:paraId="53C27B4C">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1、本项目报价不得超过预算价（最高限价）。</w:t>
      </w:r>
    </w:p>
    <w:p w14:paraId="249D6ED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2、工作中涉及的敏感资料、电子数据等相关信息，中标人应严格执行保密的相关规定，不得以任何方式向任何第三人披露、泄露或许可第三人使用，否则追究其相应法律责任。</w:t>
      </w:r>
    </w:p>
    <w:p w14:paraId="275E585C">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7C4F0303">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5</w:t>
      </w:r>
      <w:r>
        <w:rPr>
          <w:rFonts w:hint="eastAsia" w:ascii="宋体" w:hAnsi="宋体" w:eastAsia="宋体" w:cs="宋体"/>
          <w:b/>
          <w:bCs/>
          <w:color w:val="auto"/>
          <w:sz w:val="32"/>
          <w:szCs w:val="32"/>
          <w:highlight w:val="none"/>
        </w:rPr>
        <w:t>：</w:t>
      </w:r>
    </w:p>
    <w:p w14:paraId="4E9E6AF3">
      <w:pPr>
        <w:pBdr>
          <w:top w:val="none" w:color="auto" w:sz="0" w:space="1"/>
          <w:left w:val="none" w:color="auto" w:sz="0" w:space="4"/>
          <w:bottom w:val="none" w:color="auto" w:sz="0" w:space="1"/>
          <w:right w:val="none" w:color="auto" w:sz="0" w:space="4"/>
        </w:pBdr>
        <w:spacing w:line="360" w:lineRule="auto"/>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一、项目概况</w:t>
      </w:r>
    </w:p>
    <w:p w14:paraId="795D9C7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本项目为</w:t>
      </w:r>
      <w:r>
        <w:rPr>
          <w:rFonts w:hint="eastAsia" w:ascii="宋体" w:hAnsi="宋体" w:eastAsia="宋体" w:cs="宋体"/>
          <w:color w:val="auto"/>
          <w:sz w:val="24"/>
          <w:szCs w:val="24"/>
          <w:highlight w:val="none"/>
        </w:rPr>
        <w:t>2026年计量检验检测设备更新</w:t>
      </w:r>
      <w:r>
        <w:rPr>
          <w:rFonts w:ascii="宋体" w:hAnsi="宋体" w:eastAsia="宋体" w:cs="宋体"/>
          <w:color w:val="auto"/>
          <w:sz w:val="24"/>
          <w:szCs w:val="24"/>
          <w:highlight w:val="none"/>
        </w:rPr>
        <w:t>，拟采购</w:t>
      </w:r>
      <w:r>
        <w:rPr>
          <w:rFonts w:hint="eastAsia" w:ascii="宋体" w:hAnsi="宋体" w:eastAsia="宋体" w:cs="宋体"/>
          <w:color w:val="auto"/>
          <w:sz w:val="24"/>
          <w:szCs w:val="24"/>
          <w:highlight w:val="none"/>
          <w:lang w:val="en-US" w:eastAsia="zh-CN"/>
        </w:rPr>
        <w:t>无创血压模拟仪</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超声功率计</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心、脑电图机检定仪、医用注射泵和输液泵检测仪</w:t>
      </w:r>
      <w:r>
        <w:rPr>
          <w:rFonts w:ascii="宋体" w:hAnsi="宋体" w:eastAsia="宋体" w:cs="宋体"/>
          <w:color w:val="auto"/>
          <w:sz w:val="24"/>
          <w:szCs w:val="24"/>
          <w:highlight w:val="none"/>
        </w:rPr>
        <w:t>，项目总预算</w:t>
      </w:r>
      <w:r>
        <w:rPr>
          <w:rFonts w:hint="eastAsia" w:ascii="宋体" w:hAnsi="宋体" w:eastAsia="宋体" w:cs="宋体"/>
          <w:color w:val="auto"/>
          <w:sz w:val="24"/>
          <w:szCs w:val="24"/>
          <w:highlight w:val="none"/>
          <w:lang w:val="en-US" w:eastAsia="zh-CN"/>
        </w:rPr>
        <w:t>26.5</w:t>
      </w:r>
      <w:r>
        <w:rPr>
          <w:rFonts w:ascii="宋体" w:hAnsi="宋体" w:eastAsia="宋体" w:cs="宋体"/>
          <w:color w:val="auto"/>
          <w:sz w:val="24"/>
          <w:szCs w:val="24"/>
          <w:highlight w:val="none"/>
        </w:rPr>
        <w:t>万元</w:t>
      </w:r>
      <w:r>
        <w:rPr>
          <w:rFonts w:hint="eastAsia" w:ascii="宋体" w:hAnsi="宋体" w:eastAsia="宋体" w:cs="宋体"/>
          <w:color w:val="auto"/>
          <w:sz w:val="24"/>
          <w:szCs w:val="24"/>
          <w:highlight w:val="none"/>
        </w:rPr>
        <w:t>。</w:t>
      </w:r>
    </w:p>
    <w:p w14:paraId="39ADEAD9">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二、货物（标的）采购清单</w:t>
      </w:r>
      <w:r>
        <w:rPr>
          <w:rFonts w:hint="eastAsia" w:ascii="宋体" w:hAnsi="宋体" w:cs="宋体"/>
          <w:b/>
          <w:color w:val="auto"/>
          <w:sz w:val="28"/>
          <w:szCs w:val="28"/>
          <w:highlight w:val="none"/>
          <w:lang w:val="en-US" w:eastAsia="zh-CN"/>
        </w:rPr>
        <w:t>及</w:t>
      </w:r>
      <w:r>
        <w:rPr>
          <w:rFonts w:hint="eastAsia" w:ascii="宋体" w:hAnsi="宋体" w:eastAsia="宋体" w:cs="宋体"/>
          <w:b/>
          <w:color w:val="auto"/>
          <w:sz w:val="28"/>
          <w:szCs w:val="28"/>
          <w:highlight w:val="none"/>
        </w:rPr>
        <w:t>技术参数及功能指标</w:t>
      </w:r>
    </w:p>
    <w:tbl>
      <w:tblPr>
        <w:tblStyle w:val="37"/>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188"/>
        <w:gridCol w:w="846"/>
        <w:gridCol w:w="2504"/>
        <w:gridCol w:w="2017"/>
      </w:tblGrid>
      <w:tr w14:paraId="790B9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39A03844">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序号</w:t>
            </w:r>
          </w:p>
        </w:tc>
        <w:tc>
          <w:tcPr>
            <w:tcW w:w="0" w:type="auto"/>
            <w:vAlign w:val="center"/>
          </w:tcPr>
          <w:p w14:paraId="356AE7C2">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设备名称</w:t>
            </w:r>
          </w:p>
        </w:tc>
        <w:tc>
          <w:tcPr>
            <w:tcW w:w="0" w:type="auto"/>
            <w:vAlign w:val="center"/>
          </w:tcPr>
          <w:p w14:paraId="311D4DAB">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数量</w:t>
            </w:r>
          </w:p>
        </w:tc>
        <w:tc>
          <w:tcPr>
            <w:tcW w:w="0" w:type="auto"/>
            <w:vAlign w:val="center"/>
          </w:tcPr>
          <w:p w14:paraId="2387982F">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单位</w:t>
            </w:r>
          </w:p>
        </w:tc>
        <w:tc>
          <w:tcPr>
            <w:tcW w:w="2017" w:type="dxa"/>
            <w:vAlign w:val="center"/>
          </w:tcPr>
          <w:p w14:paraId="3195F6AB">
            <w:pPr>
              <w:widowControl/>
              <w:snapToGrid w:val="0"/>
              <w:ind w:left="0" w:leftChars="0" w:right="0" w:rightChars="0" w:firstLine="0" w:firstLineChars="0"/>
              <w:jc w:val="center"/>
              <w:textAlignment w:val="center"/>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分项最高限价（万元）</w:t>
            </w:r>
          </w:p>
        </w:tc>
      </w:tr>
      <w:tr w14:paraId="66083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0" w:type="auto"/>
            <w:vAlign w:val="center"/>
          </w:tcPr>
          <w:p w14:paraId="560A45BD">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1</w:t>
            </w:r>
          </w:p>
        </w:tc>
        <w:tc>
          <w:tcPr>
            <w:tcW w:w="0" w:type="auto"/>
            <w:vAlign w:val="center"/>
          </w:tcPr>
          <w:p w14:paraId="345FCA59">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无创血压模拟仪</w:t>
            </w:r>
          </w:p>
        </w:tc>
        <w:tc>
          <w:tcPr>
            <w:tcW w:w="0" w:type="auto"/>
            <w:vAlign w:val="center"/>
          </w:tcPr>
          <w:p w14:paraId="0B7E2E7A">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12BBA5F3">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70EB9B60">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4.5</w:t>
            </w:r>
          </w:p>
        </w:tc>
      </w:tr>
      <w:tr w14:paraId="50724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28614435">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0" w:type="auto"/>
            <w:vAlign w:val="center"/>
          </w:tcPr>
          <w:p w14:paraId="2BCC66C8">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超声功率计</w:t>
            </w:r>
          </w:p>
        </w:tc>
        <w:tc>
          <w:tcPr>
            <w:tcW w:w="0" w:type="auto"/>
            <w:vAlign w:val="center"/>
          </w:tcPr>
          <w:p w14:paraId="66C7C7AD">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4B2FEC6D">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70BBE7B7">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w:t>
            </w:r>
          </w:p>
        </w:tc>
      </w:tr>
      <w:tr w14:paraId="747FD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30197117">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0" w:type="auto"/>
            <w:vAlign w:val="center"/>
          </w:tcPr>
          <w:p w14:paraId="6BF26DAF">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心、脑电图机检定仪</w:t>
            </w:r>
          </w:p>
        </w:tc>
        <w:tc>
          <w:tcPr>
            <w:tcW w:w="0" w:type="auto"/>
            <w:vAlign w:val="center"/>
          </w:tcPr>
          <w:p w14:paraId="03029E3C">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1</w:t>
            </w:r>
          </w:p>
        </w:tc>
        <w:tc>
          <w:tcPr>
            <w:tcW w:w="0" w:type="auto"/>
            <w:vAlign w:val="center"/>
          </w:tcPr>
          <w:p w14:paraId="4A6D4424">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套</w:t>
            </w:r>
          </w:p>
        </w:tc>
        <w:tc>
          <w:tcPr>
            <w:tcW w:w="2017" w:type="dxa"/>
            <w:vAlign w:val="center"/>
          </w:tcPr>
          <w:p w14:paraId="0EF6E417">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w:t>
            </w:r>
          </w:p>
        </w:tc>
      </w:tr>
      <w:tr w14:paraId="6690D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1AEE3471">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3188" w:type="dxa"/>
            <w:vAlign w:val="center"/>
          </w:tcPr>
          <w:p w14:paraId="0AE9FE16">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医用注射泵和输液泵检测仪</w:t>
            </w:r>
          </w:p>
        </w:tc>
        <w:tc>
          <w:tcPr>
            <w:tcW w:w="846" w:type="dxa"/>
            <w:vAlign w:val="center"/>
          </w:tcPr>
          <w:p w14:paraId="6C9BFDF6">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63EBB735">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套</w:t>
            </w:r>
          </w:p>
        </w:tc>
        <w:tc>
          <w:tcPr>
            <w:tcW w:w="2017" w:type="dxa"/>
            <w:vAlign w:val="center"/>
          </w:tcPr>
          <w:p w14:paraId="2332AEF3">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10</w:t>
            </w:r>
          </w:p>
        </w:tc>
      </w:tr>
    </w:tbl>
    <w:p w14:paraId="6564319E">
      <w:pPr>
        <w:widowControl w:val="0"/>
        <w:numPr>
          <w:ilvl w:val="0"/>
          <w:numId w:val="0"/>
        </w:numPr>
        <w:pBdr>
          <w:top w:val="none" w:color="auto" w:sz="0" w:space="1"/>
          <w:left w:val="none" w:color="auto" w:sz="0" w:space="4"/>
          <w:bottom w:val="none" w:color="auto" w:sz="0" w:space="1"/>
          <w:right w:val="none" w:color="auto" w:sz="0" w:space="4"/>
        </w:pBdr>
        <w:spacing w:line="360" w:lineRule="auto"/>
        <w:ind w:firstLine="482" w:firstLineChars="200"/>
        <w:jc w:val="left"/>
        <w:rPr>
          <w:rFonts w:hint="eastAsia" w:ascii="宋体" w:hAnsi="宋体" w:eastAsia="宋体" w:cs="宋体"/>
          <w:b/>
          <w:bCs/>
          <w:color w:val="auto"/>
          <w:sz w:val="24"/>
          <w:szCs w:val="24"/>
          <w:highlight w:val="none"/>
          <w:lang w:val="en-US" w:eastAsia="zh-CN"/>
        </w:rPr>
      </w:pPr>
      <w:r>
        <w:rPr>
          <w:rFonts w:ascii="宋体" w:hAnsi="宋体" w:eastAsia="宋体" w:cs="宋体"/>
          <w:b/>
          <w:bCs/>
          <w:color w:val="auto"/>
          <w:sz w:val="24"/>
          <w:szCs w:val="24"/>
          <w:highlight w:val="none"/>
        </w:rPr>
        <w:t>★投标人填报的任意一项货物投标综合单价，超过对应分项单价最高限价的，否决投标。注：无单价限价的品目，不受本条单价约束。</w:t>
      </w:r>
    </w:p>
    <w:p w14:paraId="3F2454CE">
      <w:pPr>
        <w:pBdr>
          <w:top w:val="none" w:color="auto" w:sz="0" w:space="1"/>
          <w:left w:val="none" w:color="auto" w:sz="0" w:space="4"/>
          <w:bottom w:val="none" w:color="auto" w:sz="0" w:space="1"/>
          <w:right w:val="none" w:color="auto" w:sz="0" w:space="4"/>
        </w:pBdr>
        <w:spacing w:line="360" w:lineRule="auto"/>
        <w:ind w:firstLine="480" w:firstLineChars="200"/>
        <w:jc w:val="left"/>
        <w:rPr>
          <w:rFonts w:hint="eastAsia" w:ascii="宋体" w:hAnsi="宋体" w:eastAsia="宋体" w:cs="宋体"/>
          <w:b/>
          <w:color w:val="auto"/>
          <w:sz w:val="28"/>
          <w:szCs w:val="28"/>
          <w:highlight w:val="none"/>
        </w:rPr>
      </w:pPr>
      <w:r>
        <w:rPr>
          <w:rFonts w:hint="eastAsia" w:ascii="宋体" w:hAnsi="宋体" w:eastAsia="宋体"/>
          <w:b w:val="0"/>
          <w:bCs w:val="0"/>
          <w:color w:val="auto"/>
          <w:sz w:val="24"/>
          <w:szCs w:val="24"/>
          <w:highlight w:val="none"/>
        </w:rPr>
        <w:t>本项目核心产品为：</w:t>
      </w:r>
      <w:r>
        <w:rPr>
          <w:rFonts w:hint="eastAsia" w:ascii="宋体" w:hAnsi="宋体"/>
          <w:b w:val="0"/>
          <w:bCs w:val="0"/>
          <w:color w:val="auto"/>
          <w:sz w:val="24"/>
          <w:szCs w:val="24"/>
          <w:highlight w:val="none"/>
          <w:u w:val="single"/>
          <w:lang w:val="en-US" w:eastAsia="zh-CN"/>
        </w:rPr>
        <w:t>心、脑电图机检定仪</w:t>
      </w:r>
      <w:r>
        <w:rPr>
          <w:rFonts w:hint="eastAsia" w:ascii="宋体" w:hAnsi="宋体" w:eastAsia="宋体"/>
          <w:b w:val="0"/>
          <w:bCs w:val="0"/>
          <w:color w:val="auto"/>
          <w:sz w:val="24"/>
          <w:szCs w:val="24"/>
          <w:highlight w:val="none"/>
        </w:rPr>
        <w:t>。</w:t>
      </w:r>
    </w:p>
    <w:p w14:paraId="067CAE75">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kern w:val="0"/>
          <w:sz w:val="28"/>
          <w:szCs w:val="28"/>
          <w:highlight w:val="none"/>
          <w:lang w:val="en-US" w:eastAsia="zh-CN"/>
        </w:rPr>
        <w:t>无创血压模拟仪</w:t>
      </w:r>
    </w:p>
    <w:p w14:paraId="370E0F2E">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★功能要求：本设备应作为无创自动测量血压计检定的工作标准器使用，满足JJG692-2010《无创自动测量血压计检定规程》要求及社会公用计量标准的建标要求。</w:t>
      </w:r>
    </w:p>
    <w:p w14:paraId="7E4625D6">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rPr>
      </w:pPr>
      <w:r>
        <w:rPr>
          <w:rFonts w:hint="default" w:ascii="宋体" w:hAnsi="宋体" w:eastAsia="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静态压力测量：压力范围：(0～60)kPa[(0～450)mmHg]；</w:t>
      </w:r>
    </w:p>
    <w:p w14:paraId="3362FD62">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准确度等级：0.05%FS；</w:t>
      </w:r>
    </w:p>
    <w:p w14:paraId="4F352337">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分辨率：0.01kPa(0.1mmHg)；</w:t>
      </w:r>
    </w:p>
    <w:p w14:paraId="79B9D292">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动态血压模拟：</w:t>
      </w:r>
    </w:p>
    <w:p w14:paraId="6F85C330">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成人模式：满足收缩压（6.7～34.0）kPa[(50～255)mmHg]，舒张压（4.0～26.0）kPa[(30～195)mmHg]；</w:t>
      </w:r>
    </w:p>
    <w:p w14:paraId="1A80F991">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新生儿模式：满足收缩压（4.0～16.0）kPa[(30～120)mmHg]，舒张压（1.3～13.3）kPa[(10～100)mmHg]。</w:t>
      </w:r>
    </w:p>
    <w:p w14:paraId="2E0D328B">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血压示值重复性：不大于0.3kPa(2mmHg)，通过模拟脉搏波幅值变动性来检测，不超过10%；</w:t>
      </w:r>
    </w:p>
    <w:p w14:paraId="57BEB903">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6</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心率：测量范围(30～230)次/min，心率准确度：±(1%R.D+1)；</w:t>
      </w:r>
    </w:p>
    <w:p w14:paraId="65720301">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7</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脉搏量：(0.1～2.4)mL，增量：0.1mL；</w:t>
      </w:r>
    </w:p>
    <w:p w14:paraId="41BD1D22">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功能特点：</w:t>
      </w:r>
    </w:p>
    <w:p w14:paraId="073B8871">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计量单位切换：支持kPa、mmHg、cmH₂O三种计量单位自由切换；</w:t>
      </w:r>
    </w:p>
    <w:p w14:paraId="5C631D5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内置标准气腔，无需额外配置袖带即可完成无创血压监护仪检测</w:t>
      </w:r>
      <w:r>
        <w:rPr>
          <w:rFonts w:hint="eastAsia" w:ascii="宋体" w:hAnsi="宋体" w:eastAsia="宋体" w:cs="宋体"/>
          <w:b w:val="0"/>
          <w:bCs w:val="0"/>
          <w:color w:val="auto"/>
          <w:kern w:val="0"/>
          <w:sz w:val="24"/>
          <w:szCs w:val="24"/>
          <w:highlight w:val="none"/>
          <w:lang w:val="en-US" w:eastAsia="zh-CN"/>
        </w:rPr>
        <w:t>。</w:t>
      </w:r>
    </w:p>
    <w:p w14:paraId="4DB06896">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ascii="宋体" w:hAnsi="宋体" w:eastAsia="宋体" w:cs="宋体"/>
          <w:color w:val="auto"/>
          <w:sz w:val="24"/>
          <w:szCs w:val="24"/>
          <w:highlight w:val="none"/>
        </w:rPr>
        <w:t>▲</w:t>
      </w:r>
      <w:r>
        <w:rPr>
          <w:rFonts w:hint="default" w:ascii="宋体" w:hAnsi="宋体" w:eastAsia="宋体" w:cs="宋体"/>
          <w:b w:val="0"/>
          <w:bCs w:val="0"/>
          <w:color w:val="auto"/>
          <w:kern w:val="0"/>
          <w:sz w:val="24"/>
          <w:szCs w:val="24"/>
          <w:highlight w:val="none"/>
          <w:lang w:val="en-US" w:eastAsia="zh-CN"/>
        </w:rPr>
        <w:t>3</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供电模式：支持交直流双供电，内置锂电池，单次充满电后连续工作续航时长≥8小时；支持更换电池（标配一块，可选配）</w:t>
      </w:r>
    </w:p>
    <w:p w14:paraId="7ADD4B77">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检测仪便携易操作，主机重量≤2.5kg；</w:t>
      </w:r>
    </w:p>
    <w:p w14:paraId="5B3190B0">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配备≥7寸彩色触摸屏，带有智能操作导向菜单，支持参数自定义设置，可速选择检测点和检测项目，一次设置即可永久保存。</w:t>
      </w:r>
    </w:p>
    <w:p w14:paraId="0C63101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6</w:t>
      </w:r>
      <w:r>
        <w:rPr>
          <w:rFonts w:hint="eastAsia" w:ascii="宋体" w:hAnsi="宋体" w:eastAsia="宋体" w:cs="宋体"/>
          <w:b w:val="0"/>
          <w:bCs w:val="0"/>
          <w:color w:val="auto"/>
          <w:kern w:val="0"/>
          <w:sz w:val="24"/>
          <w:szCs w:val="24"/>
          <w:highlight w:val="none"/>
          <w:lang w:val="en-US" w:eastAsia="zh-CN"/>
        </w:rPr>
        <w:t>.</w:t>
      </w:r>
      <w:r>
        <w:rPr>
          <w:rFonts w:hint="default" w:ascii="宋体" w:hAnsi="宋体" w:eastAsia="宋体" w:cs="宋体"/>
          <w:b w:val="0"/>
          <w:bCs w:val="0"/>
          <w:color w:val="auto"/>
          <w:kern w:val="0"/>
          <w:sz w:val="24"/>
          <w:szCs w:val="24"/>
          <w:highlight w:val="none"/>
          <w:lang w:val="en-US" w:eastAsia="zh-CN"/>
        </w:rPr>
        <w:t>高低压全域适配：集成成人、新生儿双动态模拟检测模式，兼顾高压常规血压区间与低压微弱血压区间的精准模拟。</w:t>
      </w:r>
    </w:p>
    <w:p w14:paraId="7547A9FA">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主要配置：</w:t>
      </w:r>
    </w:p>
    <w:p w14:paraId="5E68E06F">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（1）主机1台</w:t>
      </w:r>
    </w:p>
    <w:p w14:paraId="6C04AF05">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（2）血压计气路接头（细型）1个</w:t>
      </w:r>
    </w:p>
    <w:p w14:paraId="2BC56995">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（3）血压计气路接头（中型）1个</w:t>
      </w:r>
    </w:p>
    <w:p w14:paraId="1B0A31E2">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（4）血压计气路接头（粗型）1个</w:t>
      </w:r>
    </w:p>
    <w:p w14:paraId="5013FC8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w:t>
      </w:r>
      <w:r>
        <w:rPr>
          <w:rFonts w:hint="eastAsia" w:ascii="宋体" w:hAnsi="宋体" w:cs="宋体"/>
          <w:b w:val="0"/>
          <w:bCs w:val="0"/>
          <w:color w:val="auto"/>
          <w:kern w:val="0"/>
          <w:sz w:val="24"/>
          <w:szCs w:val="24"/>
          <w:highlight w:val="none"/>
          <w:lang w:val="en-US" w:eastAsia="zh-CN"/>
        </w:rPr>
        <w:t>5</w:t>
      </w:r>
      <w:r>
        <w:rPr>
          <w:rFonts w:hint="default" w:ascii="宋体" w:hAnsi="宋体" w:eastAsia="宋体" w:cs="宋体"/>
          <w:b w:val="0"/>
          <w:bCs w:val="0"/>
          <w:color w:val="auto"/>
          <w:kern w:val="0"/>
          <w:sz w:val="24"/>
          <w:szCs w:val="24"/>
          <w:highlight w:val="none"/>
          <w:lang w:val="en-US" w:eastAsia="zh-CN"/>
        </w:rPr>
        <w:t>）金属气腔（100ml）1个</w:t>
      </w:r>
    </w:p>
    <w:p w14:paraId="7302CE3D">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w:t>
      </w:r>
      <w:r>
        <w:rPr>
          <w:rFonts w:hint="eastAsia" w:ascii="宋体" w:hAnsi="宋体" w:cs="宋体"/>
          <w:b w:val="0"/>
          <w:bCs w:val="0"/>
          <w:color w:val="auto"/>
          <w:kern w:val="0"/>
          <w:sz w:val="24"/>
          <w:szCs w:val="24"/>
          <w:highlight w:val="none"/>
          <w:lang w:val="en-US" w:eastAsia="zh-CN"/>
        </w:rPr>
        <w:t>6</w:t>
      </w:r>
      <w:r>
        <w:rPr>
          <w:rFonts w:hint="default" w:ascii="宋体" w:hAnsi="宋体" w:eastAsia="宋体" w:cs="宋体"/>
          <w:b w:val="0"/>
          <w:bCs w:val="0"/>
          <w:color w:val="auto"/>
          <w:kern w:val="0"/>
          <w:sz w:val="24"/>
          <w:szCs w:val="24"/>
          <w:highlight w:val="none"/>
          <w:lang w:val="en-US" w:eastAsia="zh-CN"/>
        </w:rPr>
        <w:t>）金属气腔（500ml）1个</w:t>
      </w:r>
    </w:p>
    <w:p w14:paraId="3E7A9EE4">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w:t>
      </w:r>
      <w:r>
        <w:rPr>
          <w:rFonts w:hint="eastAsia" w:ascii="宋体" w:hAnsi="宋体" w:cs="宋体"/>
          <w:b w:val="0"/>
          <w:bCs w:val="0"/>
          <w:color w:val="auto"/>
          <w:kern w:val="0"/>
          <w:sz w:val="24"/>
          <w:szCs w:val="24"/>
          <w:highlight w:val="none"/>
          <w:lang w:val="en-US" w:eastAsia="zh-CN"/>
        </w:rPr>
        <w:t>7</w:t>
      </w:r>
      <w:r>
        <w:rPr>
          <w:rFonts w:hint="default" w:ascii="宋体" w:hAnsi="宋体" w:eastAsia="宋体" w:cs="宋体"/>
          <w:b w:val="0"/>
          <w:bCs w:val="0"/>
          <w:color w:val="auto"/>
          <w:kern w:val="0"/>
          <w:sz w:val="24"/>
          <w:szCs w:val="24"/>
          <w:highlight w:val="none"/>
          <w:lang w:val="en-US" w:eastAsia="zh-CN"/>
        </w:rPr>
        <w:t>）三通Y型管1根</w:t>
      </w:r>
    </w:p>
    <w:p w14:paraId="45CA8A38">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w:t>
      </w:r>
      <w:r>
        <w:rPr>
          <w:rFonts w:hint="eastAsia" w:ascii="宋体" w:hAnsi="宋体" w:cs="宋体"/>
          <w:b w:val="0"/>
          <w:bCs w:val="0"/>
          <w:color w:val="auto"/>
          <w:kern w:val="0"/>
          <w:sz w:val="24"/>
          <w:szCs w:val="24"/>
          <w:highlight w:val="none"/>
          <w:lang w:val="en-US" w:eastAsia="zh-CN"/>
        </w:rPr>
        <w:t>8</w:t>
      </w:r>
      <w:r>
        <w:rPr>
          <w:rFonts w:hint="default" w:ascii="宋体" w:hAnsi="宋体" w:eastAsia="宋体" w:cs="宋体"/>
          <w:b w:val="0"/>
          <w:bCs w:val="0"/>
          <w:color w:val="auto"/>
          <w:kern w:val="0"/>
          <w:sz w:val="24"/>
          <w:szCs w:val="24"/>
          <w:highlight w:val="none"/>
          <w:lang w:val="en-US" w:eastAsia="zh-CN"/>
        </w:rPr>
        <w:t>）电源适配器1件</w:t>
      </w:r>
    </w:p>
    <w:p w14:paraId="73AABD47">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w:t>
      </w:r>
      <w:r>
        <w:rPr>
          <w:rFonts w:hint="eastAsia" w:ascii="宋体" w:hAnsi="宋体" w:cs="宋体"/>
          <w:b w:val="0"/>
          <w:bCs w:val="0"/>
          <w:color w:val="auto"/>
          <w:kern w:val="0"/>
          <w:sz w:val="24"/>
          <w:szCs w:val="24"/>
          <w:highlight w:val="none"/>
          <w:lang w:val="en-US" w:eastAsia="zh-CN"/>
        </w:rPr>
        <w:t>9</w:t>
      </w:r>
      <w:r>
        <w:rPr>
          <w:rFonts w:hint="default" w:ascii="宋体" w:hAnsi="宋体" w:eastAsia="宋体" w:cs="宋体"/>
          <w:b w:val="0"/>
          <w:bCs w:val="0"/>
          <w:color w:val="auto"/>
          <w:kern w:val="0"/>
          <w:sz w:val="24"/>
          <w:szCs w:val="24"/>
          <w:highlight w:val="none"/>
          <w:lang w:val="en-US" w:eastAsia="zh-CN"/>
        </w:rPr>
        <w:t>）铝外箱1件</w:t>
      </w:r>
    </w:p>
    <w:p w14:paraId="6EB8E4BA">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（1</w:t>
      </w:r>
      <w:r>
        <w:rPr>
          <w:rFonts w:hint="eastAsia" w:ascii="宋体" w:hAnsi="宋体" w:cs="宋体"/>
          <w:b w:val="0"/>
          <w:bCs w:val="0"/>
          <w:color w:val="auto"/>
          <w:kern w:val="0"/>
          <w:sz w:val="24"/>
          <w:szCs w:val="24"/>
          <w:highlight w:val="none"/>
          <w:lang w:val="en-US" w:eastAsia="zh-CN"/>
        </w:rPr>
        <w:t>0</w:t>
      </w:r>
      <w:r>
        <w:rPr>
          <w:rFonts w:hint="default" w:ascii="宋体" w:hAnsi="宋体" w:eastAsia="宋体" w:cs="宋体"/>
          <w:b w:val="0"/>
          <w:bCs w:val="0"/>
          <w:color w:val="auto"/>
          <w:kern w:val="0"/>
          <w:sz w:val="24"/>
          <w:szCs w:val="24"/>
          <w:highlight w:val="none"/>
          <w:lang w:val="en-US" w:eastAsia="zh-CN"/>
        </w:rPr>
        <w:t>）包装箱（雪花布）【选配】1件</w:t>
      </w:r>
    </w:p>
    <w:p w14:paraId="702A5B60">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（1</w:t>
      </w:r>
      <w:r>
        <w:rPr>
          <w:rFonts w:hint="eastAsia" w:ascii="宋体" w:hAnsi="宋体" w:cs="宋体"/>
          <w:b w:val="0"/>
          <w:bCs w:val="0"/>
          <w:color w:val="auto"/>
          <w:kern w:val="0"/>
          <w:sz w:val="24"/>
          <w:szCs w:val="24"/>
          <w:highlight w:val="none"/>
          <w:lang w:val="en-US" w:eastAsia="zh-CN"/>
        </w:rPr>
        <w:t>1</w:t>
      </w:r>
      <w:r>
        <w:rPr>
          <w:rFonts w:hint="default" w:ascii="宋体" w:hAnsi="宋体" w:eastAsia="宋体" w:cs="宋体"/>
          <w:b w:val="0"/>
          <w:bCs w:val="0"/>
          <w:color w:val="auto"/>
          <w:kern w:val="0"/>
          <w:sz w:val="24"/>
          <w:szCs w:val="24"/>
          <w:highlight w:val="none"/>
          <w:lang w:val="en-US" w:eastAsia="zh-CN"/>
        </w:rPr>
        <w:t>）保修卡1份</w:t>
      </w:r>
    </w:p>
    <w:p w14:paraId="19FD69E9">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（1</w:t>
      </w:r>
      <w:r>
        <w:rPr>
          <w:rFonts w:hint="eastAsia" w:ascii="宋体" w:hAnsi="宋体" w:cs="宋体"/>
          <w:b w:val="0"/>
          <w:bCs w:val="0"/>
          <w:color w:val="auto"/>
          <w:kern w:val="0"/>
          <w:sz w:val="24"/>
          <w:szCs w:val="24"/>
          <w:highlight w:val="none"/>
          <w:lang w:val="en-US" w:eastAsia="zh-CN"/>
        </w:rPr>
        <w:t>2</w:t>
      </w:r>
      <w:r>
        <w:rPr>
          <w:rFonts w:hint="default" w:ascii="宋体" w:hAnsi="宋体" w:eastAsia="宋体" w:cs="宋体"/>
          <w:b w:val="0"/>
          <w:bCs w:val="0"/>
          <w:color w:val="auto"/>
          <w:kern w:val="0"/>
          <w:sz w:val="24"/>
          <w:szCs w:val="24"/>
          <w:highlight w:val="none"/>
          <w:lang w:val="en-US" w:eastAsia="zh-CN"/>
        </w:rPr>
        <w:t>）合格证1份</w:t>
      </w:r>
    </w:p>
    <w:p w14:paraId="6C9D7040">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（1</w:t>
      </w:r>
      <w:r>
        <w:rPr>
          <w:rFonts w:hint="eastAsia" w:ascii="宋体" w:hAnsi="宋体" w:cs="宋体"/>
          <w:b w:val="0"/>
          <w:bCs w:val="0"/>
          <w:color w:val="auto"/>
          <w:kern w:val="0"/>
          <w:sz w:val="24"/>
          <w:szCs w:val="24"/>
          <w:highlight w:val="none"/>
          <w:lang w:val="en-US" w:eastAsia="zh-CN"/>
        </w:rPr>
        <w:t>3</w:t>
      </w:r>
      <w:r>
        <w:rPr>
          <w:rFonts w:hint="default" w:ascii="宋体" w:hAnsi="宋体" w:eastAsia="宋体" w:cs="宋体"/>
          <w:b w:val="0"/>
          <w:bCs w:val="0"/>
          <w:color w:val="auto"/>
          <w:kern w:val="0"/>
          <w:sz w:val="24"/>
          <w:szCs w:val="24"/>
          <w:highlight w:val="none"/>
          <w:lang w:val="en-US" w:eastAsia="zh-CN"/>
        </w:rPr>
        <w:t>）说明书1份</w:t>
      </w:r>
    </w:p>
    <w:p w14:paraId="6450A4A1">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kern w:val="0"/>
          <w:sz w:val="28"/>
          <w:szCs w:val="28"/>
          <w:highlight w:val="none"/>
          <w:lang w:val="en-US" w:eastAsia="zh-CN"/>
        </w:rPr>
        <w:t>超声功率计</w:t>
      </w:r>
    </w:p>
    <w:p w14:paraId="7B6A5034">
      <w:pPr>
        <w:keepNext w:val="0"/>
        <w:keepLines w:val="0"/>
        <w:pageBreakBefore w:val="0"/>
        <w:kinsoku/>
        <w:wordWrap/>
        <w:overflowPunct/>
        <w:topLinePunct w:val="0"/>
        <w:bidi w:val="0"/>
        <w:snapToGrid/>
        <w:spacing w:after="0" w:line="560" w:lineRule="exact"/>
        <w:ind w:firstLine="482" w:firstLineChars="200"/>
        <w:jc w:val="left"/>
        <w:textAlignment w:val="auto"/>
        <w:rPr>
          <w:rFonts w:hint="eastAsia" w:ascii="宋体" w:hAnsi="宋体" w:eastAsia="宋体" w:cs="宋体"/>
          <w:b w:val="0"/>
          <w:bCs w:val="0"/>
          <w:color w:val="auto"/>
          <w:kern w:val="0"/>
          <w:sz w:val="24"/>
          <w:szCs w:val="24"/>
          <w:highlight w:val="none"/>
          <w:lang w:val="en-US" w:eastAsia="zh-CN"/>
        </w:rPr>
      </w:pPr>
      <w:r>
        <w:rPr>
          <w:rStyle w:val="39"/>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本设备应满足JJG639-1998《医用超声诊断仪超声源检定规程》和JJG665-2004《毫瓦级超声功率计检定规程》要求，可满足GB/T7966-2022《声学 超声功率测量 辐射力天平法及性能要求》、YY/T1084-2015《医用超声诊断设备声输出功率的测量方法》要求。</w:t>
      </w:r>
    </w:p>
    <w:p w14:paraId="7535A73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技术指标</w:t>
      </w:r>
    </w:p>
    <w:p w14:paraId="4927EFC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1.功率范围：0-30W</w:t>
      </w:r>
    </w:p>
    <w:p w14:paraId="62D3033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2.分辨率：±1mW</w:t>
      </w:r>
    </w:p>
    <w:p w14:paraId="74BDA0B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3.最小可测量功率：1mW</w:t>
      </w:r>
    </w:p>
    <w:p w14:paraId="28E3F49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4.显示灵敏度：0.001W</w:t>
      </w:r>
    </w:p>
    <w:p w14:paraId="29736B4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5.精度:±3%±一个读数</w:t>
      </w:r>
    </w:p>
    <w:p w14:paraId="7A96E43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6.清零方法:自动</w:t>
      </w:r>
    </w:p>
    <w:p w14:paraId="196B362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7.最大探头尺寸:8cm直径</w:t>
      </w:r>
    </w:p>
    <w:p w14:paraId="64256A0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8.探头操作频率：0.5-10MHz</w:t>
      </w:r>
    </w:p>
    <w:p w14:paraId="5915821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9.反射靶材质：高分子复合材料</w:t>
      </w:r>
    </w:p>
    <w:p w14:paraId="6DDA5BC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10.挂靶方式：单杆挂靶</w:t>
      </w:r>
    </w:p>
    <w:p w14:paraId="32E580A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11.锁定方式：双侧运输锁</w:t>
      </w:r>
    </w:p>
    <w:p w14:paraId="6186A7F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12.测试介质：脱气水</w:t>
      </w:r>
    </w:p>
    <w:p w14:paraId="0348BE5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13.电源：设备供电满足整机工作需求，供电规格性能不低于 12Vac，0.5A</w:t>
      </w:r>
    </w:p>
    <w:p w14:paraId="4406C3D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14.具有扩展无线控制程序功能</w:t>
      </w:r>
    </w:p>
    <w:p w14:paraId="7EF90C9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15.提供产品合格证明及安全性能检测报告（由具备资质的检验检测机构出具）</w:t>
      </w:r>
    </w:p>
    <w:p w14:paraId="195D29A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16.可扩展匹配超声聚焦平面测量靶</w:t>
      </w:r>
    </w:p>
    <w:p w14:paraId="59AE984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17.可扩展连接便携式脱气装置</w:t>
      </w:r>
    </w:p>
    <w:p w14:paraId="4F898E20">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18.便携箱</w:t>
      </w:r>
    </w:p>
    <w:p w14:paraId="5A5C9150">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kern w:val="0"/>
          <w:sz w:val="28"/>
          <w:szCs w:val="28"/>
          <w:highlight w:val="none"/>
          <w:lang w:val="en-US" w:eastAsia="zh-CN"/>
        </w:rPr>
        <w:t>心、脑电图机检定仪</w:t>
      </w:r>
    </w:p>
    <w:p w14:paraId="4A986854">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default" w:ascii="宋体" w:hAnsi="宋体" w:eastAsia="宋体" w:cs="宋体"/>
          <w:b w:val="0"/>
          <w:bCs w:val="0"/>
          <w:color w:val="auto"/>
          <w:kern w:val="0"/>
          <w:sz w:val="24"/>
          <w:szCs w:val="24"/>
          <w:highlight w:val="none"/>
          <w:lang w:val="en-US" w:eastAsia="zh-CN"/>
        </w:rPr>
        <w:t>★功能要求：本设备应满足JJG749-2007《心、脑电图机检定仪检定规程》、JJG543-2008《心电图机检定规程》和JJG1041-2008《数字心电图机检定规程》要求，满足社会公用计量标准的建标要求。</w:t>
      </w:r>
    </w:p>
    <w:p w14:paraId="163D60A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1.方波信号</w:t>
      </w:r>
    </w:p>
    <w:p w14:paraId="79A1CA5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▲1.1.周期：0.01Hz~200Hz,精度：±1%；</w:t>
      </w:r>
    </w:p>
    <w:p w14:paraId="26FEAF8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▲1.2.电压(峰峰值)：0.05mV~10V,精度：±0.5%；</w:t>
      </w:r>
    </w:p>
    <w:p w14:paraId="1A0B5EB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2.正弦波信号</w:t>
      </w:r>
    </w:p>
    <w:p w14:paraId="3643607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▲2.1.频率：0.01Hz~200Hz,精度：±1%；</w:t>
      </w:r>
    </w:p>
    <w:p w14:paraId="66CA9E1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2.2.电压(峰峰值)：0.05mV~10V,精度：±0.5%；</w:t>
      </w:r>
    </w:p>
    <w:p w14:paraId="1F631ED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3.微分信号：时间常数：50ms,周期：1s</w:t>
      </w:r>
    </w:p>
    <w:p w14:paraId="53E4F46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4.极化电压：±300mV,精度：±3%</w:t>
      </w:r>
    </w:p>
    <w:p w14:paraId="51BD695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5.标准心率信号</w:t>
      </w:r>
    </w:p>
    <w:p w14:paraId="5E61D17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▲5.1.心率范围20次/分~300次/分，精度：±1%</w:t>
      </w:r>
    </w:p>
    <w:p w14:paraId="3A9FC3F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5.2.电压(峰峰值)：0.05mV~10V,精度：±0.5%；</w:t>
      </w:r>
    </w:p>
    <w:p w14:paraId="26CEF11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6.ECG仿真信号</w:t>
      </w:r>
    </w:p>
    <w:p w14:paraId="5788817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6.1.周期：1333.3ms，精度：±1%；</w:t>
      </w:r>
    </w:p>
    <w:p w14:paraId="75BC33C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6.2.电压(峰峰值)：0.03mV~10V,精度：±0.5%；</w:t>
      </w:r>
    </w:p>
    <w:p w14:paraId="2BCFCB9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7.衰减器：1000：1，精度：±0.3%；</w:t>
      </w:r>
    </w:p>
    <w:p w14:paraId="1997021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▲8.模拟皮肤-电极阻抗Zi：51kΩ电阻与47nF电容并联，电阻精度±5%,电容精度±10%；</w:t>
      </w:r>
    </w:p>
    <w:p w14:paraId="02248E3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9.输入阻抗检定取样阻抗Zq：620kΩ电阻与4700pF电容并联，电阻精度±5%,电容精度±10%；</w:t>
      </w:r>
    </w:p>
    <w:p w14:paraId="6B22CFB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▲10.共模抑制比检定装置：电压量程：（9-11）V（有效值）；电压最大允许误差：±10%，输入阻抗〉300MΩ，输出等效电容：200pF。</w:t>
      </w:r>
    </w:p>
    <w:p w14:paraId="28F7474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功能特点：</w:t>
      </w:r>
    </w:p>
    <w:p w14:paraId="25011A6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1.内部供电：可充电锂电池，电量监控，工作时间可满足日常8小时工作续航；</w:t>
      </w:r>
    </w:p>
    <w:p w14:paraId="36C2CEA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2.外部供电：在电源不足情况下可使用TYPE-C口手机充电器或充电宝进行供电；</w:t>
      </w:r>
    </w:p>
    <w:p w14:paraId="1F48FDF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3.接口：标准12导联，10个心电导联线接口；</w:t>
      </w:r>
    </w:p>
    <w:p w14:paraId="4E7793B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4.采用中文显示，根据规程的检定项目顺序编制检定程序，带有智能操作导向菜单，能直接显示要检定的各种项目及被检设备的预定参数，采用快捷键，可快速切换检测项目；</w:t>
      </w:r>
    </w:p>
    <w:p w14:paraId="6D2C320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5.彩色触摸屏≤3.5寸；</w:t>
      </w:r>
    </w:p>
    <w:p w14:paraId="42F7211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6.尺寸：设备为便携式结构，外形小巧，便于现场携带与使用；</w:t>
      </w:r>
    </w:p>
    <w:p w14:paraId="408CDCD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7.主机重量不大于500g，方便携带；</w:t>
      </w:r>
    </w:p>
    <w:p w14:paraId="0A8547F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8.主机背面配置专用防滑条若干；</w:t>
      </w:r>
    </w:p>
    <w:p w14:paraId="10C213D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9.配套抗干扰布，可降低现场环境干扰影响，抗干扰性能满足现场校准使用要求，允许提供性能等效的通用产品；</w:t>
      </w:r>
    </w:p>
    <w:p w14:paraId="42A43EFA">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主要配置：</w:t>
      </w:r>
    </w:p>
    <w:p w14:paraId="43540F6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1.主机1台</w:t>
      </w:r>
    </w:p>
    <w:p w14:paraId="4FD20CD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2.屏蔽布1个</w:t>
      </w:r>
    </w:p>
    <w:p w14:paraId="7799D13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3.分线盒1个</w:t>
      </w:r>
    </w:p>
    <w:p w14:paraId="6D838E2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4.衰减器1个</w:t>
      </w:r>
    </w:p>
    <w:p w14:paraId="1F98CC0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5.光学放大镜1个</w:t>
      </w:r>
    </w:p>
    <w:p w14:paraId="1DAE40A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6.钢直尺1把</w:t>
      </w:r>
    </w:p>
    <w:p w14:paraId="3379555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7.操作说明书1份</w:t>
      </w:r>
    </w:p>
    <w:p w14:paraId="2C1821E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8.充电适配器1套</w:t>
      </w:r>
    </w:p>
    <w:p w14:paraId="2653BFE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9.便携箱1套</w:t>
      </w:r>
    </w:p>
    <w:p w14:paraId="109D05D9">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10.共模抑制比检定装置1台</w:t>
      </w:r>
    </w:p>
    <w:p w14:paraId="25F85184">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（四）</w:t>
      </w:r>
      <w:r>
        <w:rPr>
          <w:rFonts w:hint="eastAsia" w:ascii="宋体" w:hAnsi="宋体" w:eastAsia="宋体" w:cs="宋体"/>
          <w:b/>
          <w:color w:val="auto"/>
          <w:kern w:val="0"/>
          <w:sz w:val="28"/>
          <w:szCs w:val="28"/>
          <w:highlight w:val="none"/>
          <w:lang w:val="en-US" w:eastAsia="zh-CN"/>
        </w:rPr>
        <w:t>医用注射泵和输液泵检测仪</w:t>
      </w:r>
    </w:p>
    <w:p w14:paraId="73BBB3A1">
      <w:pPr>
        <w:keepNext w:val="0"/>
        <w:keepLines w:val="0"/>
        <w:pageBreakBefore w:val="0"/>
        <w:kinsoku/>
        <w:wordWrap/>
        <w:overflowPunct/>
        <w:topLinePunct w:val="0"/>
        <w:bidi w:val="0"/>
        <w:snapToGrid/>
        <w:spacing w:after="0" w:line="560" w:lineRule="exact"/>
        <w:ind w:firstLine="482" w:firstLineChars="200"/>
        <w:jc w:val="left"/>
        <w:textAlignment w:val="auto"/>
        <w:rPr>
          <w:rFonts w:hint="eastAsia" w:ascii="宋体" w:hAnsi="宋体" w:eastAsia="宋体" w:cs="宋体"/>
          <w:b w:val="0"/>
          <w:bCs w:val="0"/>
          <w:color w:val="auto"/>
          <w:kern w:val="0"/>
          <w:sz w:val="24"/>
          <w:szCs w:val="24"/>
          <w:highlight w:val="none"/>
          <w:lang w:val="en-US" w:eastAsia="zh-CN"/>
        </w:rPr>
      </w:pPr>
      <w:r>
        <w:rPr>
          <w:rStyle w:val="39"/>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1.符合JJF1259-2018《医用注射泵和输液泵校准规范》、JJG1098-2014《医用注射泵和输液泵检测仪检定规程》、可扩展满足JJF2263-2025《医用液体微流量泵校准规范》。</w:t>
      </w:r>
    </w:p>
    <w:p w14:paraId="42C8BF7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▲2.主机显示屏≥7寸宽视角彩色触摸屏，软件测量界面为中英文（可切换），可同时测量双通道。</w:t>
      </w:r>
    </w:p>
    <w:p w14:paraId="55D07DB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b w:val="0"/>
          <w:bCs w:val="0"/>
          <w:color w:val="auto"/>
          <w:kern w:val="0"/>
          <w:sz w:val="24"/>
          <w:szCs w:val="24"/>
          <w:highlight w:val="none"/>
          <w:lang w:val="en-US" w:eastAsia="zh-CN"/>
        </w:rPr>
        <w:t>3.测量模式至少包括：注射泵测量模式、输液泵测量模式、PCA泵测量模式、阻塞压力测量模式，包含喇叭曲线、周期分析。</w:t>
      </w:r>
    </w:p>
    <w:p w14:paraId="0A36313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▲4.可自定义检测流程、自动调用本地存储的设备信息及测量数据（需包含扫描二维码获得数据功能），加载预设参数，测试完成后自动保存测量数据，且可输入中文信息。</w:t>
      </w:r>
    </w:p>
    <w:p w14:paraId="63415DC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5.流量范围：(0～3000)mL/h；最大允许误差：(0～10)mL/h±(1％+0.005mL/h)，(10～3000)mL/h±1％</w:t>
      </w:r>
    </w:p>
    <w:p w14:paraId="47EF696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6.容量范围：(0～100000)mL；最大允许误差：±1％或0.003mL(两者取大者）</w:t>
      </w:r>
    </w:p>
    <w:p w14:paraId="23E736C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7.压力范围：(-40～380)kPa；最大允许误差：(-40～140)kPa±(1%+0.6kPa)，[140～380)kPa±2kPa</w:t>
      </w:r>
    </w:p>
    <w:p w14:paraId="2B5E569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8.背压范围：（-27～85）kPa；最大允许误差：±(1%+0.6kPa)</w:t>
      </w:r>
    </w:p>
    <w:p w14:paraId="492DA05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9.时间间隔：1s</w:t>
      </w:r>
    </w:p>
    <w:p w14:paraId="069A09F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10.时间：0～1000h；最大允许误差：±（0.2%+0.2秒）</w:t>
      </w:r>
    </w:p>
    <w:p w14:paraId="1435247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11.推注容量范围：0.01～100000mL；最大允许误差：±(2%+0.01mL)</w:t>
      </w:r>
    </w:p>
    <w:p w14:paraId="7A2196B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12.供电时长：8h</w:t>
      </w:r>
    </w:p>
    <w:p w14:paraId="35ACB8D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13.触发阈值：4μL</w:t>
      </w:r>
    </w:p>
    <w:p w14:paraId="21FBB7E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14.外部接口：TYPE-C,USB,HDMI,LAN</w:t>
      </w:r>
    </w:p>
    <w:p w14:paraId="5C0E96F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15.通信：蓝牙、WiFi、4G</w:t>
      </w:r>
    </w:p>
    <w:p w14:paraId="4169890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16.数据管理：自动保存检测结果，支持word、excel、PDF格式导出</w:t>
      </w:r>
    </w:p>
    <w:p w14:paraId="02B9BAD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17.系统更新：USB、4G</w:t>
      </w:r>
    </w:p>
    <w:p w14:paraId="4F1C00A9">
      <w:pPr>
        <w:keepNext w:val="0"/>
        <w:keepLines w:val="0"/>
        <w:pageBreakBefore w:val="0"/>
        <w:kinsoku/>
        <w:wordWrap/>
        <w:overflowPunct/>
        <w:topLinePunct w:val="0"/>
        <w:bidi w:val="0"/>
        <w:snapToGrid/>
        <w:spacing w:after="0" w:line="560" w:lineRule="exact"/>
        <w:ind w:firstLine="480" w:firstLineChars="200"/>
        <w:jc w:val="left"/>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18.主要配置：主机1台、连接管路1套、充电器1套、溯源证书1套</w:t>
      </w:r>
    </w:p>
    <w:p w14:paraId="32FE9CEB">
      <w:pPr>
        <w:pBdr>
          <w:top w:val="none" w:color="auto" w:sz="0" w:space="1"/>
          <w:left w:val="none" w:color="auto" w:sz="0" w:space="4"/>
          <w:bottom w:val="none" w:color="auto" w:sz="0" w:space="1"/>
          <w:right w:val="none" w:color="auto" w:sz="0" w:space="4"/>
        </w:pBdr>
        <w:spacing w:line="360" w:lineRule="auto"/>
        <w:ind w:firstLine="562"/>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（五）实施及维修要求</w:t>
      </w:r>
      <w:r>
        <w:rPr>
          <w:rFonts w:hint="default" w:ascii="宋体" w:hAnsi="宋体" w:eastAsia="宋体" w:cs="宋体"/>
          <w:b/>
          <w:color w:val="auto"/>
          <w:kern w:val="0"/>
          <w:sz w:val="28"/>
          <w:szCs w:val="28"/>
          <w:highlight w:val="none"/>
          <w:lang w:val="en-US" w:eastAsia="zh-CN"/>
        </w:rPr>
        <w:t>：</w:t>
      </w:r>
    </w:p>
    <w:p w14:paraId="0A3E8A1B">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总体</w:t>
      </w:r>
      <w:r>
        <w:rPr>
          <w:rFonts w:hint="eastAsia" w:ascii="宋体" w:hAnsi="宋体" w:eastAsia="宋体" w:cs="宋体"/>
          <w:color w:val="auto"/>
          <w:sz w:val="24"/>
          <w:szCs w:val="24"/>
          <w:highlight w:val="none"/>
          <w:lang w:val="en-US" w:eastAsia="zh-CN"/>
        </w:rPr>
        <w:t>实施</w:t>
      </w:r>
      <w:r>
        <w:rPr>
          <w:rFonts w:ascii="宋体" w:hAnsi="宋体" w:eastAsia="宋体" w:cs="宋体"/>
          <w:color w:val="auto"/>
          <w:sz w:val="24"/>
          <w:szCs w:val="24"/>
          <w:highlight w:val="none"/>
        </w:rPr>
        <w:t>要求：供应商负责本包全部设备（无创血压模拟仪、超声功率计、心、脑电图机检定仪、医用注射泵和输液泵检测仪）的供货、运输就位、安装调试、检定校准、现场培训、质保售后等全部工作。设备及配套软件须满足采购需求技术指标及对应国家计量规程、规范，满足社会公用计量标准建标条件，保障设备可正常开展计量检定业务；做好项目敏感资料、电子数据保密工作，不得向外泄露。</w:t>
      </w:r>
    </w:p>
    <w:p w14:paraId="3BF7C132">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安装调试要求：完成设备现场安装、整机调试及软件配置；实现设备各项模拟信号输出、多模式测量、数据存储、导出、二维码识别、通信传输等全部软件功能，整机各项性能指标满足采购需求及计量规程要求。</w:t>
      </w:r>
    </w:p>
    <w:p w14:paraId="092B2199">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3.交货期：合同签订生效后2个月，交货时应有具有法定资质的省级及以上法定计量检定机构（或依法授权的计量技术机构）出具的检定/校准证书，且证书数据须符合本招标文件要求。</w:t>
      </w:r>
    </w:p>
    <w:p w14:paraId="262D4BBD">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rPr>
        <w:t>质保及维修要求：质保期自项目验收合格之日起计算：无创血压模拟仪、超声功率计、心、脑电图机检定仪、医用注射泵和输液泵检测仪质保 2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p>
    <w:p w14:paraId="7CBEC35F">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5.培训要求：</w:t>
      </w:r>
      <w:r>
        <w:rPr>
          <w:rFonts w:ascii="宋体" w:hAnsi="宋体" w:eastAsia="宋体" w:cs="宋体"/>
          <w:color w:val="auto"/>
          <w:sz w:val="24"/>
          <w:szCs w:val="24"/>
          <w:highlight w:val="none"/>
        </w:rPr>
        <w:t>安装调试完成后开展现场培训</w:t>
      </w:r>
      <w:r>
        <w:rPr>
          <w:rFonts w:hint="eastAsia" w:ascii="宋体" w:hAnsi="宋体" w:eastAsia="宋体" w:cs="宋体"/>
          <w:color w:val="auto"/>
          <w:sz w:val="24"/>
          <w:szCs w:val="24"/>
          <w:highlight w:val="none"/>
          <w:lang w:val="en-US" w:eastAsia="zh-CN"/>
        </w:rPr>
        <w:t>，培训讲师需具有工程师及以上职称，保证参训人员熟练掌握设备使用方法，且具有一定故障和紧急情况处理能力。</w:t>
      </w:r>
    </w:p>
    <w:p w14:paraId="24BB6EA9">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验收要求：全部工作完成后由供应商申请验收，采购人对照采购需求逐项核查，证书、功能、指标全部合格后方可通过验收。</w:t>
      </w:r>
    </w:p>
    <w:p w14:paraId="39DAF767">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（六）其他</w:t>
      </w:r>
    </w:p>
    <w:p w14:paraId="5AF20BF8">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1、本项目报价不得超过预算价（最高限价）。</w:t>
      </w:r>
    </w:p>
    <w:p w14:paraId="35B968A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2、工作中涉及的敏感资料、电子数据等相关信息，中标人应严格执行保密的相关规定，不得以任何方式向任何第三人披露、泄露或许可第三人使用，否则追究其相应法律责任。</w:t>
      </w:r>
    </w:p>
    <w:p w14:paraId="68319516">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column"/>
      </w: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6</w:t>
      </w:r>
      <w:r>
        <w:rPr>
          <w:rFonts w:hint="eastAsia" w:ascii="宋体" w:hAnsi="宋体" w:eastAsia="宋体" w:cs="宋体"/>
          <w:b/>
          <w:bCs/>
          <w:color w:val="auto"/>
          <w:sz w:val="32"/>
          <w:szCs w:val="32"/>
          <w:highlight w:val="none"/>
        </w:rPr>
        <w:t>：</w:t>
      </w:r>
    </w:p>
    <w:p w14:paraId="59B5B196">
      <w:pPr>
        <w:pBdr>
          <w:top w:val="none" w:color="auto" w:sz="0" w:space="1"/>
          <w:left w:val="none" w:color="auto" w:sz="0" w:space="4"/>
          <w:bottom w:val="none" w:color="auto" w:sz="0" w:space="1"/>
          <w:right w:val="none" w:color="auto" w:sz="0" w:space="4"/>
        </w:pBdr>
        <w:spacing w:line="360" w:lineRule="auto"/>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一、项目概况</w:t>
      </w:r>
    </w:p>
    <w:p w14:paraId="5BDD963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本项目为</w:t>
      </w:r>
      <w:r>
        <w:rPr>
          <w:rFonts w:hint="eastAsia" w:ascii="宋体" w:hAnsi="宋体" w:eastAsia="宋体" w:cs="宋体"/>
          <w:color w:val="auto"/>
          <w:sz w:val="24"/>
          <w:szCs w:val="24"/>
          <w:highlight w:val="none"/>
        </w:rPr>
        <w:t>2026年计量检验检测设备更新</w:t>
      </w:r>
      <w:r>
        <w:rPr>
          <w:rFonts w:ascii="宋体" w:hAnsi="宋体" w:eastAsia="宋体" w:cs="宋体"/>
          <w:color w:val="auto"/>
          <w:sz w:val="24"/>
          <w:szCs w:val="24"/>
          <w:highlight w:val="none"/>
        </w:rPr>
        <w:t>，拟采购</w:t>
      </w:r>
      <w:r>
        <w:rPr>
          <w:rFonts w:hint="eastAsia" w:ascii="宋体" w:hAnsi="宋体" w:eastAsia="宋体" w:cs="宋体"/>
          <w:color w:val="auto"/>
          <w:sz w:val="24"/>
          <w:szCs w:val="24"/>
          <w:highlight w:val="none"/>
          <w:lang w:val="en-US" w:eastAsia="zh-CN"/>
        </w:rPr>
        <w:t>验光仪顶焦度标准器、客观式标准器</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燃气表检定装置（含膜式）</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多功能标准源、数字多用表、交流测试系统</w:t>
      </w:r>
      <w:r>
        <w:rPr>
          <w:rFonts w:ascii="宋体" w:hAnsi="宋体" w:eastAsia="宋体" w:cs="宋体"/>
          <w:color w:val="auto"/>
          <w:sz w:val="24"/>
          <w:szCs w:val="24"/>
          <w:highlight w:val="none"/>
        </w:rPr>
        <w:t>，项目总预算1</w:t>
      </w:r>
      <w:r>
        <w:rPr>
          <w:rFonts w:hint="eastAsia" w:ascii="宋体" w:hAnsi="宋体" w:eastAsia="宋体" w:cs="宋体"/>
          <w:color w:val="auto"/>
          <w:sz w:val="24"/>
          <w:szCs w:val="24"/>
          <w:highlight w:val="none"/>
          <w:lang w:val="en-US" w:eastAsia="zh-CN"/>
        </w:rPr>
        <w:t>33</w:t>
      </w:r>
      <w:r>
        <w:rPr>
          <w:rFonts w:ascii="宋体" w:hAnsi="宋体" w:eastAsia="宋体" w:cs="宋体"/>
          <w:color w:val="auto"/>
          <w:sz w:val="24"/>
          <w:szCs w:val="24"/>
          <w:highlight w:val="none"/>
        </w:rPr>
        <w:t>万元</w:t>
      </w:r>
      <w:r>
        <w:rPr>
          <w:rFonts w:hint="eastAsia" w:ascii="宋体" w:hAnsi="宋体" w:eastAsia="宋体" w:cs="宋体"/>
          <w:color w:val="auto"/>
          <w:sz w:val="24"/>
          <w:szCs w:val="24"/>
          <w:highlight w:val="none"/>
        </w:rPr>
        <w:t>。</w:t>
      </w:r>
    </w:p>
    <w:p w14:paraId="0A6C0966">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二、货物（标的）采购清单</w:t>
      </w:r>
      <w:r>
        <w:rPr>
          <w:rFonts w:hint="eastAsia" w:ascii="宋体" w:hAnsi="宋体" w:cs="宋体"/>
          <w:b/>
          <w:color w:val="auto"/>
          <w:sz w:val="28"/>
          <w:szCs w:val="28"/>
          <w:highlight w:val="none"/>
          <w:lang w:val="en-US" w:eastAsia="zh-CN"/>
        </w:rPr>
        <w:t>及</w:t>
      </w:r>
      <w:r>
        <w:rPr>
          <w:rFonts w:hint="eastAsia" w:ascii="宋体" w:hAnsi="宋体" w:eastAsia="宋体" w:cs="宋体"/>
          <w:b/>
          <w:color w:val="auto"/>
          <w:sz w:val="28"/>
          <w:szCs w:val="28"/>
          <w:highlight w:val="none"/>
        </w:rPr>
        <w:t>技术参数及功能指标</w:t>
      </w:r>
    </w:p>
    <w:tbl>
      <w:tblPr>
        <w:tblStyle w:val="37"/>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3188"/>
        <w:gridCol w:w="846"/>
        <w:gridCol w:w="2504"/>
        <w:gridCol w:w="2017"/>
      </w:tblGrid>
      <w:tr w14:paraId="1EE2C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5C91F6B6">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序号</w:t>
            </w:r>
          </w:p>
        </w:tc>
        <w:tc>
          <w:tcPr>
            <w:tcW w:w="0" w:type="auto"/>
            <w:vAlign w:val="center"/>
          </w:tcPr>
          <w:p w14:paraId="33EB3B65">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设备名称</w:t>
            </w:r>
          </w:p>
        </w:tc>
        <w:tc>
          <w:tcPr>
            <w:tcW w:w="0" w:type="auto"/>
            <w:vAlign w:val="center"/>
          </w:tcPr>
          <w:p w14:paraId="4EF9302C">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数量</w:t>
            </w:r>
          </w:p>
        </w:tc>
        <w:tc>
          <w:tcPr>
            <w:tcW w:w="0" w:type="auto"/>
            <w:vAlign w:val="center"/>
          </w:tcPr>
          <w:p w14:paraId="563AB30E">
            <w:pPr>
              <w:widowControl/>
              <w:snapToGrid w:val="0"/>
              <w:ind w:left="0" w:leftChars="0" w:right="0" w:rightChars="0" w:firstLine="0" w:firstLineChars="0"/>
              <w:jc w:val="center"/>
              <w:textAlignment w:val="center"/>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单位</w:t>
            </w:r>
          </w:p>
        </w:tc>
        <w:tc>
          <w:tcPr>
            <w:tcW w:w="2017" w:type="dxa"/>
            <w:vAlign w:val="center"/>
          </w:tcPr>
          <w:p w14:paraId="32EBB940">
            <w:pPr>
              <w:widowControl/>
              <w:snapToGrid w:val="0"/>
              <w:ind w:left="0" w:leftChars="0" w:right="0" w:rightChars="0" w:firstLine="0" w:firstLineChars="0"/>
              <w:jc w:val="center"/>
              <w:textAlignment w:val="center"/>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分项最高限价（万元）</w:t>
            </w:r>
          </w:p>
        </w:tc>
      </w:tr>
      <w:tr w14:paraId="03F8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4FE73260">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1</w:t>
            </w:r>
          </w:p>
        </w:tc>
        <w:tc>
          <w:tcPr>
            <w:tcW w:w="0" w:type="auto"/>
            <w:vAlign w:val="center"/>
          </w:tcPr>
          <w:p w14:paraId="0501E5AA">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验光仪顶焦度标准器、客观式标准器</w:t>
            </w:r>
          </w:p>
        </w:tc>
        <w:tc>
          <w:tcPr>
            <w:tcW w:w="0" w:type="auto"/>
            <w:vAlign w:val="center"/>
          </w:tcPr>
          <w:p w14:paraId="7130B6DD">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68FFC45A">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6DEF1F7C">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19</w:t>
            </w:r>
          </w:p>
        </w:tc>
      </w:tr>
      <w:tr w14:paraId="0037D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6B2C5E38">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0" w:type="auto"/>
            <w:vAlign w:val="center"/>
          </w:tcPr>
          <w:p w14:paraId="4769ACE5">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燃气表检定装置（含膜式）</w:t>
            </w:r>
          </w:p>
        </w:tc>
        <w:tc>
          <w:tcPr>
            <w:tcW w:w="0" w:type="auto"/>
            <w:vAlign w:val="center"/>
          </w:tcPr>
          <w:p w14:paraId="49D7D258">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p>
        </w:tc>
        <w:tc>
          <w:tcPr>
            <w:tcW w:w="0" w:type="auto"/>
            <w:vAlign w:val="center"/>
          </w:tcPr>
          <w:p w14:paraId="50FF7934">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265C160A">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35</w:t>
            </w:r>
          </w:p>
        </w:tc>
      </w:tr>
      <w:tr w14:paraId="5EEB4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4C209E38">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0" w:type="auto"/>
            <w:vAlign w:val="center"/>
          </w:tcPr>
          <w:p w14:paraId="2908B3B7">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多功能标准源</w:t>
            </w:r>
          </w:p>
        </w:tc>
        <w:tc>
          <w:tcPr>
            <w:tcW w:w="0" w:type="auto"/>
            <w:vAlign w:val="center"/>
          </w:tcPr>
          <w:p w14:paraId="1FBB7DCD">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1</w:t>
            </w:r>
          </w:p>
        </w:tc>
        <w:tc>
          <w:tcPr>
            <w:tcW w:w="0" w:type="auto"/>
            <w:vAlign w:val="center"/>
          </w:tcPr>
          <w:p w14:paraId="27783407">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2C213574">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38</w:t>
            </w:r>
          </w:p>
        </w:tc>
      </w:tr>
      <w:tr w14:paraId="4F3E6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056CB799">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3188" w:type="dxa"/>
            <w:vAlign w:val="center"/>
          </w:tcPr>
          <w:p w14:paraId="262340DB">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数字多用表</w:t>
            </w:r>
          </w:p>
        </w:tc>
        <w:tc>
          <w:tcPr>
            <w:tcW w:w="846" w:type="dxa"/>
            <w:vAlign w:val="center"/>
          </w:tcPr>
          <w:p w14:paraId="0A1CFCCB">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7267B776">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2341B28B">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28</w:t>
            </w:r>
          </w:p>
        </w:tc>
      </w:tr>
      <w:tr w14:paraId="0E9F3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46" w:type="dxa"/>
            <w:vAlign w:val="center"/>
          </w:tcPr>
          <w:p w14:paraId="10440526">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3188" w:type="dxa"/>
            <w:vAlign w:val="center"/>
          </w:tcPr>
          <w:p w14:paraId="42BA8938">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交流测试系统</w:t>
            </w:r>
          </w:p>
        </w:tc>
        <w:tc>
          <w:tcPr>
            <w:tcW w:w="846" w:type="dxa"/>
            <w:vAlign w:val="center"/>
          </w:tcPr>
          <w:p w14:paraId="56183980">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1</w:t>
            </w:r>
          </w:p>
        </w:tc>
        <w:tc>
          <w:tcPr>
            <w:tcW w:w="2504" w:type="dxa"/>
            <w:vAlign w:val="center"/>
          </w:tcPr>
          <w:p w14:paraId="41CE3970">
            <w:pPr>
              <w:widowControl/>
              <w:snapToGrid w:val="0"/>
              <w:ind w:left="0" w:leftChars="0" w:right="0" w:rightChars="0" w:firstLine="0" w:firstLineChars="0"/>
              <w:jc w:val="center"/>
              <w:textAlignment w:val="center"/>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套</w:t>
            </w:r>
          </w:p>
        </w:tc>
        <w:tc>
          <w:tcPr>
            <w:tcW w:w="2017" w:type="dxa"/>
            <w:vAlign w:val="center"/>
          </w:tcPr>
          <w:p w14:paraId="3F5A4A0E">
            <w:pPr>
              <w:widowControl/>
              <w:snapToGrid w:val="0"/>
              <w:ind w:left="0" w:leftChars="0" w:right="0" w:rightChars="0" w:firstLine="0" w:firstLine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13</w:t>
            </w:r>
          </w:p>
        </w:tc>
      </w:tr>
    </w:tbl>
    <w:p w14:paraId="1E927FF4">
      <w:pPr>
        <w:widowControl w:val="0"/>
        <w:numPr>
          <w:ilvl w:val="0"/>
          <w:numId w:val="0"/>
        </w:numPr>
        <w:pBdr>
          <w:top w:val="none" w:color="auto" w:sz="0" w:space="1"/>
          <w:left w:val="none" w:color="auto" w:sz="0" w:space="4"/>
          <w:bottom w:val="none" w:color="auto" w:sz="0" w:space="1"/>
          <w:right w:val="none" w:color="auto" w:sz="0" w:space="4"/>
        </w:pBdr>
        <w:spacing w:line="360" w:lineRule="auto"/>
        <w:ind w:firstLine="482" w:firstLineChars="200"/>
        <w:jc w:val="left"/>
        <w:rPr>
          <w:rFonts w:hint="eastAsia" w:ascii="宋体" w:hAnsi="宋体" w:eastAsia="宋体" w:cs="宋体"/>
          <w:b/>
          <w:bCs/>
          <w:color w:val="auto"/>
          <w:sz w:val="28"/>
          <w:szCs w:val="28"/>
          <w:highlight w:val="none"/>
          <w:lang w:val="en-US" w:eastAsia="zh-CN"/>
        </w:rPr>
      </w:pPr>
      <w:r>
        <w:rPr>
          <w:rFonts w:ascii="宋体" w:hAnsi="宋体" w:eastAsia="宋体" w:cs="宋体"/>
          <w:b/>
          <w:bCs/>
          <w:color w:val="auto"/>
          <w:sz w:val="24"/>
          <w:szCs w:val="24"/>
          <w:highlight w:val="none"/>
        </w:rPr>
        <w:t>★投标人填报的任意一项货物投标综合单价，超过对应分项单价最高限价的，否决投标。注：无单价限价的品目，不受本条单价约束。</w:t>
      </w:r>
    </w:p>
    <w:p w14:paraId="4BB25468">
      <w:pPr>
        <w:pBdr>
          <w:top w:val="none" w:color="auto" w:sz="0" w:space="1"/>
          <w:left w:val="none" w:color="auto" w:sz="0" w:space="4"/>
          <w:bottom w:val="none" w:color="auto" w:sz="0" w:space="1"/>
          <w:right w:val="none" w:color="auto" w:sz="0" w:space="4"/>
        </w:pBdr>
        <w:spacing w:line="360" w:lineRule="auto"/>
        <w:ind w:firstLine="480" w:firstLineChars="200"/>
        <w:jc w:val="left"/>
        <w:rPr>
          <w:rFonts w:hint="eastAsia" w:ascii="宋体" w:hAnsi="宋体" w:eastAsia="宋体" w:cs="宋体"/>
          <w:b/>
          <w:color w:val="auto"/>
          <w:sz w:val="28"/>
          <w:szCs w:val="28"/>
          <w:highlight w:val="none"/>
        </w:rPr>
      </w:pPr>
      <w:r>
        <w:rPr>
          <w:rFonts w:hint="eastAsia" w:ascii="宋体" w:hAnsi="宋体" w:eastAsia="宋体"/>
          <w:b w:val="0"/>
          <w:bCs w:val="0"/>
          <w:color w:val="auto"/>
          <w:sz w:val="24"/>
          <w:szCs w:val="24"/>
          <w:highlight w:val="none"/>
        </w:rPr>
        <w:t>本项目核心产品为：</w:t>
      </w:r>
      <w:r>
        <w:rPr>
          <w:rFonts w:hint="eastAsia" w:ascii="宋体" w:hAnsi="宋体" w:cs="宋体"/>
          <w:bCs/>
          <w:color w:val="auto"/>
          <w:kern w:val="2"/>
          <w:sz w:val="24"/>
          <w:szCs w:val="24"/>
          <w:highlight w:val="none"/>
          <w:u w:val="single"/>
          <w:lang w:val="en-US" w:eastAsia="zh-CN"/>
        </w:rPr>
        <w:t>多功能标准源</w:t>
      </w:r>
      <w:r>
        <w:rPr>
          <w:rFonts w:hint="eastAsia" w:ascii="宋体" w:hAnsi="宋体" w:eastAsia="宋体"/>
          <w:b w:val="0"/>
          <w:bCs w:val="0"/>
          <w:color w:val="auto"/>
          <w:sz w:val="24"/>
          <w:szCs w:val="24"/>
          <w:highlight w:val="none"/>
        </w:rPr>
        <w:t>。</w:t>
      </w:r>
    </w:p>
    <w:p w14:paraId="55F737F2">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kern w:val="0"/>
          <w:sz w:val="28"/>
          <w:szCs w:val="28"/>
          <w:highlight w:val="none"/>
          <w:lang w:val="en-US" w:eastAsia="zh-CN"/>
        </w:rPr>
        <w:t>验光仪顶焦度标准器、客观式标准器</w:t>
      </w:r>
    </w:p>
    <w:p w14:paraId="124AA7C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1.功能要求：</w:t>
      </w:r>
    </w:p>
    <w:p w14:paraId="14A2F8D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★1.1.满足规程及溯源要求</w:t>
      </w:r>
    </w:p>
    <w:p w14:paraId="7918742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客观或标准器必须满足JJG922-2008《验光仪顶焦度标准器》和JJG892-2022《验光仪》检定规程要求，满足社会公用计量标准的建标要求。</w:t>
      </w:r>
    </w:p>
    <w:p w14:paraId="3D6134C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en-US" w:eastAsia="zh-CN"/>
        </w:rPr>
        <w:t>1.2.标准器组成：</w:t>
      </w:r>
    </w:p>
    <w:p w14:paraId="67C3CE8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（1）客观式模拟眼：由0m-1、2.5m-1、±5m-1、±10m-1、±15m-1、±20m-1一套共11个客观式模拟眼和一个客观式模拟眼支架组成，只用于检定客观式验光仪的球镜度。</w:t>
      </w:r>
    </w:p>
    <w:p w14:paraId="17238B9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（2）柱镜标准器：由柱镜模拟眼和轴位控制器两部分组成。柱镜度标称值为-3m-1的两个柱镜模拟眼，安装在提供0º和90º两个固定角度的轴位控制器上，用于检定客观式验光仪的柱镜度和轴位。</w:t>
      </w:r>
    </w:p>
    <w:p w14:paraId="333348D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（3）瞳距标准器：由三个标称值为55mm，65mm，75mm的标准套筒组成，标准套筒内可安装0m-1客观模拟眼，用于检定客观式验光仪的瞳距示值误差。</w:t>
      </w:r>
    </w:p>
    <w:p w14:paraId="3C0A314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2.技术指标要求：</w:t>
      </w:r>
    </w:p>
    <w:p w14:paraId="1450AE6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★2.1.球镜度量值的扩展不确定度：U=（0.07～0.10）m-1（k=3）；具体为：低量程（0～±10m-1）一般U=0.07 m-1（k=3），高量程（绝对值大于10m-1）一般U=0.10 m-1（k=3）；</w:t>
      </w:r>
    </w:p>
    <w:p w14:paraId="05F1B03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★2.2.球镜度实际值与标称值之差不超过±0.12m-1；</w:t>
      </w:r>
    </w:p>
    <w:p w14:paraId="2D27300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（1）（0～±10）m-1范围的客观式模拟眼的球镜度量值的年变化量不超过±0.06m-1。</w:t>
      </w:r>
    </w:p>
    <w:p w14:paraId="4FD7EC3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（2）绝对值大于10m-1范围的客观式模拟眼的球镜度量值的年变化量不超过±0.10m-1。</w:t>
      </w:r>
    </w:p>
    <w:p w14:paraId="6F0BBAC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★2.3.柱镜度量值的扩展不确定度：U≤0.08m-1（k=3）。</w:t>
      </w:r>
    </w:p>
    <w:p w14:paraId="0C75ACD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（1）柱镜度实际值与标称值之差不超出±0.12m-1。</w:t>
      </w:r>
    </w:p>
    <w:p w14:paraId="77CE835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（2）柱镜度量值的年变化量不超过±0.06m-1。</w:t>
      </w:r>
    </w:p>
    <w:p w14:paraId="6CA8441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★2.4.轴位控制器0°和90°轴位方位允许误差为±1°</w:t>
      </w:r>
    </w:p>
    <w:p w14:paraId="3E9D9D9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★2.5.55mm、65mm、75mm三个标准瞳距的允差为±0.5mm。</w:t>
      </w:r>
    </w:p>
    <w:p w14:paraId="2760E59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2.6.鉴于现场使用需要，要求配置专用仪器箱，便于携带。</w:t>
      </w:r>
    </w:p>
    <w:p w14:paraId="1A42C2DA">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kern w:val="0"/>
          <w:sz w:val="28"/>
          <w:szCs w:val="28"/>
          <w:highlight w:val="none"/>
          <w:lang w:val="en-US" w:eastAsia="zh-CN"/>
        </w:rPr>
        <w:t>燃气表检定装置（含膜式）</w:t>
      </w:r>
    </w:p>
    <w:p w14:paraId="6A7C419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1.功能要求：</w:t>
      </w:r>
    </w:p>
    <w:p w14:paraId="5F3F4F4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★1.1.满足规程及溯源要求</w:t>
      </w:r>
    </w:p>
    <w:p w14:paraId="3D2D4F2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全自动燃气表检定装置必须满足JJF1240-2010《临界流文丘里喷嘴法气体流量标准装置校准规范》、JJG620-2008《临界流文丘里喷嘴检定规程》、JJG577-2012《膜式燃气表检定规程》、JJG1190-2022《超声波燃气表检定规程》中对装置的要求，满足社会公用计量标准的建标要求。</w:t>
      </w:r>
    </w:p>
    <w:p w14:paraId="28C1C80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en-US" w:eastAsia="zh-CN"/>
        </w:rPr>
        <w:t>1.2.装置各部分材质及配件参数要求</w:t>
      </w:r>
    </w:p>
    <w:p w14:paraId="1AE675B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1.2.1.材质：标准器、夹表操作台材质应耐腐蚀、不易锈蚀，满足长期稳定使用要求；</w:t>
      </w:r>
    </w:p>
    <w:p w14:paraId="7EE30FE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1.2.2.音速喷嘴：11只（64m3/h、32 m3/h、16 m3/h、8 m3/h、4 m3/h、2 m3/h、1 m3/h、0.4 m3/h、0.25 m3/h、0.1 m3/h、0.06 m3/h、）。</w:t>
      </w:r>
    </w:p>
    <w:p w14:paraId="4E43D21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1.2.3.温度变送器：范围：0℃～50℃；误差：±0.2℃；</w:t>
      </w:r>
    </w:p>
    <w:p w14:paraId="371F688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1.2.4.绝压变送器：（60～110）kPa误差：±0.1%；</w:t>
      </w:r>
    </w:p>
    <w:p w14:paraId="0D03837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1.2.5.压力变送器：（0～100）kPa误差：±0.5%；</w:t>
      </w:r>
    </w:p>
    <w:p w14:paraId="265865A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1.2.6.差压变送器：（-1000～1000）Pa误差：±0.5%；</w:t>
      </w:r>
    </w:p>
    <w:p w14:paraId="5002EE1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1.2.7.湿度传感器：范围：0%RH～100%RH；扩展不确定度：≤3%；</w:t>
      </w:r>
    </w:p>
    <w:p w14:paraId="2AFEF16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1.2.8.计时器晶振频率：12MHz，相对频率偏差≤10-6，频率复现性≤10-7；</w:t>
      </w:r>
    </w:p>
    <w:p w14:paraId="3ACDCDC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2.技术指标要求：</w:t>
      </w:r>
    </w:p>
    <w:p w14:paraId="29EC60A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bookmarkStart w:id="24" w:name="OLE_LINK17"/>
      <w:r>
        <w:rPr>
          <w:rFonts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en-US" w:eastAsia="zh-CN"/>
        </w:rPr>
        <w:t>2.1.检定装置表位：3工位（G6～G25）+1工位（G40～G65），流量范围：0.06 m3/h、～100 m3/h、，可完成G6、G10、G16、G25、G40、G65规格工商业燃气表的燃气表密封性（正压）、示值误差（负压）以及总压力损失测试；</w:t>
      </w:r>
    </w:p>
    <w:p w14:paraId="5B025F4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w:t>
      </w:r>
      <w:bookmarkEnd w:id="24"/>
      <w:r>
        <w:rPr>
          <w:rFonts w:hint="eastAsia" w:ascii="宋体" w:hAnsi="宋体" w:eastAsia="宋体" w:cs="宋体"/>
          <w:color w:val="auto"/>
          <w:kern w:val="0"/>
          <w:sz w:val="24"/>
          <w:szCs w:val="24"/>
          <w:highlight w:val="none"/>
          <w:lang w:val="en-US" w:eastAsia="zh-CN"/>
        </w:rPr>
        <w:t>2.2.装置扩展不确定度：U≤0.5%(k=2)，音速喷嘴扩展不确定度：U≤0.2%(k=2)，流量点偏差≤5%；</w:t>
      </w:r>
    </w:p>
    <w:p w14:paraId="2D3FE4C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bookmarkStart w:id="25" w:name="OLE_LINK33"/>
      <w:r>
        <w:rPr>
          <w:rFonts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en-US" w:eastAsia="zh-CN"/>
        </w:rPr>
        <w:t>2.3</w:t>
      </w:r>
      <w:bookmarkEnd w:id="25"/>
      <w:r>
        <w:rPr>
          <w:rFonts w:hint="eastAsia" w:ascii="宋体" w:hAnsi="宋体" w:eastAsia="宋体" w:cs="宋体"/>
          <w:color w:val="auto"/>
          <w:kern w:val="0"/>
          <w:sz w:val="24"/>
          <w:szCs w:val="24"/>
          <w:highlight w:val="none"/>
          <w:lang w:val="en-US" w:eastAsia="zh-CN"/>
        </w:rPr>
        <w:t>.检定流量点：Qmax、0.2Qmax、Qmin；</w:t>
      </w:r>
    </w:p>
    <w:p w14:paraId="5185A5F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2.4.工作方式：负压法</w:t>
      </w:r>
    </w:p>
    <w:p w14:paraId="19AAF94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2.5.夹表方式：气动夹紧；</w:t>
      </w:r>
    </w:p>
    <w:p w14:paraId="269B945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bookmarkStart w:id="26" w:name="OLE_LINK32"/>
      <w:r>
        <w:rPr>
          <w:rFonts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en-US" w:eastAsia="zh-CN"/>
        </w:rPr>
        <w:t>2.6</w:t>
      </w:r>
      <w:bookmarkEnd w:id="26"/>
      <w:r>
        <w:rPr>
          <w:rFonts w:hint="eastAsia" w:ascii="宋体" w:hAnsi="宋体" w:eastAsia="宋体" w:cs="宋体"/>
          <w:color w:val="auto"/>
          <w:kern w:val="0"/>
          <w:sz w:val="24"/>
          <w:szCs w:val="24"/>
          <w:highlight w:val="none"/>
          <w:lang w:val="en-US" w:eastAsia="zh-CN"/>
        </w:rPr>
        <w:t>.需配置智能图像采集终端，集成以下核心功能：</w:t>
      </w:r>
    </w:p>
    <w:p w14:paraId="6C28BDC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2.6.1.具备图像采集与字轮识别功能，支持实时显示燃气表字轮运转状态，可提供数据导出接口；</w:t>
      </w:r>
    </w:p>
    <w:p w14:paraId="073E681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2.6.2.配备标准USB数据传输接口与超声波瞬时流量信号采集接口；</w:t>
      </w:r>
    </w:p>
    <w:p w14:paraId="3FA970B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2.6.3.支持双模检测机制，既可兼容超声波燃气表的LED数字识别方案，也可适配通讯信号检测方式，实现多类型燃气表的智能计量需求。图像升降方式：自动或手动一键控制所有摄像系统自动升降及所有燃气表自动气动夹紧。</w:t>
      </w:r>
    </w:p>
    <w:p w14:paraId="43734E4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▲2.7.燃气表的燃气表密封性（正压）、示值误差（负压）以及总压力损失测试3个项目可在同一检测台上完成检定和测试。</w:t>
      </w:r>
    </w:p>
    <w:p w14:paraId="46C9E3E7">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kern w:val="0"/>
          <w:sz w:val="28"/>
          <w:szCs w:val="28"/>
          <w:highlight w:val="none"/>
          <w:lang w:val="en-US" w:eastAsia="zh-CN"/>
        </w:rPr>
        <w:t>多功能标准源</w:t>
      </w:r>
    </w:p>
    <w:p w14:paraId="3875343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1.功能要求：</w:t>
      </w:r>
    </w:p>
    <w:p w14:paraId="5B1B26D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1.1.应内置超精密的交直流电压源和电流源，可输出性能优异的直流电压、直流电流、直流功率及交流电压、交流电流、交流功率、相位、频率，亦可模拟电阻输出、脉冲频率输出；</w:t>
      </w:r>
    </w:p>
    <w:p w14:paraId="6677CF93">
      <w:pPr>
        <w:keepNext w:val="0"/>
        <w:keepLines w:val="0"/>
        <w:pageBreakBefore w:val="0"/>
        <w:kinsoku/>
        <w:wordWrap/>
        <w:overflowPunct/>
        <w:topLinePunct w:val="0"/>
        <w:bidi w:val="0"/>
        <w:snapToGrid/>
        <w:spacing w:after="0" w:line="560" w:lineRule="exact"/>
        <w:ind w:firstLine="482" w:firstLineChars="200"/>
        <w:jc w:val="left"/>
        <w:textAlignment w:val="auto"/>
        <w:rPr>
          <w:rFonts w:hint="eastAsia" w:ascii="宋体" w:hAnsi="宋体" w:eastAsia="宋体" w:cs="宋体"/>
          <w:color w:val="auto"/>
          <w:kern w:val="0"/>
          <w:sz w:val="24"/>
          <w:szCs w:val="24"/>
          <w:highlight w:val="none"/>
          <w:lang w:val="en-US" w:eastAsia="zh-CN"/>
        </w:rPr>
      </w:pPr>
      <w:r>
        <w:rPr>
          <w:rStyle w:val="39"/>
          <w:rFonts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en-US" w:eastAsia="zh-CN"/>
        </w:rPr>
        <w:t>1.2.应满足JJG124-2005《电流表、电压表、功率表及电阻表检定规程》、JJF1587-2016《数字多用表校准规范》、JJF1638-2017《多功能标准源校准规范》的相关要求；</w:t>
      </w:r>
    </w:p>
    <w:p w14:paraId="19FC23A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1.3.可校准六位半及以下数字多用表及其它精密电测仪器；</w:t>
      </w:r>
    </w:p>
    <w:p w14:paraId="1027837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1.4.应支持交直流功率输出、U-I相位调节；还支持电流在满量程下连续长时间输出；</w:t>
      </w:r>
    </w:p>
    <w:p w14:paraId="284B367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▲1.5.应兼具模拟电容输出（连续可调）、8种热电偶输出与测量、6种热电阻输出等功能；</w:t>
      </w:r>
    </w:p>
    <w:p w14:paraId="4BED064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▲1.6.应具备AUX辅助电压输出，在输出交直流电压时可输出辅助电压信号；</w:t>
      </w:r>
    </w:p>
    <w:p w14:paraId="3243AE0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en-US" w:eastAsia="zh-CN"/>
        </w:rPr>
        <w:t>1.7.可以通过多台相同设备级联，扩大电流输出范围或组成三相输出系统；</w:t>
      </w:r>
    </w:p>
    <w:p w14:paraId="5403E68E">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2.技术指标要求：</w:t>
      </w:r>
    </w:p>
    <w:p w14:paraId="0AF9261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en-US" w:eastAsia="zh-CN"/>
        </w:rPr>
        <w:t>2.1.直流电压输出范围：±（0~1000V）；最佳年测量不确定度(k=2)≤8ppm*输出+2μV@3V；</w:t>
      </w:r>
    </w:p>
    <w:p w14:paraId="6F52B6E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2.2.直流电流输出范围：±（0~20A）；最佳年测量不确定度(k=2)≤78ppm*输出+2uA@300mA；</w:t>
      </w:r>
    </w:p>
    <w:p w14:paraId="7EEF13F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2.3.交流电压输出范围：1mV~1000V，频率范围：10Hz~500kHz；最佳年测量不确定度(k=2)≤100ppm*输出+50μV(@3V，45Hz~10kHz)；</w:t>
      </w:r>
    </w:p>
    <w:p w14:paraId="26F6710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2.4.交流电流输出范围：30μA~20A，频率范围：10Hz~30kHz；最佳年测量不确定度(k=2)≤150ppm*输出+30μA(@300mA，45Hz~1kHz)；</w:t>
      </w:r>
    </w:p>
    <w:p w14:paraId="2C94F80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2.5.直流电阻模拟输出范围：0~1000MΩ，连续可调；最佳年测量不确定度(k=2)≤22ppm*输出+1Ω(@100kΩ)；</w:t>
      </w:r>
    </w:p>
    <w:p w14:paraId="0EF5068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2.6.正弦波频率：10Hz~500kHz，测量不确定度(k=2)：0.005%；最小分辨力：10μHz；</w:t>
      </w:r>
    </w:p>
    <w:p w14:paraId="5E47DF2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2.7.脉冲频率输出范围：1Hz~2MHz；测量不确定度(k=2)：20ppm*RD+20μHz；</w:t>
      </w:r>
    </w:p>
    <w:p w14:paraId="15BCB73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2.8.鉴于下现场使用需要，要求仪器体积小重量轻；尺寸应不大于：450mm(宽)×400mm(深)×200mm(高)，重量应不大于22kg;</w:t>
      </w:r>
    </w:p>
    <w:p w14:paraId="05760E9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2.9.支持宽频宽幅供电：AC90V~265V，47Hz~63Hz；适应多种场景；</w:t>
      </w:r>
    </w:p>
    <w:p w14:paraId="11915FE1">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（四）</w:t>
      </w:r>
      <w:r>
        <w:rPr>
          <w:rFonts w:hint="eastAsia" w:ascii="宋体" w:hAnsi="宋体" w:eastAsia="宋体" w:cs="宋体"/>
          <w:b/>
          <w:color w:val="auto"/>
          <w:kern w:val="0"/>
          <w:sz w:val="28"/>
          <w:szCs w:val="28"/>
          <w:highlight w:val="none"/>
          <w:lang w:val="en-US" w:eastAsia="zh-CN"/>
        </w:rPr>
        <w:t>数字多用表</w:t>
      </w:r>
    </w:p>
    <w:p w14:paraId="4C0E008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1.功能要求：</w:t>
      </w:r>
    </w:p>
    <w:p w14:paraId="24BEC13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1.1.其测量功能应包括交直流电压、交直流电流、电阻、频率、温度、电容；</w:t>
      </w:r>
    </w:p>
    <w:p w14:paraId="0AA07C9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1.2.8位半数字显示，大尺寸液晶触摸屏，显示直观，操作便捷；</w:t>
      </w:r>
    </w:p>
    <w:p w14:paraId="389C1677">
      <w:pPr>
        <w:keepNext w:val="0"/>
        <w:keepLines w:val="0"/>
        <w:pageBreakBefore w:val="0"/>
        <w:kinsoku/>
        <w:wordWrap/>
        <w:overflowPunct/>
        <w:topLinePunct w:val="0"/>
        <w:bidi w:val="0"/>
        <w:snapToGrid/>
        <w:spacing w:after="0" w:line="560" w:lineRule="exact"/>
        <w:ind w:firstLine="482" w:firstLineChars="200"/>
        <w:jc w:val="left"/>
        <w:textAlignment w:val="auto"/>
        <w:rPr>
          <w:rFonts w:hint="eastAsia" w:ascii="宋体" w:hAnsi="宋体" w:eastAsia="宋体" w:cs="宋体"/>
          <w:color w:val="auto"/>
          <w:kern w:val="0"/>
          <w:sz w:val="24"/>
          <w:szCs w:val="24"/>
          <w:highlight w:val="none"/>
          <w:lang w:val="en-US" w:eastAsia="zh-CN"/>
        </w:rPr>
      </w:pPr>
      <w:r>
        <w:rPr>
          <w:rStyle w:val="39"/>
          <w:rFonts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en-US" w:eastAsia="zh-CN"/>
        </w:rPr>
        <w:t>1.3.应满足GB/T13978-2008《数字多用表》、JJF1587-2016《数字多用表校准规范》的相关要求。</w:t>
      </w:r>
    </w:p>
    <w:p w14:paraId="3340002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2.技术指标要求：</w:t>
      </w:r>
    </w:p>
    <w:p w14:paraId="4E5D14D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▲2.1.直流电压测量量程：0~1000V，年测量不确定度 (k=2) 满足国家计量检定规程 / 校准规范要求，投标方须提供同等或更高性能的技术证明材料；</w:t>
      </w:r>
    </w:p>
    <w:p w14:paraId="710B26E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▲2.2.直流电流测量量程：0~30A，年测量不确定度 (k=2) 满足国家计量检定规程 / 校准规范要求，投标方须提供同等或更高性能的技术证明材料；</w:t>
      </w:r>
    </w:p>
    <w:p w14:paraId="09FA71F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▲2.3.交流电压测量量程：10mV~1000V，频率范围：1Hz~1MHz，年测量不确定度 (k=2) 满足国家计量检定规程 / 校准规范要求，投标方须提供同等或更高性能的技术证明材料；</w:t>
      </w:r>
    </w:p>
    <w:p w14:paraId="797F538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▲2.4.交流电流测量量程：10μA~30A，频率范围：1Hz~100kHz，年测量不确定度 (k=2) 满足国家计量检定规程 / 校准规范要求，投标方须提供同等或更高性能的技术证明材料；</w:t>
      </w:r>
    </w:p>
    <w:p w14:paraId="7B659C8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▲2.5.电阻测量量程：1Ω~10GΩ，年测量不确定度 (k=2) 满足国家计量检定规程 / 校准规范要求，投标方须提供同等或更高性能的技术证明材料；</w:t>
      </w:r>
    </w:p>
    <w:p w14:paraId="18D9520D">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2.6.支持宽频宽幅供电：AC90V~265V，47Hz~63Hz；适应多种场景；</w:t>
      </w:r>
    </w:p>
    <w:p w14:paraId="40C5F88C">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（五）</w:t>
      </w:r>
      <w:r>
        <w:rPr>
          <w:rFonts w:hint="eastAsia" w:ascii="宋体" w:hAnsi="宋体" w:eastAsia="宋体" w:cs="宋体"/>
          <w:b/>
          <w:color w:val="auto"/>
          <w:kern w:val="0"/>
          <w:sz w:val="28"/>
          <w:szCs w:val="28"/>
          <w:highlight w:val="none"/>
          <w:lang w:val="en-US" w:eastAsia="zh-CN"/>
        </w:rPr>
        <w:t>交流测试系统</w:t>
      </w:r>
    </w:p>
    <w:p w14:paraId="6F346FC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1.功能要求</w:t>
      </w:r>
    </w:p>
    <w:p w14:paraId="1001D06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1.1.准确度等级0.05级，可校准0.2级及以下的单/三相电压表、电流表、有功功率表，0.5级及以下的无功功率表、视在功率表、功率因数表。</w:t>
      </w:r>
    </w:p>
    <w:p w14:paraId="039F528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1.2.可校准0.2级及以下的直流电压表、电流表，0.5级及以下的直流功率表。</w:t>
      </w:r>
    </w:p>
    <w:p w14:paraId="7D2031E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1.3.应配备大尺寸液晶屏，操作便捷，满足现场使用需求。</w:t>
      </w:r>
    </w:p>
    <w:p w14:paraId="577484E7">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en-US" w:eastAsia="zh-CN"/>
        </w:rPr>
        <w:t>1.4.可外接带数字按键和旋转编码器的便携式操作台，便于用户设定量值输出。</w:t>
      </w:r>
    </w:p>
    <w:p w14:paraId="1F12114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1.5.设置三相电量时，可三相统调或各分相调节。</w:t>
      </w:r>
    </w:p>
    <w:p w14:paraId="40BD576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1.6.便携式设计，重量须不超过36kg；通讯接口：RS232。</w:t>
      </w:r>
    </w:p>
    <w:p w14:paraId="06ACA41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en-US" w:eastAsia="zh-CN"/>
        </w:rPr>
        <w:t>1.7.应满足JJF1491-2014《数字式交流电参数测量仪校准规范》、JJF1923-2021《电测量仪表校验装置校准规范》、JJF1638-2017《多功能标准源校准规范》的相关要求。</w:t>
      </w:r>
    </w:p>
    <w:p w14:paraId="3F7740F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2.技术指标要求</w:t>
      </w:r>
    </w:p>
    <w:p w14:paraId="5EB12E2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2.1.交流电压输出：</w:t>
      </w:r>
    </w:p>
    <w:p w14:paraId="354EAFD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2.1.1.范围：1V~825V，量程：15V、57.7V、100V、220V、380V、600V、750V;</w:t>
      </w:r>
    </w:p>
    <w:p w14:paraId="1436BDB9">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2.1.2.测量不确定度(k=2)：0.03%*RD+0.02%*RG；</w:t>
      </w:r>
    </w:p>
    <w:p w14:paraId="690A1FA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2.1.3.短期稳定度：0.01%/min，最大负载电流：500mA；</w:t>
      </w:r>
    </w:p>
    <w:p w14:paraId="42A901B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en-US" w:eastAsia="zh-CN"/>
        </w:rPr>
        <w:t>2.2.交流电流输出：</w:t>
      </w:r>
    </w:p>
    <w:p w14:paraId="5E19FC74">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2.2.1.范围：2mA~110A，量程：20mA、50mA、100mA、200mA、500mA、1A、2A、5A、10A、20A、50A、100A;</w:t>
      </w:r>
    </w:p>
    <w:p w14:paraId="74081DE2">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2.2.2.测量不确定度(k=2)：0.03%*RD+0.02%*RG；</w:t>
      </w:r>
    </w:p>
    <w:p w14:paraId="480F772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2.2.3.短期稳定度：0.01%/min，最大负载电压：60V；</w:t>
      </w:r>
    </w:p>
    <w:p w14:paraId="29A7324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2.3.频率/相位指标：</w:t>
      </w:r>
    </w:p>
    <w:p w14:paraId="4D7D83F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2.3.1.频率调节范围：45Hz～70Hz，调节细度：0.001Hz，测量不确定度：0.02Hz；</w:t>
      </w:r>
    </w:p>
    <w:p w14:paraId="4EEDD94F">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2.3.2.相位调节范围：0.0000°～359.9999°，调节细度：0.005°，测量不确定度：0.02°；</w:t>
      </w:r>
    </w:p>
    <w:p w14:paraId="40209695">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2.4.三相功率输出：</w:t>
      </w:r>
    </w:p>
    <w:p w14:paraId="5A2B689B">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2.4.1.有功功率(|cosφ|≥0.5)：测量不确定度(k=2)：0.05%*FS，短期稳定度：0.01%/min；</w:t>
      </w:r>
    </w:p>
    <w:p w14:paraId="55FA054C">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2.4.2.无功功率（|sinφ|≥0.5）、视在功率、功率因数：测量不确定度(k=2)：0.1%*FS，短期稳定度：0.02%/min；</w:t>
      </w:r>
    </w:p>
    <w:p w14:paraId="4324771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2.5.直流电压输出：</w:t>
      </w:r>
    </w:p>
    <w:p w14:paraId="733C5B2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2.5.1.范围：5mV~1100V，量程：75mV、100mV、300mV、1V、3V、10V、30V、60V、100V、300V、600V、1000V;</w:t>
      </w:r>
    </w:p>
    <w:p w14:paraId="1BBE3871">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2.5.2.测量不确定度(k=2)：0.03%*RD+0.02%*RG；</w:t>
      </w:r>
    </w:p>
    <w:p w14:paraId="21710E3A">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2.5.3.短期稳定度：0.01%/min，最大负载电流：500mA；</w:t>
      </w:r>
    </w:p>
    <w:p w14:paraId="39774D9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2.6.直流电流输出：</w:t>
      </w:r>
    </w:p>
    <w:p w14:paraId="455860F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2.6.1.范围：1μA~33A，量程：10μA、30μA、100μA、300μA、1mA、3mA、10mA、30mA、100mA、300mA、1A、3A、10A、30A;</w:t>
      </w:r>
    </w:p>
    <w:p w14:paraId="23770388">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2.6.2.测量不确定度(k=2)：0.03%*RD+0.02%*RG；</w:t>
      </w:r>
    </w:p>
    <w:p w14:paraId="42DE2716">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2.6.3.短期稳定度：0.01%/min，最大负载电压：10V；</w:t>
      </w:r>
    </w:p>
    <w:p w14:paraId="238BA79C">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sz w:val="28"/>
          <w:szCs w:val="28"/>
          <w:highlight w:val="none"/>
          <w:lang w:val="en-US" w:eastAsia="zh-CN"/>
        </w:rPr>
        <w:t>（六）实施及维修要求</w:t>
      </w:r>
      <w:r>
        <w:rPr>
          <w:rFonts w:hint="eastAsia" w:ascii="宋体" w:hAnsi="宋体" w:eastAsia="宋体" w:cs="宋体"/>
          <w:b/>
          <w:color w:val="auto"/>
          <w:kern w:val="0"/>
          <w:sz w:val="28"/>
          <w:szCs w:val="28"/>
          <w:highlight w:val="none"/>
          <w:lang w:val="en-US" w:eastAsia="zh-CN"/>
        </w:rPr>
        <w:t>：</w:t>
      </w:r>
    </w:p>
    <w:p w14:paraId="07AD9D82">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总体</w:t>
      </w:r>
      <w:r>
        <w:rPr>
          <w:rFonts w:hint="eastAsia" w:ascii="宋体" w:hAnsi="宋体" w:eastAsia="宋体" w:cs="宋体"/>
          <w:color w:val="auto"/>
          <w:sz w:val="24"/>
          <w:szCs w:val="24"/>
          <w:highlight w:val="none"/>
          <w:lang w:val="en-US" w:eastAsia="zh-CN"/>
        </w:rPr>
        <w:t>实施</w:t>
      </w:r>
      <w:r>
        <w:rPr>
          <w:rFonts w:ascii="宋体" w:hAnsi="宋体" w:eastAsia="宋体" w:cs="宋体"/>
          <w:color w:val="auto"/>
          <w:sz w:val="24"/>
          <w:szCs w:val="24"/>
          <w:highlight w:val="none"/>
        </w:rPr>
        <w:t>要求：供应商负责本包全部设备（验光仪顶焦度标准器、客观式标准器、燃气表检定装置（含膜式）、多功能标准源、数字多用表、交流测试系统）的供货、运输就位、安装调试、检定校准、现场培训、质保售后等全部工作。设备及配套软件须满足采购需求技术指标及对应国家计量规程、规范，满足社会公用计量标准建标条件，保障设备可正常开展计量检定业务；做好项目敏感资料、电子数据保密工作，不得向外泄露。</w:t>
      </w:r>
    </w:p>
    <w:p w14:paraId="150C28C0">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ascii="宋体" w:hAnsi="宋体" w:eastAsia="宋体" w:cs="宋体"/>
          <w:color w:val="auto"/>
          <w:sz w:val="24"/>
          <w:szCs w:val="24"/>
          <w:highlight w:val="none"/>
        </w:rPr>
        <w:t>安装调试要求：完成设备现场安装、整机调试及软件配置；完成燃气表检定装置图像采集识别、气动夹紧、多项目测试功能调试，完成电测类设备输出、测量、通讯、级联等功能调试，各项性能指标、软件判定功能达到采购需求及计量规程要求。</w:t>
      </w:r>
    </w:p>
    <w:p w14:paraId="1D92B60A">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3.交货期：合同签订生效后2个月，交货时应有具有法定资质的省级及以上法定计量检定机构（或依法授权的计量技术机构）出具的检定/校准证书，且证书数据须符合本招标文件要求。</w:t>
      </w:r>
    </w:p>
    <w:p w14:paraId="7D233363">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rPr>
        <w:t>质保及维修要求：质保期自项目验收合格之日起计算，本包所有设备质保 2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p>
    <w:p w14:paraId="66732DC4">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5.培训要求：</w:t>
      </w:r>
      <w:r>
        <w:rPr>
          <w:rFonts w:ascii="宋体" w:hAnsi="宋体" w:eastAsia="宋体" w:cs="宋体"/>
          <w:color w:val="auto"/>
          <w:sz w:val="24"/>
          <w:szCs w:val="24"/>
          <w:highlight w:val="none"/>
        </w:rPr>
        <w:t>安装调试完成后开展现场培训</w:t>
      </w:r>
      <w:r>
        <w:rPr>
          <w:rFonts w:hint="eastAsia" w:ascii="宋体" w:hAnsi="宋体" w:eastAsia="宋体" w:cs="宋体"/>
          <w:color w:val="auto"/>
          <w:sz w:val="24"/>
          <w:szCs w:val="24"/>
          <w:highlight w:val="none"/>
          <w:lang w:val="en-US" w:eastAsia="zh-CN"/>
        </w:rPr>
        <w:t>，培训讲师需具有工程师及以上职称，保证参训人员熟练掌握设备使用方法，且具有一定故障和紧急情况处理能力。</w:t>
      </w:r>
    </w:p>
    <w:p w14:paraId="6E460EF1">
      <w:pPr>
        <w:keepNext w:val="0"/>
        <w:keepLines w:val="0"/>
        <w:pageBreakBefore w:val="0"/>
        <w:numPr>
          <w:ilvl w:val="0"/>
          <w:numId w:val="0"/>
        </w:numPr>
        <w:kinsoku/>
        <w:wordWrap/>
        <w:overflowPunct/>
        <w:topLinePunct w:val="0"/>
        <w:autoSpaceDE w:val="0"/>
        <w:autoSpaceDN w:val="0"/>
        <w:bidi w:val="0"/>
        <w:adjustRightInd w:val="0"/>
        <w:snapToGrid/>
        <w:spacing w:after="0" w:line="56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验收要求：全部工作完成后由供应商申请验收，采购人对照采购需求逐项核查，证书、功能、指标全部合格后方可通过验收。</w:t>
      </w:r>
    </w:p>
    <w:p w14:paraId="44C268A0">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p>
    <w:p w14:paraId="60930D52">
      <w:pPr>
        <w:pBdr>
          <w:top w:val="none" w:color="auto" w:sz="0" w:space="1"/>
          <w:left w:val="none" w:color="auto" w:sz="0" w:space="4"/>
          <w:bottom w:val="none" w:color="auto" w:sz="0" w:space="1"/>
          <w:right w:val="none" w:color="auto" w:sz="0" w:space="4"/>
        </w:pBdr>
        <w:spacing w:line="360" w:lineRule="auto"/>
        <w:ind w:firstLine="562"/>
        <w:jc w:val="lef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（七）其他</w:t>
      </w:r>
    </w:p>
    <w:p w14:paraId="20C9B84A">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1、本项目报价不得超过预算价（最高限价）。</w:t>
      </w:r>
    </w:p>
    <w:p w14:paraId="3E3FA37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2、工作中涉及的敏感资料、电子数据等相关信息，中标人应严格执行保密的相关规定，不得以任何方式向任何第三人披露、泄露或许可第三人使用，否则追究其相应法律责任。</w:t>
      </w:r>
    </w:p>
    <w:p w14:paraId="702AF013">
      <w:pPr>
        <w:keepNext w:val="0"/>
        <w:keepLines w:val="0"/>
        <w:pageBreakBefore w:val="0"/>
        <w:kinsoku/>
        <w:wordWrap/>
        <w:overflowPunct/>
        <w:topLinePunct w:val="0"/>
        <w:bidi w:val="0"/>
        <w:snapToGrid/>
        <w:spacing w:after="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p>
    <w:p w14:paraId="799C0710">
      <w:pPr>
        <w:pBdr>
          <w:top w:val="none" w:color="auto" w:sz="0" w:space="1"/>
          <w:left w:val="none" w:color="auto" w:sz="0" w:space="4"/>
          <w:bottom w:val="none" w:color="auto" w:sz="0" w:space="1"/>
          <w:right w:val="none" w:color="auto" w:sz="0" w:space="4"/>
        </w:pBdr>
        <w:spacing w:line="360" w:lineRule="auto"/>
        <w:ind w:firstLine="480" w:firstLineChars="200"/>
        <w:jc w:val="left"/>
        <w:rPr>
          <w:rFonts w:hint="eastAsia" w:ascii="宋体" w:hAnsi="宋体" w:eastAsia="宋体"/>
          <w:b w:val="0"/>
          <w:bCs w:val="0"/>
          <w:color w:val="auto"/>
          <w:sz w:val="24"/>
          <w:szCs w:val="24"/>
          <w:highlight w:val="none"/>
        </w:rPr>
      </w:pPr>
    </w:p>
    <w:p w14:paraId="3D4834E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4501F7F1">
      <w:pPr>
        <w:pStyle w:val="231"/>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val="0"/>
          <w:color w:val="auto"/>
          <w:highlight w:val="none"/>
        </w:rPr>
      </w:pPr>
      <w:bookmarkStart w:id="27" w:name="_Toc165205798"/>
      <w:r>
        <w:rPr>
          <w:rFonts w:hint="eastAsia" w:ascii="宋体" w:hAnsi="宋体" w:eastAsia="宋体" w:cs="宋体"/>
          <w:b w:val="0"/>
          <w:color w:val="auto"/>
          <w:highlight w:val="none"/>
        </w:rPr>
        <w:t>第五章  评标方法与评标标准</w:t>
      </w:r>
      <w:bookmarkEnd w:id="27"/>
    </w:p>
    <w:p w14:paraId="17B801B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一、评标方法</w:t>
      </w:r>
    </w:p>
    <w:p w14:paraId="360BE69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每个采购包选取1名中标候选人。</w:t>
      </w:r>
    </w:p>
    <w:p w14:paraId="52A8CBC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二、评标标准</w:t>
      </w:r>
    </w:p>
    <w:p w14:paraId="23432DB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（1）评标时，评委会以招标文件为评标依据，评委会各成员独立对每个供应商的投标文件进行评价，并汇总每个供应商的得分。评标过程中，不得去掉报价中的最高报价和最低报价。</w:t>
      </w:r>
    </w:p>
    <w:p w14:paraId="2EB2BAD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（2）本项目评分总分为100分，按四舍五入取至小数点后两位。</w:t>
      </w:r>
    </w:p>
    <w:p w14:paraId="35FDC92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（3）总得分=价格分+技术分+商务分。</w:t>
      </w:r>
    </w:p>
    <w:p w14:paraId="6B742B8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采购包1：</w:t>
      </w:r>
    </w:p>
    <w:p w14:paraId="106C609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综合评分法</w:t>
      </w:r>
    </w:p>
    <w:p w14:paraId="593114E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（1）价格分（30分）</w:t>
      </w:r>
    </w:p>
    <w:p w14:paraId="12AC47A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采用低价优先法计算，即满足招标文件要求且投标价格最低的投标报价为评标基准价，其价格分为满分。其他供应商的价格分统一按照下列公式计算：</w:t>
      </w:r>
    </w:p>
    <w:p w14:paraId="194A97C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投标报价得分=（评标基准价／投标报价）×30分</w:t>
      </w:r>
    </w:p>
    <w:p w14:paraId="4EE4B25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因落实政府采购政策进行价格扣除的，用扣除后的价格参加评审。</w:t>
      </w:r>
    </w:p>
    <w:p w14:paraId="54AC33A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（2）技术分（30分）</w:t>
      </w:r>
    </w:p>
    <w:tbl>
      <w:tblPr>
        <w:tblStyle w:val="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1"/>
        <w:gridCol w:w="7713"/>
      </w:tblGrid>
      <w:tr w14:paraId="17FE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05496532">
            <w:pPr>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评审细则及分值</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342C5015">
            <w:pPr>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评审标准</w:t>
            </w:r>
          </w:p>
        </w:tc>
      </w:tr>
      <w:tr w14:paraId="34802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565E7D55">
            <w:pPr>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实施方案（6分）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463ACE16">
            <w:pPr>
              <w:pStyle w:val="236"/>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评委根据供应商的项目实施方案进行综合评审，内容包括但不限于： ① 组织实施、② 人员安排、③ 运输供货、④ 现场就位、⑤ 调试测试、⑥ 验收组织等。</w:t>
            </w:r>
          </w:p>
          <w:p w14:paraId="3A3988F5">
            <w:pPr>
              <w:pStyle w:val="236"/>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1CD70492">
            <w:pPr>
              <w:pStyle w:val="236"/>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3CD51ACF">
            <w:pPr>
              <w:pStyle w:val="236"/>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0B74B827">
            <w:pPr>
              <w:pStyle w:val="236"/>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484A5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6D2BD1DE">
            <w:pPr>
              <w:pStyle w:val="236"/>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bidi="ar"/>
              </w:rPr>
              <w:t>整体技术方案（</w:t>
            </w:r>
            <w:r>
              <w:rPr>
                <w:rFonts w:hint="eastAsia" w:ascii="宋体" w:hAnsi="宋体" w:eastAsia="宋体" w:cs="宋体"/>
                <w:color w:val="auto"/>
                <w:sz w:val="24"/>
                <w:highlight w:val="none"/>
                <w:lang w:bidi="ar"/>
              </w:rPr>
              <w:t>6分</w:t>
            </w:r>
            <w:r>
              <w:rPr>
                <w:rFonts w:hint="eastAsia" w:ascii="宋体" w:hAnsi="宋体" w:eastAsia="宋体" w:cs="宋体"/>
                <w:color w:val="auto"/>
                <w:sz w:val="24"/>
                <w:highlight w:val="none"/>
                <w:lang w:val="zh-CN" w:bidi="ar"/>
              </w:rPr>
              <w:t>）</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02331961">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评委根据供应商提供的整体技术方案进行综合评审，内容包括但不限于：</w:t>
            </w:r>
          </w:p>
          <w:p w14:paraId="42BFE0FA">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① 设备安全性、② 系统稳定性、③ 扩展性、④ 升级能力、⑤ 与现有环境兼容性等。</w:t>
            </w:r>
          </w:p>
          <w:p w14:paraId="498711E1">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18DFFC46">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23D6DCBB">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310DF143">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0D7B0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3A427A4F">
            <w:pPr>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512AC814">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评委根据供应商提供的售后服务方案进行综合评审，内容包括但不限于： ① 保修承诺、② 响应机制、③ 备件保障、④ 定期维保、⑤ 问题反馈与处理机制等。</w:t>
            </w:r>
          </w:p>
          <w:p w14:paraId="11FEC8BB">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6A29878C">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3721CBD0">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12AFC082">
            <w:pPr>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41B9A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1D4E0BEB">
            <w:pPr>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556BEB96">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评委根据供应商提供的培训方案进行综合评审，内容包括但不限于： ① 培训内容、② 时间地点安排、③ 计量实操培训能力、④ 师资和人次、⑤ 管理和协调、⑥ 效果评价等。</w:t>
            </w:r>
          </w:p>
          <w:p w14:paraId="66D15A12">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350789DD">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3C1E2C97">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3B96F077">
            <w:pPr>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60E86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41" w:type="dxa"/>
            <w:tcBorders>
              <w:top w:val="single" w:color="auto" w:sz="4" w:space="0"/>
              <w:left w:val="single" w:color="auto" w:sz="4" w:space="0"/>
              <w:bottom w:val="single" w:color="auto" w:sz="4" w:space="0"/>
              <w:right w:val="single" w:color="auto" w:sz="4" w:space="0"/>
            </w:tcBorders>
            <w:noWrap w:val="0"/>
            <w:vAlign w:val="center"/>
          </w:tcPr>
          <w:p w14:paraId="1AEACA3E">
            <w:pPr>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维修方案</w:t>
            </w:r>
          </w:p>
          <w:p w14:paraId="044F072B">
            <w:pPr>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69ED6318">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评委根据供应商提供的维修方案进行综合评审，内容包括但不限于： ① 故障响应时效、② 到场处置时效、③ 应急维修预案、④ 备件保障或替代检定方案、⑤ 数据安全防护等。</w:t>
            </w:r>
          </w:p>
          <w:p w14:paraId="447E6E2A">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38E785C4">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065D874E">
            <w:pPr>
              <w:pStyle w:val="236"/>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02FBB45B">
            <w:pPr>
              <w:keepNext/>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bl>
    <w:p w14:paraId="0E01A75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p w14:paraId="0CC3AB1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p w14:paraId="4050FB5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p w14:paraId="78BABAB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p w14:paraId="6BA5FCE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p w14:paraId="0342C72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（3）商务分（40分）</w:t>
      </w:r>
    </w:p>
    <w:tbl>
      <w:tblPr>
        <w:tblStyle w:val="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6"/>
        <w:gridCol w:w="7098"/>
      </w:tblGrid>
      <w:tr w14:paraId="7557D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63B1E5CE">
            <w:pPr>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评审细则及分值</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127A16CB">
            <w:pPr>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评审标准</w:t>
            </w:r>
          </w:p>
        </w:tc>
      </w:tr>
      <w:tr w14:paraId="28421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7F70387E">
            <w:pPr>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技术指标性能响应（</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分）</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04E534CC">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完全满足采购文件技术参数要求的得30分；本项目所有带★标识的条款为实质性响应条款，投标人任一★条款出现负偏离、未响应、不满足，直接判定投标无效，不再参与后续打分；带“▲”项的技术指标，为重要技术参数每负偏离一项扣</w:t>
            </w:r>
            <w:r>
              <w:rPr>
                <w:rFonts w:hint="eastAsia" w:ascii="宋体" w:hAnsi="宋体" w:cs="宋体"/>
                <w:color w:val="auto"/>
                <w:sz w:val="24"/>
                <w:szCs w:val="24"/>
                <w:highlight w:val="none"/>
                <w:lang w:val="en-US" w:eastAsia="zh-CN" w:bidi="ar-SA"/>
              </w:rPr>
              <w:t>1.5</w:t>
            </w:r>
            <w:r>
              <w:rPr>
                <w:rFonts w:hint="eastAsia" w:ascii="宋体" w:hAnsi="宋体" w:eastAsia="宋体" w:cs="宋体"/>
                <w:color w:val="auto"/>
                <w:sz w:val="24"/>
                <w:szCs w:val="24"/>
                <w:highlight w:val="none"/>
                <w:lang w:val="en-US" w:eastAsia="zh-CN" w:bidi="ar-SA"/>
              </w:rPr>
              <w:t>分；其他非重要参数负偏离的，每项扣</w:t>
            </w:r>
            <w:r>
              <w:rPr>
                <w:rFonts w:hint="eastAsia" w:ascii="宋体" w:hAnsi="宋体" w:cs="宋体"/>
                <w:color w:val="auto"/>
                <w:sz w:val="24"/>
                <w:szCs w:val="24"/>
                <w:highlight w:val="none"/>
                <w:lang w:val="en-US" w:eastAsia="zh-CN" w:bidi="ar-SA"/>
              </w:rPr>
              <w:t>0</w:t>
            </w:r>
            <w:r>
              <w:rPr>
                <w:rFonts w:hint="eastAsia" w:ascii="宋体" w:hAnsi="宋体" w:eastAsia="宋体" w:cs="宋体"/>
                <w:color w:val="auto"/>
                <w:sz w:val="24"/>
                <w:szCs w:val="24"/>
                <w:highlight w:val="none"/>
                <w:lang w:val="en-US" w:eastAsia="zh-CN" w:bidi="ar-SA"/>
              </w:rPr>
              <w:t>.</w:t>
            </w:r>
            <w:r>
              <w:rPr>
                <w:rFonts w:hint="eastAsia" w:ascii="宋体" w:hAnsi="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zh-CN" w:bidi="ar-SA"/>
              </w:rPr>
              <w:t>5分，扣完为止。缺项漏项视为负偏离。</w:t>
            </w:r>
          </w:p>
          <w:p w14:paraId="0C4E04F6">
            <w:pPr>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注：招标文件要求提供技术内容支撑资料的应完整，完善，无遗漏地提供，否则视为未响应。</w:t>
            </w:r>
          </w:p>
        </w:tc>
      </w:tr>
      <w:tr w14:paraId="7F371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56" w:type="dxa"/>
            <w:tcBorders>
              <w:top w:val="single" w:color="auto" w:sz="4" w:space="0"/>
              <w:left w:val="single" w:color="auto" w:sz="4" w:space="0"/>
              <w:bottom w:val="single" w:color="auto" w:sz="4" w:space="0"/>
              <w:right w:val="single" w:color="auto" w:sz="4" w:space="0"/>
            </w:tcBorders>
            <w:noWrap w:val="0"/>
            <w:vAlign w:val="center"/>
          </w:tcPr>
          <w:p w14:paraId="78E2D153">
            <w:pPr>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类似项目业绩（</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18BC3A18">
            <w:pPr>
              <w:pStyle w:val="236"/>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所投同类型产品自2022年1月1日以来（以合同签订时间为准）的业绩，每提供一份类似业绩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类似</w:t>
            </w:r>
            <w:r>
              <w:rPr>
                <w:rFonts w:hint="eastAsia" w:ascii="宋体" w:hAnsi="宋体" w:cs="宋体"/>
                <w:color w:val="auto"/>
                <w:sz w:val="24"/>
                <w:highlight w:val="none"/>
                <w:lang w:eastAsia="zh-CN"/>
              </w:rPr>
              <w:t>计量标准器具或仪器仪表）</w:t>
            </w:r>
            <w:r>
              <w:rPr>
                <w:rFonts w:hint="eastAsia" w:ascii="宋体" w:hAnsi="宋体" w:eastAsia="宋体" w:cs="宋体"/>
                <w:color w:val="auto"/>
                <w:sz w:val="24"/>
                <w:highlight w:val="none"/>
              </w:rPr>
              <w:t>的合同得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分，最多得</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w:t>
            </w:r>
          </w:p>
          <w:p w14:paraId="529970C5">
            <w:pPr>
              <w:pStyle w:val="236"/>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提供类似业绩合同扫描件加盖供应商公章，业绩时间以合同签订时间为准，未提供不得分。</w:t>
            </w:r>
          </w:p>
        </w:tc>
      </w:tr>
    </w:tbl>
    <w:p w14:paraId="3C68FF73">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sectPr>
          <w:footerReference r:id="rId4" w:type="default"/>
          <w:pgSz w:w="11906" w:h="16838"/>
          <w:pgMar w:top="1134" w:right="1134" w:bottom="1134" w:left="1134" w:header="851" w:footer="992" w:gutter="0"/>
          <w:cols w:space="1701" w:num="1"/>
          <w:docGrid w:linePitch="360" w:charSpace="0"/>
        </w:sectPr>
      </w:pPr>
    </w:p>
    <w:p w14:paraId="5147BBB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采购包2：</w:t>
      </w:r>
    </w:p>
    <w:p w14:paraId="18A5377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综合评分法</w:t>
      </w:r>
    </w:p>
    <w:p w14:paraId="132A6DA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（1）价格分（30分）</w:t>
      </w:r>
    </w:p>
    <w:p w14:paraId="65CD864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采用低价优先法计算，即满足招标文件要求且投标价格最低的投标报价为评标基准价，其价格分为满分。其他供应商的价格分统一按照下列公式计算：</w:t>
      </w:r>
    </w:p>
    <w:p w14:paraId="215D348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投标报价得分=（评标基准价／投标报价）×30分</w:t>
      </w:r>
    </w:p>
    <w:p w14:paraId="3EE82C4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因落实政府采购政策进行价格扣除的，用扣除后的价格参加评审。</w:t>
      </w:r>
    </w:p>
    <w:p w14:paraId="3BC24F9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（2）技术分（30分）</w:t>
      </w:r>
    </w:p>
    <w:tbl>
      <w:tblPr>
        <w:tblStyle w:val="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1"/>
        <w:gridCol w:w="7713"/>
      </w:tblGrid>
      <w:tr w14:paraId="34DD0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0D50E87B">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评审细则及分值</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2F39F890">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评审标准</w:t>
            </w:r>
          </w:p>
        </w:tc>
      </w:tr>
      <w:tr w14:paraId="43655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5A49759B">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实施方案（6分）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7348B788">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评委根据供应商的项目实施方案进行综合评审，内容包括但不限于： ① 组织实施、② 人员安排、③ 运输供货、④ 现场就位、⑤ 调试测试、⑥ 验收组织等。</w:t>
            </w:r>
          </w:p>
          <w:p w14:paraId="0E62AB79">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7AD0A7AF">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755B32B7">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7077A702">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165E0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042B2834">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bidi="ar"/>
              </w:rPr>
              <w:t>整体技术方案（</w:t>
            </w:r>
            <w:r>
              <w:rPr>
                <w:rFonts w:hint="eastAsia" w:ascii="宋体" w:hAnsi="宋体" w:eastAsia="宋体" w:cs="宋体"/>
                <w:color w:val="auto"/>
                <w:sz w:val="24"/>
                <w:highlight w:val="none"/>
                <w:lang w:bidi="ar"/>
              </w:rPr>
              <w:t>6分</w:t>
            </w:r>
            <w:r>
              <w:rPr>
                <w:rFonts w:hint="eastAsia" w:ascii="宋体" w:hAnsi="宋体" w:eastAsia="宋体" w:cs="宋体"/>
                <w:color w:val="auto"/>
                <w:sz w:val="24"/>
                <w:highlight w:val="none"/>
                <w:lang w:val="zh-CN" w:bidi="ar"/>
              </w:rPr>
              <w:t>）</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0A245FBD">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评委根据供应商提供的整体技术方案进行综合评审，内容包括但不限于：</w:t>
            </w:r>
          </w:p>
          <w:p w14:paraId="280CAEAD">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① 设备安全性、② 系统稳定性、③ 扩展性、④ 升级能力、⑤ 与现有环境兼容性等。</w:t>
            </w:r>
          </w:p>
          <w:p w14:paraId="43AD2D4C">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1BAB5416">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3D1E1507">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551C4A7B">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2198D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4774A43B">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16071048">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评委根据供应商提供的售后服务方案进行综合评审，内容包括但不限于： ① 保修承诺、② 响应机制、③ 备件保障、④ 定期维保、⑤ 问题反馈与处理机制等。</w:t>
            </w:r>
          </w:p>
          <w:p w14:paraId="01529DB4">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488C5938">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401F36D7">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6D63E8CD">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08C35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3A84A8BB">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1B439D54">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评委根据供应商提供的培训方案进行综合评审，内容包括但不限于： ① 培训内容、② 时间地点安排、③ 计量实操培训能力、④ 师资和人次、⑤ 管理和协调、⑥ 效果评价等。</w:t>
            </w:r>
          </w:p>
          <w:p w14:paraId="731142D7">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58DB91E4">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04E8E37D">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1EDD8706">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583C5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41" w:type="dxa"/>
            <w:tcBorders>
              <w:top w:val="single" w:color="auto" w:sz="4" w:space="0"/>
              <w:left w:val="single" w:color="auto" w:sz="4" w:space="0"/>
              <w:bottom w:val="single" w:color="auto" w:sz="4" w:space="0"/>
              <w:right w:val="single" w:color="auto" w:sz="4" w:space="0"/>
            </w:tcBorders>
            <w:noWrap w:val="0"/>
            <w:vAlign w:val="center"/>
          </w:tcPr>
          <w:p w14:paraId="0F9E9B11">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维修方案</w:t>
            </w:r>
          </w:p>
          <w:p w14:paraId="79FCC1CF">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56CCB334">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评委根据供应商提供的维修方案进行综合评审，内容包括但不限于： ① 故障响应时效、② 到场处置时效、③ 应急维修预案、④ 备件保障或替代检定方案、⑤ 数据安全防护等。</w:t>
            </w:r>
          </w:p>
          <w:p w14:paraId="27FEC5C6">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6944AD09">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53CF7A94">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6B5B242D">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bl>
    <w:p w14:paraId="5968317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p w14:paraId="0F0843E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（3）商务分（40分）</w:t>
      </w:r>
    </w:p>
    <w:tbl>
      <w:tblPr>
        <w:tblStyle w:val="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6"/>
        <w:gridCol w:w="7098"/>
      </w:tblGrid>
      <w:tr w14:paraId="054CB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6882D6BB">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评审细则及分值</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463B24BF">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评审标准</w:t>
            </w:r>
          </w:p>
        </w:tc>
      </w:tr>
      <w:tr w14:paraId="25E9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524933F6">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技术指标性能响应（3</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分）</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4F855335">
            <w:pPr>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完全满足采购文件技术参数要求的得30分；本项目所有带★标识的条款为实质性响应条款，投标人任一★条款出现负偏离、未响应、不满足，直接判定投标无效，不再参与后续打分；带“▲”项的技术指标，为重要技术参数每负偏离一项扣0.5分；其他非重要参数负偏离的，每项扣0.2</w:t>
            </w:r>
            <w:r>
              <w:rPr>
                <w:rFonts w:hint="eastAsia" w:ascii="宋体" w:hAnsi="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分，扣完为止。缺项漏项视为负偏离。</w:t>
            </w:r>
          </w:p>
          <w:p w14:paraId="59524715">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注：招标文件要求提供技术内容支撑资料的应完整，完善，无遗漏地提供，否则视为未响应。</w:t>
            </w:r>
          </w:p>
        </w:tc>
      </w:tr>
      <w:tr w14:paraId="330B6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56" w:type="dxa"/>
            <w:tcBorders>
              <w:top w:val="single" w:color="auto" w:sz="4" w:space="0"/>
              <w:left w:val="single" w:color="auto" w:sz="4" w:space="0"/>
              <w:bottom w:val="single" w:color="auto" w:sz="4" w:space="0"/>
              <w:right w:val="single" w:color="auto" w:sz="4" w:space="0"/>
            </w:tcBorders>
            <w:noWrap w:val="0"/>
            <w:vAlign w:val="center"/>
          </w:tcPr>
          <w:p w14:paraId="41FBA157">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类似项目业绩（</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4CD50DA0">
            <w:pPr>
              <w:pStyle w:val="236"/>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所投同类型产品自2022年1月1日以来（以合同签订时间为准）的业绩，每提供一份类似业绩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类似</w:t>
            </w:r>
            <w:r>
              <w:rPr>
                <w:rFonts w:hint="eastAsia" w:ascii="宋体" w:hAnsi="宋体" w:cs="宋体"/>
                <w:color w:val="auto"/>
                <w:sz w:val="24"/>
                <w:highlight w:val="none"/>
                <w:lang w:eastAsia="zh-CN"/>
              </w:rPr>
              <w:t>计量标准器具或仪器仪表）</w:t>
            </w:r>
            <w:r>
              <w:rPr>
                <w:rFonts w:hint="eastAsia" w:ascii="宋体" w:hAnsi="宋体" w:eastAsia="宋体" w:cs="宋体"/>
                <w:color w:val="auto"/>
                <w:sz w:val="24"/>
                <w:highlight w:val="none"/>
              </w:rPr>
              <w:t>的合同得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分，最多得</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w:t>
            </w:r>
          </w:p>
          <w:p w14:paraId="1ECE3889">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提供类似业绩合同扫描件加盖供应商公章，业绩时间以合同签订时间为准，未提供不得分。</w:t>
            </w:r>
          </w:p>
        </w:tc>
      </w:tr>
    </w:tbl>
    <w:p w14:paraId="6A47BA6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b/>
          <w:bCs/>
          <w:color w:val="auto"/>
          <w:sz w:val="32"/>
          <w:szCs w:val="32"/>
          <w:highlight w:val="none"/>
        </w:rPr>
      </w:pPr>
    </w:p>
    <w:p w14:paraId="400D24C9">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3FC8FC3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3</w:t>
      </w:r>
      <w:r>
        <w:rPr>
          <w:rFonts w:hint="eastAsia" w:ascii="宋体" w:hAnsi="宋体" w:eastAsia="宋体" w:cs="宋体"/>
          <w:b/>
          <w:bCs/>
          <w:color w:val="auto"/>
          <w:sz w:val="32"/>
          <w:szCs w:val="32"/>
          <w:highlight w:val="none"/>
        </w:rPr>
        <w:t>：</w:t>
      </w:r>
    </w:p>
    <w:p w14:paraId="1DB6FAB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综合评分法</w:t>
      </w:r>
    </w:p>
    <w:p w14:paraId="7B00CE4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（1）价格分（30分）</w:t>
      </w:r>
    </w:p>
    <w:p w14:paraId="3462F04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采用低价优先法计算，即满足招标文件要求且投标价格最低的投标报价为评标基准价，其价格分为满分。其他供应商的价格分统一按照下列公式计算：</w:t>
      </w:r>
    </w:p>
    <w:p w14:paraId="612475B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投标报价得分=（评标基准价／投标报价）×30分</w:t>
      </w:r>
    </w:p>
    <w:p w14:paraId="37AA8E6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因落实政府采购政策进行价格扣除的，用扣除后的价格参加评审。</w:t>
      </w:r>
    </w:p>
    <w:p w14:paraId="650B577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（2）技术分（30分）</w:t>
      </w:r>
    </w:p>
    <w:tbl>
      <w:tblPr>
        <w:tblStyle w:val="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1"/>
        <w:gridCol w:w="7713"/>
      </w:tblGrid>
      <w:tr w14:paraId="34F50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58E02B1E">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评审细则及分值</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18E9BBED">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评审标准</w:t>
            </w:r>
          </w:p>
        </w:tc>
      </w:tr>
      <w:tr w14:paraId="1F221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45F4170B">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实施方案（6分）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2AA4CB11">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评委根据供应商的项目实施方案进行综合评审，内容包括但不限于： ① 组织实施、② 人员安排、③ 运输供货、④ 现场就位、⑤ 调试测试、⑥ 验收组织等。</w:t>
            </w:r>
          </w:p>
          <w:p w14:paraId="1B2344CE">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1EB1C870">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28D32B96">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4EBC6E6D">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5D7D9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549F2897">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bidi="ar"/>
              </w:rPr>
              <w:t>整体技术方案（</w:t>
            </w:r>
            <w:r>
              <w:rPr>
                <w:rFonts w:hint="eastAsia" w:ascii="宋体" w:hAnsi="宋体" w:eastAsia="宋体" w:cs="宋体"/>
                <w:color w:val="auto"/>
                <w:sz w:val="24"/>
                <w:highlight w:val="none"/>
                <w:lang w:bidi="ar"/>
              </w:rPr>
              <w:t>6分</w:t>
            </w:r>
            <w:r>
              <w:rPr>
                <w:rFonts w:hint="eastAsia" w:ascii="宋体" w:hAnsi="宋体" w:eastAsia="宋体" w:cs="宋体"/>
                <w:color w:val="auto"/>
                <w:sz w:val="24"/>
                <w:highlight w:val="none"/>
                <w:lang w:val="zh-CN" w:bidi="ar"/>
              </w:rPr>
              <w:t>）</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257E315F">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评委根据供应商提供的整体技术方案进行综合评审，内容包括但不限于：</w:t>
            </w:r>
          </w:p>
          <w:p w14:paraId="5E06C115">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① 设备安全性、② 系统稳定性、③ 扩展性、④ 升级能力、⑤ 与现有环境兼容性等。</w:t>
            </w:r>
          </w:p>
          <w:p w14:paraId="7B418CCB">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0C5E0BC9">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36E7819A">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151FBCF6">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483B2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6783F8A7">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38EF3FDE">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评委根据供应商提供的售后服务方案进行综合评审，内容包括但不限于： ① 保修承诺、② 响应机制、③ 备件保障、④ 定期维保、⑤ 问题反馈与处理机制等。</w:t>
            </w:r>
          </w:p>
          <w:p w14:paraId="20F31ECE">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6CD89283">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316884CB">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51AB437C">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240CA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61FC215B">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094D7DD5">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评委根据供应商提供的培训方案进行综合评审，内容包括但不限于： ① 培训内容、② 时间地点安排、③ 计量实操培训能力、④ 师资和人次、⑤ 管理和协调、⑥ 效果评价等。</w:t>
            </w:r>
          </w:p>
          <w:p w14:paraId="7DF91456">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200F9FD4">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769C04C1">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585B1A32">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588F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41" w:type="dxa"/>
            <w:tcBorders>
              <w:top w:val="single" w:color="auto" w:sz="4" w:space="0"/>
              <w:left w:val="single" w:color="auto" w:sz="4" w:space="0"/>
              <w:bottom w:val="single" w:color="auto" w:sz="4" w:space="0"/>
              <w:right w:val="single" w:color="auto" w:sz="4" w:space="0"/>
            </w:tcBorders>
            <w:noWrap w:val="0"/>
            <w:vAlign w:val="center"/>
          </w:tcPr>
          <w:p w14:paraId="17813EFE">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维修方案</w:t>
            </w:r>
          </w:p>
          <w:p w14:paraId="34057C88">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40568A52">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评委根据供应商提供的维修方案进行综合评审，内容包括但不限于： ① 故障响应时效、② 到场处置时效、③ 应急维修预案、④ 备件保障或替代检定方案、⑤ 数据安全防护等。</w:t>
            </w:r>
          </w:p>
          <w:p w14:paraId="23E3C32D">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3D7CECF9">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5B2D4269">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5E87F5EC">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bl>
    <w:p w14:paraId="05BA251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p w14:paraId="40E6A7F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（3）商务分（40分）</w:t>
      </w:r>
    </w:p>
    <w:tbl>
      <w:tblPr>
        <w:tblStyle w:val="36"/>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4"/>
        <w:gridCol w:w="6994"/>
      </w:tblGrid>
      <w:tr w14:paraId="7C92C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2804" w:type="dxa"/>
            <w:tcBorders>
              <w:top w:val="single" w:color="auto" w:sz="4" w:space="0"/>
              <w:left w:val="single" w:color="auto" w:sz="4" w:space="0"/>
              <w:bottom w:val="single" w:color="auto" w:sz="4" w:space="0"/>
              <w:right w:val="single" w:color="auto" w:sz="4" w:space="0"/>
            </w:tcBorders>
            <w:noWrap w:val="0"/>
            <w:vAlign w:val="center"/>
          </w:tcPr>
          <w:p w14:paraId="3943BE13">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评审细则及分值</w:t>
            </w:r>
          </w:p>
        </w:tc>
        <w:tc>
          <w:tcPr>
            <w:tcW w:w="6994" w:type="dxa"/>
            <w:tcBorders>
              <w:top w:val="single" w:color="auto" w:sz="4" w:space="0"/>
              <w:left w:val="single" w:color="auto" w:sz="4" w:space="0"/>
              <w:bottom w:val="single" w:color="auto" w:sz="4" w:space="0"/>
              <w:right w:val="single" w:color="auto" w:sz="4" w:space="0"/>
            </w:tcBorders>
            <w:noWrap w:val="0"/>
            <w:vAlign w:val="center"/>
          </w:tcPr>
          <w:p w14:paraId="04645BBC">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评审标准</w:t>
            </w:r>
          </w:p>
        </w:tc>
      </w:tr>
      <w:tr w14:paraId="29EE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04" w:type="dxa"/>
            <w:tcBorders>
              <w:top w:val="single" w:color="auto" w:sz="4" w:space="0"/>
              <w:left w:val="single" w:color="auto" w:sz="4" w:space="0"/>
              <w:bottom w:val="single" w:color="auto" w:sz="4" w:space="0"/>
              <w:right w:val="single" w:color="auto" w:sz="4" w:space="0"/>
            </w:tcBorders>
            <w:noWrap w:val="0"/>
            <w:vAlign w:val="center"/>
          </w:tcPr>
          <w:p w14:paraId="3157686B">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技术指标性能响应</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分）</w:t>
            </w:r>
          </w:p>
        </w:tc>
        <w:tc>
          <w:tcPr>
            <w:tcW w:w="6994" w:type="dxa"/>
            <w:tcBorders>
              <w:top w:val="single" w:color="auto" w:sz="4" w:space="0"/>
              <w:left w:val="single" w:color="auto" w:sz="4" w:space="0"/>
              <w:bottom w:val="single" w:color="auto" w:sz="4" w:space="0"/>
              <w:right w:val="single" w:color="auto" w:sz="4" w:space="0"/>
            </w:tcBorders>
            <w:noWrap w:val="0"/>
            <w:vAlign w:val="center"/>
          </w:tcPr>
          <w:p w14:paraId="60EA9969">
            <w:pPr>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完全满足采购文件技术参数要求的得30分；本项目所有带★标识的条款为实质性响应条款，投标人任一★条款出现负偏离、未响应、不满足，直接判定投标无效，不再参与后续打分；带“▲”项的技术指标，为重要技术参数每负偏离一项扣0.6分；其他非重要参数负偏离的，每项扣0.</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分，扣完为止。缺项漏项视为负偏离。</w:t>
            </w:r>
          </w:p>
          <w:p w14:paraId="5EB185F4">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注：招标文件要求提供技术内容支撑资料的应完整，完善，无遗漏地提供，否则视为未响应。</w:t>
            </w:r>
          </w:p>
        </w:tc>
      </w:tr>
      <w:tr w14:paraId="21801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04" w:type="dxa"/>
            <w:tcBorders>
              <w:top w:val="single" w:color="auto" w:sz="4" w:space="0"/>
              <w:left w:val="single" w:color="auto" w:sz="4" w:space="0"/>
              <w:bottom w:val="single" w:color="auto" w:sz="4" w:space="0"/>
              <w:right w:val="single" w:color="auto" w:sz="4" w:space="0"/>
            </w:tcBorders>
            <w:noWrap w:val="0"/>
            <w:vAlign w:val="center"/>
          </w:tcPr>
          <w:p w14:paraId="5AE7F370">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类似项目业绩（</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6994" w:type="dxa"/>
            <w:tcBorders>
              <w:top w:val="single" w:color="auto" w:sz="4" w:space="0"/>
              <w:left w:val="single" w:color="auto" w:sz="4" w:space="0"/>
              <w:bottom w:val="single" w:color="auto" w:sz="4" w:space="0"/>
              <w:right w:val="single" w:color="auto" w:sz="4" w:space="0"/>
            </w:tcBorders>
            <w:noWrap w:val="0"/>
            <w:vAlign w:val="center"/>
          </w:tcPr>
          <w:p w14:paraId="11EDDFD5">
            <w:pPr>
              <w:pStyle w:val="236"/>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所投同类型产品自2022年1月1日以来（以合同签订时间为准）的业绩，每提供一份类似业绩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类似</w:t>
            </w:r>
            <w:r>
              <w:rPr>
                <w:rFonts w:hint="eastAsia" w:ascii="宋体" w:hAnsi="宋体" w:cs="宋体"/>
                <w:color w:val="auto"/>
                <w:sz w:val="24"/>
                <w:highlight w:val="none"/>
                <w:lang w:eastAsia="zh-CN"/>
              </w:rPr>
              <w:t>计量标准器具或仪器仪表）</w:t>
            </w:r>
            <w:r>
              <w:rPr>
                <w:rFonts w:hint="eastAsia" w:ascii="宋体" w:hAnsi="宋体" w:eastAsia="宋体" w:cs="宋体"/>
                <w:color w:val="auto"/>
                <w:sz w:val="24"/>
                <w:highlight w:val="none"/>
              </w:rPr>
              <w:t>的合同得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分，最多得</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w:t>
            </w:r>
          </w:p>
          <w:p w14:paraId="7AA7F334">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提供类似业绩合同扫描件加盖供应商公章，业绩时间以合同签订时间为准，未提供不得分。</w:t>
            </w:r>
          </w:p>
        </w:tc>
      </w:tr>
    </w:tbl>
    <w:p w14:paraId="31AAF9D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b/>
          <w:bCs/>
          <w:color w:val="auto"/>
          <w:sz w:val="32"/>
          <w:szCs w:val="32"/>
          <w:highlight w:val="none"/>
        </w:rPr>
      </w:pPr>
    </w:p>
    <w:p w14:paraId="4E954D62">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41833A2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4</w:t>
      </w:r>
      <w:r>
        <w:rPr>
          <w:rFonts w:hint="eastAsia" w:ascii="宋体" w:hAnsi="宋体" w:eastAsia="宋体" w:cs="宋体"/>
          <w:b/>
          <w:bCs/>
          <w:color w:val="auto"/>
          <w:sz w:val="32"/>
          <w:szCs w:val="32"/>
          <w:highlight w:val="none"/>
        </w:rPr>
        <w:t>：</w:t>
      </w:r>
    </w:p>
    <w:p w14:paraId="189D826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综合评分法</w:t>
      </w:r>
    </w:p>
    <w:p w14:paraId="1080EC8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（1）价格分（30分）</w:t>
      </w:r>
    </w:p>
    <w:p w14:paraId="697562D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采用低价优先法计算，即满足招标文件要求且投标价格最低的投标报价为评标基准价，其价格分为满分。其他供应商的价格分统一按照下列公式计算：</w:t>
      </w:r>
    </w:p>
    <w:p w14:paraId="0CD0D87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投标报价得分=（评标基准价／投标报价）×30分</w:t>
      </w:r>
    </w:p>
    <w:p w14:paraId="31E35F4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因落实政府采购政策进行价格扣除的，用扣除后的价格参加评审。</w:t>
      </w:r>
    </w:p>
    <w:p w14:paraId="5F48D5D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（2）技术分（30分）</w:t>
      </w:r>
    </w:p>
    <w:tbl>
      <w:tblPr>
        <w:tblStyle w:val="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1"/>
        <w:gridCol w:w="7713"/>
      </w:tblGrid>
      <w:tr w14:paraId="00DE1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02B2CE96">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评审细则及分值</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312C192E">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评审标准</w:t>
            </w:r>
          </w:p>
        </w:tc>
      </w:tr>
      <w:tr w14:paraId="3142C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713A7B35">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实施方案（6分）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7DD176E7">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评委根据供应商的项目实施方案进行综合评审，内容包括但不限于： ① 组织实施、② 人员安排、③ 运输供货、④ 现场就位、⑤ 调试测试、⑥ 验收组织等。</w:t>
            </w:r>
          </w:p>
          <w:p w14:paraId="35A63062">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6D45FA78">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59FC755C">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5225BE00">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1E5AD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39B8024C">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bidi="ar"/>
              </w:rPr>
              <w:t>整体技术方案（</w:t>
            </w:r>
            <w:r>
              <w:rPr>
                <w:rFonts w:hint="eastAsia" w:ascii="宋体" w:hAnsi="宋体" w:eastAsia="宋体" w:cs="宋体"/>
                <w:color w:val="auto"/>
                <w:sz w:val="24"/>
                <w:highlight w:val="none"/>
                <w:lang w:bidi="ar"/>
              </w:rPr>
              <w:t>6分</w:t>
            </w:r>
            <w:r>
              <w:rPr>
                <w:rFonts w:hint="eastAsia" w:ascii="宋体" w:hAnsi="宋体" w:eastAsia="宋体" w:cs="宋体"/>
                <w:color w:val="auto"/>
                <w:sz w:val="24"/>
                <w:highlight w:val="none"/>
                <w:lang w:val="zh-CN" w:bidi="ar"/>
              </w:rPr>
              <w:t>）</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099607DF">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评委根据供应商提供的整体技术方案进行综合评审，内容包括但不限于：</w:t>
            </w:r>
          </w:p>
          <w:p w14:paraId="5AB9DC9D">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① 设备安全性、② 系统稳定性、③ 扩展性、④ 升级能力、⑤ 与现有环境兼容性等。</w:t>
            </w:r>
          </w:p>
          <w:p w14:paraId="3AEF1089">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03465995">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5A7475C4">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10F59246">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15DF7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5E87E0B5">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0962351F">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评委根据供应商提供的售后服务方案进行综合评审，内容包括但不限于： ① 保修承诺、② 响应机制、③ 备件保障、④ 定期维保、⑤ 问题反馈与处理机制等。</w:t>
            </w:r>
          </w:p>
          <w:p w14:paraId="02EBAEAA">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7A741747">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52EB7D88">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1BDCB32A">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5D73B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1E7E3300">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6A39E41F">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评委根据供应商提供的培训方案进行综合评审，内容包括但不限于： ① 培训内容、② 时间地点安排、③ 计量实操培训能力、④ 师资和人次、⑤ 管理和协调、⑥ 效果评价等。</w:t>
            </w:r>
          </w:p>
          <w:p w14:paraId="2339CEA2">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75B5F4EE">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3572634D">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2B990C90">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79409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41" w:type="dxa"/>
            <w:tcBorders>
              <w:top w:val="single" w:color="auto" w:sz="4" w:space="0"/>
              <w:left w:val="single" w:color="auto" w:sz="4" w:space="0"/>
              <w:bottom w:val="single" w:color="auto" w:sz="4" w:space="0"/>
              <w:right w:val="single" w:color="auto" w:sz="4" w:space="0"/>
            </w:tcBorders>
            <w:noWrap w:val="0"/>
            <w:vAlign w:val="center"/>
          </w:tcPr>
          <w:p w14:paraId="5A2F12FA">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维修方案</w:t>
            </w:r>
          </w:p>
          <w:p w14:paraId="31C3D239">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3142BBD9">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评委根据供应商提供的维修方案进行综合评审，内容包括但不限于： ① 故障响应时效、② 到场处置时效、③ 应急维修预案、④ 备件保障或替代检定方案、⑤ 数据安全防护等。</w:t>
            </w:r>
          </w:p>
          <w:p w14:paraId="7C0F3705">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645531A9">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3DDC3612">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21ACEFBA">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bl>
    <w:p w14:paraId="36DCADB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p w14:paraId="4189E1E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（3）商务分（40分）</w:t>
      </w:r>
    </w:p>
    <w:tbl>
      <w:tblPr>
        <w:tblStyle w:val="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6"/>
        <w:gridCol w:w="7098"/>
      </w:tblGrid>
      <w:tr w14:paraId="5E8B4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150D1C06">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评审细则及分值</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044BDBFA">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评审标准</w:t>
            </w:r>
          </w:p>
        </w:tc>
      </w:tr>
      <w:tr w14:paraId="7E24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569A9113">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技术指标性能响应（3</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分）</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40ED1ECA">
            <w:pPr>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完全满足采购文件技术参数要求的得30分；本项目所有带★标识的条款为实质性响应条款，投标人任一★条款出现负偏离、未响应、不满足，直接判定投标无效，不再参与后续打分；带“▲”项的技术指标，为重要技术参数每负偏离一项扣2分；其他非重要参数负偏离的，每项扣</w:t>
            </w: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分，扣完为止。缺项漏项视为负偏离。</w:t>
            </w:r>
          </w:p>
          <w:p w14:paraId="6DF7E269">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注：招标文件要求提供技术内容支撑资料的应完整，完善，无遗漏地提供，否则视为未响应。</w:t>
            </w:r>
          </w:p>
        </w:tc>
      </w:tr>
      <w:tr w14:paraId="59065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56" w:type="dxa"/>
            <w:tcBorders>
              <w:top w:val="single" w:color="auto" w:sz="4" w:space="0"/>
              <w:left w:val="single" w:color="auto" w:sz="4" w:space="0"/>
              <w:bottom w:val="single" w:color="auto" w:sz="4" w:space="0"/>
              <w:right w:val="single" w:color="auto" w:sz="4" w:space="0"/>
            </w:tcBorders>
            <w:noWrap w:val="0"/>
            <w:vAlign w:val="center"/>
          </w:tcPr>
          <w:p w14:paraId="04937305">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类似项目业绩（</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37D24106">
            <w:pPr>
              <w:pStyle w:val="236"/>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所投同类型产品自2022年1月1日以来（以合同签订时间为准）的业绩，每提供一份类似业绩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类似</w:t>
            </w:r>
            <w:r>
              <w:rPr>
                <w:rFonts w:hint="eastAsia" w:ascii="宋体" w:hAnsi="宋体" w:cs="宋体"/>
                <w:color w:val="auto"/>
                <w:sz w:val="24"/>
                <w:highlight w:val="none"/>
                <w:lang w:eastAsia="zh-CN"/>
              </w:rPr>
              <w:t>计量标准器具或仪器仪表）</w:t>
            </w:r>
            <w:r>
              <w:rPr>
                <w:rFonts w:hint="eastAsia" w:ascii="宋体" w:hAnsi="宋体" w:eastAsia="宋体" w:cs="宋体"/>
                <w:color w:val="auto"/>
                <w:sz w:val="24"/>
                <w:highlight w:val="none"/>
              </w:rPr>
              <w:t>的合同得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分，最多得</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w:t>
            </w:r>
          </w:p>
          <w:p w14:paraId="58A146D6">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提供类似业绩合同扫描件加盖供应商公章，业绩时间以合同签订时间为准，未提供不得分。</w:t>
            </w:r>
          </w:p>
        </w:tc>
      </w:tr>
    </w:tbl>
    <w:p w14:paraId="6618837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b/>
          <w:bCs/>
          <w:color w:val="auto"/>
          <w:sz w:val="32"/>
          <w:szCs w:val="32"/>
          <w:highlight w:val="none"/>
        </w:rPr>
      </w:pPr>
    </w:p>
    <w:p w14:paraId="3A4C7517">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2D7F856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5</w:t>
      </w:r>
      <w:r>
        <w:rPr>
          <w:rFonts w:hint="eastAsia" w:ascii="宋体" w:hAnsi="宋体" w:eastAsia="宋体" w:cs="宋体"/>
          <w:b/>
          <w:bCs/>
          <w:color w:val="auto"/>
          <w:sz w:val="32"/>
          <w:szCs w:val="32"/>
          <w:highlight w:val="none"/>
        </w:rPr>
        <w:t>：</w:t>
      </w:r>
    </w:p>
    <w:p w14:paraId="362A967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综合评分法</w:t>
      </w:r>
    </w:p>
    <w:p w14:paraId="09C841F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（1）价格分（30分）</w:t>
      </w:r>
    </w:p>
    <w:p w14:paraId="0128844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采用低价优先法计算，即满足招标文件要求且投标价格最低的投标报价为评标基准价，其价格分为满分。其他供应商的价格分统一按照下列公式计算：</w:t>
      </w:r>
    </w:p>
    <w:p w14:paraId="544C54F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投标报价得分=（评标基准价／投标报价）×30分</w:t>
      </w:r>
    </w:p>
    <w:p w14:paraId="2C14589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因落实政府采购政策进行价格扣除的，用扣除后的价格参加评审。</w:t>
      </w:r>
    </w:p>
    <w:p w14:paraId="131B431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（2）技术分（30分）</w:t>
      </w:r>
    </w:p>
    <w:tbl>
      <w:tblPr>
        <w:tblStyle w:val="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1"/>
        <w:gridCol w:w="7713"/>
      </w:tblGrid>
      <w:tr w14:paraId="5159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1EDE258F">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评审细则及分值</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21674D43">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评审标准</w:t>
            </w:r>
          </w:p>
        </w:tc>
      </w:tr>
      <w:tr w14:paraId="1F474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4EA06D79">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实施方案（6分）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3322CF5A">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评委根据供应商的项目实施方案进行综合评审，内容包括但不限于： ① 组织实施、② 人员安排、③ 运输供货、④ 现场就位、⑤ 调试测试、⑥ 验收组织等。</w:t>
            </w:r>
          </w:p>
          <w:p w14:paraId="5F76A383">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593B15BB">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197A9EBE">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74836E6E">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340B7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0ECFF630">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bidi="ar"/>
              </w:rPr>
              <w:t>整体技术方案（</w:t>
            </w:r>
            <w:r>
              <w:rPr>
                <w:rFonts w:hint="eastAsia" w:ascii="宋体" w:hAnsi="宋体" w:eastAsia="宋体" w:cs="宋体"/>
                <w:color w:val="auto"/>
                <w:sz w:val="24"/>
                <w:highlight w:val="none"/>
                <w:lang w:bidi="ar"/>
              </w:rPr>
              <w:t>6分</w:t>
            </w:r>
            <w:r>
              <w:rPr>
                <w:rFonts w:hint="eastAsia" w:ascii="宋体" w:hAnsi="宋体" w:eastAsia="宋体" w:cs="宋体"/>
                <w:color w:val="auto"/>
                <w:sz w:val="24"/>
                <w:highlight w:val="none"/>
                <w:lang w:val="zh-CN" w:bidi="ar"/>
              </w:rPr>
              <w:t>）</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13785B3A">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评委根据供应商提供的整体技术方案进行综合评审，内容包括但不限于：</w:t>
            </w:r>
          </w:p>
          <w:p w14:paraId="64C5F79E">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① 设备安全性、② 系统稳定性、③ 扩展性、④ 升级能力、⑤ 与现有环境兼容性等。</w:t>
            </w:r>
          </w:p>
          <w:p w14:paraId="02AA608C">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37D70DA0">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6CD3CE11">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52B88F32">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0DFEA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624DAAC5">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520A3B0D">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评委根据供应商提供的售后服务方案进行综合评审，内容包括但不限于： ① 保修承诺、② 响应机制、③ 备件保障、④ 定期维保、⑤ 问题反馈与处理机制等。</w:t>
            </w:r>
          </w:p>
          <w:p w14:paraId="4C07746D">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15244FFF">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0A1804F9">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1FB9CF65">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0B07D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20B7B8E8">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0A11F9AA">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评委根据供应商提供的培训方案进行综合评审，内容包括但不限于： ① 培训内容、② 时间地点安排、③ 计量实操培训能力、④ 师资和人次、⑤ 管理和协调、⑥ 效果评价等。</w:t>
            </w:r>
          </w:p>
          <w:p w14:paraId="63A91B18">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3A101CDB">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6D24E7EB">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48E73012">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486CD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41" w:type="dxa"/>
            <w:tcBorders>
              <w:top w:val="single" w:color="auto" w:sz="4" w:space="0"/>
              <w:left w:val="single" w:color="auto" w:sz="4" w:space="0"/>
              <w:bottom w:val="single" w:color="auto" w:sz="4" w:space="0"/>
              <w:right w:val="single" w:color="auto" w:sz="4" w:space="0"/>
            </w:tcBorders>
            <w:noWrap w:val="0"/>
            <w:vAlign w:val="center"/>
          </w:tcPr>
          <w:p w14:paraId="64B2C7F2">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维修方案</w:t>
            </w:r>
          </w:p>
          <w:p w14:paraId="7A6A880B">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3BED3BD6">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评委根据供应商提供的维修方案进行综合评审，内容包括但不限于： ① 故障响应时效、② 到场处置时效、③ 应急维修预案、④ 备件保障或替代检定方案、⑤ 数据安全防护等。</w:t>
            </w:r>
          </w:p>
          <w:p w14:paraId="1673D212">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20283E6F">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76DF54C8">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6665C206">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bl>
    <w:p w14:paraId="7D992CB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p w14:paraId="7D3C43B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（3）商务分（40分）</w:t>
      </w:r>
    </w:p>
    <w:p w14:paraId="7C8D3F7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tbl>
      <w:tblPr>
        <w:tblStyle w:val="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6"/>
        <w:gridCol w:w="7098"/>
      </w:tblGrid>
      <w:tr w14:paraId="366C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53858B1C">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评审细则及分值</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2C55B6CF">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评审标准</w:t>
            </w:r>
          </w:p>
        </w:tc>
      </w:tr>
      <w:tr w14:paraId="431E2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01F8F90D">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技术指标性能响应（</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分）</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2AC0F5A8">
            <w:pPr>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完全满足采购文件技术参数要求的得30分；本项目所有带★标识的条款为实质性响应条款，投标人任一★条款出现负偏离、未响应、不满足，直接判定投标无效，不再参与后续打分；带“▲”项的技术指标，为重要技术参数每负偏离一项扣1.5分；其他非重要参数负偏离的，每项扣0.</w:t>
            </w:r>
            <w:r>
              <w:rPr>
                <w:rFonts w:hint="eastAsia" w:ascii="宋体" w:hAnsi="宋体" w:cs="宋体"/>
                <w:color w:val="auto"/>
                <w:sz w:val="24"/>
                <w:szCs w:val="24"/>
                <w:highlight w:val="none"/>
                <w:lang w:val="en-US" w:eastAsia="zh-CN" w:bidi="ar-SA"/>
              </w:rPr>
              <w:t>75</w:t>
            </w:r>
            <w:r>
              <w:rPr>
                <w:rFonts w:hint="eastAsia" w:ascii="宋体" w:hAnsi="宋体" w:eastAsia="宋体" w:cs="宋体"/>
                <w:color w:val="auto"/>
                <w:sz w:val="24"/>
                <w:szCs w:val="24"/>
                <w:highlight w:val="none"/>
                <w:lang w:val="en-US" w:eastAsia="zh-CN" w:bidi="ar-SA"/>
              </w:rPr>
              <w:t>分，扣完为止。缺项漏项视为负偏离。</w:t>
            </w:r>
          </w:p>
          <w:p w14:paraId="1910C148">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注：招标文件要求提供技术内容支撑资料的应完整，完善，无遗漏地提供，否则视为未响应。</w:t>
            </w:r>
          </w:p>
        </w:tc>
      </w:tr>
      <w:tr w14:paraId="1C25E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56" w:type="dxa"/>
            <w:tcBorders>
              <w:top w:val="single" w:color="auto" w:sz="4" w:space="0"/>
              <w:left w:val="single" w:color="auto" w:sz="4" w:space="0"/>
              <w:bottom w:val="single" w:color="auto" w:sz="4" w:space="0"/>
              <w:right w:val="single" w:color="auto" w:sz="4" w:space="0"/>
            </w:tcBorders>
            <w:noWrap w:val="0"/>
            <w:vAlign w:val="center"/>
          </w:tcPr>
          <w:p w14:paraId="5B43608E">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类似项目业绩（</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2FBD5FBA">
            <w:pPr>
              <w:pStyle w:val="236"/>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所投同类型产品自2022年1月1日以来（以合同签订时间为准）的业绩，每提供一份类似业绩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类似</w:t>
            </w:r>
            <w:r>
              <w:rPr>
                <w:rFonts w:hint="eastAsia" w:ascii="宋体" w:hAnsi="宋体" w:cs="宋体"/>
                <w:color w:val="auto"/>
                <w:sz w:val="24"/>
                <w:highlight w:val="none"/>
                <w:lang w:eastAsia="zh-CN"/>
              </w:rPr>
              <w:t>计量标准器具或仪器仪表）</w:t>
            </w:r>
            <w:r>
              <w:rPr>
                <w:rFonts w:hint="eastAsia" w:ascii="宋体" w:hAnsi="宋体" w:eastAsia="宋体" w:cs="宋体"/>
                <w:color w:val="auto"/>
                <w:sz w:val="24"/>
                <w:highlight w:val="none"/>
              </w:rPr>
              <w:t>的合同得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分，最多得</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w:t>
            </w:r>
          </w:p>
          <w:p w14:paraId="54CBDD9F">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提供类似业绩合同扫描件加盖供应商公章，业绩时间以合同签订时间为准，未提供不得分。</w:t>
            </w:r>
          </w:p>
        </w:tc>
      </w:tr>
    </w:tbl>
    <w:p w14:paraId="03D0031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p w14:paraId="4E3B6FB9">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4015C53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采购包</w:t>
      </w:r>
      <w:r>
        <w:rPr>
          <w:rFonts w:hint="eastAsia" w:ascii="宋体" w:hAnsi="宋体" w:eastAsia="宋体" w:cs="宋体"/>
          <w:b/>
          <w:bCs/>
          <w:color w:val="auto"/>
          <w:sz w:val="32"/>
          <w:szCs w:val="32"/>
          <w:highlight w:val="none"/>
          <w:lang w:val="en-US" w:eastAsia="zh-CN"/>
        </w:rPr>
        <w:t>6</w:t>
      </w:r>
      <w:r>
        <w:rPr>
          <w:rFonts w:hint="eastAsia" w:ascii="宋体" w:hAnsi="宋体" w:eastAsia="宋体" w:cs="宋体"/>
          <w:b/>
          <w:bCs/>
          <w:color w:val="auto"/>
          <w:sz w:val="32"/>
          <w:szCs w:val="32"/>
          <w:highlight w:val="none"/>
        </w:rPr>
        <w:t>：</w:t>
      </w:r>
    </w:p>
    <w:p w14:paraId="20DACA8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综合评分法</w:t>
      </w:r>
    </w:p>
    <w:p w14:paraId="2257E15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（1）价格分（30分）</w:t>
      </w:r>
    </w:p>
    <w:p w14:paraId="43BE13C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采用低价优先法计算，即满足招标文件要求且投标价格最低的投标报价为评标基准价，其价格分为满分。其他供应商的价格分统一按照下列公式计算：</w:t>
      </w:r>
    </w:p>
    <w:p w14:paraId="3A5F375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投标报价得分=（评标基准价／投标报价）×30分</w:t>
      </w:r>
    </w:p>
    <w:p w14:paraId="1EF695A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因落实政府采购政策进行价格扣除的，用扣除后的价格参加评审。</w:t>
      </w:r>
    </w:p>
    <w:p w14:paraId="7B50EB8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（2）技术分（30分）</w:t>
      </w:r>
    </w:p>
    <w:tbl>
      <w:tblPr>
        <w:tblStyle w:val="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1"/>
        <w:gridCol w:w="7713"/>
      </w:tblGrid>
      <w:tr w14:paraId="6A7C2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791CA611">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评审细则及分值</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6D5AC34A">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评审标准</w:t>
            </w:r>
          </w:p>
        </w:tc>
      </w:tr>
      <w:tr w14:paraId="2904E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4ADEAD9F">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实施方案（6分）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36AE041B">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评委根据供应商的项目实施方案进行综合评审，内容包括但不限于： ① 组织实施、② 人员安排、③ 运输供货、④ 现场就位、⑤ 调试测试、⑥ 验收组织等。</w:t>
            </w:r>
          </w:p>
          <w:p w14:paraId="6C9520F4">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0E2FBA32">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39C412F8">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2941B0A2">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5C5C6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0394E1EA">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bidi="ar"/>
              </w:rPr>
              <w:t>整体技术方案（</w:t>
            </w:r>
            <w:r>
              <w:rPr>
                <w:rFonts w:hint="eastAsia" w:ascii="宋体" w:hAnsi="宋体" w:eastAsia="宋体" w:cs="宋体"/>
                <w:color w:val="auto"/>
                <w:sz w:val="24"/>
                <w:highlight w:val="none"/>
                <w:lang w:bidi="ar"/>
              </w:rPr>
              <w:t>6分</w:t>
            </w:r>
            <w:r>
              <w:rPr>
                <w:rFonts w:hint="eastAsia" w:ascii="宋体" w:hAnsi="宋体" w:eastAsia="宋体" w:cs="宋体"/>
                <w:color w:val="auto"/>
                <w:sz w:val="24"/>
                <w:highlight w:val="none"/>
                <w:lang w:val="zh-CN" w:bidi="ar"/>
              </w:rPr>
              <w:t>）</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2E2A4A52">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评委根据供应商提供的整体技术方案进行综合评审，内容包括但不限于：</w:t>
            </w:r>
          </w:p>
          <w:p w14:paraId="16AE73F6">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① 设备安全性、② 系统稳定性、③ 扩展性、④ 升级能力、⑤ 与现有环境兼容性等。</w:t>
            </w:r>
          </w:p>
          <w:p w14:paraId="78439594">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1066A0EB">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4BA3D991">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5D1FA467">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1212E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6B35363F">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01D71C80">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评委根据供应商提供的售后服务方案进行综合评审，内容包括但不限于： ① 保修承诺、② 响应机制、③ 备件保障、④ 定期维保、⑤ 问题反馈与处理机制等。</w:t>
            </w:r>
          </w:p>
          <w:p w14:paraId="7C7701CD">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7FF4019C">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12A7015F">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0B5BDBBF">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6AC62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1CF73113">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2346DD7C">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评委根据供应商提供的培训方案进行综合评审，内容包括但不限于： ① 培训内容、② 时间地点安排、③ 计量实操培训能力、④ 师资和人次、⑤ 管理和协调、⑥ 效果评价等。</w:t>
            </w:r>
          </w:p>
          <w:p w14:paraId="36722303">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47550FA4">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232189EB">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1A39DDED">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r w14:paraId="37A5F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141" w:type="dxa"/>
            <w:tcBorders>
              <w:top w:val="single" w:color="auto" w:sz="4" w:space="0"/>
              <w:left w:val="single" w:color="auto" w:sz="4" w:space="0"/>
              <w:bottom w:val="single" w:color="auto" w:sz="4" w:space="0"/>
              <w:right w:val="single" w:color="auto" w:sz="4" w:space="0"/>
            </w:tcBorders>
            <w:noWrap w:val="0"/>
            <w:vAlign w:val="center"/>
          </w:tcPr>
          <w:p w14:paraId="165F9D96">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维修方案</w:t>
            </w:r>
          </w:p>
          <w:p w14:paraId="04586C9D">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c>
          <w:tcPr>
            <w:tcW w:w="7713" w:type="dxa"/>
            <w:tcBorders>
              <w:top w:val="single" w:color="auto" w:sz="4" w:space="0"/>
              <w:left w:val="single" w:color="auto" w:sz="4" w:space="0"/>
              <w:bottom w:val="single" w:color="auto" w:sz="4" w:space="0"/>
              <w:right w:val="single" w:color="auto" w:sz="4" w:space="0"/>
            </w:tcBorders>
            <w:noWrap w:val="0"/>
            <w:vAlign w:val="center"/>
          </w:tcPr>
          <w:p w14:paraId="2126C34E">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评委根据供应商提供的维修方案进行综合评审，内容包括但不限于： ① 故障响应时效、② 到场处置时效、③ 应急维修预案、④ 备件保障或替代检定方案、⑤ 数据安全防护等。</w:t>
            </w:r>
          </w:p>
          <w:p w14:paraId="4332D3A4">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方案全面、合理、针对性强，完全满足本包项目需求的，得 6 分；</w:t>
            </w:r>
          </w:p>
          <w:p w14:paraId="4A67CBF1">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val="zh-CN" w:bidi="ar"/>
              </w:rPr>
              <w:t xml:space="preserve"> 分；</w:t>
            </w:r>
          </w:p>
          <w:p w14:paraId="7E7A1D54">
            <w:pPr>
              <w:pStyle w:val="236"/>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lang w:val="zh-CN" w:bidi="ar"/>
              </w:rP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val="zh-CN" w:bidi="ar"/>
              </w:rPr>
              <w:t xml:space="preserve"> 分；</w:t>
            </w:r>
          </w:p>
          <w:p w14:paraId="5DF2CC8B">
            <w:pPr>
              <w:numPr>
                <w:ilvl w:val="0"/>
                <w:numId w:val="0"/>
              </w:num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lang w:val="zh-CN" w:bidi="ar"/>
              </w:rPr>
              <w:t>未提供的</w:t>
            </w:r>
            <w:r>
              <w:rPr>
                <w:rFonts w:hint="eastAsia" w:ascii="宋体" w:hAnsi="宋体" w:eastAsia="宋体" w:cs="宋体"/>
                <w:color w:val="auto"/>
                <w:sz w:val="24"/>
                <w:highlight w:val="none"/>
                <w:lang w:val="en-US" w:eastAsia="zh-CN" w:bidi="ar"/>
              </w:rPr>
              <w:t>不得</w:t>
            </w:r>
            <w:r>
              <w:rPr>
                <w:rFonts w:hint="eastAsia" w:ascii="宋体" w:hAnsi="宋体" w:eastAsia="宋体" w:cs="宋体"/>
                <w:color w:val="auto"/>
                <w:sz w:val="24"/>
                <w:highlight w:val="none"/>
                <w:lang w:val="zh-CN" w:bidi="ar"/>
              </w:rPr>
              <w:t>分。</w:t>
            </w:r>
          </w:p>
        </w:tc>
      </w:tr>
    </w:tbl>
    <w:p w14:paraId="65FA654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p w14:paraId="2901F1F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（3）商务分（40分）</w:t>
      </w:r>
    </w:p>
    <w:tbl>
      <w:tblPr>
        <w:tblStyle w:val="3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6"/>
        <w:gridCol w:w="7098"/>
      </w:tblGrid>
      <w:tr w14:paraId="58942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11A77608">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评审细则及分值</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49AA4041">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评审标准</w:t>
            </w:r>
          </w:p>
        </w:tc>
      </w:tr>
      <w:tr w14:paraId="7756B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7B2B6D2B">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技术指标性能响应（3</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分）</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6E63A7B8">
            <w:pPr>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完全满足采购文件技术参数要求的得30分；本项目所有带★标识的条款为实质性响应条款，投标人任一★条款出现负偏离、未响应、不满足，直接判定投标无效，不再参与后续打分；带“▲”项的技术指标，为重要技术参数每负偏离一项扣1.5分；其他非重要参数负偏离的，每项扣0.</w:t>
            </w:r>
            <w:r>
              <w:rPr>
                <w:rFonts w:hint="eastAsia" w:ascii="宋体" w:hAnsi="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zh-CN" w:bidi="ar-SA"/>
              </w:rPr>
              <w:t>5分，扣完为止。缺项漏项视为负偏离。</w:t>
            </w:r>
          </w:p>
          <w:p w14:paraId="09C2C73B">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注：招标文件要求提供技术内容支撑资料的应完整，完善，无遗漏地提供，否则视为未响应。</w:t>
            </w:r>
          </w:p>
        </w:tc>
      </w:tr>
      <w:tr w14:paraId="3B02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56" w:type="dxa"/>
            <w:tcBorders>
              <w:top w:val="single" w:color="auto" w:sz="4" w:space="0"/>
              <w:left w:val="single" w:color="auto" w:sz="4" w:space="0"/>
              <w:bottom w:val="single" w:color="auto" w:sz="4" w:space="0"/>
              <w:right w:val="single" w:color="auto" w:sz="4" w:space="0"/>
            </w:tcBorders>
            <w:noWrap w:val="0"/>
            <w:vAlign w:val="center"/>
          </w:tcPr>
          <w:p w14:paraId="275D39F6">
            <w:pPr>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类似项目业绩（</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7098" w:type="dxa"/>
            <w:tcBorders>
              <w:top w:val="single" w:color="auto" w:sz="4" w:space="0"/>
              <w:left w:val="single" w:color="auto" w:sz="4" w:space="0"/>
              <w:bottom w:val="single" w:color="auto" w:sz="4" w:space="0"/>
              <w:right w:val="single" w:color="auto" w:sz="4" w:space="0"/>
            </w:tcBorders>
            <w:noWrap w:val="0"/>
            <w:vAlign w:val="center"/>
          </w:tcPr>
          <w:p w14:paraId="05122427">
            <w:pPr>
              <w:pStyle w:val="236"/>
              <w:keepNext/>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所投同类型产品自2022年1月1日以来（以合同签订时间为准）的业绩，每提供一份类似业绩</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类似</w:t>
            </w:r>
            <w:r>
              <w:rPr>
                <w:rFonts w:hint="eastAsia" w:ascii="宋体" w:hAnsi="宋体" w:cs="宋体"/>
                <w:color w:val="auto"/>
                <w:sz w:val="24"/>
                <w:highlight w:val="none"/>
                <w:lang w:eastAsia="zh-CN"/>
              </w:rPr>
              <w:t>计量标准器具或仪器仪表）</w:t>
            </w:r>
            <w:r>
              <w:rPr>
                <w:rFonts w:hint="eastAsia" w:ascii="宋体" w:hAnsi="宋体" w:eastAsia="宋体" w:cs="宋体"/>
                <w:color w:val="auto"/>
                <w:sz w:val="24"/>
                <w:highlight w:val="none"/>
              </w:rPr>
              <w:t>的合同得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分，最多得</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w:t>
            </w:r>
          </w:p>
          <w:p w14:paraId="30924ED0">
            <w:pPr>
              <w:pStyle w:val="236"/>
              <w:pBdr>
                <w:top w:val="none" w:color="auto" w:sz="0" w:space="1"/>
                <w:left w:val="none" w:color="auto" w:sz="0" w:space="4"/>
                <w:bottom w:val="none" w:color="auto" w:sz="0" w:space="1"/>
                <w:right w:val="none" w:color="auto" w:sz="0" w:space="4"/>
              </w:pBdr>
              <w:snapToGrid w:val="0"/>
              <w:spacing w:line="240" w:lineRule="auto"/>
              <w:ind w:left="0" w:leftChars="0" w:right="0" w:rightChars="0" w:firstLine="0" w:firstLineChars="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提供类似业绩合同扫描件加盖供应商公章，业绩时间以合同签订时间为准，未提供不得分。</w:t>
            </w:r>
          </w:p>
        </w:tc>
      </w:tr>
    </w:tbl>
    <w:p w14:paraId="236972D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sectPr>
          <w:pgSz w:w="11906" w:h="16838"/>
          <w:pgMar w:top="1134" w:right="1134" w:bottom="1134" w:left="1134" w:header="851" w:footer="992" w:gutter="0"/>
          <w:cols w:space="1701" w:num="1"/>
          <w:docGrid w:linePitch="360" w:charSpace="0"/>
        </w:sectPr>
      </w:pPr>
    </w:p>
    <w:p w14:paraId="3DEF3B47">
      <w:pPr>
        <w:widowControl/>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543BAF91">
      <w:pPr>
        <w:pStyle w:val="231"/>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val="0"/>
          <w:color w:val="auto"/>
          <w:highlight w:val="none"/>
        </w:rPr>
      </w:pPr>
      <w:bookmarkStart w:id="28" w:name="_Toc165205799"/>
      <w:r>
        <w:rPr>
          <w:rFonts w:hint="eastAsia" w:ascii="宋体" w:hAnsi="宋体" w:eastAsia="宋体" w:cs="宋体"/>
          <w:b w:val="0"/>
          <w:color w:val="auto"/>
          <w:highlight w:val="none"/>
        </w:rPr>
        <w:t>第六章  投标文件格式</w:t>
      </w:r>
      <w:bookmarkEnd w:id="28"/>
    </w:p>
    <w:p w14:paraId="1612AB58">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52B6F3C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color w:val="auto"/>
          <w:sz w:val="72"/>
          <w:szCs w:val="21"/>
          <w:highlight w:val="none"/>
        </w:rPr>
      </w:pPr>
    </w:p>
    <w:p w14:paraId="35B6E86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投  标  文  件</w:t>
      </w:r>
    </w:p>
    <w:p w14:paraId="585F35D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color w:val="auto"/>
          <w:sz w:val="72"/>
          <w:szCs w:val="21"/>
          <w:highlight w:val="none"/>
        </w:rPr>
      </w:pPr>
    </w:p>
    <w:p w14:paraId="2DFB775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color w:val="auto"/>
          <w:sz w:val="72"/>
          <w:szCs w:val="21"/>
          <w:highlight w:val="none"/>
        </w:rPr>
      </w:pPr>
    </w:p>
    <w:p w14:paraId="0379B4F8">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color w:val="auto"/>
          <w:sz w:val="36"/>
          <w:szCs w:val="21"/>
          <w:highlight w:val="none"/>
        </w:rPr>
      </w:pPr>
    </w:p>
    <w:p w14:paraId="698DE59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color w:val="auto"/>
          <w:sz w:val="36"/>
          <w:szCs w:val="21"/>
          <w:highlight w:val="none"/>
        </w:rPr>
      </w:pPr>
    </w:p>
    <w:p w14:paraId="1DFD594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color w:val="auto"/>
          <w:sz w:val="36"/>
          <w:szCs w:val="21"/>
          <w:highlight w:val="none"/>
        </w:rPr>
      </w:pPr>
    </w:p>
    <w:p w14:paraId="6649F46C">
      <w:pPr>
        <w:pBdr>
          <w:top w:val="none" w:color="auto" w:sz="0" w:space="1"/>
          <w:left w:val="none" w:color="auto" w:sz="0" w:space="4"/>
          <w:bottom w:val="none" w:color="auto" w:sz="0" w:space="1"/>
          <w:right w:val="none" w:color="auto" w:sz="0" w:space="4"/>
        </w:pBdr>
        <w:spacing w:line="360" w:lineRule="auto"/>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p>
    <w:p w14:paraId="72D28BD1">
      <w:pPr>
        <w:pBdr>
          <w:top w:val="none" w:color="auto" w:sz="0" w:space="1"/>
          <w:left w:val="none" w:color="auto" w:sz="0" w:space="4"/>
          <w:bottom w:val="none" w:color="auto" w:sz="0" w:space="1"/>
          <w:right w:val="none" w:color="auto" w:sz="0" w:space="4"/>
        </w:pBdr>
        <w:spacing w:line="360" w:lineRule="auto"/>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p>
    <w:p w14:paraId="4B518CF5">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（加盖CA电子公章）</w:t>
      </w:r>
    </w:p>
    <w:p w14:paraId="25028445">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p>
    <w:p w14:paraId="2338527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bCs/>
          <w:color w:val="auto"/>
          <w:sz w:val="32"/>
          <w:szCs w:val="32"/>
          <w:highlight w:val="none"/>
        </w:rPr>
      </w:pPr>
    </w:p>
    <w:p w14:paraId="7E7B3266">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1"/>
          <w:highlight w:val="none"/>
        </w:rPr>
      </w:pPr>
    </w:p>
    <w:p w14:paraId="0CBC0A61">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264BE991">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
          <w:color w:val="auto"/>
          <w:sz w:val="36"/>
          <w:szCs w:val="36"/>
          <w:highlight w:val="none"/>
          <w:u w:val="single"/>
        </w:rPr>
      </w:pPr>
      <w:r>
        <w:rPr>
          <w:rFonts w:hint="eastAsia" w:ascii="宋体" w:hAnsi="宋体" w:eastAsia="宋体" w:cs="宋体"/>
          <w:i/>
          <w:color w:val="auto"/>
          <w:sz w:val="36"/>
          <w:szCs w:val="36"/>
          <w:highlight w:val="none"/>
          <w:u w:val="single"/>
        </w:rPr>
        <w:t>一、法人或者其他组织的营业执照等证明文件，自然人的身份证明</w:t>
      </w:r>
    </w:p>
    <w:p w14:paraId="7E1B2D7C">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54F92D6C">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234D692C">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
          <w:color w:val="auto"/>
          <w:sz w:val="36"/>
          <w:highlight w:val="none"/>
          <w:u w:val="single"/>
        </w:rPr>
      </w:pPr>
      <w:r>
        <w:rPr>
          <w:rFonts w:hint="eastAsia" w:ascii="宋体" w:hAnsi="宋体" w:eastAsia="宋体" w:cs="宋体"/>
          <w:i/>
          <w:color w:val="auto"/>
          <w:sz w:val="36"/>
          <w:highlight w:val="none"/>
          <w:u w:val="single"/>
        </w:rPr>
        <w:t>二、2024或2025年度的财务状况报告</w:t>
      </w:r>
    </w:p>
    <w:p w14:paraId="144A72A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（成立不满一年无需提供）</w:t>
      </w:r>
    </w:p>
    <w:p w14:paraId="3949B76D">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0726103C">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266780AB">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三、依法缴纳税收和社会保障资金的相关材料</w:t>
      </w:r>
    </w:p>
    <w:p w14:paraId="56E67B0D">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（提供提交投标文件截止时间前一年内至少一个月依法缴纳税收及缴纳社会保障资金的证明材料，供应商依法享受缓缴、免缴税收、社会保障资金的提供证明材料）</w:t>
      </w:r>
    </w:p>
    <w:p w14:paraId="07016A48">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2702F6E7">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30B62C1B">
      <w:pP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br w:type="page"/>
      </w:r>
    </w:p>
    <w:p w14:paraId="47FAA94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财务状况报告及税收、社会保障资金缴纳情况承诺函</w:t>
      </w:r>
    </w:p>
    <w:p w14:paraId="667EEA36">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Cs w:val="24"/>
          <w:highlight w:val="none"/>
        </w:rPr>
      </w:pPr>
    </w:p>
    <w:p w14:paraId="63A1CD49">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i/>
          <w:color w:val="auto"/>
          <w:sz w:val="24"/>
          <w:szCs w:val="24"/>
          <w:highlight w:val="none"/>
          <w:u w:val="single"/>
        </w:rPr>
        <w:t>采购人名称</w:t>
      </w:r>
    </w:p>
    <w:p w14:paraId="3456CB6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w:t>
      </w:r>
      <w:r>
        <w:rPr>
          <w:rFonts w:hint="eastAsia" w:ascii="宋体" w:hAnsi="宋体" w:eastAsia="宋体" w:cs="宋体"/>
          <w:i/>
          <w:color w:val="auto"/>
          <w:sz w:val="24"/>
          <w:szCs w:val="24"/>
          <w:highlight w:val="none"/>
          <w:u w:val="single"/>
        </w:rPr>
        <w:t>供应商名称</w:t>
      </w:r>
      <w:r>
        <w:rPr>
          <w:rFonts w:hint="eastAsia" w:ascii="宋体" w:hAnsi="宋体" w:eastAsia="宋体" w:cs="宋体"/>
          <w:color w:val="auto"/>
          <w:sz w:val="24"/>
          <w:szCs w:val="24"/>
          <w:highlight w:val="none"/>
        </w:rPr>
        <w:t>参加</w:t>
      </w:r>
      <w:r>
        <w:rPr>
          <w:rFonts w:hint="eastAsia" w:ascii="宋体" w:hAnsi="宋体" w:eastAsia="宋体" w:cs="宋体"/>
          <w:i/>
          <w:color w:val="auto"/>
          <w:sz w:val="24"/>
          <w:szCs w:val="24"/>
          <w:highlight w:val="none"/>
          <w:u w:val="single"/>
        </w:rPr>
        <w:t>项目名称</w:t>
      </w:r>
      <w:r>
        <w:rPr>
          <w:rFonts w:hint="eastAsia" w:ascii="宋体" w:hAnsi="宋体" w:eastAsia="宋体" w:cs="宋体"/>
          <w:color w:val="auto"/>
          <w:sz w:val="24"/>
          <w:szCs w:val="24"/>
          <w:highlight w:val="none"/>
        </w:rPr>
        <w:t>（项目编号：</w:t>
      </w:r>
      <w:r>
        <w:rPr>
          <w:rFonts w:hint="eastAsia" w:ascii="宋体" w:hAnsi="宋体" w:eastAsia="宋体" w:cs="宋体"/>
          <w:i/>
          <w:color w:val="auto"/>
          <w:sz w:val="24"/>
          <w:szCs w:val="24"/>
          <w:highlight w:val="none"/>
          <w:u w:val="single"/>
        </w:rPr>
        <w:t>项目编号</w:t>
      </w:r>
      <w:r>
        <w:rPr>
          <w:rFonts w:hint="eastAsia" w:ascii="宋体" w:hAnsi="宋体" w:eastAsia="宋体" w:cs="宋体"/>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1A6D523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（1）具有良好的商业信誉和健全的财务会计制度（财务状况报告）；</w:t>
      </w:r>
    </w:p>
    <w:p w14:paraId="12534F4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（2）有依法缴纳税收和社会保障资金的良好记录。</w:t>
      </w:r>
    </w:p>
    <w:p w14:paraId="2F7BFF0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473762F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7A40B7E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p w14:paraId="17FDE58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供应商（公章）：</w:t>
      </w:r>
    </w:p>
    <w:p w14:paraId="7429703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法定代表人（单位负责人）或委托代理人（签名或签章）：</w:t>
      </w:r>
    </w:p>
    <w:p w14:paraId="50A08B5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83EA878">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7F4B92C5">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0A7368E1">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r>
    </w:p>
    <w:p w14:paraId="6269F0B6">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四、具备履行合同所必需的设备和专业技术能力的声明及证明材料</w:t>
      </w:r>
    </w:p>
    <w:p w14:paraId="2A7E4D9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具备履行合同所必需的设备和专业技术能力的声明及证明材料</w:t>
      </w:r>
    </w:p>
    <w:p w14:paraId="04F5025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我单位郑重声明：我单位具备履行本项采购合同所必需的设备和专业技术能力，为履行本项采购合同我公司具备如下主要设备和主要专业技术能力：</w:t>
      </w:r>
    </w:p>
    <w:p w14:paraId="1A6A7EFD">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。（须附证明材料）</w:t>
      </w:r>
    </w:p>
    <w:p w14:paraId="06C3DDAD">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0E70A674">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。（须附证明材料）</w:t>
      </w:r>
    </w:p>
    <w:p w14:paraId="4229EA91">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p>
    <w:p w14:paraId="75D9FBCB">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p>
    <w:p w14:paraId="276ED920">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供应商（盖章）：</w:t>
      </w:r>
    </w:p>
    <w:p w14:paraId="0C6B3193">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77C7F868">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50F96187">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Cs w:val="24"/>
          <w:highlight w:val="none"/>
        </w:rPr>
      </w:pPr>
    </w:p>
    <w:p w14:paraId="1D826870">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附主要设备和主要专业技术能力的证明材料如下：</w:t>
      </w:r>
    </w:p>
    <w:p w14:paraId="46222960">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070DCC2F">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6A63C9DC">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r>
    </w:p>
    <w:p w14:paraId="363AF866">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五、参加政府采购活动前3年内在经营活动中没有重大违法记录的书面声明</w:t>
      </w:r>
    </w:p>
    <w:p w14:paraId="104C1928">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声  明</w:t>
      </w:r>
    </w:p>
    <w:p w14:paraId="614F8D45">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33D5EC4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p>
    <w:p w14:paraId="1327B0F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供应商（盖章）：</w:t>
      </w:r>
    </w:p>
    <w:p w14:paraId="3C8B19A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2D512AB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513F6852">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730CE2D4">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54E13053">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六、法律、行政法规规定的其他条件的证明文件</w:t>
      </w:r>
    </w:p>
    <w:p w14:paraId="41FB3CD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（如有，请按要求提供）</w:t>
      </w:r>
    </w:p>
    <w:p w14:paraId="6CA8C555">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020B3AB0">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45C1E241">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七、落实政府采购政策需满足的资格要求的证明文件</w:t>
      </w:r>
    </w:p>
    <w:p w14:paraId="75EBC368">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（如有，请按要求提供）</w:t>
      </w:r>
    </w:p>
    <w:p w14:paraId="3A7C4450">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28E3E5F0">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16A14FEE">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八、特定资格要求的证明文件</w:t>
      </w:r>
    </w:p>
    <w:p w14:paraId="64FBB72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（如有，请按要求提供）</w:t>
      </w:r>
    </w:p>
    <w:p w14:paraId="0EE94B1E">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077E60D6">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九、授权委托书与法定代表人（单位负责人）身份证明</w:t>
      </w:r>
    </w:p>
    <w:p w14:paraId="042FC8C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授权委托书</w:t>
      </w:r>
    </w:p>
    <w:p w14:paraId="79BA0C16">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采购单位</w:t>
      </w:r>
    </w:p>
    <w:p w14:paraId="2D692F72">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（姓名）</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（供应商名称）</w:t>
      </w:r>
      <w:r>
        <w:rPr>
          <w:rFonts w:hint="eastAsia" w:ascii="宋体" w:hAnsi="宋体" w:eastAsia="宋体" w:cs="宋体"/>
          <w:color w:val="auto"/>
          <w:sz w:val="24"/>
          <w:szCs w:val="24"/>
          <w:highlight w:val="none"/>
        </w:rPr>
        <w:t>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为我方代理人。代理人根据授权，以我方名义签署、澄清确认、递交、撤回、修改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项目（项目编号：）投标文件和处理有关事宜，其法律后果由我方承担。</w:t>
      </w:r>
    </w:p>
    <w:p w14:paraId="7257878E">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委托期限：自本授权委托书签署之日起至响应有效期届满之日止。</w:t>
      </w:r>
    </w:p>
    <w:p w14:paraId="01E20C75">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1B9EE6EF">
      <w:pPr>
        <w:pBdr>
          <w:top w:val="none" w:color="auto" w:sz="0" w:space="1"/>
          <w:left w:val="none" w:color="auto" w:sz="0" w:space="4"/>
          <w:bottom w:val="none" w:color="auto" w:sz="0" w:space="1"/>
          <w:right w:val="none" w:color="auto" w:sz="0" w:space="4"/>
        </w:pBdr>
        <w:spacing w:line="360" w:lineRule="auto"/>
        <w:ind w:firstLine="420"/>
        <w:jc w:val="left"/>
        <w:rPr>
          <w:rFonts w:hint="eastAsia" w:ascii="宋体" w:hAnsi="宋体" w:eastAsia="宋体" w:cs="宋体"/>
          <w:color w:val="auto"/>
          <w:sz w:val="24"/>
          <w:szCs w:val="24"/>
          <w:highlight w:val="none"/>
        </w:rPr>
      </w:pPr>
    </w:p>
    <w:p w14:paraId="0C5A08CC">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供应商名称（加盖公章）：</w:t>
      </w:r>
    </w:p>
    <w:p w14:paraId="4F21D454">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法定代表人（单位负责人）（签字、签章或印鉴）：</w:t>
      </w:r>
    </w:p>
    <w:p w14:paraId="57F971E8">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委托代理人（签字/签章）：</w:t>
      </w:r>
    </w:p>
    <w:p w14:paraId="7003C8D1">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5A896BE1">
      <w:pPr>
        <w:pBdr>
          <w:top w:val="none" w:color="auto" w:sz="0" w:space="1"/>
          <w:left w:val="none" w:color="auto" w:sz="0" w:space="4"/>
          <w:bottom w:val="none" w:color="auto" w:sz="0" w:space="1"/>
          <w:right w:val="none" w:color="auto" w:sz="0" w:space="4"/>
        </w:pBdr>
        <w:tabs>
          <w:tab w:val="left" w:pos="5580"/>
        </w:tabs>
        <w:spacing w:line="360" w:lineRule="auto"/>
        <w:ind w:firstLine="480"/>
        <w:rPr>
          <w:rFonts w:hint="eastAsia" w:ascii="宋体" w:hAnsi="宋体" w:eastAsia="宋体" w:cs="宋体"/>
          <w:color w:val="auto"/>
          <w:sz w:val="24"/>
          <w:szCs w:val="20"/>
          <w:highlight w:val="none"/>
        </w:rPr>
      </w:pPr>
    </w:p>
    <w:p w14:paraId="3604F532">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C9C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40F4E434">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p w14:paraId="35779DC0">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p w14:paraId="39A1B847">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tcPr>
          <w:p w14:paraId="0FB7F942">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p w14:paraId="42071B37">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p w14:paraId="6656E62A">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tc>
      </w:tr>
    </w:tbl>
    <w:p w14:paraId="244B937D">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委托代理人有效期内的身份证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A4A5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4419802D">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p w14:paraId="2985FD99">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p w14:paraId="49F27D27">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tcPr>
          <w:p w14:paraId="41097D27">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p w14:paraId="0608298B">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p w14:paraId="5235792A">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tc>
      </w:tr>
    </w:tbl>
    <w:p w14:paraId="3749DF6A">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填报说明：</w:t>
      </w:r>
    </w:p>
    <w:p w14:paraId="1E6A5C39">
      <w:pPr>
        <w:pBdr>
          <w:top w:val="none" w:color="auto" w:sz="0" w:space="1"/>
          <w:left w:val="none" w:color="auto" w:sz="0" w:space="4"/>
          <w:bottom w:val="none" w:color="auto" w:sz="0" w:space="1"/>
          <w:right w:val="none" w:color="auto" w:sz="0" w:space="4"/>
        </w:pBdr>
        <w:tabs>
          <w:tab w:val="left" w:pos="5580"/>
        </w:tabs>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1、若供应商为事业单位或其他组织或分支机构（仅当招标文件注明允许分支机构投标的），则法定代表人（单位负责人）处的签署人可为单位负责人。</w:t>
      </w:r>
    </w:p>
    <w:p w14:paraId="6AE5E3B9">
      <w:pPr>
        <w:pBdr>
          <w:top w:val="none" w:color="auto" w:sz="0" w:space="1"/>
          <w:left w:val="none" w:color="auto" w:sz="0" w:space="4"/>
          <w:bottom w:val="none" w:color="auto" w:sz="0" w:space="1"/>
          <w:right w:val="none" w:color="auto" w:sz="0" w:space="4"/>
        </w:pBdr>
        <w:tabs>
          <w:tab w:val="left" w:pos="5580"/>
        </w:tabs>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2、若投标文件中全部签字之处均为法定代表人（单位负责人）本人签署，则可不提供本《授权委托书》，但须提供《法定代表人（单位负责人）身份证明》。</w:t>
      </w:r>
    </w:p>
    <w:p w14:paraId="0E782591">
      <w:pPr>
        <w:pBdr>
          <w:top w:val="none" w:color="auto" w:sz="0" w:space="1"/>
          <w:left w:val="none" w:color="auto" w:sz="0" w:space="4"/>
          <w:bottom w:val="none" w:color="auto" w:sz="0" w:space="1"/>
          <w:right w:val="none" w:color="auto" w:sz="0" w:space="4"/>
        </w:pBdr>
        <w:tabs>
          <w:tab w:val="left" w:pos="5580"/>
        </w:tabs>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3、供应商为自然人的情形，可不提供本《授权委托书》。</w:t>
      </w:r>
    </w:p>
    <w:p w14:paraId="1645C137">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54C10BAC">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449C992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法定代表人（单位负责人）身份证明</w:t>
      </w:r>
    </w:p>
    <w:p w14:paraId="1482F38F">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0"/>
          <w:szCs w:val="20"/>
          <w:highlight w:val="none"/>
        </w:rPr>
      </w:pPr>
    </w:p>
    <w:p w14:paraId="401328CE">
      <w:pPr>
        <w:pBdr>
          <w:top w:val="none" w:color="auto" w:sz="0" w:space="1"/>
          <w:left w:val="none" w:color="auto" w:sz="0" w:space="4"/>
          <w:bottom w:val="none" w:color="auto" w:sz="0" w:space="1"/>
          <w:right w:val="none" w:color="auto" w:sz="0" w:space="4"/>
        </w:pBdr>
        <w:tabs>
          <w:tab w:val="left" w:pos="558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采购单位 </w:t>
      </w:r>
    </w:p>
    <w:p w14:paraId="5BE98591">
      <w:pPr>
        <w:pBdr>
          <w:top w:val="none" w:color="auto" w:sz="0" w:space="1"/>
          <w:left w:val="none" w:color="auto" w:sz="0" w:space="4"/>
          <w:bottom w:val="none" w:color="auto" w:sz="0" w:space="1"/>
          <w:right w:val="none" w:color="auto" w:sz="0" w:space="4"/>
        </w:pBdr>
        <w:tabs>
          <w:tab w:val="left" w:pos="567"/>
          <w:tab w:val="left" w:pos="2412"/>
          <w:tab w:val="left" w:pos="3883"/>
          <w:tab w:val="left" w:pos="5352"/>
          <w:tab w:val="left" w:pos="6821"/>
        </w:tabs>
        <w:spacing w:before="12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兹证明，</w:t>
      </w:r>
    </w:p>
    <w:p w14:paraId="33EDA7EC">
      <w:pPr>
        <w:pBdr>
          <w:top w:val="none" w:color="auto" w:sz="0" w:space="1"/>
          <w:left w:val="none" w:color="auto" w:sz="0" w:space="4"/>
          <w:bottom w:val="none" w:color="auto" w:sz="0" w:space="1"/>
          <w:right w:val="none" w:color="auto" w:sz="0" w:space="4"/>
        </w:pBdr>
        <w:tabs>
          <w:tab w:val="left" w:pos="567"/>
          <w:tab w:val="left" w:pos="1690"/>
          <w:tab w:val="left" w:pos="3400"/>
          <w:tab w:val="left" w:pos="5110"/>
          <w:tab w:val="left" w:pos="6821"/>
        </w:tabs>
        <w:spacing w:before="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姓名：性别：年龄：职务：</w:t>
      </w:r>
    </w:p>
    <w:p w14:paraId="5EA982FF">
      <w:pPr>
        <w:pBdr>
          <w:top w:val="none" w:color="auto" w:sz="0" w:space="1"/>
          <w:left w:val="none" w:color="auto" w:sz="0" w:space="4"/>
          <w:bottom w:val="none" w:color="auto" w:sz="0" w:space="1"/>
          <w:right w:val="none" w:color="auto" w:sz="0" w:space="4"/>
        </w:pBdr>
        <w:tabs>
          <w:tab w:val="left" w:pos="567"/>
          <w:tab w:val="left" w:pos="2412"/>
          <w:tab w:val="left" w:pos="3883"/>
          <w:tab w:val="left" w:pos="5352"/>
          <w:tab w:val="left" w:pos="6821"/>
        </w:tabs>
        <w:spacing w:before="120" w:line="360" w:lineRule="auto"/>
        <w:rPr>
          <w:rFonts w:hint="eastAsia" w:ascii="宋体" w:hAnsi="宋体" w:eastAsia="宋体" w:cs="宋体"/>
          <w:color w:val="auto"/>
          <w:sz w:val="24"/>
          <w:szCs w:val="24"/>
          <w:highlight w:val="none"/>
        </w:rPr>
      </w:pPr>
    </w:p>
    <w:p w14:paraId="7F7920B8">
      <w:pPr>
        <w:pBdr>
          <w:top w:val="none" w:color="auto" w:sz="0" w:space="1"/>
          <w:left w:val="none" w:color="auto" w:sz="0" w:space="4"/>
          <w:bottom w:val="none" w:color="auto" w:sz="0" w:space="1"/>
          <w:right w:val="none" w:color="auto" w:sz="0" w:space="4"/>
        </w:pBdr>
        <w:tabs>
          <w:tab w:val="left" w:pos="2250"/>
          <w:tab w:val="left" w:pos="2412"/>
          <w:tab w:val="left" w:pos="3883"/>
          <w:tab w:val="left" w:pos="5352"/>
          <w:tab w:val="left" w:pos="6821"/>
        </w:tabs>
        <w:spacing w:before="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（供应商名称）</w:t>
      </w:r>
      <w:r>
        <w:rPr>
          <w:rFonts w:hint="eastAsia" w:ascii="宋体" w:hAnsi="宋体" w:eastAsia="宋体" w:cs="宋体"/>
          <w:color w:val="auto"/>
          <w:sz w:val="24"/>
          <w:szCs w:val="24"/>
          <w:highlight w:val="none"/>
        </w:rPr>
        <w:t>的法定代表人（单位负责人）。</w:t>
      </w:r>
    </w:p>
    <w:p w14:paraId="7B916E92">
      <w:pPr>
        <w:pBdr>
          <w:top w:val="none" w:color="auto" w:sz="0" w:space="1"/>
          <w:left w:val="none" w:color="auto" w:sz="0" w:space="4"/>
          <w:bottom w:val="none" w:color="auto" w:sz="0" w:space="1"/>
          <w:right w:val="none" w:color="auto" w:sz="0" w:space="4"/>
        </w:pBdr>
        <w:tabs>
          <w:tab w:val="left" w:pos="567"/>
          <w:tab w:val="left" w:pos="2412"/>
          <w:tab w:val="left" w:pos="3883"/>
          <w:tab w:val="left" w:pos="5352"/>
          <w:tab w:val="left" w:pos="6821"/>
        </w:tabs>
        <w:spacing w:before="120" w:line="360" w:lineRule="auto"/>
        <w:rPr>
          <w:rFonts w:hint="eastAsia" w:ascii="宋体" w:hAnsi="宋体" w:eastAsia="宋体" w:cs="宋体"/>
          <w:color w:val="auto"/>
          <w:sz w:val="24"/>
          <w:szCs w:val="24"/>
          <w:highlight w:val="none"/>
        </w:rPr>
      </w:pPr>
    </w:p>
    <w:p w14:paraId="56C1181B">
      <w:pPr>
        <w:pBdr>
          <w:top w:val="none" w:color="auto" w:sz="0" w:space="1"/>
          <w:left w:val="none" w:color="auto" w:sz="0" w:space="4"/>
          <w:bottom w:val="none" w:color="auto" w:sz="0" w:space="1"/>
          <w:right w:val="none" w:color="auto" w:sz="0" w:space="4"/>
        </w:pBdr>
        <w:tabs>
          <w:tab w:val="left" w:pos="567"/>
          <w:tab w:val="left" w:pos="2412"/>
          <w:tab w:val="left" w:pos="3883"/>
          <w:tab w:val="left" w:pos="5352"/>
          <w:tab w:val="left" w:pos="6821"/>
        </w:tabs>
        <w:spacing w:before="120" w:line="360" w:lineRule="auto"/>
        <w:rPr>
          <w:rFonts w:hint="eastAsia" w:ascii="宋体" w:hAnsi="宋体" w:eastAsia="宋体" w:cs="宋体"/>
          <w:color w:val="auto"/>
          <w:sz w:val="24"/>
          <w:szCs w:val="24"/>
          <w:highlight w:val="none"/>
        </w:rPr>
      </w:pPr>
    </w:p>
    <w:p w14:paraId="5A4F484B">
      <w:pPr>
        <w:pBdr>
          <w:top w:val="none" w:color="auto" w:sz="0" w:space="1"/>
          <w:left w:val="none" w:color="auto" w:sz="0" w:space="4"/>
          <w:bottom w:val="none" w:color="auto" w:sz="0" w:space="1"/>
          <w:right w:val="none" w:color="auto" w:sz="0" w:space="4"/>
        </w:pBdr>
        <w:tabs>
          <w:tab w:val="left" w:pos="567"/>
        </w:tabs>
        <w:spacing w:before="120" w:line="360" w:lineRule="auto"/>
        <w:ind w:right="-46"/>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法</w:t>
      </w:r>
      <w:r>
        <w:rPr>
          <w:rFonts w:hint="eastAsia" w:ascii="宋体" w:hAnsi="宋体" w:eastAsia="宋体" w:cs="宋体"/>
          <w:color w:val="auto"/>
          <w:sz w:val="24"/>
          <w:szCs w:val="24"/>
          <w:highlight w:val="none"/>
        </w:rPr>
        <w:t>定</w:t>
      </w:r>
      <w:r>
        <w:rPr>
          <w:rFonts w:hint="eastAsia" w:ascii="宋体" w:hAnsi="宋体" w:eastAsia="宋体" w:cs="宋体"/>
          <w:color w:val="auto"/>
          <w:spacing w:val="-3"/>
          <w:sz w:val="24"/>
          <w:szCs w:val="24"/>
          <w:highlight w:val="none"/>
        </w:rPr>
        <w:t>代</w:t>
      </w:r>
      <w:r>
        <w:rPr>
          <w:rFonts w:hint="eastAsia" w:ascii="宋体" w:hAnsi="宋体" w:eastAsia="宋体" w:cs="宋体"/>
          <w:color w:val="auto"/>
          <w:sz w:val="24"/>
          <w:szCs w:val="24"/>
          <w:highlight w:val="none"/>
        </w:rPr>
        <w:t>表</w:t>
      </w:r>
      <w:r>
        <w:rPr>
          <w:rFonts w:hint="eastAsia" w:ascii="宋体" w:hAnsi="宋体" w:eastAsia="宋体" w:cs="宋体"/>
          <w:color w:val="auto"/>
          <w:spacing w:val="-3"/>
          <w:sz w:val="24"/>
          <w:szCs w:val="24"/>
          <w:highlight w:val="none"/>
        </w:rPr>
        <w:t>人</w:t>
      </w:r>
      <w:r>
        <w:rPr>
          <w:rFonts w:hint="eastAsia" w:ascii="宋体" w:hAnsi="宋体" w:eastAsia="宋体" w:cs="宋体"/>
          <w:color w:val="auto"/>
          <w:sz w:val="24"/>
          <w:szCs w:val="24"/>
          <w:highlight w:val="none"/>
        </w:rPr>
        <w:t>（</w:t>
      </w:r>
      <w:r>
        <w:rPr>
          <w:rFonts w:hint="eastAsia" w:ascii="宋体" w:hAnsi="宋体" w:eastAsia="宋体" w:cs="宋体"/>
          <w:color w:val="auto"/>
          <w:spacing w:val="-3"/>
          <w:sz w:val="24"/>
          <w:szCs w:val="24"/>
          <w:highlight w:val="none"/>
        </w:rPr>
        <w:t>单</w:t>
      </w:r>
      <w:r>
        <w:rPr>
          <w:rFonts w:hint="eastAsia" w:ascii="宋体" w:hAnsi="宋体" w:eastAsia="宋体" w:cs="宋体"/>
          <w:color w:val="auto"/>
          <w:sz w:val="24"/>
          <w:szCs w:val="24"/>
          <w:highlight w:val="none"/>
        </w:rPr>
        <w:t>位</w:t>
      </w:r>
      <w:r>
        <w:rPr>
          <w:rFonts w:hint="eastAsia" w:ascii="宋体" w:hAnsi="宋体" w:eastAsia="宋体" w:cs="宋体"/>
          <w:color w:val="auto"/>
          <w:spacing w:val="-3"/>
          <w:sz w:val="24"/>
          <w:szCs w:val="24"/>
          <w:highlight w:val="none"/>
        </w:rPr>
        <w:t>负</w:t>
      </w:r>
      <w:r>
        <w:rPr>
          <w:rFonts w:hint="eastAsia" w:ascii="宋体" w:hAnsi="宋体" w:eastAsia="宋体" w:cs="宋体"/>
          <w:color w:val="auto"/>
          <w:sz w:val="24"/>
          <w:szCs w:val="24"/>
          <w:highlight w:val="none"/>
        </w:rPr>
        <w:t>责人</w:t>
      </w:r>
      <w:r>
        <w:rPr>
          <w:rFonts w:hint="eastAsia" w:ascii="宋体" w:hAnsi="宋体" w:eastAsia="宋体" w:cs="宋体"/>
          <w:color w:val="auto"/>
          <w:spacing w:val="-3"/>
          <w:sz w:val="24"/>
          <w:szCs w:val="24"/>
          <w:highlight w:val="none"/>
        </w:rPr>
        <w:t>）有效期内的身份证正反面电子件：</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678E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61C4E0FF">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p w14:paraId="0327970D">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p w14:paraId="52659628">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tc>
        <w:tc>
          <w:tcPr>
            <w:tcW w:w="4536" w:type="dxa"/>
            <w:noWrap w:val="0"/>
          </w:tcPr>
          <w:p w14:paraId="25F0AEFB">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p w14:paraId="69725BE2">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p w14:paraId="18B15F0F">
            <w:pPr>
              <w:pBdr>
                <w:top w:val="none" w:color="auto" w:sz="0" w:space="1"/>
                <w:left w:val="none" w:color="auto" w:sz="0" w:space="4"/>
                <w:bottom w:val="none" w:color="auto" w:sz="0" w:space="1"/>
                <w:right w:val="none" w:color="auto" w:sz="0" w:space="4"/>
              </w:pBdr>
              <w:tabs>
                <w:tab w:val="left" w:pos="5580"/>
              </w:tabs>
              <w:spacing w:line="360" w:lineRule="auto"/>
              <w:jc w:val="left"/>
              <w:rPr>
                <w:rFonts w:hint="eastAsia" w:ascii="宋体" w:hAnsi="宋体" w:eastAsia="宋体" w:cs="宋体"/>
                <w:color w:val="auto"/>
                <w:sz w:val="24"/>
                <w:szCs w:val="20"/>
                <w:highlight w:val="none"/>
              </w:rPr>
            </w:pPr>
          </w:p>
        </w:tc>
      </w:tr>
    </w:tbl>
    <w:p w14:paraId="25E7CACA">
      <w:pPr>
        <w:pBdr>
          <w:top w:val="none" w:color="auto" w:sz="0" w:space="1"/>
          <w:left w:val="none" w:color="auto" w:sz="0" w:space="4"/>
          <w:bottom w:val="none" w:color="auto" w:sz="0" w:space="1"/>
          <w:right w:val="none" w:color="auto" w:sz="0" w:space="4"/>
        </w:pBdr>
        <w:tabs>
          <w:tab w:val="left" w:pos="567"/>
        </w:tabs>
        <w:spacing w:before="120" w:line="360" w:lineRule="auto"/>
        <w:ind w:right="4305"/>
        <w:rPr>
          <w:rFonts w:hint="eastAsia" w:ascii="宋体" w:hAnsi="宋体" w:eastAsia="宋体" w:cs="宋体"/>
          <w:color w:val="auto"/>
          <w:spacing w:val="-3"/>
          <w:sz w:val="24"/>
          <w:szCs w:val="24"/>
          <w:highlight w:val="none"/>
        </w:rPr>
      </w:pPr>
    </w:p>
    <w:p w14:paraId="61D725D1">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供应商名称（加盖公章）</w:t>
      </w:r>
      <w:r>
        <w:rPr>
          <w:rFonts w:hint="eastAsia" w:ascii="宋体" w:hAnsi="宋体" w:eastAsia="宋体" w:cs="宋体"/>
          <w:color w:val="auto"/>
          <w:sz w:val="24"/>
          <w:szCs w:val="24"/>
          <w:highlight w:val="none"/>
          <w:lang w:val="zh-CN"/>
        </w:rPr>
        <w:t>：</w:t>
      </w:r>
    </w:p>
    <w:p w14:paraId="7D8726B6">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法定代表人（</w:t>
      </w:r>
      <w:r>
        <w:rPr>
          <w:rFonts w:hint="eastAsia" w:ascii="宋体" w:hAnsi="宋体" w:eastAsia="宋体" w:cs="宋体"/>
          <w:color w:val="auto"/>
          <w:sz w:val="24"/>
          <w:szCs w:val="24"/>
          <w:highlight w:val="none"/>
        </w:rPr>
        <w:t>单位负责人</w:t>
      </w:r>
      <w:r>
        <w:rPr>
          <w:rFonts w:hint="eastAsia" w:ascii="宋体" w:hAnsi="宋体" w:eastAsia="宋体" w:cs="宋体"/>
          <w:color w:val="auto"/>
          <w:spacing w:val="-3"/>
          <w:sz w:val="24"/>
          <w:szCs w:val="24"/>
          <w:highlight w:val="none"/>
        </w:rPr>
        <w:t>）（签字、签章或印鉴）：</w:t>
      </w:r>
    </w:p>
    <w:p w14:paraId="2C32330D">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p>
    <w:p w14:paraId="73B4BFF0">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BA5B61B">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p>
    <w:p w14:paraId="6CEB46D3">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603B7736">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r>
    </w:p>
    <w:p w14:paraId="174994C4">
      <w:pPr>
        <w:keepNext/>
        <w:keepLines/>
        <w:pBdr>
          <w:top w:val="none" w:color="auto" w:sz="0" w:space="1"/>
          <w:left w:val="none" w:color="auto" w:sz="0" w:space="4"/>
          <w:bottom w:val="none" w:color="auto" w:sz="0" w:space="1"/>
          <w:right w:val="none" w:color="auto" w:sz="0" w:space="4"/>
        </w:pBdr>
        <w:spacing w:before="260" w:after="260" w:line="360" w:lineRule="auto"/>
        <w:jc w:val="left"/>
        <w:outlineLvl w:val="1"/>
        <w:rPr>
          <w:rFonts w:hint="eastAsia" w:ascii="宋体" w:hAnsi="宋体" w:eastAsia="宋体" w:cs="宋体"/>
          <w:b/>
          <w:i/>
          <w:color w:val="auto"/>
          <w:sz w:val="32"/>
          <w:szCs w:val="32"/>
          <w:highlight w:val="none"/>
          <w:u w:val="single"/>
        </w:rPr>
      </w:pPr>
      <w:r>
        <w:rPr>
          <w:rFonts w:hint="eastAsia" w:ascii="宋体" w:hAnsi="宋体" w:eastAsia="宋体" w:cs="宋体"/>
          <w:i/>
          <w:iCs/>
          <w:color w:val="auto"/>
          <w:sz w:val="36"/>
          <w:highlight w:val="none"/>
          <w:u w:val="single"/>
        </w:rPr>
        <w:t>十、投标函</w:t>
      </w:r>
    </w:p>
    <w:p w14:paraId="0E5B7F75">
      <w:pPr>
        <w:pBdr>
          <w:top w:val="none" w:color="auto" w:sz="0" w:space="1"/>
          <w:left w:val="none" w:color="auto" w:sz="0" w:space="4"/>
          <w:bottom w:val="none" w:color="auto" w:sz="0" w:space="1"/>
          <w:right w:val="none" w:color="auto" w:sz="0" w:space="4"/>
        </w:pBdr>
        <w:tabs>
          <w:tab w:val="left" w:pos="36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投标函</w:t>
      </w:r>
    </w:p>
    <w:p w14:paraId="2228E0B2">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致：采购人</w:t>
      </w:r>
    </w:p>
    <w:p w14:paraId="287BD2E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根据贵方的JSZC-_________________号招标文件，正式授权下述签字人_________________(姓名)代表我方______________（供应商的名称），全权处理本次项目投标的有关事宜。</w:t>
      </w:r>
    </w:p>
    <w:p w14:paraId="7551573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据此函，__________签字人兹宣布同意如下：</w:t>
      </w:r>
    </w:p>
    <w:p w14:paraId="7B7B822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1.按招标文件规定的各项要求，向买方提供所需货物（包含与货物相关的工程、服务）。</w:t>
      </w:r>
    </w:p>
    <w:p w14:paraId="1D53FFB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2.我们完全理解贵方不一定将合同授予最低报价的供应商。</w:t>
      </w:r>
    </w:p>
    <w:p w14:paraId="7F069B8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3.我们已详细审核全部招标文件及其有效补充文件，我们知道必须放弃提出含糊不清或误解问题的权利。</w:t>
      </w:r>
    </w:p>
    <w:p w14:paraId="48C2173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4.我们同意从规定的开标日期起遵循本投标文件，并在规定的投标有效期期满之前均具有约束力。</w:t>
      </w:r>
    </w:p>
    <w:p w14:paraId="347A4A2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5.同意向贵方提供贵方可能另外要求的与投标有关的任何证据或资料，并保证我方已提供和将要提供的文件是真实的、准确的。</w:t>
      </w:r>
    </w:p>
    <w:p w14:paraId="533C469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6.一旦我方中标,我方将根据招标文件的规定，严格履行合同的责任和义务,并保证在招标文件规定的时间完成项目，交付买方验收、使用。</w:t>
      </w:r>
    </w:p>
    <w:p w14:paraId="028C159E">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7.与本投标有关的正式通讯地址为：</w:t>
      </w:r>
    </w:p>
    <w:p w14:paraId="75D8B774">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地        址：</w:t>
      </w:r>
    </w:p>
    <w:p w14:paraId="313F920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邮        编：</w:t>
      </w:r>
    </w:p>
    <w:p w14:paraId="10A30FB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电        话：</w:t>
      </w:r>
    </w:p>
    <w:p w14:paraId="1F8DA3B1">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传        真：</w:t>
      </w:r>
    </w:p>
    <w:p w14:paraId="41CA5DB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供应商开户行：</w:t>
      </w:r>
    </w:p>
    <w:p w14:paraId="7738B47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p>
    <w:p w14:paraId="3CC5065D">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05202A82">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6782F7A3">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供应商（盖章）：</w:t>
      </w:r>
    </w:p>
    <w:p w14:paraId="0ADDBF2F">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40B571D7">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61D5152">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1E59A6C7">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0426CF69">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color w:val="auto"/>
          <w:sz w:val="36"/>
          <w:highlight w:val="none"/>
        </w:rPr>
      </w:pPr>
      <w:r>
        <w:rPr>
          <w:rFonts w:hint="eastAsia" w:ascii="宋体" w:hAnsi="宋体" w:eastAsia="宋体" w:cs="宋体"/>
          <w:color w:val="auto"/>
          <w:sz w:val="36"/>
          <w:highlight w:val="none"/>
        </w:rPr>
        <w:t>十一、中小企业声明函（货物）（分包号：**）</w:t>
      </w:r>
    </w:p>
    <w:p w14:paraId="72951F09">
      <w:pPr>
        <w:pBdr>
          <w:top w:val="none" w:color="auto" w:sz="0" w:space="1"/>
          <w:left w:val="none" w:color="auto" w:sz="0" w:space="4"/>
          <w:bottom w:val="none" w:color="auto" w:sz="0" w:space="1"/>
          <w:right w:val="none" w:color="auto" w:sz="0" w:space="4"/>
        </w:pBdr>
        <w:tabs>
          <w:tab w:val="left" w:pos="36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中小企业声明函</w:t>
      </w:r>
    </w:p>
    <w:p w14:paraId="09F2F4AF">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05D175F1">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35A83B44">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44B7FDB1">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1F99AD0">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570F0F0">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AC85489">
      <w:pPr>
        <w:pBdr>
          <w:top w:val="none" w:color="auto" w:sz="0" w:space="1"/>
          <w:left w:val="none" w:color="auto" w:sz="0" w:space="4"/>
          <w:bottom w:val="none" w:color="auto" w:sz="0" w:space="1"/>
          <w:right w:val="none" w:color="auto" w:sz="0" w:space="4"/>
        </w:pBdr>
        <w:spacing w:line="360" w:lineRule="auto"/>
        <w:ind w:right="1620"/>
        <w:rPr>
          <w:rFonts w:hint="eastAsia" w:ascii="宋体" w:hAnsi="宋体" w:eastAsia="宋体" w:cs="宋体"/>
          <w:color w:val="auto"/>
          <w:sz w:val="24"/>
          <w:szCs w:val="24"/>
          <w:highlight w:val="none"/>
        </w:rPr>
      </w:pPr>
    </w:p>
    <w:p w14:paraId="74E1B1D5">
      <w:pPr>
        <w:pBdr>
          <w:top w:val="none" w:color="auto" w:sz="0" w:space="1"/>
          <w:left w:val="none" w:color="auto" w:sz="0" w:space="4"/>
          <w:bottom w:val="none" w:color="auto" w:sz="0" w:space="1"/>
          <w:right w:val="none" w:color="auto" w:sz="0" w:space="4"/>
        </w:pBdr>
        <w:spacing w:line="360" w:lineRule="auto"/>
        <w:ind w:right="162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3607DB72">
      <w:pPr>
        <w:pBdr>
          <w:top w:val="none" w:color="auto" w:sz="0" w:space="1"/>
          <w:left w:val="none" w:color="auto" w:sz="0" w:space="4"/>
          <w:bottom w:val="none" w:color="auto" w:sz="0" w:space="1"/>
          <w:right w:val="none" w:color="auto" w:sz="0" w:space="4"/>
        </w:pBdr>
        <w:spacing w:line="360" w:lineRule="auto"/>
        <w:ind w:right="114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4BC504E">
      <w:pPr>
        <w:pBdr>
          <w:top w:val="none" w:color="auto" w:sz="0" w:space="1"/>
          <w:left w:val="none" w:color="auto" w:sz="0" w:space="4"/>
          <w:bottom w:val="none" w:color="auto" w:sz="0" w:space="1"/>
          <w:right w:val="none" w:color="auto" w:sz="0" w:space="4"/>
        </w:pBdr>
        <w:spacing w:line="360" w:lineRule="auto"/>
        <w:ind w:right="480"/>
        <w:jc w:val="left"/>
        <w:rPr>
          <w:rFonts w:hint="eastAsia" w:ascii="宋体" w:hAnsi="宋体" w:eastAsia="宋体" w:cs="宋体"/>
          <w:color w:val="auto"/>
          <w:sz w:val="24"/>
          <w:szCs w:val="24"/>
          <w:highlight w:val="none"/>
        </w:rPr>
      </w:pPr>
    </w:p>
    <w:p w14:paraId="34CE0A06">
      <w:pPr>
        <w:pBdr>
          <w:top w:val="none" w:color="auto" w:sz="0" w:space="1"/>
          <w:left w:val="none" w:color="auto" w:sz="0" w:space="4"/>
          <w:bottom w:val="none" w:color="auto" w:sz="0" w:space="1"/>
          <w:right w:val="none" w:color="auto" w:sz="0" w:space="4"/>
        </w:pBdr>
        <w:spacing w:line="360" w:lineRule="auto"/>
        <w:ind w:right="480"/>
        <w:jc w:val="left"/>
        <w:rPr>
          <w:rFonts w:hint="eastAsia" w:ascii="宋体" w:hAnsi="宋体" w:eastAsia="宋体" w:cs="宋体"/>
          <w:color w:val="auto"/>
          <w:sz w:val="24"/>
          <w:szCs w:val="24"/>
          <w:highlight w:val="none"/>
        </w:rPr>
      </w:pPr>
    </w:p>
    <w:p w14:paraId="7326FE85">
      <w:pPr>
        <w:pBdr>
          <w:top w:val="none" w:color="auto" w:sz="0" w:space="1"/>
          <w:left w:val="none" w:color="auto" w:sz="0" w:space="4"/>
          <w:bottom w:val="none" w:color="auto" w:sz="0" w:space="1"/>
          <w:right w:val="none" w:color="auto" w:sz="0" w:space="4"/>
        </w:pBdr>
        <w:spacing w:line="360" w:lineRule="auto"/>
        <w:ind w:right="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填报说明：</w:t>
      </w:r>
    </w:p>
    <w:p w14:paraId="77DCDA16">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41D1D6F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2、请供应商如实填写，所填内容须与投标分项报价表一致，如填写不完整或不一致或填写有误，将承担一切不利后果。</w:t>
      </w:r>
    </w:p>
    <w:p w14:paraId="08E0032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3、中标人的《中小企业声明函》随中标结果公开，接受社会监督。</w:t>
      </w:r>
    </w:p>
    <w:p w14:paraId="4AE472FD">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46517091">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146984A3">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color w:val="auto"/>
          <w:sz w:val="36"/>
          <w:highlight w:val="none"/>
        </w:rPr>
      </w:pPr>
      <w:r>
        <w:rPr>
          <w:rFonts w:hint="eastAsia" w:ascii="宋体" w:hAnsi="宋体" w:eastAsia="宋体" w:cs="宋体"/>
          <w:color w:val="auto"/>
          <w:sz w:val="36"/>
          <w:highlight w:val="none"/>
        </w:rPr>
        <w:t>十二、残疾人福利性单位声明函（分包号：**）</w:t>
      </w:r>
    </w:p>
    <w:p w14:paraId="6D481843">
      <w:pPr>
        <w:pBdr>
          <w:top w:val="none" w:color="auto" w:sz="0" w:space="1"/>
          <w:left w:val="none" w:color="auto" w:sz="0" w:space="4"/>
          <w:bottom w:val="none" w:color="auto" w:sz="0" w:space="1"/>
          <w:right w:val="none" w:color="auto" w:sz="0" w:space="4"/>
        </w:pBdr>
        <w:tabs>
          <w:tab w:val="left" w:pos="360"/>
        </w:tabs>
        <w:spacing w:line="360" w:lineRule="auto"/>
        <w:jc w:val="center"/>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残疾人福利性单位声明函</w:t>
      </w:r>
    </w:p>
    <w:p w14:paraId="7B1546E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〔2017〕</w:t>
      </w:r>
      <w:r>
        <w:rPr>
          <w:rFonts w:hint="eastAsia" w:ascii="宋体" w:hAnsi="宋体" w:eastAsia="宋体" w:cs="宋体"/>
          <w:color w:val="auto"/>
          <w:sz w:val="24"/>
          <w:szCs w:val="21"/>
          <w:highlight w:val="none"/>
        </w:rPr>
        <w:t>141号）的规定，本单位为符合条件的残疾人福利性单位，且本单位参加单位的项目（</w:t>
      </w:r>
      <w:r>
        <w:rPr>
          <w:rFonts w:hint="eastAsia" w:ascii="宋体" w:hAnsi="宋体" w:eastAsia="宋体" w:cs="宋体"/>
          <w:color w:val="auto"/>
          <w:sz w:val="24"/>
          <w:szCs w:val="24"/>
          <w:highlight w:val="none"/>
        </w:rPr>
        <w:t>项目编号：，分包号：</w:t>
      </w:r>
      <w:r>
        <w:rPr>
          <w:rFonts w:hint="eastAsia" w:ascii="宋体" w:hAnsi="宋体" w:eastAsia="宋体" w:cs="宋体"/>
          <w:color w:val="auto"/>
          <w:sz w:val="24"/>
          <w:szCs w:val="21"/>
          <w:highlight w:val="none"/>
        </w:rPr>
        <w:t>）采购活动提供本单位制造的货物，或者提供其他残疾人福利性单位制造的货物（不包括使用非残疾人福利性单位注册商标的货物）。相关企业的具体情况如下：</w:t>
      </w:r>
    </w:p>
    <w:p w14:paraId="6C32771B">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w:t>
      </w:r>
      <w:r>
        <w:rPr>
          <w:rFonts w:hint="eastAsia" w:ascii="宋体" w:hAnsi="宋体" w:eastAsia="宋体" w:cs="宋体"/>
          <w:color w:val="auto"/>
          <w:sz w:val="24"/>
          <w:szCs w:val="21"/>
          <w:highlight w:val="none"/>
          <w:u w:val="single"/>
        </w:rPr>
        <w:t>（标的名称）</w:t>
      </w:r>
      <w:r>
        <w:rPr>
          <w:rFonts w:hint="eastAsia" w:ascii="宋体" w:hAnsi="宋体" w:eastAsia="宋体" w:cs="宋体"/>
          <w:color w:val="auto"/>
          <w:sz w:val="24"/>
          <w:szCs w:val="21"/>
          <w:highlight w:val="none"/>
        </w:rPr>
        <w:t>，制造商为</w:t>
      </w:r>
      <w:r>
        <w:rPr>
          <w:rFonts w:hint="eastAsia" w:ascii="宋体" w:hAnsi="宋体" w:eastAsia="宋体" w:cs="宋体"/>
          <w:color w:val="auto"/>
          <w:sz w:val="24"/>
          <w:szCs w:val="21"/>
          <w:highlight w:val="none"/>
          <w:u w:val="single"/>
        </w:rPr>
        <w:t>（企业名称）</w:t>
      </w:r>
      <w:r>
        <w:rPr>
          <w:rFonts w:hint="eastAsia" w:ascii="宋体" w:hAnsi="宋体" w:eastAsia="宋体" w:cs="宋体"/>
          <w:color w:val="auto"/>
          <w:sz w:val="24"/>
          <w:szCs w:val="21"/>
          <w:highlight w:val="none"/>
        </w:rPr>
        <w:t xml:space="preserve">，属于残疾人福利性单位； </w:t>
      </w:r>
    </w:p>
    <w:p w14:paraId="17491F92">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w:t>
      </w:r>
      <w:r>
        <w:rPr>
          <w:rFonts w:hint="eastAsia" w:ascii="宋体" w:hAnsi="宋体" w:eastAsia="宋体" w:cs="宋体"/>
          <w:color w:val="auto"/>
          <w:sz w:val="24"/>
          <w:szCs w:val="21"/>
          <w:highlight w:val="none"/>
          <w:u w:val="single"/>
        </w:rPr>
        <w:t>（标的名称）</w:t>
      </w:r>
      <w:r>
        <w:rPr>
          <w:rFonts w:hint="eastAsia" w:ascii="宋体" w:hAnsi="宋体" w:eastAsia="宋体" w:cs="宋体"/>
          <w:color w:val="auto"/>
          <w:sz w:val="24"/>
          <w:szCs w:val="21"/>
          <w:highlight w:val="none"/>
        </w:rPr>
        <w:t>，制造商为</w:t>
      </w:r>
      <w:r>
        <w:rPr>
          <w:rFonts w:hint="eastAsia" w:ascii="宋体" w:hAnsi="宋体" w:eastAsia="宋体" w:cs="宋体"/>
          <w:color w:val="auto"/>
          <w:sz w:val="24"/>
          <w:szCs w:val="21"/>
          <w:highlight w:val="none"/>
          <w:u w:val="single"/>
        </w:rPr>
        <w:t>（企业名称）</w:t>
      </w:r>
      <w:r>
        <w:rPr>
          <w:rFonts w:hint="eastAsia" w:ascii="宋体" w:hAnsi="宋体" w:eastAsia="宋体" w:cs="宋体"/>
          <w:color w:val="auto"/>
          <w:sz w:val="24"/>
          <w:szCs w:val="21"/>
          <w:highlight w:val="none"/>
        </w:rPr>
        <w:t>，属于残疾人福利性单位；</w:t>
      </w:r>
    </w:p>
    <w:p w14:paraId="2D6D6570">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w:t>
      </w:r>
    </w:p>
    <w:p w14:paraId="0203DE4E">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本单位对上述声明的真实性负责。如有虚假，将依法承担相应责任。</w:t>
      </w:r>
    </w:p>
    <w:p w14:paraId="3328F141">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1"/>
          <w:highlight w:val="none"/>
        </w:rPr>
      </w:pPr>
    </w:p>
    <w:p w14:paraId="7710BF69">
      <w:pPr>
        <w:pBdr>
          <w:top w:val="none" w:color="auto" w:sz="0" w:space="1"/>
          <w:left w:val="none" w:color="auto" w:sz="0" w:space="4"/>
          <w:bottom w:val="none" w:color="auto" w:sz="0" w:space="1"/>
          <w:right w:val="none" w:color="auto" w:sz="0" w:space="4"/>
        </w:pBdr>
        <w:spacing w:line="360" w:lineRule="auto"/>
        <w:ind w:right="162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单位名称（盖章）：</w:t>
      </w:r>
    </w:p>
    <w:p w14:paraId="2029569F">
      <w:pPr>
        <w:pBdr>
          <w:top w:val="none" w:color="auto" w:sz="0" w:space="1"/>
          <w:left w:val="none" w:color="auto" w:sz="0" w:space="4"/>
          <w:bottom w:val="none" w:color="auto" w:sz="0" w:space="1"/>
          <w:right w:val="none" w:color="auto" w:sz="0" w:space="4"/>
        </w:pBdr>
        <w:spacing w:line="360" w:lineRule="auto"/>
        <w:ind w:right="1140" w:firstLine="28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6101D57">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46E00DE5">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16A4A76E">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填报说明：</w:t>
      </w:r>
    </w:p>
    <w:p w14:paraId="254FEB69">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color w:val="auto"/>
          <w:sz w:val="24"/>
          <w:szCs w:val="24"/>
          <w:highlight w:val="none"/>
        </w:rPr>
        <w:t>请供应商如实填写，所填内容须与投标分项报价表一致，如填写不完整或不一致或填写有误，将承担一切不利后果。</w:t>
      </w:r>
    </w:p>
    <w:p w14:paraId="2102D19C">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2、中标人的《残疾人福利性单位声明函》随中标结果公开</w:t>
      </w:r>
      <w:r>
        <w:rPr>
          <w:rFonts w:hint="eastAsia" w:ascii="宋体" w:hAnsi="宋体" w:eastAsia="宋体" w:cs="宋体"/>
          <w:color w:val="auto"/>
          <w:sz w:val="24"/>
          <w:szCs w:val="24"/>
          <w:highlight w:val="none"/>
        </w:rPr>
        <w:t>，接受社会监督</w:t>
      </w:r>
      <w:r>
        <w:rPr>
          <w:rFonts w:hint="eastAsia" w:ascii="宋体" w:hAnsi="宋体" w:eastAsia="宋体" w:cs="宋体"/>
          <w:bCs/>
          <w:color w:val="auto"/>
          <w:sz w:val="24"/>
          <w:szCs w:val="24"/>
          <w:highlight w:val="none"/>
        </w:rPr>
        <w:t>。</w:t>
      </w:r>
    </w:p>
    <w:p w14:paraId="314B54D6">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14ECE8F3">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546AE9AD">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066C3C1C">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r>
    </w:p>
    <w:p w14:paraId="48DD6AA9">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color w:val="auto"/>
          <w:sz w:val="36"/>
          <w:highlight w:val="none"/>
        </w:rPr>
      </w:pPr>
      <w:r>
        <w:rPr>
          <w:rFonts w:hint="eastAsia" w:ascii="宋体" w:hAnsi="宋体" w:eastAsia="宋体" w:cs="宋体"/>
          <w:color w:val="auto"/>
          <w:sz w:val="36"/>
          <w:highlight w:val="none"/>
        </w:rPr>
        <w:t>十三、联合体协议（参考格式）（分包号：**）</w:t>
      </w:r>
    </w:p>
    <w:p w14:paraId="123C7A4D">
      <w:pPr>
        <w:pBdr>
          <w:top w:val="none" w:color="auto" w:sz="0" w:space="1"/>
          <w:left w:val="none" w:color="auto" w:sz="0" w:space="4"/>
          <w:bottom w:val="none" w:color="auto" w:sz="0" w:space="1"/>
          <w:right w:val="none" w:color="auto" w:sz="0" w:space="4"/>
        </w:pBdr>
        <w:tabs>
          <w:tab w:val="left" w:pos="360"/>
        </w:tabs>
        <w:spacing w:line="360" w:lineRule="auto"/>
        <w:jc w:val="center"/>
        <w:rPr>
          <w:rFonts w:hint="eastAsia" w:ascii="宋体" w:hAnsi="宋体" w:eastAsia="宋体" w:cs="宋体"/>
          <w:color w:val="auto"/>
          <w:sz w:val="24"/>
          <w:szCs w:val="21"/>
          <w:highlight w:val="none"/>
          <w:u w:val="single"/>
        </w:rPr>
      </w:pPr>
      <w:r>
        <w:rPr>
          <w:rFonts w:hint="eastAsia" w:ascii="宋体" w:hAnsi="宋体" w:eastAsia="宋体" w:cs="宋体"/>
          <w:bCs/>
          <w:color w:val="auto"/>
          <w:sz w:val="36"/>
          <w:szCs w:val="28"/>
          <w:highlight w:val="none"/>
        </w:rPr>
        <w:t>联合体协议</w:t>
      </w:r>
    </w:p>
    <w:p w14:paraId="7D0BA2BB">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（联合体中各供应商全称）</w:t>
      </w:r>
      <w:r>
        <w:rPr>
          <w:rFonts w:hint="eastAsia" w:ascii="宋体" w:hAnsi="宋体" w:eastAsia="宋体" w:cs="宋体"/>
          <w:color w:val="auto"/>
          <w:sz w:val="24"/>
          <w:szCs w:val="21"/>
          <w:highlight w:val="none"/>
        </w:rPr>
        <w:t>在此达成以下协议：</w:t>
      </w:r>
    </w:p>
    <w:p w14:paraId="3BA5067F">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1、我们</w:t>
      </w:r>
      <w:r>
        <w:rPr>
          <w:rFonts w:hint="eastAsia" w:ascii="宋体" w:hAnsi="宋体" w:eastAsia="宋体" w:cs="宋体"/>
          <w:color w:val="auto"/>
          <w:sz w:val="24"/>
          <w:szCs w:val="21"/>
          <w:highlight w:val="none"/>
          <w:u w:val="single"/>
        </w:rPr>
        <w:t xml:space="preserve"> （供应商1），（供应商2） ，……</w:t>
      </w:r>
      <w:r>
        <w:rPr>
          <w:rFonts w:hint="eastAsia" w:ascii="宋体" w:hAnsi="宋体" w:eastAsia="宋体" w:cs="宋体"/>
          <w:color w:val="auto"/>
          <w:sz w:val="24"/>
          <w:szCs w:val="21"/>
          <w:highlight w:val="none"/>
        </w:rPr>
        <w:t>自愿组成联合体，参加</w:t>
      </w:r>
      <w:r>
        <w:rPr>
          <w:rFonts w:hint="eastAsia" w:ascii="宋体" w:hAnsi="宋体" w:cs="宋体"/>
          <w:color w:val="auto"/>
          <w:sz w:val="24"/>
          <w:szCs w:val="21"/>
          <w:highlight w:val="none"/>
          <w:lang w:eastAsia="zh-CN"/>
        </w:rPr>
        <w:t>连云港市计量检定测试中心</w:t>
      </w:r>
      <w:r>
        <w:rPr>
          <w:rFonts w:hint="eastAsia" w:ascii="宋体" w:hAnsi="宋体" w:eastAsia="宋体" w:cs="宋体"/>
          <w:color w:val="auto"/>
          <w:sz w:val="24"/>
          <w:szCs w:val="21"/>
          <w:highlight w:val="none"/>
        </w:rPr>
        <w:t>组织的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（项目编号：，分包号：）</w:t>
      </w:r>
      <w:r>
        <w:rPr>
          <w:rFonts w:hint="eastAsia" w:ascii="宋体" w:hAnsi="宋体" w:eastAsia="宋体" w:cs="宋体"/>
          <w:color w:val="auto"/>
          <w:sz w:val="24"/>
          <w:szCs w:val="21"/>
          <w:highlight w:val="none"/>
        </w:rPr>
        <w:t>的政府采购活动，我联合体指定</w:t>
      </w:r>
      <w:r>
        <w:rPr>
          <w:rFonts w:hint="eastAsia" w:ascii="宋体" w:hAnsi="宋体" w:eastAsia="宋体" w:cs="宋体"/>
          <w:color w:val="auto"/>
          <w:sz w:val="24"/>
          <w:szCs w:val="21"/>
          <w:highlight w:val="none"/>
          <w:u w:val="single"/>
        </w:rPr>
        <w:t>（供应商*）</w:t>
      </w:r>
      <w:r>
        <w:rPr>
          <w:rFonts w:hint="eastAsia" w:ascii="宋体" w:hAnsi="宋体" w:eastAsia="宋体" w:cs="宋体"/>
          <w:color w:val="auto"/>
          <w:sz w:val="24"/>
          <w:szCs w:val="21"/>
          <w:highlight w:val="none"/>
        </w:rPr>
        <w:t>为牵头单位（牵头单位必须为联合体成员）。</w:t>
      </w:r>
    </w:p>
    <w:p w14:paraId="39B741FA">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2、若我们联合中标、成交，</w:t>
      </w:r>
      <w:r>
        <w:rPr>
          <w:rFonts w:hint="eastAsia" w:ascii="宋体" w:hAnsi="宋体" w:eastAsia="宋体" w:cs="宋体"/>
          <w:color w:val="auto"/>
          <w:sz w:val="24"/>
          <w:szCs w:val="21"/>
          <w:highlight w:val="none"/>
          <w:u w:val="single"/>
        </w:rPr>
        <w:t>（供应商单位1全称）</w:t>
      </w:r>
      <w:r>
        <w:rPr>
          <w:rFonts w:hint="eastAsia" w:ascii="宋体" w:hAnsi="宋体" w:eastAsia="宋体" w:cs="宋体"/>
          <w:color w:val="auto"/>
          <w:sz w:val="24"/>
          <w:szCs w:val="21"/>
          <w:highlight w:val="none"/>
        </w:rPr>
        <w:t>实施项目中</w:t>
      </w:r>
      <w:r>
        <w:rPr>
          <w:rFonts w:hint="eastAsia" w:ascii="宋体" w:hAnsi="宋体" w:eastAsia="宋体" w:cs="宋体"/>
          <w:color w:val="auto"/>
          <w:sz w:val="24"/>
          <w:szCs w:val="21"/>
          <w:highlight w:val="none"/>
          <w:u w:val="single"/>
        </w:rPr>
        <w:t>（工作内容）</w:t>
      </w:r>
      <w:r>
        <w:rPr>
          <w:rFonts w:hint="eastAsia" w:ascii="宋体" w:hAnsi="宋体" w:eastAsia="宋体" w:cs="宋体"/>
          <w:color w:val="auto"/>
          <w:sz w:val="24"/>
          <w:szCs w:val="21"/>
          <w:highlight w:val="none"/>
        </w:rPr>
        <w:t>部分工作，并承担相应的责任。</w:t>
      </w:r>
      <w:r>
        <w:rPr>
          <w:rFonts w:hint="eastAsia" w:ascii="宋体" w:hAnsi="宋体" w:eastAsia="宋体" w:cs="宋体"/>
          <w:color w:val="auto"/>
          <w:sz w:val="24"/>
          <w:szCs w:val="21"/>
          <w:highlight w:val="none"/>
          <w:u w:val="single"/>
        </w:rPr>
        <w:t>（供应商单位2全称）</w:t>
      </w:r>
      <w:r>
        <w:rPr>
          <w:rFonts w:hint="eastAsia" w:ascii="宋体" w:hAnsi="宋体" w:eastAsia="宋体" w:cs="宋体"/>
          <w:color w:val="auto"/>
          <w:sz w:val="24"/>
          <w:szCs w:val="21"/>
          <w:highlight w:val="none"/>
        </w:rPr>
        <w:t>实施项目中</w:t>
      </w:r>
      <w:r>
        <w:rPr>
          <w:rFonts w:hint="eastAsia" w:ascii="宋体" w:hAnsi="宋体" w:eastAsia="宋体" w:cs="宋体"/>
          <w:color w:val="auto"/>
          <w:sz w:val="24"/>
          <w:szCs w:val="21"/>
          <w:highlight w:val="none"/>
          <w:u w:val="single"/>
        </w:rPr>
        <w:t>（工作内容）</w:t>
      </w:r>
      <w:r>
        <w:rPr>
          <w:rFonts w:hint="eastAsia" w:ascii="宋体" w:hAnsi="宋体" w:eastAsia="宋体" w:cs="宋体"/>
          <w:color w:val="auto"/>
          <w:sz w:val="24"/>
          <w:szCs w:val="21"/>
          <w:highlight w:val="none"/>
        </w:rPr>
        <w:t>部分工作，并承担相应的责任……。（注：联合体中各供应商都应明示所承担的工作和相应的责任）。</w:t>
      </w:r>
    </w:p>
    <w:p w14:paraId="2F4D4E93">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3、其中（小型、微型企业/残疾人福利性单位/监狱企业全称）为（小型、微型企业/残疾人福利性单位/监狱企业）企业，且我们约定该公司/单位所承担的合同金额将占本项目合同总金额的%。（可选）</w:t>
      </w:r>
    </w:p>
    <w:p w14:paraId="4F085AB6">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1"/>
          <w:highlight w:val="none"/>
        </w:rPr>
      </w:pPr>
    </w:p>
    <w:p w14:paraId="6FE2E16E">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1"/>
          <w:highlight w:val="none"/>
        </w:rPr>
      </w:pPr>
    </w:p>
    <w:p w14:paraId="26CE9871">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供应商1全称（公章）：</w:t>
      </w:r>
    </w:p>
    <w:p w14:paraId="7ED6034B">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法定代表人（单位负责人）或委托代理人（签字或盖章）：</w:t>
      </w:r>
    </w:p>
    <w:p w14:paraId="4C80AE07">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     年   月   日</w:t>
      </w:r>
    </w:p>
    <w:p w14:paraId="671B34D4">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p>
    <w:p w14:paraId="7F531BF2">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供应商2全称（公章）：</w:t>
      </w:r>
    </w:p>
    <w:p w14:paraId="1C8131AD">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法定代表人（单位负责人）或委托代理人（签字或盖章）：</w:t>
      </w:r>
    </w:p>
    <w:p w14:paraId="7838AA80">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     年   月   日</w:t>
      </w:r>
    </w:p>
    <w:p w14:paraId="7C73F3BC">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p>
    <w:p w14:paraId="6065DCF9">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B0F5600">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p>
    <w:p w14:paraId="66783197">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szCs w:val="21"/>
          <w:highlight w:val="none"/>
        </w:rPr>
        <w:t>备注：本招标文件中要求加盖公章的内容，仅需加盖牵头单位的公章。</w:t>
      </w:r>
    </w:p>
    <w:p w14:paraId="5D3E64ED">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r>
    </w:p>
    <w:p w14:paraId="3F855A86">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十四、投标分项报价表（分包号：**）</w:t>
      </w:r>
    </w:p>
    <w:p w14:paraId="203E7A4D">
      <w:pPr>
        <w:pBdr>
          <w:top w:val="none" w:color="auto" w:sz="0" w:space="1"/>
          <w:left w:val="none" w:color="auto" w:sz="0" w:space="4"/>
          <w:bottom w:val="none" w:color="auto" w:sz="0" w:space="1"/>
          <w:right w:val="none" w:color="auto" w:sz="0" w:space="4"/>
        </w:pBd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投标分项报价表</w:t>
      </w:r>
    </w:p>
    <w:p w14:paraId="345F7249">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项目名称：      项目编号：      分包号：</w:t>
      </w:r>
    </w:p>
    <w:p w14:paraId="1DE47213">
      <w:pPr>
        <w:pBdr>
          <w:top w:val="none" w:color="auto" w:sz="0" w:space="1"/>
          <w:left w:val="none" w:color="auto" w:sz="0" w:space="4"/>
          <w:bottom w:val="none" w:color="auto" w:sz="0" w:space="1"/>
          <w:right w:val="none" w:color="auto" w:sz="0" w:space="4"/>
        </w:pBdr>
        <w:spacing w:line="360" w:lineRule="auto"/>
        <w:jc w:val="right"/>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单位：元</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1204"/>
        <w:gridCol w:w="663"/>
        <w:gridCol w:w="794"/>
        <w:gridCol w:w="701"/>
        <w:gridCol w:w="607"/>
        <w:gridCol w:w="513"/>
        <w:gridCol w:w="701"/>
        <w:gridCol w:w="701"/>
        <w:gridCol w:w="1120"/>
        <w:gridCol w:w="980"/>
      </w:tblGrid>
      <w:tr w14:paraId="2521C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521" w:type="dxa"/>
            <w:noWrap/>
            <w:vAlign w:val="center"/>
          </w:tcPr>
          <w:p w14:paraId="02344512">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序号</w:t>
            </w:r>
          </w:p>
        </w:tc>
        <w:tc>
          <w:tcPr>
            <w:tcW w:w="1204" w:type="dxa"/>
            <w:noWrap w:val="0"/>
            <w:vAlign w:val="center"/>
          </w:tcPr>
          <w:p w14:paraId="6064CA38">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货物（标的）名称</w:t>
            </w:r>
          </w:p>
        </w:tc>
        <w:tc>
          <w:tcPr>
            <w:tcW w:w="663" w:type="dxa"/>
            <w:noWrap w:val="0"/>
            <w:vAlign w:val="center"/>
          </w:tcPr>
          <w:p w14:paraId="56F415C6">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品牌</w:t>
            </w:r>
          </w:p>
        </w:tc>
        <w:tc>
          <w:tcPr>
            <w:tcW w:w="794" w:type="dxa"/>
            <w:noWrap w:val="0"/>
            <w:vAlign w:val="center"/>
          </w:tcPr>
          <w:p w14:paraId="676DBA7B">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规格型号</w:t>
            </w:r>
          </w:p>
        </w:tc>
        <w:tc>
          <w:tcPr>
            <w:tcW w:w="701" w:type="dxa"/>
            <w:noWrap w:val="0"/>
            <w:vAlign w:val="center"/>
          </w:tcPr>
          <w:p w14:paraId="711CA7AD">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制造商</w:t>
            </w:r>
          </w:p>
        </w:tc>
        <w:tc>
          <w:tcPr>
            <w:tcW w:w="1120" w:type="dxa"/>
            <w:gridSpan w:val="2"/>
            <w:noWrap w:val="0"/>
            <w:vAlign w:val="center"/>
          </w:tcPr>
          <w:p w14:paraId="679180D0">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制造商企业类型</w:t>
            </w:r>
          </w:p>
        </w:tc>
        <w:tc>
          <w:tcPr>
            <w:tcW w:w="701" w:type="dxa"/>
            <w:noWrap w:val="0"/>
            <w:vAlign w:val="center"/>
          </w:tcPr>
          <w:p w14:paraId="4520ACDD">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单价</w:t>
            </w:r>
          </w:p>
        </w:tc>
        <w:tc>
          <w:tcPr>
            <w:tcW w:w="701" w:type="dxa"/>
            <w:noWrap w:val="0"/>
            <w:vAlign w:val="center"/>
          </w:tcPr>
          <w:p w14:paraId="22B8412E">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数量</w:t>
            </w:r>
          </w:p>
        </w:tc>
        <w:tc>
          <w:tcPr>
            <w:tcW w:w="1120" w:type="dxa"/>
            <w:noWrap w:val="0"/>
            <w:vAlign w:val="center"/>
          </w:tcPr>
          <w:p w14:paraId="0F2BEE31">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计量单位</w:t>
            </w:r>
          </w:p>
        </w:tc>
        <w:tc>
          <w:tcPr>
            <w:tcW w:w="980" w:type="dxa"/>
            <w:noWrap w:val="0"/>
            <w:vAlign w:val="center"/>
          </w:tcPr>
          <w:p w14:paraId="67A55E8A">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单项合计价</w:t>
            </w:r>
          </w:p>
        </w:tc>
      </w:tr>
      <w:tr w14:paraId="71915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21" w:type="dxa"/>
            <w:noWrap/>
            <w:vAlign w:val="center"/>
          </w:tcPr>
          <w:p w14:paraId="50E57F4A">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204" w:type="dxa"/>
            <w:noWrap/>
            <w:vAlign w:val="center"/>
          </w:tcPr>
          <w:p w14:paraId="239045ED">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663" w:type="dxa"/>
            <w:noWrap/>
            <w:vAlign w:val="center"/>
          </w:tcPr>
          <w:p w14:paraId="2F2F1CD9">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94" w:type="dxa"/>
            <w:noWrap/>
            <w:vAlign w:val="center"/>
          </w:tcPr>
          <w:p w14:paraId="76E791E0">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01" w:type="dxa"/>
            <w:noWrap/>
            <w:vAlign w:val="center"/>
          </w:tcPr>
          <w:p w14:paraId="162D0445">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1120" w:type="dxa"/>
            <w:gridSpan w:val="2"/>
            <w:noWrap/>
            <w:vAlign w:val="center"/>
          </w:tcPr>
          <w:p w14:paraId="70D60293">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01" w:type="dxa"/>
            <w:noWrap w:val="0"/>
            <w:vAlign w:val="center"/>
          </w:tcPr>
          <w:p w14:paraId="7819DA24">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01" w:type="dxa"/>
            <w:noWrap/>
            <w:vAlign w:val="center"/>
          </w:tcPr>
          <w:p w14:paraId="6E782F17">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1120" w:type="dxa"/>
            <w:noWrap/>
            <w:vAlign w:val="center"/>
          </w:tcPr>
          <w:p w14:paraId="0A6A9E5B">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980" w:type="dxa"/>
            <w:noWrap/>
            <w:vAlign w:val="center"/>
          </w:tcPr>
          <w:p w14:paraId="3AB36243">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r>
      <w:tr w14:paraId="62D49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21" w:type="dxa"/>
            <w:noWrap/>
            <w:vAlign w:val="center"/>
          </w:tcPr>
          <w:p w14:paraId="5534B66B">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204" w:type="dxa"/>
            <w:noWrap/>
            <w:vAlign w:val="center"/>
          </w:tcPr>
          <w:p w14:paraId="466D2975">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663" w:type="dxa"/>
            <w:noWrap/>
            <w:vAlign w:val="center"/>
          </w:tcPr>
          <w:p w14:paraId="78242B77">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94" w:type="dxa"/>
            <w:noWrap/>
            <w:vAlign w:val="center"/>
          </w:tcPr>
          <w:p w14:paraId="1A16280F">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01" w:type="dxa"/>
            <w:noWrap/>
            <w:vAlign w:val="center"/>
          </w:tcPr>
          <w:p w14:paraId="1257EF40">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1120" w:type="dxa"/>
            <w:gridSpan w:val="2"/>
            <w:noWrap/>
            <w:vAlign w:val="center"/>
          </w:tcPr>
          <w:p w14:paraId="04D92F41">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01" w:type="dxa"/>
            <w:noWrap w:val="0"/>
            <w:vAlign w:val="center"/>
          </w:tcPr>
          <w:p w14:paraId="01FC2666">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01" w:type="dxa"/>
            <w:noWrap/>
            <w:vAlign w:val="center"/>
          </w:tcPr>
          <w:p w14:paraId="66C121C1">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1120" w:type="dxa"/>
            <w:noWrap/>
            <w:vAlign w:val="center"/>
          </w:tcPr>
          <w:p w14:paraId="45010CB0">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980" w:type="dxa"/>
            <w:noWrap/>
            <w:vAlign w:val="center"/>
          </w:tcPr>
          <w:p w14:paraId="24009955">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r>
      <w:tr w14:paraId="26FB0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21" w:type="dxa"/>
            <w:noWrap/>
            <w:vAlign w:val="center"/>
          </w:tcPr>
          <w:p w14:paraId="24960980">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204" w:type="dxa"/>
            <w:noWrap/>
            <w:vAlign w:val="center"/>
          </w:tcPr>
          <w:p w14:paraId="74C2AF46">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663" w:type="dxa"/>
            <w:noWrap/>
            <w:vAlign w:val="center"/>
          </w:tcPr>
          <w:p w14:paraId="1AE60FE5">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94" w:type="dxa"/>
            <w:noWrap/>
            <w:vAlign w:val="center"/>
          </w:tcPr>
          <w:p w14:paraId="0D32AEF9">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01" w:type="dxa"/>
            <w:noWrap/>
            <w:vAlign w:val="center"/>
          </w:tcPr>
          <w:p w14:paraId="6F903782">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1120" w:type="dxa"/>
            <w:gridSpan w:val="2"/>
            <w:noWrap/>
            <w:vAlign w:val="center"/>
          </w:tcPr>
          <w:p w14:paraId="4621BE05">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01" w:type="dxa"/>
            <w:noWrap w:val="0"/>
            <w:vAlign w:val="center"/>
          </w:tcPr>
          <w:p w14:paraId="63058503">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01" w:type="dxa"/>
            <w:noWrap/>
            <w:vAlign w:val="center"/>
          </w:tcPr>
          <w:p w14:paraId="426F77CE">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1120" w:type="dxa"/>
            <w:noWrap/>
            <w:vAlign w:val="center"/>
          </w:tcPr>
          <w:p w14:paraId="1DB2DBCB">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980" w:type="dxa"/>
            <w:noWrap/>
            <w:vAlign w:val="center"/>
          </w:tcPr>
          <w:p w14:paraId="593798BB">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r>
      <w:tr w14:paraId="02082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21" w:type="dxa"/>
            <w:noWrap/>
            <w:vAlign w:val="center"/>
          </w:tcPr>
          <w:p w14:paraId="470E75D5">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tc>
        <w:tc>
          <w:tcPr>
            <w:tcW w:w="1204" w:type="dxa"/>
            <w:noWrap/>
            <w:vAlign w:val="center"/>
          </w:tcPr>
          <w:p w14:paraId="781ECE73">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663" w:type="dxa"/>
            <w:noWrap/>
            <w:vAlign w:val="center"/>
          </w:tcPr>
          <w:p w14:paraId="03E1078C">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94" w:type="dxa"/>
            <w:noWrap/>
            <w:vAlign w:val="center"/>
          </w:tcPr>
          <w:p w14:paraId="2DA67E29">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01" w:type="dxa"/>
            <w:noWrap/>
            <w:vAlign w:val="center"/>
          </w:tcPr>
          <w:p w14:paraId="1AFAAE62">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1120" w:type="dxa"/>
            <w:gridSpan w:val="2"/>
            <w:noWrap/>
            <w:vAlign w:val="center"/>
          </w:tcPr>
          <w:p w14:paraId="67C218B8">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01" w:type="dxa"/>
            <w:noWrap/>
            <w:vAlign w:val="center"/>
          </w:tcPr>
          <w:p w14:paraId="64D97E9B">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701" w:type="dxa"/>
            <w:noWrap/>
            <w:vAlign w:val="center"/>
          </w:tcPr>
          <w:p w14:paraId="07F1FFB1">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1120" w:type="dxa"/>
            <w:noWrap/>
            <w:vAlign w:val="center"/>
          </w:tcPr>
          <w:p w14:paraId="11FD426B">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c>
          <w:tcPr>
            <w:tcW w:w="980" w:type="dxa"/>
            <w:noWrap/>
            <w:vAlign w:val="center"/>
          </w:tcPr>
          <w:p w14:paraId="2FFDE5B2">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r>
      <w:tr w14:paraId="60074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5672E537">
            <w:pPr>
              <w:widowControl/>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总计（元）</w:t>
            </w:r>
          </w:p>
        </w:tc>
        <w:tc>
          <w:tcPr>
            <w:tcW w:w="4015" w:type="dxa"/>
            <w:gridSpan w:val="5"/>
            <w:noWrap w:val="0"/>
            <w:vAlign w:val="center"/>
          </w:tcPr>
          <w:p w14:paraId="2FD65FAF">
            <w:pPr>
              <w:widowControl/>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p>
        </w:tc>
      </w:tr>
      <w:tr w14:paraId="5B8B9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505" w:type="dxa"/>
            <w:gridSpan w:val="11"/>
            <w:noWrap/>
            <w:vAlign w:val="center"/>
          </w:tcPr>
          <w:p w14:paraId="0308150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本采购包中提供的符合本国产品标准的产品成本之和占该采购包提供的全部产品成本之和的比例为</w:t>
            </w:r>
            <w:r>
              <w:rPr>
                <w:rFonts w:hint="eastAsia" w:ascii="宋体" w:hAnsi="宋体" w:eastAsia="宋体" w:cs="宋体"/>
                <w:color w:val="auto"/>
                <w:highlight w:val="none"/>
                <w:u w:val="single"/>
              </w:rPr>
              <w:t>    </w:t>
            </w:r>
            <w:r>
              <w:rPr>
                <w:rFonts w:hint="eastAsia" w:ascii="宋体" w:hAnsi="宋体" w:eastAsia="宋体" w:cs="宋体"/>
                <w:color w:val="auto"/>
                <w:highlight w:val="none"/>
              </w:rPr>
              <w:t>%。</w:t>
            </w:r>
          </w:p>
        </w:tc>
      </w:tr>
    </w:tbl>
    <w:p w14:paraId="555D19A2">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4"/>
          <w:highlight w:val="none"/>
        </w:rPr>
      </w:pPr>
    </w:p>
    <w:p w14:paraId="7A3DABEF">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供应商（盖章）：</w:t>
      </w:r>
    </w:p>
    <w:p w14:paraId="1762E701">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法定代表人（单位负责人）或委托代理人（签字或盖章）：</w:t>
      </w:r>
    </w:p>
    <w:p w14:paraId="6B3BC85A">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    年     月     日</w:t>
      </w:r>
    </w:p>
    <w:p w14:paraId="41B546E8">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0"/>
          <w:highlight w:val="none"/>
        </w:rPr>
      </w:pPr>
    </w:p>
    <w:p w14:paraId="78A0CB02">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填报说明：</w:t>
      </w:r>
    </w:p>
    <w:p w14:paraId="6CFCD59B">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1、“制造商企业类型”栏填写内容为“大型”“中型”“小型”“微型”“监狱企业”或“残疾人福利性单位”。</w:t>
      </w:r>
    </w:p>
    <w:p w14:paraId="2A30A44C">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2、以上报价包含货物费用、运杂费、安装施工费、集成费、税金和其他费用。</w:t>
      </w:r>
    </w:p>
    <w:p w14:paraId="5851940E">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3、请供应商如实、正确填写本表，所填内容将作为评审的依据，其内容应与对应的证明资料相符。</w:t>
      </w:r>
    </w:p>
    <w:p w14:paraId="24C94FD5">
      <w:pPr>
        <w:pBdr>
          <w:top w:val="none" w:color="auto" w:sz="0" w:space="1"/>
          <w:left w:val="none" w:color="auto" w:sz="0" w:space="4"/>
          <w:bottom w:val="none" w:color="auto" w:sz="0" w:space="1"/>
          <w:right w:val="none" w:color="auto" w:sz="0" w:space="4"/>
        </w:pBd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4、行数或事项不够，可自行增加。</w:t>
      </w:r>
    </w:p>
    <w:p w14:paraId="4F1910FF">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465C539B">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25634241">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r>
    </w:p>
    <w:p w14:paraId="0EFB86F9">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十五、技术要求响应及偏离表（分包号：**）</w:t>
      </w:r>
    </w:p>
    <w:p w14:paraId="73C8E73F">
      <w:pPr>
        <w:pBdr>
          <w:top w:val="none" w:color="auto" w:sz="0" w:space="1"/>
          <w:left w:val="none" w:color="auto" w:sz="0" w:space="4"/>
          <w:bottom w:val="none" w:color="auto" w:sz="0" w:space="1"/>
          <w:right w:val="none" w:color="auto" w:sz="0" w:space="4"/>
        </w:pBd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技术要求响应及偏离表</w:t>
      </w:r>
    </w:p>
    <w:p w14:paraId="5F19CF8C">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项目名称：      项目编号：      分包号：</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42410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0561A30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73" w:type="dxa"/>
            <w:noWrap w:val="0"/>
            <w:vAlign w:val="center"/>
          </w:tcPr>
          <w:p w14:paraId="5906711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3024" w:type="dxa"/>
            <w:noWrap w:val="0"/>
            <w:vAlign w:val="center"/>
          </w:tcPr>
          <w:p w14:paraId="681B019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399" w:type="dxa"/>
            <w:noWrap w:val="0"/>
            <w:vAlign w:val="center"/>
          </w:tcPr>
          <w:p w14:paraId="2BAC017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5CDCD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0EDBDB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273" w:type="dxa"/>
            <w:noWrap w:val="0"/>
            <w:vAlign w:val="center"/>
          </w:tcPr>
          <w:p w14:paraId="0F926B4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3024" w:type="dxa"/>
            <w:noWrap w:val="0"/>
            <w:vAlign w:val="center"/>
          </w:tcPr>
          <w:p w14:paraId="4ED74FE5">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399" w:type="dxa"/>
            <w:noWrap w:val="0"/>
            <w:vAlign w:val="center"/>
          </w:tcPr>
          <w:p w14:paraId="14387CEF">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r w14:paraId="5D9AD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F6430A5">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273" w:type="dxa"/>
            <w:noWrap w:val="0"/>
            <w:vAlign w:val="center"/>
          </w:tcPr>
          <w:p w14:paraId="7D8586F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3024" w:type="dxa"/>
            <w:noWrap w:val="0"/>
            <w:vAlign w:val="center"/>
          </w:tcPr>
          <w:p w14:paraId="6219C02C">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399" w:type="dxa"/>
            <w:noWrap w:val="0"/>
            <w:vAlign w:val="center"/>
          </w:tcPr>
          <w:p w14:paraId="3CE0938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r w14:paraId="00B08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BF7A8BF">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273" w:type="dxa"/>
            <w:noWrap w:val="0"/>
            <w:vAlign w:val="center"/>
          </w:tcPr>
          <w:p w14:paraId="11255D7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3024" w:type="dxa"/>
            <w:noWrap w:val="0"/>
            <w:vAlign w:val="center"/>
          </w:tcPr>
          <w:p w14:paraId="678FECE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399" w:type="dxa"/>
            <w:noWrap w:val="0"/>
            <w:vAlign w:val="center"/>
          </w:tcPr>
          <w:p w14:paraId="54038E38">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r w14:paraId="3AAB1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A6CF9A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273" w:type="dxa"/>
            <w:noWrap w:val="0"/>
            <w:vAlign w:val="center"/>
          </w:tcPr>
          <w:p w14:paraId="7883F82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3024" w:type="dxa"/>
            <w:noWrap w:val="0"/>
            <w:vAlign w:val="center"/>
          </w:tcPr>
          <w:p w14:paraId="0787D45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399" w:type="dxa"/>
            <w:noWrap w:val="0"/>
            <w:vAlign w:val="center"/>
          </w:tcPr>
          <w:p w14:paraId="6E10097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bl>
    <w:p w14:paraId="42A443E2">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p>
    <w:p w14:paraId="5F3BF11F">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p>
    <w:p w14:paraId="2681577A">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供应商（盖章）：</w:t>
      </w:r>
    </w:p>
    <w:p w14:paraId="73370E81">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51AC8409">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F07EB45">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00BEF87E">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12C370DF">
      <w:pPr>
        <w:rPr>
          <w:rFonts w:hint="eastAsia" w:ascii="宋体" w:hAnsi="宋体" w:eastAsia="宋体" w:cs="宋体"/>
          <w:i/>
          <w:iCs/>
          <w:color w:val="auto"/>
          <w:sz w:val="36"/>
          <w:highlight w:val="none"/>
          <w:u w:val="single"/>
        </w:rPr>
      </w:pPr>
      <w:bookmarkStart w:id="29" w:name="_Hlt26955054"/>
      <w:bookmarkEnd w:id="29"/>
      <w:r>
        <w:rPr>
          <w:rFonts w:hint="eastAsia" w:ascii="宋体" w:hAnsi="宋体" w:eastAsia="宋体" w:cs="宋体"/>
          <w:i/>
          <w:iCs/>
          <w:color w:val="auto"/>
          <w:sz w:val="36"/>
          <w:highlight w:val="none"/>
          <w:u w:val="single"/>
        </w:rPr>
        <w:br w:type="page"/>
      </w:r>
    </w:p>
    <w:p w14:paraId="428FAD10">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t>十六、商务要求响应及偏离表（分包号：**）</w:t>
      </w:r>
    </w:p>
    <w:p w14:paraId="6347217D">
      <w:pPr>
        <w:pBdr>
          <w:top w:val="none" w:color="auto" w:sz="0" w:space="1"/>
          <w:left w:val="none" w:color="auto" w:sz="0" w:space="4"/>
          <w:bottom w:val="none" w:color="auto" w:sz="0" w:space="1"/>
          <w:right w:val="none" w:color="auto" w:sz="0" w:space="4"/>
        </w:pBd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商务要求响应及偏离表</w:t>
      </w:r>
    </w:p>
    <w:p w14:paraId="1161211E">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项目名称：      项目编号：      分包号：</w:t>
      </w:r>
    </w:p>
    <w:tbl>
      <w:tblPr>
        <w:tblStyle w:val="3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1093A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495584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bookmarkStart w:id="30" w:name="_Hlt26782999"/>
            <w:bookmarkEnd w:id="30"/>
            <w:bookmarkStart w:id="31" w:name="_Hlt26609391"/>
            <w:bookmarkEnd w:id="31"/>
            <w:bookmarkStart w:id="32" w:name="_Hlt26955064"/>
            <w:bookmarkEnd w:id="32"/>
            <w:bookmarkStart w:id="33" w:name="_Hlt24879081"/>
            <w:bookmarkEnd w:id="33"/>
            <w:bookmarkStart w:id="34" w:name="_Hlt26580838"/>
            <w:bookmarkEnd w:id="34"/>
            <w:bookmarkStart w:id="35" w:name="_Hlt26955056"/>
            <w:bookmarkEnd w:id="35"/>
            <w:bookmarkStart w:id="36" w:name="_Hlt26671343"/>
            <w:bookmarkEnd w:id="36"/>
            <w:bookmarkStart w:id="37" w:name="_Hlt26671372"/>
            <w:bookmarkEnd w:id="37"/>
            <w:r>
              <w:rPr>
                <w:rFonts w:hint="eastAsia" w:ascii="宋体" w:hAnsi="宋体" w:eastAsia="宋体" w:cs="宋体"/>
                <w:color w:val="auto"/>
                <w:sz w:val="24"/>
                <w:szCs w:val="24"/>
                <w:highlight w:val="none"/>
              </w:rPr>
              <w:t>序号</w:t>
            </w:r>
          </w:p>
        </w:tc>
        <w:tc>
          <w:tcPr>
            <w:tcW w:w="3263" w:type="dxa"/>
            <w:noWrap w:val="0"/>
            <w:vAlign w:val="center"/>
          </w:tcPr>
          <w:p w14:paraId="1A5A281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3034" w:type="dxa"/>
            <w:noWrap w:val="0"/>
            <w:vAlign w:val="center"/>
          </w:tcPr>
          <w:p w14:paraId="232A3B2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1391" w:type="dxa"/>
            <w:noWrap w:val="0"/>
            <w:vAlign w:val="center"/>
          </w:tcPr>
          <w:p w14:paraId="6A2C981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7A112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E4AF0D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263" w:type="dxa"/>
            <w:noWrap w:val="0"/>
            <w:vAlign w:val="center"/>
          </w:tcPr>
          <w:p w14:paraId="709B5C4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3034" w:type="dxa"/>
            <w:noWrap w:val="0"/>
            <w:vAlign w:val="center"/>
          </w:tcPr>
          <w:p w14:paraId="187B4038">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391" w:type="dxa"/>
            <w:noWrap w:val="0"/>
            <w:vAlign w:val="center"/>
          </w:tcPr>
          <w:p w14:paraId="6F1D4AB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r w14:paraId="46C44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6F2698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263" w:type="dxa"/>
            <w:noWrap w:val="0"/>
            <w:vAlign w:val="center"/>
          </w:tcPr>
          <w:p w14:paraId="7AF1B09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3034" w:type="dxa"/>
            <w:noWrap w:val="0"/>
            <w:vAlign w:val="center"/>
          </w:tcPr>
          <w:p w14:paraId="7585251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391" w:type="dxa"/>
            <w:noWrap w:val="0"/>
            <w:vAlign w:val="center"/>
          </w:tcPr>
          <w:p w14:paraId="4345BDD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r w14:paraId="1CB03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C49F3D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263" w:type="dxa"/>
            <w:noWrap w:val="0"/>
            <w:vAlign w:val="center"/>
          </w:tcPr>
          <w:p w14:paraId="0451292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3034" w:type="dxa"/>
            <w:noWrap w:val="0"/>
            <w:vAlign w:val="center"/>
          </w:tcPr>
          <w:p w14:paraId="3AE0AF2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391" w:type="dxa"/>
            <w:noWrap w:val="0"/>
            <w:vAlign w:val="center"/>
          </w:tcPr>
          <w:p w14:paraId="03CBE07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r w14:paraId="06DE6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F165D5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263" w:type="dxa"/>
            <w:noWrap w:val="0"/>
            <w:vAlign w:val="center"/>
          </w:tcPr>
          <w:p w14:paraId="5B78045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3034" w:type="dxa"/>
            <w:noWrap w:val="0"/>
            <w:vAlign w:val="center"/>
          </w:tcPr>
          <w:p w14:paraId="4E4F0E9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391" w:type="dxa"/>
            <w:noWrap w:val="0"/>
            <w:vAlign w:val="center"/>
          </w:tcPr>
          <w:p w14:paraId="7782147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bl>
    <w:p w14:paraId="2B96221C">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p>
    <w:p w14:paraId="2B763B55">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p>
    <w:p w14:paraId="07E2E617">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供应商（盖章）：</w:t>
      </w:r>
    </w:p>
    <w:p w14:paraId="66D01F16">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07B6272E">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933BB5C">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bookmarkStart w:id="38" w:name="_格式2__法定代表人授权书"/>
      <w:bookmarkEnd w:id="38"/>
      <w:bookmarkStart w:id="39" w:name="_Hlt26955066"/>
      <w:bookmarkEnd w:id="39"/>
      <w:bookmarkStart w:id="40" w:name="_Hlt26671374"/>
      <w:bookmarkEnd w:id="40"/>
      <w:bookmarkStart w:id="41" w:name="_Hlt26609389"/>
      <w:bookmarkEnd w:id="41"/>
    </w:p>
    <w:p w14:paraId="6182C727">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2DF9CE8B">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r>
    </w:p>
    <w:p w14:paraId="7E327498">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t>十七、类似项目业绩一览表（分包号：**）</w:t>
      </w:r>
    </w:p>
    <w:p w14:paraId="0BE9E824">
      <w:pPr>
        <w:pBdr>
          <w:top w:val="none" w:color="auto" w:sz="0" w:space="1"/>
          <w:left w:val="none" w:color="auto" w:sz="0" w:space="4"/>
          <w:bottom w:val="none" w:color="auto" w:sz="0" w:space="1"/>
          <w:right w:val="none" w:color="auto" w:sz="0" w:space="4"/>
        </w:pBd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类似项目业绩一览表</w:t>
      </w:r>
    </w:p>
    <w:p w14:paraId="449557F8">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项目名称：      项目编号：      分包号：</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6B0A5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11FA53F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686" w:type="dxa"/>
            <w:noWrap w:val="0"/>
            <w:vAlign w:val="center"/>
          </w:tcPr>
          <w:p w14:paraId="0C7B946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850" w:type="dxa"/>
            <w:noWrap w:val="0"/>
            <w:vAlign w:val="center"/>
          </w:tcPr>
          <w:p w14:paraId="762CF2D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签订时间</w:t>
            </w:r>
          </w:p>
        </w:tc>
        <w:tc>
          <w:tcPr>
            <w:tcW w:w="1985" w:type="dxa"/>
            <w:noWrap w:val="0"/>
            <w:vAlign w:val="center"/>
          </w:tcPr>
          <w:p w14:paraId="1E0E519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w:t>
            </w:r>
          </w:p>
        </w:tc>
        <w:tc>
          <w:tcPr>
            <w:tcW w:w="1309" w:type="dxa"/>
            <w:noWrap w:val="0"/>
            <w:vAlign w:val="center"/>
          </w:tcPr>
          <w:p w14:paraId="6DEB284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主要标的</w:t>
            </w:r>
          </w:p>
        </w:tc>
      </w:tr>
      <w:tr w14:paraId="69B7E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B2A9C6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686" w:type="dxa"/>
            <w:noWrap w:val="0"/>
            <w:vAlign w:val="center"/>
          </w:tcPr>
          <w:p w14:paraId="5B03DF0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850" w:type="dxa"/>
            <w:noWrap w:val="0"/>
          </w:tcPr>
          <w:p w14:paraId="0E80D50C">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985" w:type="dxa"/>
            <w:noWrap w:val="0"/>
            <w:vAlign w:val="center"/>
          </w:tcPr>
          <w:p w14:paraId="7D07B4C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309" w:type="dxa"/>
            <w:noWrap w:val="0"/>
            <w:vAlign w:val="center"/>
          </w:tcPr>
          <w:p w14:paraId="3618BB1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r w14:paraId="04200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09C544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686" w:type="dxa"/>
            <w:noWrap w:val="0"/>
            <w:vAlign w:val="center"/>
          </w:tcPr>
          <w:p w14:paraId="3E035A25">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850" w:type="dxa"/>
            <w:noWrap w:val="0"/>
          </w:tcPr>
          <w:p w14:paraId="1AB7C12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985" w:type="dxa"/>
            <w:noWrap w:val="0"/>
            <w:vAlign w:val="center"/>
          </w:tcPr>
          <w:p w14:paraId="5E3AB7C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309" w:type="dxa"/>
            <w:noWrap w:val="0"/>
            <w:vAlign w:val="center"/>
          </w:tcPr>
          <w:p w14:paraId="02FC590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r w14:paraId="4FFC1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A964AB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686" w:type="dxa"/>
            <w:noWrap w:val="0"/>
            <w:vAlign w:val="center"/>
          </w:tcPr>
          <w:p w14:paraId="437AA1E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850" w:type="dxa"/>
            <w:noWrap w:val="0"/>
          </w:tcPr>
          <w:p w14:paraId="50358F5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985" w:type="dxa"/>
            <w:noWrap w:val="0"/>
            <w:vAlign w:val="center"/>
          </w:tcPr>
          <w:p w14:paraId="3E18A18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309" w:type="dxa"/>
            <w:noWrap w:val="0"/>
            <w:vAlign w:val="center"/>
          </w:tcPr>
          <w:p w14:paraId="10B4E2D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r w14:paraId="2EF9A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0F3017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686" w:type="dxa"/>
            <w:noWrap w:val="0"/>
            <w:vAlign w:val="center"/>
          </w:tcPr>
          <w:p w14:paraId="32F1B6B5">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850" w:type="dxa"/>
            <w:noWrap w:val="0"/>
          </w:tcPr>
          <w:p w14:paraId="0D0BFAB5">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985" w:type="dxa"/>
            <w:noWrap w:val="0"/>
            <w:vAlign w:val="center"/>
          </w:tcPr>
          <w:p w14:paraId="2AB0501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309" w:type="dxa"/>
            <w:noWrap w:val="0"/>
            <w:vAlign w:val="center"/>
          </w:tcPr>
          <w:p w14:paraId="7AA4CE3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bl>
    <w:p w14:paraId="390B3413">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p>
    <w:p w14:paraId="7F643F66">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p>
    <w:p w14:paraId="78B5D495">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供应商（盖章）：</w:t>
      </w:r>
    </w:p>
    <w:p w14:paraId="0E781FBC">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0E11A637">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F523AAD">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3AA964CA">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172A1CD5">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r>
    </w:p>
    <w:p w14:paraId="5103F5DA">
      <w:pPr>
        <w:keepNext/>
        <w:keepLines/>
        <w:pBdr>
          <w:top w:val="none" w:color="auto" w:sz="0" w:space="1"/>
          <w:left w:val="none" w:color="auto" w:sz="0" w:space="4"/>
          <w:bottom w:val="none" w:color="auto" w:sz="0" w:space="1"/>
          <w:right w:val="none" w:color="auto" w:sz="0" w:space="4"/>
        </w:pBdr>
        <w:spacing w:before="360" w:after="200" w:line="360" w:lineRule="auto"/>
        <w:jc w:val="left"/>
        <w:outlineLvl w:val="1"/>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t>十八、项目团队人员一览表（分包号：**）</w:t>
      </w:r>
    </w:p>
    <w:p w14:paraId="16A70A85">
      <w:pPr>
        <w:pBdr>
          <w:top w:val="none" w:color="auto" w:sz="0" w:space="1"/>
          <w:left w:val="none" w:color="auto" w:sz="0" w:space="4"/>
          <w:bottom w:val="none" w:color="auto" w:sz="0" w:space="1"/>
          <w:right w:val="none" w:color="auto" w:sz="0" w:space="4"/>
        </w:pBdr>
        <w:tabs>
          <w:tab w:val="left" w:pos="360"/>
        </w:tabs>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项目团队人员一览表</w:t>
      </w:r>
    </w:p>
    <w:p w14:paraId="74D09973">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rPr>
        <w:t>项目名称：      项目编号：      分包号：</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5DB3F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6769C0B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446" w:type="dxa"/>
            <w:noWrap w:val="0"/>
            <w:vAlign w:val="center"/>
          </w:tcPr>
          <w:p w14:paraId="6B3C2F1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本项目拟担任职务</w:t>
            </w:r>
          </w:p>
        </w:tc>
        <w:tc>
          <w:tcPr>
            <w:tcW w:w="2239" w:type="dxa"/>
            <w:noWrap w:val="0"/>
            <w:vAlign w:val="center"/>
          </w:tcPr>
          <w:p w14:paraId="3558B88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技术职称、专业资质</w:t>
            </w:r>
          </w:p>
        </w:tc>
        <w:tc>
          <w:tcPr>
            <w:tcW w:w="1134" w:type="dxa"/>
            <w:noWrap w:val="0"/>
            <w:vAlign w:val="center"/>
          </w:tcPr>
          <w:p w14:paraId="2FF8678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134" w:type="dxa"/>
            <w:noWrap w:val="0"/>
            <w:vAlign w:val="center"/>
          </w:tcPr>
          <w:p w14:paraId="4CF24B9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601" w:type="dxa"/>
            <w:noWrap w:val="0"/>
            <w:vAlign w:val="center"/>
          </w:tcPr>
          <w:p w14:paraId="0AD9A270">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主要资历及担任过的职务</w:t>
            </w:r>
          </w:p>
        </w:tc>
      </w:tr>
      <w:tr w14:paraId="2CB9E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91B810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446" w:type="dxa"/>
            <w:noWrap w:val="0"/>
            <w:vAlign w:val="center"/>
          </w:tcPr>
          <w:p w14:paraId="20BD264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2239" w:type="dxa"/>
            <w:noWrap w:val="0"/>
          </w:tcPr>
          <w:p w14:paraId="2875D79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134" w:type="dxa"/>
            <w:noWrap w:val="0"/>
          </w:tcPr>
          <w:p w14:paraId="749AA89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134" w:type="dxa"/>
            <w:noWrap w:val="0"/>
            <w:vAlign w:val="center"/>
          </w:tcPr>
          <w:p w14:paraId="067F8A4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601" w:type="dxa"/>
            <w:noWrap w:val="0"/>
            <w:vAlign w:val="center"/>
          </w:tcPr>
          <w:p w14:paraId="6C7CF8A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r w14:paraId="6761E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B3D473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446" w:type="dxa"/>
            <w:noWrap w:val="0"/>
            <w:vAlign w:val="center"/>
          </w:tcPr>
          <w:p w14:paraId="64CDAF3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2239" w:type="dxa"/>
            <w:noWrap w:val="0"/>
          </w:tcPr>
          <w:p w14:paraId="177BCF5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134" w:type="dxa"/>
            <w:noWrap w:val="0"/>
          </w:tcPr>
          <w:p w14:paraId="43C4D71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134" w:type="dxa"/>
            <w:noWrap w:val="0"/>
            <w:vAlign w:val="center"/>
          </w:tcPr>
          <w:p w14:paraId="687B3D8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601" w:type="dxa"/>
            <w:noWrap w:val="0"/>
            <w:vAlign w:val="center"/>
          </w:tcPr>
          <w:p w14:paraId="41CB7B2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r w14:paraId="1D0C7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581564FA">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446" w:type="dxa"/>
            <w:noWrap w:val="0"/>
            <w:vAlign w:val="center"/>
          </w:tcPr>
          <w:p w14:paraId="1C52A83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2239" w:type="dxa"/>
            <w:noWrap w:val="0"/>
          </w:tcPr>
          <w:p w14:paraId="22CC452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134" w:type="dxa"/>
            <w:noWrap w:val="0"/>
          </w:tcPr>
          <w:p w14:paraId="53A16A1F">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134" w:type="dxa"/>
            <w:noWrap w:val="0"/>
            <w:vAlign w:val="center"/>
          </w:tcPr>
          <w:p w14:paraId="621D652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601" w:type="dxa"/>
            <w:noWrap w:val="0"/>
            <w:vAlign w:val="center"/>
          </w:tcPr>
          <w:p w14:paraId="5502D41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r w14:paraId="71472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5831FCB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446" w:type="dxa"/>
            <w:noWrap w:val="0"/>
            <w:vAlign w:val="center"/>
          </w:tcPr>
          <w:p w14:paraId="2A6CEC7D">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2239" w:type="dxa"/>
            <w:noWrap w:val="0"/>
          </w:tcPr>
          <w:p w14:paraId="4D76BEE6">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134" w:type="dxa"/>
            <w:noWrap w:val="0"/>
          </w:tcPr>
          <w:p w14:paraId="6921D36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134" w:type="dxa"/>
            <w:noWrap w:val="0"/>
            <w:vAlign w:val="center"/>
          </w:tcPr>
          <w:p w14:paraId="7F0E7A19">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1601" w:type="dxa"/>
            <w:noWrap w:val="0"/>
            <w:vAlign w:val="center"/>
          </w:tcPr>
          <w:p w14:paraId="382FC9B2">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bl>
    <w:p w14:paraId="32BA98E0">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p>
    <w:p w14:paraId="51DD4C58">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p>
    <w:p w14:paraId="1A203B2D">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供应商（盖章）：</w:t>
      </w:r>
    </w:p>
    <w:p w14:paraId="4579C5D0">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法定代表人（单位负责人）或委托代理人（签字或盖章）：</w:t>
      </w:r>
    </w:p>
    <w:p w14:paraId="5647DD88">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4DCA1B92">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67066866">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39D68278">
      <w:pPr>
        <w:rPr>
          <w:rFonts w:hint="eastAsia" w:ascii="宋体" w:hAnsi="宋体" w:eastAsia="宋体" w:cs="宋体"/>
          <w:bCs/>
          <w:iCs/>
          <w:color w:val="auto"/>
          <w:sz w:val="36"/>
          <w:szCs w:val="36"/>
          <w:highlight w:val="none"/>
        </w:rPr>
      </w:pPr>
      <w:r>
        <w:rPr>
          <w:rFonts w:hint="eastAsia" w:ascii="宋体" w:hAnsi="宋体" w:eastAsia="宋体" w:cs="宋体"/>
          <w:bCs/>
          <w:iCs/>
          <w:color w:val="auto"/>
          <w:sz w:val="36"/>
          <w:szCs w:val="36"/>
          <w:highlight w:val="none"/>
        </w:rPr>
        <w:br w:type="page"/>
      </w:r>
    </w:p>
    <w:p w14:paraId="7E947DBD">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iCs/>
          <w:color w:val="auto"/>
          <w:sz w:val="24"/>
          <w:szCs w:val="20"/>
          <w:highlight w:val="none"/>
        </w:rPr>
      </w:pPr>
      <w:r>
        <w:rPr>
          <w:rFonts w:hint="eastAsia" w:ascii="宋体" w:hAnsi="宋体" w:eastAsia="宋体" w:cs="宋体"/>
          <w:bCs/>
          <w:iCs/>
          <w:color w:val="auto"/>
          <w:sz w:val="36"/>
          <w:szCs w:val="36"/>
          <w:highlight w:val="none"/>
        </w:rPr>
        <w:t>十九、开标一览表</w:t>
      </w:r>
    </w:p>
    <w:p w14:paraId="23B63F3C">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供应商全称（CA公章）：</w:t>
      </w:r>
    </w:p>
    <w:p w14:paraId="1356ECC1">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408D2054">
      <w:pPr>
        <w:pBdr>
          <w:top w:val="none" w:color="auto" w:sz="0" w:space="1"/>
          <w:left w:val="none" w:color="auto" w:sz="0" w:space="4"/>
          <w:bottom w:val="none" w:color="auto" w:sz="0" w:space="1"/>
          <w:right w:val="none" w:color="auto" w:sz="0" w:space="4"/>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分包号：</w:t>
      </w:r>
    </w:p>
    <w:tbl>
      <w:tblPr>
        <w:tblStyle w:val="3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02"/>
        <w:gridCol w:w="5703"/>
      </w:tblGrid>
      <w:tr w14:paraId="6481D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noWrap w:val="0"/>
          </w:tcPr>
          <w:p w14:paraId="23B9383B">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投标货物名称</w:t>
            </w:r>
          </w:p>
        </w:tc>
        <w:tc>
          <w:tcPr>
            <w:tcW w:w="5703" w:type="dxa"/>
            <w:noWrap w:val="0"/>
          </w:tcPr>
          <w:p w14:paraId="0FA15E2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总价（小写）</w:t>
            </w:r>
          </w:p>
        </w:tc>
      </w:tr>
      <w:tr w14:paraId="7C10E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noWrap w:val="0"/>
          </w:tcPr>
          <w:p w14:paraId="223A6B6F">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c>
          <w:tcPr>
            <w:tcW w:w="5703" w:type="dxa"/>
            <w:noWrap w:val="0"/>
          </w:tcPr>
          <w:p w14:paraId="4A25EDD3">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r>
      <w:tr w14:paraId="46161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02" w:type="dxa"/>
            <w:noWrap w:val="0"/>
          </w:tcPr>
          <w:p w14:paraId="1F134C84">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核心产品</w:t>
            </w:r>
          </w:p>
        </w:tc>
        <w:tc>
          <w:tcPr>
            <w:tcW w:w="5703" w:type="dxa"/>
            <w:noWrap w:val="0"/>
          </w:tcPr>
          <w:p w14:paraId="5D712CD1">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p>
        </w:tc>
      </w:tr>
    </w:tbl>
    <w:p w14:paraId="318BCD97">
      <w:pPr>
        <w:pBdr>
          <w:top w:val="none" w:color="auto" w:sz="0" w:space="1"/>
          <w:left w:val="none" w:color="auto" w:sz="0" w:space="4"/>
          <w:bottom w:val="none" w:color="auto" w:sz="0" w:space="1"/>
          <w:right w:val="none" w:color="auto" w:sz="0" w:space="4"/>
        </w:pBdr>
        <w:spacing w:line="360" w:lineRule="auto"/>
        <w:ind w:firstLine="480"/>
        <w:jc w:val="center"/>
        <w:rPr>
          <w:rFonts w:hint="eastAsia" w:ascii="宋体" w:hAnsi="宋体" w:eastAsia="宋体" w:cs="宋体"/>
          <w:color w:val="auto"/>
          <w:sz w:val="24"/>
          <w:szCs w:val="24"/>
          <w:highlight w:val="none"/>
        </w:rPr>
        <w:sectPr>
          <w:pgSz w:w="11906" w:h="16838"/>
          <w:pgMar w:top="1134" w:right="1134" w:bottom="1134" w:left="1134" w:header="851" w:footer="992" w:gutter="0"/>
          <w:cols w:space="1701" w:num="1"/>
          <w:docGrid w:linePitch="360" w:charSpace="0"/>
        </w:sectPr>
      </w:pPr>
      <w:r>
        <w:rPr>
          <w:rFonts w:hint="eastAsia" w:ascii="宋体" w:hAnsi="宋体" w:eastAsia="宋体" w:cs="宋体"/>
          <w:color w:val="auto"/>
          <w:sz w:val="24"/>
          <w:szCs w:val="24"/>
          <w:highlight w:val="none"/>
        </w:rPr>
        <w:t xml:space="preserve">          年     月     日</w:t>
      </w:r>
    </w:p>
    <w:p w14:paraId="5D259CE1">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Cs/>
          <w:iCs/>
          <w:color w:val="auto"/>
          <w:sz w:val="36"/>
          <w:szCs w:val="36"/>
          <w:highlight w:val="none"/>
        </w:rPr>
      </w:pPr>
      <w:r>
        <w:rPr>
          <w:rFonts w:hint="eastAsia" w:ascii="宋体" w:hAnsi="宋体" w:eastAsia="宋体" w:cs="宋体"/>
          <w:bCs/>
          <w:iCs/>
          <w:color w:val="auto"/>
          <w:sz w:val="36"/>
          <w:szCs w:val="36"/>
          <w:highlight w:val="none"/>
        </w:rPr>
        <w:t>二十、关于符合本国产品标准的声明函</w:t>
      </w:r>
      <w:r>
        <w:rPr>
          <w:rFonts w:hint="eastAsia" w:ascii="宋体" w:hAnsi="宋体" w:eastAsia="宋体" w:cs="宋体"/>
          <w:bCs/>
          <w:iCs/>
          <w:color w:val="auto"/>
          <w:sz w:val="36"/>
          <w:szCs w:val="36"/>
          <w:highlight w:val="none"/>
        </w:rPr>
        <w:tab/>
      </w:r>
    </w:p>
    <w:p w14:paraId="3E2FFE58">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Cs/>
          <w:i/>
          <w:color w:val="auto"/>
          <w:sz w:val="36"/>
          <w:szCs w:val="36"/>
          <w:highlight w:val="none"/>
          <w:u w:val="single"/>
        </w:rPr>
      </w:pPr>
    </w:p>
    <w:p w14:paraId="4583FA2E">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关于符合本国产品标准的声明函</w:t>
      </w:r>
    </w:p>
    <w:p w14:paraId="5EB890EE">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68FDE37F">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5D15A85">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0E53B87A">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（产品名称1）</w:t>
      </w:r>
      <w:r>
        <w:rPr>
          <w:rFonts w:hint="eastAsia" w:ascii="宋体" w:hAnsi="宋体" w:eastAsia="宋体" w:cs="宋体"/>
          <w:color w:val="auto"/>
          <w:sz w:val="24"/>
          <w:szCs w:val="24"/>
          <w:highlight w:val="none"/>
        </w:rPr>
        <w:t>1，生产厂为</w:t>
      </w:r>
      <w:r>
        <w:rPr>
          <w:rFonts w:hint="eastAsia" w:ascii="宋体" w:hAnsi="宋体" w:eastAsia="宋体" w:cs="宋体"/>
          <w:color w:val="auto"/>
          <w:sz w:val="24"/>
          <w:szCs w:val="24"/>
          <w:highlight w:val="none"/>
          <w:u w:val="single"/>
        </w:rPr>
        <w:t>（厂名）</w:t>
      </w:r>
      <w:r>
        <w:rPr>
          <w:rFonts w:hint="eastAsia" w:ascii="宋体" w:hAnsi="宋体" w:eastAsia="宋体" w:cs="宋体"/>
          <w:color w:val="auto"/>
          <w:sz w:val="24"/>
          <w:szCs w:val="24"/>
          <w:highlight w:val="none"/>
        </w:rPr>
        <w:t>2，厂址为</w:t>
      </w:r>
      <w:r>
        <w:rPr>
          <w:rFonts w:hint="eastAsia" w:ascii="宋体" w:hAnsi="宋体" w:eastAsia="宋体" w:cs="宋体"/>
          <w:color w:val="auto"/>
          <w:sz w:val="24"/>
          <w:szCs w:val="24"/>
          <w:highlight w:val="none"/>
          <w:u w:val="single"/>
        </w:rPr>
        <w:t>（生产厂址）</w:t>
      </w:r>
      <w:r>
        <w:rPr>
          <w:rFonts w:hint="eastAsia" w:ascii="宋体" w:hAnsi="宋体" w:eastAsia="宋体" w:cs="宋体"/>
          <w:color w:val="auto"/>
          <w:sz w:val="24"/>
          <w:szCs w:val="24"/>
          <w:highlight w:val="none"/>
        </w:rPr>
        <w:t>。</w:t>
      </w:r>
      <w:r>
        <w:rPr>
          <w:rFonts w:hint="eastAsia" w:ascii="宋体" w:hAnsi="宋体" w:eastAsia="宋体" w:cs="宋体"/>
          <w:strike/>
          <w:color w:val="auto"/>
          <w:sz w:val="24"/>
          <w:szCs w:val="24"/>
          <w:highlight w:val="none"/>
          <w:u w:val="single"/>
        </w:rPr>
        <w:t>（产品名称1）</w:t>
      </w:r>
      <w:r>
        <w:rPr>
          <w:rFonts w:hint="eastAsia" w:ascii="宋体" w:hAnsi="宋体" w:eastAsia="宋体" w:cs="宋体"/>
          <w:color w:val="auto"/>
          <w:sz w:val="24"/>
          <w:szCs w:val="24"/>
          <w:highlight w:val="none"/>
        </w:rPr>
        <w:t>的中国境内生产的组件成本占比≥</w:t>
      </w:r>
      <w:r>
        <w:rPr>
          <w:rFonts w:hint="eastAsia" w:ascii="宋体" w:hAnsi="宋体" w:eastAsia="宋体" w:cs="宋体"/>
          <w:strike/>
          <w:color w:val="auto"/>
          <w:sz w:val="24"/>
          <w:szCs w:val="24"/>
          <w:highlight w:val="none"/>
          <w:u w:val="single"/>
        </w:rPr>
        <w:t>（规定比例）</w:t>
      </w:r>
      <w:r>
        <w:rPr>
          <w:rFonts w:hint="eastAsia" w:ascii="宋体" w:hAnsi="宋体" w:eastAsia="宋体" w:cs="宋体"/>
          <w:color w:val="auto"/>
          <w:sz w:val="24"/>
          <w:szCs w:val="24"/>
          <w:highlight w:val="none"/>
        </w:rPr>
        <w:t>3。</w:t>
      </w:r>
      <w:r>
        <w:rPr>
          <w:rFonts w:hint="eastAsia" w:ascii="宋体" w:hAnsi="宋体" w:eastAsia="宋体" w:cs="宋体"/>
          <w:strike/>
          <w:color w:val="auto"/>
          <w:sz w:val="24"/>
          <w:szCs w:val="24"/>
          <w:highlight w:val="none"/>
          <w:u w:val="single"/>
        </w:rPr>
        <w:t>（产品名称1）</w:t>
      </w:r>
      <w:r>
        <w:rPr>
          <w:rFonts w:hint="eastAsia" w:ascii="宋体" w:hAnsi="宋体" w:eastAsia="宋体" w:cs="宋体"/>
          <w:color w:val="auto"/>
          <w:sz w:val="24"/>
          <w:szCs w:val="24"/>
          <w:highlight w:val="none"/>
        </w:rPr>
        <w:t>的</w:t>
      </w:r>
      <w:r>
        <w:rPr>
          <w:rFonts w:hint="eastAsia" w:ascii="宋体" w:hAnsi="宋体" w:eastAsia="宋体" w:cs="宋体"/>
          <w:strike/>
          <w:color w:val="auto"/>
          <w:sz w:val="24"/>
          <w:szCs w:val="24"/>
          <w:highlight w:val="none"/>
          <w:u w:val="single"/>
        </w:rPr>
        <w:t>（关键组件）</w:t>
      </w:r>
      <w:r>
        <w:rPr>
          <w:rFonts w:hint="eastAsia" w:ascii="宋体" w:hAnsi="宋体" w:eastAsia="宋体" w:cs="宋体"/>
          <w:color w:val="auto"/>
          <w:sz w:val="24"/>
          <w:szCs w:val="24"/>
          <w:highlight w:val="none"/>
        </w:rPr>
        <w:t>4在中国境内生产。</w:t>
      </w:r>
      <w:r>
        <w:rPr>
          <w:rFonts w:hint="eastAsia" w:ascii="宋体" w:hAnsi="宋体" w:eastAsia="宋体" w:cs="宋体"/>
          <w:strike/>
          <w:color w:val="auto"/>
          <w:sz w:val="24"/>
          <w:szCs w:val="24"/>
          <w:highlight w:val="none"/>
          <w:u w:val="single"/>
        </w:rPr>
        <w:t>（产品名称1）</w:t>
      </w:r>
      <w:r>
        <w:rPr>
          <w:rFonts w:hint="eastAsia" w:ascii="宋体" w:hAnsi="宋体" w:eastAsia="宋体" w:cs="宋体"/>
          <w:color w:val="auto"/>
          <w:sz w:val="24"/>
          <w:szCs w:val="24"/>
          <w:highlight w:val="none"/>
        </w:rPr>
        <w:t>的</w:t>
      </w:r>
      <w:r>
        <w:rPr>
          <w:rFonts w:hint="eastAsia" w:ascii="宋体" w:hAnsi="宋体" w:eastAsia="宋体" w:cs="宋体"/>
          <w:strike/>
          <w:color w:val="auto"/>
          <w:sz w:val="24"/>
          <w:szCs w:val="24"/>
          <w:highlight w:val="none"/>
          <w:u w:val="single"/>
        </w:rPr>
        <w:t>（关键工序）</w:t>
      </w:r>
      <w:r>
        <w:rPr>
          <w:rFonts w:hint="eastAsia" w:ascii="宋体" w:hAnsi="宋体" w:eastAsia="宋体" w:cs="宋体"/>
          <w:color w:val="auto"/>
          <w:sz w:val="24"/>
          <w:szCs w:val="24"/>
          <w:highlight w:val="none"/>
        </w:rPr>
        <w:t>5在中国境内完成。</w:t>
      </w:r>
    </w:p>
    <w:p w14:paraId="25D4591F">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0AAB8F1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（产品名称2）</w:t>
      </w:r>
      <w:r>
        <w:rPr>
          <w:rFonts w:hint="eastAsia" w:ascii="宋体" w:hAnsi="宋体" w:eastAsia="宋体" w:cs="宋体"/>
          <w:color w:val="auto"/>
          <w:sz w:val="24"/>
          <w:szCs w:val="24"/>
          <w:highlight w:val="none"/>
        </w:rPr>
        <w:t>，生产厂为</w:t>
      </w:r>
      <w:r>
        <w:rPr>
          <w:rFonts w:hint="eastAsia" w:ascii="宋体" w:hAnsi="宋体" w:eastAsia="宋体" w:cs="宋体"/>
          <w:color w:val="auto"/>
          <w:sz w:val="24"/>
          <w:szCs w:val="24"/>
          <w:highlight w:val="none"/>
          <w:u w:val="single"/>
        </w:rPr>
        <w:t>（厂名）</w:t>
      </w:r>
      <w:r>
        <w:rPr>
          <w:rFonts w:hint="eastAsia" w:ascii="宋体" w:hAnsi="宋体" w:eastAsia="宋体" w:cs="宋体"/>
          <w:color w:val="auto"/>
          <w:sz w:val="24"/>
          <w:szCs w:val="24"/>
          <w:highlight w:val="none"/>
        </w:rPr>
        <w:t>，厂址为</w:t>
      </w:r>
      <w:r>
        <w:rPr>
          <w:rFonts w:hint="eastAsia" w:ascii="宋体" w:hAnsi="宋体" w:eastAsia="宋体" w:cs="宋体"/>
          <w:color w:val="auto"/>
          <w:sz w:val="24"/>
          <w:szCs w:val="24"/>
          <w:highlight w:val="none"/>
          <w:u w:val="single"/>
        </w:rPr>
        <w:t>（生产厂址）</w:t>
      </w:r>
      <w:r>
        <w:rPr>
          <w:rFonts w:hint="eastAsia" w:ascii="宋体" w:hAnsi="宋体" w:eastAsia="宋体" w:cs="宋体"/>
          <w:color w:val="auto"/>
          <w:sz w:val="24"/>
          <w:szCs w:val="24"/>
          <w:highlight w:val="none"/>
        </w:rPr>
        <w:t>。</w:t>
      </w:r>
      <w:r>
        <w:rPr>
          <w:rFonts w:hint="eastAsia" w:ascii="宋体" w:hAnsi="宋体" w:eastAsia="宋体" w:cs="宋体"/>
          <w:strike/>
          <w:color w:val="auto"/>
          <w:sz w:val="24"/>
          <w:szCs w:val="24"/>
          <w:highlight w:val="none"/>
          <w:u w:val="single"/>
        </w:rPr>
        <w:t>（产品名称2）</w:t>
      </w:r>
      <w:r>
        <w:rPr>
          <w:rFonts w:hint="eastAsia" w:ascii="宋体" w:hAnsi="宋体" w:eastAsia="宋体" w:cs="宋体"/>
          <w:color w:val="auto"/>
          <w:sz w:val="24"/>
          <w:szCs w:val="24"/>
          <w:highlight w:val="none"/>
        </w:rPr>
        <w:t>的中国境内生产的组件成本占比≥</w:t>
      </w:r>
      <w:r>
        <w:rPr>
          <w:rFonts w:hint="eastAsia" w:ascii="宋体" w:hAnsi="宋体" w:eastAsia="宋体" w:cs="宋体"/>
          <w:strike/>
          <w:color w:val="auto"/>
          <w:sz w:val="24"/>
          <w:szCs w:val="24"/>
          <w:highlight w:val="none"/>
          <w:u w:val="single"/>
        </w:rPr>
        <w:t>（规定比例）</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w:t>
      </w:r>
      <w:r>
        <w:rPr>
          <w:rFonts w:hint="eastAsia" w:ascii="宋体" w:hAnsi="宋体" w:eastAsia="宋体" w:cs="宋体"/>
          <w:strike/>
          <w:color w:val="auto"/>
          <w:sz w:val="24"/>
          <w:szCs w:val="24"/>
          <w:highlight w:val="none"/>
          <w:u w:val="single"/>
        </w:rPr>
        <w:t>产品名称2）</w:t>
      </w:r>
      <w:r>
        <w:rPr>
          <w:rFonts w:hint="eastAsia" w:ascii="宋体" w:hAnsi="宋体" w:eastAsia="宋体" w:cs="宋体"/>
          <w:color w:val="auto"/>
          <w:sz w:val="24"/>
          <w:szCs w:val="24"/>
          <w:highlight w:val="none"/>
        </w:rPr>
        <w:t>的</w:t>
      </w:r>
      <w:r>
        <w:rPr>
          <w:rFonts w:hint="eastAsia" w:ascii="宋体" w:hAnsi="宋体" w:eastAsia="宋体" w:cs="宋体"/>
          <w:strike/>
          <w:color w:val="auto"/>
          <w:sz w:val="24"/>
          <w:szCs w:val="24"/>
          <w:highlight w:val="none"/>
          <w:u w:val="single"/>
        </w:rPr>
        <w:t>（关键组件）</w:t>
      </w:r>
      <w:r>
        <w:rPr>
          <w:rFonts w:hint="eastAsia" w:ascii="宋体" w:hAnsi="宋体" w:eastAsia="宋体" w:cs="宋体"/>
          <w:color w:val="auto"/>
          <w:sz w:val="24"/>
          <w:szCs w:val="24"/>
          <w:highlight w:val="none"/>
        </w:rPr>
        <w:t>在中国境内生产。</w:t>
      </w:r>
      <w:r>
        <w:rPr>
          <w:rFonts w:hint="eastAsia" w:ascii="宋体" w:hAnsi="宋体" w:eastAsia="宋体" w:cs="宋体"/>
          <w:strike/>
          <w:color w:val="auto"/>
          <w:sz w:val="24"/>
          <w:szCs w:val="24"/>
          <w:highlight w:val="none"/>
          <w:u w:val="single"/>
        </w:rPr>
        <w:t>（产品名称2）</w:t>
      </w:r>
      <w:r>
        <w:rPr>
          <w:rFonts w:hint="eastAsia" w:ascii="宋体" w:hAnsi="宋体" w:eastAsia="宋体" w:cs="宋体"/>
          <w:color w:val="auto"/>
          <w:sz w:val="24"/>
          <w:szCs w:val="24"/>
          <w:highlight w:val="none"/>
        </w:rPr>
        <w:t>的</w:t>
      </w:r>
      <w:r>
        <w:rPr>
          <w:rFonts w:hint="eastAsia" w:ascii="宋体" w:hAnsi="宋体" w:eastAsia="宋体" w:cs="宋体"/>
          <w:strike/>
          <w:color w:val="auto"/>
          <w:sz w:val="24"/>
          <w:szCs w:val="24"/>
          <w:highlight w:val="none"/>
          <w:u w:val="single"/>
        </w:rPr>
        <w:t>（关键工序）</w:t>
      </w:r>
      <w:r>
        <w:rPr>
          <w:rFonts w:hint="eastAsia" w:ascii="宋体" w:hAnsi="宋体" w:eastAsia="宋体" w:cs="宋体"/>
          <w:color w:val="auto"/>
          <w:sz w:val="24"/>
          <w:szCs w:val="24"/>
          <w:highlight w:val="none"/>
        </w:rPr>
        <w:t>在中国境内完成。</w:t>
      </w:r>
    </w:p>
    <w:p w14:paraId="3B6C128B">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394C25F3">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748C908">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70F6C737">
      <w:pPr>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本公司（单位）对上述声明内容的真实性负责。如有虚假，愿承担相应法律责任。</w:t>
      </w:r>
    </w:p>
    <w:p w14:paraId="5BEF81A8">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20662693">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7382FCF">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77C3E8F9">
      <w:pPr>
        <w:pBdr>
          <w:top w:val="none" w:color="auto" w:sz="0" w:space="1"/>
          <w:left w:val="none" w:color="auto" w:sz="0" w:space="4"/>
          <w:bottom w:val="none" w:color="auto" w:sz="0" w:space="1"/>
          <w:right w:val="none" w:color="auto" w:sz="0" w:space="4"/>
        </w:pBdr>
        <w:spacing w:line="360" w:lineRule="auto"/>
        <w:ind w:firstLine="50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公司（单位）名称（盖章）：　        </w:t>
      </w:r>
    </w:p>
    <w:p w14:paraId="79C7D066">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5C29D223">
      <w:pPr>
        <w:pBdr>
          <w:top w:val="none" w:color="auto" w:sz="0" w:space="1"/>
          <w:left w:val="none" w:color="auto" w:sz="0" w:space="4"/>
          <w:bottom w:val="none" w:color="auto" w:sz="0" w:space="1"/>
          <w:right w:val="none" w:color="auto" w:sz="0" w:space="4"/>
        </w:pBdr>
        <w:spacing w:line="360" w:lineRule="auto"/>
        <w:ind w:firstLine="50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279354CE">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60AF68A7">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p>
    <w:p w14:paraId="6819BBEA">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1、产品如有型号，请在“产品名称”栏一并填写。</w:t>
      </w:r>
    </w:p>
    <w:p w14:paraId="096B9D29">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2、生产厂名与厂址应与生产厂营业执照载明的相关信息保持一致。</w:t>
      </w:r>
    </w:p>
    <w:p w14:paraId="25F6C9C0">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3、该产品的中国境内生产的组件成本占比相关要求实施前，“规定比例”栏可不填，下同。</w:t>
      </w:r>
    </w:p>
    <w:p w14:paraId="3A4AE340">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4、该产品的关键组件要求实施前，“关键组件”栏可不填。</w:t>
      </w:r>
    </w:p>
    <w:p w14:paraId="6D52A0F9">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5、该产品的关键工序要求实施前，“关键工序”栏可不填。</w:t>
      </w:r>
    </w:p>
    <w:p w14:paraId="52C222C1">
      <w:pPr>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6、划除栏无需填写。</w:t>
      </w:r>
    </w:p>
    <w:p w14:paraId="538C6AC1">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7FEA62C9">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2076DEF3">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716EFEAB">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highlight w:val="none"/>
        </w:rPr>
      </w:pPr>
    </w:p>
    <w:p w14:paraId="22F9424A">
      <w:pPr>
        <w:pBdr>
          <w:top w:val="none" w:color="auto" w:sz="0" w:space="1"/>
          <w:left w:val="none" w:color="auto" w:sz="0" w:space="4"/>
          <w:bottom w:val="none" w:color="auto" w:sz="0" w:space="1"/>
          <w:right w:val="none" w:color="auto" w:sz="0" w:space="4"/>
        </w:pBdr>
        <w:tabs>
          <w:tab w:val="left" w:pos="1562"/>
        </w:tabs>
        <w:spacing w:line="360" w:lineRule="auto"/>
        <w:jc w:val="left"/>
        <w:rPr>
          <w:rFonts w:hint="eastAsia" w:ascii="宋体" w:hAnsi="宋体" w:eastAsia="宋体" w:cs="宋体"/>
          <w:color w:val="auto"/>
          <w:highlight w:val="none"/>
        </w:rPr>
        <w:sectPr>
          <w:pgSz w:w="11906" w:h="16838"/>
          <w:pgMar w:top="1134" w:right="1134" w:bottom="1134" w:left="1134" w:header="851" w:footer="992" w:gutter="0"/>
          <w:cols w:space="1701" w:num="1"/>
          <w:docGrid w:linePitch="360" w:charSpace="0"/>
        </w:sectPr>
      </w:pPr>
      <w:r>
        <w:rPr>
          <w:rFonts w:hint="eastAsia" w:ascii="宋体" w:hAnsi="宋体" w:eastAsia="宋体" w:cs="宋体"/>
          <w:color w:val="auto"/>
          <w:highlight w:val="none"/>
        </w:rPr>
        <w:tab/>
      </w:r>
    </w:p>
    <w:p w14:paraId="06DA7193">
      <w:pPr>
        <w:widowControl/>
        <w:pBdr>
          <w:top w:val="none" w:color="auto" w:sz="0" w:space="1"/>
          <w:left w:val="none" w:color="auto" w:sz="0" w:space="4"/>
          <w:bottom w:val="none" w:color="auto" w:sz="0" w:space="1"/>
          <w:right w:val="none" w:color="auto" w:sz="0" w:space="4"/>
        </w:pBdr>
        <w:spacing w:line="360" w:lineRule="auto"/>
        <w:jc w:val="left"/>
        <w:rPr>
          <w:rFonts w:hint="eastAsia" w:ascii="宋体" w:hAnsi="宋体" w:eastAsia="宋体" w:cs="宋体"/>
          <w:bCs/>
          <w:color w:val="auto"/>
          <w:sz w:val="40"/>
          <w:szCs w:val="32"/>
          <w:highlight w:val="none"/>
        </w:rPr>
      </w:pPr>
    </w:p>
    <w:p w14:paraId="1D96A447">
      <w:pPr>
        <w:pBdr>
          <w:top w:val="none" w:color="auto" w:sz="0" w:space="1"/>
          <w:left w:val="none" w:color="auto" w:sz="0" w:space="4"/>
          <w:bottom w:val="none" w:color="auto" w:sz="0" w:space="1"/>
          <w:right w:val="none" w:color="auto" w:sz="0" w:space="4"/>
        </w:pBdr>
        <w:spacing w:line="360" w:lineRule="auto"/>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质疑函范本</w:t>
      </w:r>
    </w:p>
    <w:p w14:paraId="13FF720B">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14:paraId="4009777E">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p>
    <w:p w14:paraId="000D5ECD">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地址：邮编：</w:t>
      </w:r>
    </w:p>
    <w:p w14:paraId="0F5BDA99">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联系人：联系电话：</w:t>
      </w:r>
    </w:p>
    <w:p w14:paraId="60B583A5">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p>
    <w:p w14:paraId="45BEB181">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14:paraId="63DE8915">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地址：邮编：</w:t>
      </w:r>
    </w:p>
    <w:p w14:paraId="76E6B571">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14:paraId="6CDFAEE3">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p>
    <w:p w14:paraId="5FDFFCE5">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质疑项目的编号：包号：</w:t>
      </w:r>
    </w:p>
    <w:p w14:paraId="2D059151">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p>
    <w:p w14:paraId="1057BAF3">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p>
    <w:p w14:paraId="6FBA99DF">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14:paraId="0D3AEEF8">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p>
    <w:p w14:paraId="08BBA554">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p>
    <w:p w14:paraId="1DDFEA14">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p>
    <w:p w14:paraId="764CCFE7">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p>
    <w:p w14:paraId="72E9DF47">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u w:val="single"/>
        </w:rPr>
      </w:pPr>
    </w:p>
    <w:p w14:paraId="554331C5">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14:paraId="5A70FE65">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185BE32">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14:paraId="07D1FB6D">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p>
    <w:p w14:paraId="52706727">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14:paraId="438F3BCB">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24CCFABE">
      <w:pPr>
        <w:pBdr>
          <w:top w:val="none" w:color="auto" w:sz="0" w:space="1"/>
          <w:left w:val="none" w:color="auto" w:sz="0" w:space="4"/>
          <w:bottom w:val="none" w:color="auto" w:sz="0" w:space="1"/>
          <w:right w:val="none" w:color="auto" w:sz="0" w:space="4"/>
        </w:pBd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14:paraId="1ED8812E">
      <w:pPr>
        <w:widowControl/>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14:paraId="1111AAD3">
      <w:pPr>
        <w:widowControl/>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0CB85D66">
      <w:pPr>
        <w:widowControl/>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14:paraId="61BE27F4">
      <w:pPr>
        <w:widowControl/>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14:paraId="7881616E">
      <w:pPr>
        <w:widowControl/>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14:paraId="04CBA150">
      <w:pPr>
        <w:widowControl/>
        <w:pBdr>
          <w:top w:val="none" w:color="auto" w:sz="0" w:space="1"/>
          <w:left w:val="none" w:color="auto" w:sz="0" w:space="4"/>
          <w:bottom w:val="none" w:color="auto" w:sz="0" w:space="1"/>
          <w:right w:val="none" w:color="auto" w:sz="0" w:space="4"/>
        </w:pBdr>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pgSz w:w="11906" w:h="16838"/>
      <w:pgMar w:top="1134" w:right="1134" w:bottom="1134" w:left="1134"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黑体"/>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12853">
    <w:pPr>
      <w:pStyle w:val="254"/>
      <w:jc w:val="center"/>
    </w:pPr>
  </w:p>
  <w:p w14:paraId="663636B2">
    <w:pPr>
      <w:pStyle w:val="25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41D0F">
    <w:pPr>
      <w:pStyle w:val="25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4170" cy="24384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344170"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B96CF6">
                          <w:pPr>
                            <w:pStyle w:val="23"/>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9.2pt;width:27.1pt;mso-position-horizontal:center;mso-position-horizontal-relative:margin;z-index:251659264;mso-width-relative:page;mso-height-relative:page;" filled="f" stroked="f" coordsize="21600,21600" o:gfxdata="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pr8i50wAAAAMBAAAPAAAAAAAAAAEAIAAAACIAAABkcnMvZG93bnJl&#10;di54bWxQSwECFAAUAAAACACHTuJAJjZqnjsCAABjBAAADgAAAAAAAAABACAAAAAiAQAAZHJzL2Uy&#10;b0RvYy54bWxQSwUGAAAAAAYABgBZAQAAzwUAAAAA&#10;">
              <v:fill on="f" focussize="0,0"/>
              <v:stroke on="f" weight="0.5pt"/>
              <v:imagedata o:title=""/>
              <o:lock v:ext="edit" aspectratio="f"/>
              <v:textbox inset="0mm,0mm,0mm,0mm">
                <w:txbxContent>
                  <w:p w14:paraId="5AB96CF6">
                    <w:pPr>
                      <w:pStyle w:val="23"/>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4EA973"/>
    <w:multiLevelType w:val="singleLevel"/>
    <w:tmpl w:val="AF4EA973"/>
    <w:lvl w:ilvl="0" w:tentative="0">
      <w:start w:val="1"/>
      <w:numFmt w:val="decimal"/>
      <w:suff w:val="nothing"/>
      <w:lvlText w:val="%1、"/>
      <w:lvlJc w:val="left"/>
    </w:lvl>
  </w:abstractNum>
  <w:abstractNum w:abstractNumId="1">
    <w:nsid w:val="B5E306ED"/>
    <w:multiLevelType w:val="multilevel"/>
    <w:tmpl w:val="B5E306ED"/>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8885369"/>
    <w:multiLevelType w:val="singleLevel"/>
    <w:tmpl w:val="78885369"/>
    <w:lvl w:ilvl="0" w:tentative="0">
      <w:start w:val="2"/>
      <w:numFmt w:val="chineseCounting"/>
      <w:suff w:val="nothing"/>
      <w:lvlText w:val="%1、"/>
      <w:lvlJc w:val="left"/>
      <w:rPr>
        <w:rFonts w:hint="eastAsia"/>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05DD0"/>
    <w:rsid w:val="0264611C"/>
    <w:rsid w:val="05C84C14"/>
    <w:rsid w:val="066B7CFF"/>
    <w:rsid w:val="0A79472F"/>
    <w:rsid w:val="0A892BC4"/>
    <w:rsid w:val="0AB45767"/>
    <w:rsid w:val="0E15318D"/>
    <w:rsid w:val="0F1D1EBE"/>
    <w:rsid w:val="0F2227A9"/>
    <w:rsid w:val="120F5F6A"/>
    <w:rsid w:val="12A54313"/>
    <w:rsid w:val="149F2047"/>
    <w:rsid w:val="15297B61"/>
    <w:rsid w:val="169C6A4B"/>
    <w:rsid w:val="16BA5EB3"/>
    <w:rsid w:val="17A728DB"/>
    <w:rsid w:val="1C1442B7"/>
    <w:rsid w:val="1D185B91"/>
    <w:rsid w:val="1E14220D"/>
    <w:rsid w:val="1F2A3EE6"/>
    <w:rsid w:val="214A36E8"/>
    <w:rsid w:val="225C1055"/>
    <w:rsid w:val="227650E2"/>
    <w:rsid w:val="25A061F6"/>
    <w:rsid w:val="260B4931"/>
    <w:rsid w:val="261D22D5"/>
    <w:rsid w:val="272950BB"/>
    <w:rsid w:val="299777EA"/>
    <w:rsid w:val="2A493A42"/>
    <w:rsid w:val="2B5037FA"/>
    <w:rsid w:val="2DBD655D"/>
    <w:rsid w:val="2F9D5BCF"/>
    <w:rsid w:val="33737E02"/>
    <w:rsid w:val="349108FF"/>
    <w:rsid w:val="38D469F0"/>
    <w:rsid w:val="391D5AED"/>
    <w:rsid w:val="3CB13731"/>
    <w:rsid w:val="3E573E64"/>
    <w:rsid w:val="400C5122"/>
    <w:rsid w:val="401F09B1"/>
    <w:rsid w:val="40956EC5"/>
    <w:rsid w:val="42C910A8"/>
    <w:rsid w:val="44F473AA"/>
    <w:rsid w:val="453E5D7D"/>
    <w:rsid w:val="46C157C3"/>
    <w:rsid w:val="46C97F5B"/>
    <w:rsid w:val="47530F1F"/>
    <w:rsid w:val="47FD3E69"/>
    <w:rsid w:val="48B92C58"/>
    <w:rsid w:val="4AE5465E"/>
    <w:rsid w:val="4B655031"/>
    <w:rsid w:val="4BFD1D24"/>
    <w:rsid w:val="4C345D0E"/>
    <w:rsid w:val="4CE33E2E"/>
    <w:rsid w:val="4E4D158E"/>
    <w:rsid w:val="4F2002A2"/>
    <w:rsid w:val="4F3F3AF0"/>
    <w:rsid w:val="4F732AC8"/>
    <w:rsid w:val="52CF6267"/>
    <w:rsid w:val="538B6F7E"/>
    <w:rsid w:val="5511700B"/>
    <w:rsid w:val="55244183"/>
    <w:rsid w:val="59082186"/>
    <w:rsid w:val="59917326"/>
    <w:rsid w:val="59B4308F"/>
    <w:rsid w:val="5B9970AC"/>
    <w:rsid w:val="5C0763B0"/>
    <w:rsid w:val="5D5E10EC"/>
    <w:rsid w:val="5E4A70E9"/>
    <w:rsid w:val="5F0A2604"/>
    <w:rsid w:val="609B1E7E"/>
    <w:rsid w:val="60DA29A7"/>
    <w:rsid w:val="61B956D6"/>
    <w:rsid w:val="628C1A7E"/>
    <w:rsid w:val="63DC7E1C"/>
    <w:rsid w:val="671B7361"/>
    <w:rsid w:val="67F417FC"/>
    <w:rsid w:val="68DD23A6"/>
    <w:rsid w:val="693F458D"/>
    <w:rsid w:val="696F20FA"/>
    <w:rsid w:val="6A4A545B"/>
    <w:rsid w:val="6AAC5B6D"/>
    <w:rsid w:val="6D561607"/>
    <w:rsid w:val="6DE541BD"/>
    <w:rsid w:val="6F534F90"/>
    <w:rsid w:val="701F71F6"/>
    <w:rsid w:val="71342C65"/>
    <w:rsid w:val="713A4D9B"/>
    <w:rsid w:val="71A44F93"/>
    <w:rsid w:val="71B44B4E"/>
    <w:rsid w:val="739015EB"/>
    <w:rsid w:val="73B8060C"/>
    <w:rsid w:val="749B0247"/>
    <w:rsid w:val="762A1882"/>
    <w:rsid w:val="79AB5945"/>
    <w:rsid w:val="7A0A476F"/>
    <w:rsid w:val="7F5056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102"/>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103"/>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6"/>
    <w:link w:val="104"/>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link w:val="105"/>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06"/>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07"/>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108"/>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109"/>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110"/>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269"/>
    <w:semiHidden/>
    <w:unhideWhenUsed/>
    <w:qFormat/>
    <w:uiPriority w:val="99"/>
    <w:pPr>
      <w:jc w:val="left"/>
    </w:pPr>
  </w:style>
  <w:style w:type="paragraph" w:styleId="15">
    <w:name w:val="Body Text"/>
    <w:basedOn w:val="1"/>
    <w:next w:val="1"/>
    <w:qFormat/>
    <w:uiPriority w:val="0"/>
    <w:rPr>
      <w:rFonts w:ascii="金山简黑体" w:hAnsi="Courier New" w:eastAsia="金山简黑体"/>
      <w:b/>
      <w:spacing w:val="-8"/>
      <w:sz w:val="44"/>
      <w:szCs w:val="20"/>
    </w:rPr>
  </w:style>
  <w:style w:type="paragraph" w:styleId="16">
    <w:name w:val="Body Text Indent"/>
    <w:basedOn w:val="1"/>
    <w:qFormat/>
    <w:uiPriority w:val="0"/>
    <w:pPr>
      <w:spacing w:after="120"/>
      <w:ind w:left="42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Date"/>
    <w:basedOn w:val="1"/>
    <w:next w:val="1"/>
    <w:qFormat/>
    <w:uiPriority w:val="0"/>
    <w:rPr>
      <w:sz w:val="24"/>
      <w:szCs w:val="20"/>
    </w:rPr>
  </w:style>
  <w:style w:type="paragraph" w:styleId="21">
    <w:name w:val="endnote text"/>
    <w:basedOn w:val="1"/>
    <w:link w:val="229"/>
    <w:semiHidden/>
    <w:unhideWhenUsed/>
    <w:qFormat/>
    <w:uiPriority w:val="99"/>
    <w:rPr>
      <w:sz w:val="20"/>
    </w:rPr>
  </w:style>
  <w:style w:type="paragraph" w:styleId="22">
    <w:name w:val="Balloon Text"/>
    <w:basedOn w:val="1"/>
    <w:link w:val="268"/>
    <w:semiHidden/>
    <w:unhideWhenUsed/>
    <w:qFormat/>
    <w:uiPriority w:val="99"/>
    <w:rPr>
      <w:sz w:val="18"/>
      <w:szCs w:val="18"/>
    </w:rPr>
  </w:style>
  <w:style w:type="paragraph" w:styleId="23">
    <w:name w:val="footer"/>
    <w:basedOn w:val="1"/>
    <w:link w:val="121"/>
    <w:unhideWhenUsed/>
    <w:qFormat/>
    <w:uiPriority w:val="99"/>
    <w:pPr>
      <w:tabs>
        <w:tab w:val="center" w:pos="7143"/>
        <w:tab w:val="right" w:pos="14287"/>
      </w:tabs>
    </w:pPr>
  </w:style>
  <w:style w:type="paragraph" w:styleId="24">
    <w:name w:val="header"/>
    <w:basedOn w:val="1"/>
    <w:link w:val="119"/>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114"/>
    <w:qFormat/>
    <w:uiPriority w:val="11"/>
    <w:pPr>
      <w:spacing w:before="200" w:after="200"/>
    </w:pPr>
    <w:rPr>
      <w:sz w:val="24"/>
      <w:szCs w:val="24"/>
    </w:rPr>
  </w:style>
  <w:style w:type="paragraph" w:styleId="28">
    <w:name w:val="footnote text"/>
    <w:basedOn w:val="1"/>
    <w:link w:val="228"/>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4">
    <w:name w:val="Title"/>
    <w:basedOn w:val="1"/>
    <w:next w:val="1"/>
    <w:link w:val="113"/>
    <w:qFormat/>
    <w:uiPriority w:val="10"/>
    <w:pPr>
      <w:spacing w:before="300" w:after="200"/>
      <w:contextualSpacing/>
    </w:pPr>
    <w:rPr>
      <w:sz w:val="48"/>
      <w:szCs w:val="48"/>
    </w:rPr>
  </w:style>
  <w:style w:type="paragraph" w:styleId="35">
    <w:name w:val="annotation subject"/>
    <w:basedOn w:val="14"/>
    <w:next w:val="14"/>
    <w:link w:val="270"/>
    <w:semiHidden/>
    <w:unhideWhenUsed/>
    <w:qFormat/>
    <w:uiPriority w:val="99"/>
    <w:rPr>
      <w:b/>
      <w:bCs/>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Emphasis"/>
    <w:basedOn w:val="38"/>
    <w:qFormat/>
    <w:uiPriority w:val="2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annotation reference"/>
    <w:basedOn w:val="38"/>
    <w:semiHidden/>
    <w:unhideWhenUsed/>
    <w:qFormat/>
    <w:uiPriority w:val="99"/>
    <w:rPr>
      <w:sz w:val="21"/>
      <w:szCs w:val="21"/>
    </w:rPr>
  </w:style>
  <w:style w:type="character" w:styleId="44">
    <w:name w:val="footnote reference"/>
    <w:unhideWhenUsed/>
    <w:qFormat/>
    <w:uiPriority w:val="99"/>
    <w:rPr>
      <w:vertAlign w:val="superscript"/>
    </w:rPr>
  </w:style>
  <w:style w:type="table" w:customStyle="1" w:styleId="45">
    <w:name w:val="Plain Table 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6">
    <w:name w:val="Plain Table 2"/>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7">
    <w:name w:val="Plain Table 3"/>
    <w:basedOn w:val="3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Plain Table 4"/>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5"/>
    <w:basedOn w:val="3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Grid Table 1 Light"/>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1">
    <w:name w:val="Grid Table 2"/>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3"/>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4"/>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5 Dark"/>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5">
    <w:name w:val="Grid Table 6 Colorful"/>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Grid Table 7 Colorful"/>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List Table 1 Light"/>
    <w:basedOn w:val="3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8">
    <w:name w:val="List Table 2"/>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List Table 3"/>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0">
    <w:name w:val="List Table 4"/>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List Table 5 Dark"/>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2">
    <w:name w:val="List Table 6 Colorful"/>
    <w:basedOn w:val="3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3">
    <w:name w:val="List Table 7 Colorful"/>
    <w:basedOn w:val="3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4">
    <w:name w:val="TOC Heading"/>
    <w:unhideWhenUsed/>
    <w:qFormat/>
    <w:uiPriority w:val="39"/>
    <w:rPr>
      <w:rFonts w:hint="default" w:ascii="Times New Roman" w:hAnsi="Times New Roman" w:eastAsia="宋体" w:cs="Times New Roman"/>
      <w:lang w:val="en-US" w:eastAsia="zh-CN" w:bidi="ar-SA"/>
    </w:rPr>
  </w:style>
  <w:style w:type="character" w:customStyle="1" w:styleId="65">
    <w:name w:val="Heading 1 Char"/>
    <w:basedOn w:val="38"/>
    <w:qFormat/>
    <w:uiPriority w:val="9"/>
    <w:rPr>
      <w:rFonts w:ascii="Arial" w:hAnsi="Arial" w:eastAsia="Arial" w:cs="Arial"/>
      <w:sz w:val="40"/>
      <w:szCs w:val="40"/>
    </w:rPr>
  </w:style>
  <w:style w:type="character" w:customStyle="1" w:styleId="66">
    <w:name w:val="Heading 2 Char"/>
    <w:basedOn w:val="38"/>
    <w:qFormat/>
    <w:uiPriority w:val="9"/>
    <w:rPr>
      <w:rFonts w:ascii="Arial" w:hAnsi="Arial" w:eastAsia="Arial" w:cs="Arial"/>
      <w:sz w:val="34"/>
    </w:rPr>
  </w:style>
  <w:style w:type="character" w:customStyle="1" w:styleId="67">
    <w:name w:val="Heading 3 Char"/>
    <w:basedOn w:val="38"/>
    <w:qFormat/>
    <w:uiPriority w:val="9"/>
    <w:rPr>
      <w:rFonts w:ascii="Arial" w:hAnsi="Arial" w:eastAsia="Arial" w:cs="Arial"/>
      <w:sz w:val="30"/>
      <w:szCs w:val="30"/>
    </w:rPr>
  </w:style>
  <w:style w:type="character" w:customStyle="1" w:styleId="68">
    <w:name w:val="Heading 4 Char"/>
    <w:basedOn w:val="38"/>
    <w:qFormat/>
    <w:uiPriority w:val="9"/>
    <w:rPr>
      <w:rFonts w:ascii="Arial" w:hAnsi="Arial" w:eastAsia="Arial" w:cs="Arial"/>
      <w:b/>
      <w:bCs/>
      <w:sz w:val="26"/>
      <w:szCs w:val="26"/>
    </w:rPr>
  </w:style>
  <w:style w:type="character" w:customStyle="1" w:styleId="69">
    <w:name w:val="Heading 5 Char"/>
    <w:basedOn w:val="38"/>
    <w:qFormat/>
    <w:uiPriority w:val="9"/>
    <w:rPr>
      <w:rFonts w:ascii="Arial" w:hAnsi="Arial" w:eastAsia="Arial" w:cs="Arial"/>
      <w:b/>
      <w:bCs/>
      <w:sz w:val="24"/>
      <w:szCs w:val="24"/>
    </w:rPr>
  </w:style>
  <w:style w:type="character" w:customStyle="1" w:styleId="70">
    <w:name w:val="Heading 6 Char"/>
    <w:basedOn w:val="38"/>
    <w:qFormat/>
    <w:uiPriority w:val="9"/>
    <w:rPr>
      <w:rFonts w:ascii="Arial" w:hAnsi="Arial" w:eastAsia="Arial" w:cs="Arial"/>
      <w:b/>
      <w:bCs/>
      <w:sz w:val="22"/>
      <w:szCs w:val="22"/>
    </w:rPr>
  </w:style>
  <w:style w:type="character" w:customStyle="1" w:styleId="71">
    <w:name w:val="Heading 7 Char"/>
    <w:basedOn w:val="38"/>
    <w:qFormat/>
    <w:uiPriority w:val="9"/>
    <w:rPr>
      <w:rFonts w:ascii="Arial" w:hAnsi="Arial" w:eastAsia="Arial" w:cs="Arial"/>
      <w:b/>
      <w:bCs/>
      <w:i/>
      <w:iCs/>
      <w:sz w:val="22"/>
      <w:szCs w:val="22"/>
    </w:rPr>
  </w:style>
  <w:style w:type="character" w:customStyle="1" w:styleId="72">
    <w:name w:val="Heading 8 Char"/>
    <w:basedOn w:val="38"/>
    <w:qFormat/>
    <w:uiPriority w:val="9"/>
    <w:rPr>
      <w:rFonts w:ascii="Arial" w:hAnsi="Arial" w:eastAsia="Arial" w:cs="Arial"/>
      <w:i/>
      <w:iCs/>
      <w:sz w:val="22"/>
      <w:szCs w:val="22"/>
    </w:rPr>
  </w:style>
  <w:style w:type="character" w:customStyle="1" w:styleId="73">
    <w:name w:val="Heading 9 Char"/>
    <w:basedOn w:val="38"/>
    <w:qFormat/>
    <w:uiPriority w:val="9"/>
    <w:rPr>
      <w:rFonts w:ascii="Arial" w:hAnsi="Arial" w:eastAsia="Arial" w:cs="Arial"/>
      <w:i/>
      <w:iCs/>
      <w:sz w:val="21"/>
      <w:szCs w:val="21"/>
    </w:rPr>
  </w:style>
  <w:style w:type="character" w:customStyle="1" w:styleId="74">
    <w:name w:val="Title Char"/>
    <w:basedOn w:val="38"/>
    <w:qFormat/>
    <w:uiPriority w:val="10"/>
    <w:rPr>
      <w:sz w:val="48"/>
      <w:szCs w:val="48"/>
    </w:rPr>
  </w:style>
  <w:style w:type="character" w:customStyle="1" w:styleId="75">
    <w:name w:val="Subtitle Char"/>
    <w:basedOn w:val="38"/>
    <w:qFormat/>
    <w:uiPriority w:val="11"/>
    <w:rPr>
      <w:sz w:val="24"/>
      <w:szCs w:val="24"/>
    </w:rPr>
  </w:style>
  <w:style w:type="character" w:customStyle="1" w:styleId="76">
    <w:name w:val="Quote Char"/>
    <w:qFormat/>
    <w:uiPriority w:val="29"/>
    <w:rPr>
      <w:i/>
    </w:rPr>
  </w:style>
  <w:style w:type="character" w:customStyle="1" w:styleId="77">
    <w:name w:val="Intense Quote Char"/>
    <w:qFormat/>
    <w:uiPriority w:val="30"/>
    <w:rPr>
      <w:i/>
    </w:rPr>
  </w:style>
  <w:style w:type="character" w:customStyle="1" w:styleId="78">
    <w:name w:val="Header Char"/>
    <w:basedOn w:val="38"/>
    <w:qFormat/>
    <w:uiPriority w:val="99"/>
  </w:style>
  <w:style w:type="character" w:customStyle="1" w:styleId="79">
    <w:name w:val="Caption Char"/>
    <w:qFormat/>
    <w:uiPriority w:val="99"/>
  </w:style>
  <w:style w:type="table" w:customStyle="1" w:styleId="80">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36"/>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36"/>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36"/>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清单表 1 浅色1"/>
    <w:basedOn w:val="36"/>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3">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5">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7">
    <w:name w:val="清单表 6 彩色1"/>
    <w:basedOn w:val="36"/>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8">
    <w:name w:val="清单表 7 彩色1"/>
    <w:basedOn w:val="36"/>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9">
    <w:name w:val="Footnote Text Char"/>
    <w:qFormat/>
    <w:uiPriority w:val="99"/>
    <w:rPr>
      <w:sz w:val="18"/>
    </w:rPr>
  </w:style>
  <w:style w:type="character" w:customStyle="1" w:styleId="100">
    <w:name w:val="Endnote Text Char"/>
    <w:qFormat/>
    <w:uiPriority w:val="99"/>
    <w:rPr>
      <w:sz w:val="20"/>
    </w:rPr>
  </w:style>
  <w:style w:type="paragraph" w:customStyle="1" w:styleId="101">
    <w:name w:val="TOC 标题1"/>
    <w:unhideWhenUsed/>
    <w:qFormat/>
    <w:uiPriority w:val="39"/>
    <w:rPr>
      <w:rFonts w:hint="default" w:ascii="Times New Roman" w:hAnsi="Times New Roman" w:eastAsia="宋体" w:cs="Times New Roman"/>
      <w:lang w:val="en-US" w:eastAsia="zh-CN" w:bidi="ar-SA"/>
    </w:rPr>
  </w:style>
  <w:style w:type="character" w:customStyle="1" w:styleId="102">
    <w:name w:val="标题 1 字符"/>
    <w:link w:val="3"/>
    <w:qFormat/>
    <w:uiPriority w:val="9"/>
    <w:rPr>
      <w:rFonts w:ascii="Arial" w:hAnsi="Arial" w:eastAsia="Arial" w:cs="Arial"/>
      <w:sz w:val="40"/>
      <w:szCs w:val="40"/>
    </w:rPr>
  </w:style>
  <w:style w:type="character" w:customStyle="1" w:styleId="103">
    <w:name w:val="标题 2 字符"/>
    <w:link w:val="4"/>
    <w:qFormat/>
    <w:uiPriority w:val="9"/>
    <w:rPr>
      <w:rFonts w:ascii="Arial" w:hAnsi="Arial" w:eastAsia="Arial" w:cs="Arial"/>
      <w:sz w:val="34"/>
    </w:rPr>
  </w:style>
  <w:style w:type="character" w:customStyle="1" w:styleId="104">
    <w:name w:val="标题 3 字符"/>
    <w:link w:val="5"/>
    <w:qFormat/>
    <w:uiPriority w:val="9"/>
    <w:rPr>
      <w:rFonts w:ascii="Arial" w:hAnsi="Arial" w:eastAsia="Arial" w:cs="Arial"/>
      <w:sz w:val="30"/>
      <w:szCs w:val="30"/>
    </w:rPr>
  </w:style>
  <w:style w:type="character" w:customStyle="1" w:styleId="105">
    <w:name w:val="标题 4 字符"/>
    <w:link w:val="2"/>
    <w:qFormat/>
    <w:uiPriority w:val="9"/>
    <w:rPr>
      <w:rFonts w:ascii="Arial" w:hAnsi="Arial" w:eastAsia="Arial" w:cs="Arial"/>
      <w:b/>
      <w:bCs/>
      <w:sz w:val="26"/>
      <w:szCs w:val="26"/>
    </w:rPr>
  </w:style>
  <w:style w:type="character" w:customStyle="1" w:styleId="106">
    <w:name w:val="标题 5 字符"/>
    <w:link w:val="7"/>
    <w:qFormat/>
    <w:uiPriority w:val="9"/>
    <w:rPr>
      <w:rFonts w:ascii="Arial" w:hAnsi="Arial" w:eastAsia="Arial" w:cs="Arial"/>
      <w:b/>
      <w:bCs/>
      <w:sz w:val="24"/>
      <w:szCs w:val="24"/>
    </w:rPr>
  </w:style>
  <w:style w:type="character" w:customStyle="1" w:styleId="107">
    <w:name w:val="标题 6 字符"/>
    <w:link w:val="8"/>
    <w:qFormat/>
    <w:uiPriority w:val="9"/>
    <w:rPr>
      <w:rFonts w:ascii="Arial" w:hAnsi="Arial" w:eastAsia="Arial" w:cs="Arial"/>
      <w:b/>
      <w:bCs/>
      <w:sz w:val="22"/>
      <w:szCs w:val="22"/>
    </w:rPr>
  </w:style>
  <w:style w:type="character" w:customStyle="1" w:styleId="108">
    <w:name w:val="标题 7 字符"/>
    <w:link w:val="9"/>
    <w:qFormat/>
    <w:uiPriority w:val="9"/>
    <w:rPr>
      <w:rFonts w:ascii="Arial" w:hAnsi="Arial" w:eastAsia="Arial" w:cs="Arial"/>
      <w:b/>
      <w:bCs/>
      <w:i/>
      <w:iCs/>
      <w:sz w:val="22"/>
      <w:szCs w:val="22"/>
    </w:rPr>
  </w:style>
  <w:style w:type="character" w:customStyle="1" w:styleId="109">
    <w:name w:val="标题 8 字符"/>
    <w:link w:val="10"/>
    <w:qFormat/>
    <w:uiPriority w:val="9"/>
    <w:rPr>
      <w:rFonts w:ascii="Arial" w:hAnsi="Arial" w:eastAsia="Arial" w:cs="Arial"/>
      <w:i/>
      <w:iCs/>
      <w:sz w:val="22"/>
      <w:szCs w:val="22"/>
    </w:rPr>
  </w:style>
  <w:style w:type="character" w:customStyle="1" w:styleId="110">
    <w:name w:val="标题 9 字符"/>
    <w:link w:val="11"/>
    <w:qFormat/>
    <w:uiPriority w:val="9"/>
    <w:rPr>
      <w:rFonts w:ascii="Arial" w:hAnsi="Arial" w:eastAsia="Arial" w:cs="Arial"/>
      <w:i/>
      <w:iCs/>
      <w:sz w:val="21"/>
      <w:szCs w:val="21"/>
    </w:rPr>
  </w:style>
  <w:style w:type="paragraph" w:styleId="111">
    <w:name w:val="List Paragraph"/>
    <w:basedOn w:val="1"/>
    <w:qFormat/>
    <w:uiPriority w:val="34"/>
    <w:pPr>
      <w:ind w:left="720"/>
      <w:contextualSpacing/>
    </w:pPr>
  </w:style>
  <w:style w:type="paragraph" w:styleId="112">
    <w:name w:val="No Spacing"/>
    <w:qFormat/>
    <w:uiPriority w:val="1"/>
    <w:rPr>
      <w:rFonts w:hint="default" w:ascii="Times New Roman" w:hAnsi="Times New Roman" w:eastAsia="宋体" w:cs="Times New Roman"/>
      <w:lang w:val="en-US" w:eastAsia="zh-CN" w:bidi="ar-SA"/>
    </w:rPr>
  </w:style>
  <w:style w:type="character" w:customStyle="1" w:styleId="113">
    <w:name w:val="标题 字符"/>
    <w:link w:val="34"/>
    <w:qFormat/>
    <w:uiPriority w:val="10"/>
    <w:rPr>
      <w:sz w:val="48"/>
      <w:szCs w:val="48"/>
    </w:rPr>
  </w:style>
  <w:style w:type="character" w:customStyle="1" w:styleId="114">
    <w:name w:val="副标题 字符"/>
    <w:link w:val="27"/>
    <w:qFormat/>
    <w:uiPriority w:val="11"/>
    <w:rPr>
      <w:sz w:val="24"/>
      <w:szCs w:val="24"/>
    </w:rPr>
  </w:style>
  <w:style w:type="paragraph" w:styleId="115">
    <w:name w:val="Quote"/>
    <w:basedOn w:val="1"/>
    <w:next w:val="1"/>
    <w:link w:val="116"/>
    <w:qFormat/>
    <w:uiPriority w:val="29"/>
    <w:pPr>
      <w:ind w:left="720" w:right="720"/>
    </w:pPr>
    <w:rPr>
      <w:i/>
    </w:rPr>
  </w:style>
  <w:style w:type="character" w:customStyle="1" w:styleId="116">
    <w:name w:val="引用 字符"/>
    <w:link w:val="115"/>
    <w:qFormat/>
    <w:uiPriority w:val="29"/>
    <w:rPr>
      <w:i/>
    </w:rPr>
  </w:style>
  <w:style w:type="paragraph" w:styleId="117">
    <w:name w:val="Intense Quote"/>
    <w:basedOn w:val="1"/>
    <w:next w:val="1"/>
    <w:link w:val="11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8">
    <w:name w:val="明显引用 字符"/>
    <w:link w:val="117"/>
    <w:qFormat/>
    <w:uiPriority w:val="30"/>
    <w:rPr>
      <w:i/>
    </w:rPr>
  </w:style>
  <w:style w:type="character" w:customStyle="1" w:styleId="119">
    <w:name w:val="页眉 字符"/>
    <w:link w:val="24"/>
    <w:qFormat/>
    <w:uiPriority w:val="99"/>
  </w:style>
  <w:style w:type="character" w:customStyle="1" w:styleId="120">
    <w:name w:val="Footer Char"/>
    <w:qFormat/>
    <w:uiPriority w:val="99"/>
  </w:style>
  <w:style w:type="character" w:customStyle="1" w:styleId="121">
    <w:name w:val="页脚 字符"/>
    <w:link w:val="23"/>
    <w:qFormat/>
    <w:uiPriority w:val="99"/>
  </w:style>
  <w:style w:type="table" w:customStyle="1" w:styleId="12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脚注文本 字符"/>
    <w:link w:val="28"/>
    <w:qFormat/>
    <w:uiPriority w:val="99"/>
    <w:rPr>
      <w:sz w:val="18"/>
    </w:rPr>
  </w:style>
  <w:style w:type="character" w:customStyle="1" w:styleId="229">
    <w:name w:val="尾注文本 字符"/>
    <w:link w:val="21"/>
    <w:qFormat/>
    <w:uiPriority w:val="99"/>
    <w:rPr>
      <w:sz w:val="20"/>
    </w:rPr>
  </w:style>
  <w:style w:type="paragraph" w:customStyle="1" w:styleId="230">
    <w:name w:val="TOC 标题11"/>
    <w:unhideWhenUsed/>
    <w:qFormat/>
    <w:uiPriority w:val="39"/>
    <w:rPr>
      <w:rFonts w:hint="default" w:ascii="Times New Roman" w:hAnsi="Times New Roman" w:eastAsia="宋体" w:cs="Times New Roman"/>
      <w:lang w:val="en-US" w:eastAsia="zh-CN" w:bidi="ar-SA"/>
    </w:rPr>
  </w:style>
  <w:style w:type="paragraph" w:customStyle="1" w:styleId="231">
    <w:name w:val="标题 11"/>
    <w:basedOn w:val="1"/>
    <w:next w:val="1"/>
    <w:link w:val="237"/>
    <w:qFormat/>
    <w:uiPriority w:val="0"/>
    <w:pPr>
      <w:keepNext/>
      <w:keepLines/>
      <w:spacing w:before="340" w:after="330" w:line="578" w:lineRule="auto"/>
      <w:outlineLvl w:val="0"/>
    </w:pPr>
    <w:rPr>
      <w:rFonts w:ascii="Times New Roman" w:hAnsi="Times New Roman"/>
      <w:b/>
      <w:bCs/>
      <w:sz w:val="44"/>
      <w:szCs w:val="44"/>
    </w:rPr>
  </w:style>
  <w:style w:type="paragraph" w:customStyle="1" w:styleId="232">
    <w:name w:val="标题 21"/>
    <w:basedOn w:val="1"/>
    <w:next w:val="1"/>
    <w:link w:val="238"/>
    <w:qFormat/>
    <w:uiPriority w:val="0"/>
    <w:pPr>
      <w:keepNext/>
      <w:keepLines/>
      <w:spacing w:before="260" w:after="260" w:line="416" w:lineRule="auto"/>
      <w:outlineLvl w:val="1"/>
    </w:pPr>
    <w:rPr>
      <w:rFonts w:ascii="Cambria" w:hAnsi="Cambria"/>
      <w:b/>
      <w:bCs/>
      <w:sz w:val="32"/>
      <w:szCs w:val="32"/>
    </w:rPr>
  </w:style>
  <w:style w:type="paragraph" w:customStyle="1" w:styleId="233">
    <w:name w:val="标题 31"/>
    <w:basedOn w:val="1"/>
    <w:next w:val="1"/>
    <w:link w:val="239"/>
    <w:qFormat/>
    <w:uiPriority w:val="0"/>
    <w:pPr>
      <w:keepNext/>
      <w:keepLines/>
      <w:spacing w:before="260" w:after="260" w:line="416" w:lineRule="auto"/>
      <w:outlineLvl w:val="2"/>
    </w:pPr>
    <w:rPr>
      <w:rFonts w:ascii="Times New Roman" w:hAnsi="Times New Roman"/>
      <w:b/>
      <w:bCs/>
      <w:sz w:val="32"/>
      <w:szCs w:val="32"/>
    </w:rPr>
  </w:style>
  <w:style w:type="character" w:customStyle="1" w:styleId="234">
    <w:name w:val="默认段落字体1"/>
    <w:qFormat/>
    <w:uiPriority w:val="0"/>
    <w:rPr>
      <w:rFonts w:ascii="Times New Roman" w:hAnsi="Times New Roman" w:eastAsia="宋体" w:cs="Times New Roman"/>
    </w:rPr>
  </w:style>
  <w:style w:type="table" w:customStyle="1" w:styleId="235">
    <w:name w:val="普通表格1"/>
    <w:qFormat/>
    <w:uiPriority w:val="0"/>
    <w:tblPr>
      <w:tblCellMar>
        <w:top w:w="0" w:type="dxa"/>
        <w:left w:w="0" w:type="dxa"/>
        <w:bottom w:w="0" w:type="dxa"/>
        <w:right w:w="0" w:type="dxa"/>
      </w:tblCellMar>
    </w:tblPr>
  </w:style>
  <w:style w:type="paragraph" w:customStyle="1" w:styleId="236">
    <w:name w:val="Default"/>
    <w:qFormat/>
    <w:uiPriority w:val="0"/>
    <w:pPr>
      <w:widowControl w:val="0"/>
    </w:pPr>
    <w:rPr>
      <w:rFonts w:hint="default" w:ascii="MS Mincho" w:hAnsi="Calibri" w:eastAsia="宋体" w:cs="Times New Roman"/>
      <w:color w:val="000000"/>
      <w:sz w:val="21"/>
      <w:szCs w:val="24"/>
      <w:lang w:val="en-US" w:eastAsia="zh-CN" w:bidi="ar-SA"/>
    </w:rPr>
  </w:style>
  <w:style w:type="character" w:customStyle="1" w:styleId="237">
    <w:name w:val="标题 1 Char"/>
    <w:basedOn w:val="234"/>
    <w:link w:val="231"/>
    <w:qFormat/>
    <w:uiPriority w:val="0"/>
    <w:rPr>
      <w:rFonts w:ascii="Times New Roman" w:hAnsi="Times New Roman" w:eastAsia="宋体" w:cs="Times New Roman"/>
      <w:b/>
      <w:bCs/>
      <w:sz w:val="44"/>
      <w:szCs w:val="44"/>
    </w:rPr>
  </w:style>
  <w:style w:type="character" w:customStyle="1" w:styleId="238">
    <w:name w:val="标题 2 Char"/>
    <w:basedOn w:val="234"/>
    <w:link w:val="232"/>
    <w:qFormat/>
    <w:uiPriority w:val="0"/>
    <w:rPr>
      <w:rFonts w:ascii="Cambria" w:hAnsi="Cambria" w:eastAsia="宋体" w:cs="Times New Roman"/>
      <w:b/>
      <w:bCs/>
      <w:sz w:val="32"/>
      <w:szCs w:val="32"/>
    </w:rPr>
  </w:style>
  <w:style w:type="character" w:customStyle="1" w:styleId="239">
    <w:name w:val="标题 3 Char"/>
    <w:basedOn w:val="234"/>
    <w:link w:val="233"/>
    <w:qFormat/>
    <w:uiPriority w:val="0"/>
    <w:rPr>
      <w:rFonts w:ascii="Times New Roman" w:hAnsi="Times New Roman" w:eastAsia="宋体" w:cs="Times New Roman"/>
      <w:b/>
      <w:bCs/>
      <w:sz w:val="32"/>
      <w:szCs w:val="32"/>
    </w:rPr>
  </w:style>
  <w:style w:type="paragraph" w:customStyle="1" w:styleId="240">
    <w:name w:val="文档结构图1"/>
    <w:basedOn w:val="1"/>
    <w:link w:val="241"/>
    <w:qFormat/>
    <w:uiPriority w:val="0"/>
    <w:rPr>
      <w:rFonts w:ascii="宋体" w:hAnsi="Times New Roman"/>
      <w:sz w:val="18"/>
      <w:szCs w:val="18"/>
    </w:rPr>
  </w:style>
  <w:style w:type="character" w:customStyle="1" w:styleId="241">
    <w:name w:val="文档结构图 Char"/>
    <w:basedOn w:val="234"/>
    <w:link w:val="240"/>
    <w:qFormat/>
    <w:uiPriority w:val="0"/>
    <w:rPr>
      <w:rFonts w:ascii="宋体" w:hAnsi="Times New Roman" w:eastAsia="宋体" w:cs="Times New Roman"/>
      <w:sz w:val="18"/>
      <w:szCs w:val="18"/>
    </w:rPr>
  </w:style>
  <w:style w:type="paragraph" w:customStyle="1" w:styleId="242">
    <w:name w:val="批注文字1"/>
    <w:basedOn w:val="1"/>
    <w:link w:val="243"/>
    <w:qFormat/>
    <w:uiPriority w:val="0"/>
    <w:pPr>
      <w:spacing w:line="360" w:lineRule="auto"/>
      <w:ind w:firstLine="922"/>
      <w:jc w:val="left"/>
    </w:pPr>
    <w:rPr>
      <w:rFonts w:ascii="Times New Roman" w:hAnsi="Times New Roman"/>
      <w:szCs w:val="24"/>
    </w:rPr>
  </w:style>
  <w:style w:type="character" w:customStyle="1" w:styleId="243">
    <w:name w:val="批注文字 Char"/>
    <w:basedOn w:val="234"/>
    <w:link w:val="242"/>
    <w:qFormat/>
    <w:uiPriority w:val="0"/>
    <w:rPr>
      <w:rFonts w:ascii="Times New Roman" w:hAnsi="Times New Roman" w:eastAsia="宋体" w:cs="Times New Roman"/>
      <w:szCs w:val="24"/>
    </w:rPr>
  </w:style>
  <w:style w:type="paragraph" w:customStyle="1" w:styleId="244">
    <w:name w:val="正文文本1"/>
    <w:basedOn w:val="1"/>
    <w:next w:val="1"/>
    <w:link w:val="245"/>
    <w:qFormat/>
    <w:uiPriority w:val="0"/>
    <w:pPr>
      <w:spacing w:after="120"/>
    </w:pPr>
  </w:style>
  <w:style w:type="character" w:customStyle="1" w:styleId="245">
    <w:name w:val="正文文本 Char"/>
    <w:basedOn w:val="234"/>
    <w:link w:val="244"/>
    <w:qFormat/>
    <w:uiPriority w:val="0"/>
    <w:rPr>
      <w:rFonts w:ascii="Calibri" w:hAnsi="Calibri" w:eastAsia="宋体" w:cs="Times New Roman"/>
    </w:rPr>
  </w:style>
  <w:style w:type="paragraph" w:customStyle="1" w:styleId="246">
    <w:name w:val="正文文本缩进1"/>
    <w:basedOn w:val="1"/>
    <w:link w:val="247"/>
    <w:qFormat/>
    <w:uiPriority w:val="0"/>
    <w:pPr>
      <w:spacing w:after="120"/>
      <w:ind w:left="420"/>
    </w:pPr>
    <w:rPr>
      <w:rFonts w:ascii="Times New Roman" w:hAnsi="Times New Roman"/>
      <w:szCs w:val="24"/>
    </w:rPr>
  </w:style>
  <w:style w:type="character" w:customStyle="1" w:styleId="247">
    <w:name w:val="正文文本缩进 Char"/>
    <w:basedOn w:val="234"/>
    <w:link w:val="246"/>
    <w:qFormat/>
    <w:uiPriority w:val="0"/>
    <w:rPr>
      <w:rFonts w:ascii="Times New Roman" w:hAnsi="Times New Roman" w:eastAsia="宋体" w:cs="Times New Roman"/>
      <w:szCs w:val="24"/>
    </w:rPr>
  </w:style>
  <w:style w:type="paragraph" w:customStyle="1" w:styleId="248">
    <w:name w:val="纯文本1"/>
    <w:basedOn w:val="1"/>
    <w:link w:val="249"/>
    <w:qFormat/>
    <w:uiPriority w:val="0"/>
    <w:rPr>
      <w:rFonts w:ascii="宋体" w:hAnsi="Courier New" w:cs="Courier New"/>
      <w:szCs w:val="21"/>
    </w:rPr>
  </w:style>
  <w:style w:type="character" w:customStyle="1" w:styleId="249">
    <w:name w:val="纯文本 Char"/>
    <w:basedOn w:val="234"/>
    <w:link w:val="248"/>
    <w:qFormat/>
    <w:uiPriority w:val="0"/>
    <w:rPr>
      <w:rFonts w:ascii="宋体" w:hAnsi="Courier New" w:eastAsia="宋体" w:cs="Courier New"/>
      <w:szCs w:val="21"/>
    </w:rPr>
  </w:style>
  <w:style w:type="paragraph" w:customStyle="1" w:styleId="250">
    <w:name w:val="日期1"/>
    <w:basedOn w:val="1"/>
    <w:next w:val="1"/>
    <w:link w:val="251"/>
    <w:qFormat/>
    <w:uiPriority w:val="0"/>
    <w:pPr>
      <w:ind w:left="100"/>
    </w:pPr>
    <w:rPr>
      <w:rFonts w:ascii="Times New Roman" w:hAnsi="Times New Roman"/>
    </w:rPr>
  </w:style>
  <w:style w:type="character" w:customStyle="1" w:styleId="251">
    <w:name w:val="日期 Char"/>
    <w:basedOn w:val="234"/>
    <w:link w:val="250"/>
    <w:qFormat/>
    <w:uiPriority w:val="0"/>
    <w:rPr>
      <w:rFonts w:ascii="Times New Roman" w:hAnsi="Times New Roman" w:eastAsia="宋体" w:cs="Times New Roman"/>
    </w:rPr>
  </w:style>
  <w:style w:type="paragraph" w:customStyle="1" w:styleId="252">
    <w:name w:val="批注框文本1"/>
    <w:basedOn w:val="1"/>
    <w:link w:val="253"/>
    <w:qFormat/>
    <w:uiPriority w:val="0"/>
    <w:rPr>
      <w:rFonts w:ascii="Times New Roman" w:hAnsi="Times New Roman"/>
      <w:sz w:val="18"/>
      <w:szCs w:val="18"/>
    </w:rPr>
  </w:style>
  <w:style w:type="character" w:customStyle="1" w:styleId="253">
    <w:name w:val="批注框文本 Char"/>
    <w:basedOn w:val="234"/>
    <w:link w:val="252"/>
    <w:qFormat/>
    <w:uiPriority w:val="0"/>
    <w:rPr>
      <w:rFonts w:ascii="Times New Roman" w:hAnsi="Times New Roman" w:eastAsia="宋体" w:cs="Times New Roman"/>
      <w:sz w:val="18"/>
      <w:szCs w:val="18"/>
    </w:rPr>
  </w:style>
  <w:style w:type="paragraph" w:customStyle="1" w:styleId="254">
    <w:name w:val="页脚1"/>
    <w:basedOn w:val="1"/>
    <w:link w:val="255"/>
    <w:qFormat/>
    <w:uiPriority w:val="0"/>
    <w:pPr>
      <w:tabs>
        <w:tab w:val="center" w:pos="4153"/>
        <w:tab w:val="right" w:pos="8306"/>
      </w:tabs>
      <w:jc w:val="left"/>
    </w:pPr>
    <w:rPr>
      <w:rFonts w:ascii="Times New Roman" w:hAnsi="Times New Roman"/>
      <w:sz w:val="18"/>
      <w:szCs w:val="18"/>
    </w:rPr>
  </w:style>
  <w:style w:type="character" w:customStyle="1" w:styleId="255">
    <w:name w:val="页脚 Char"/>
    <w:basedOn w:val="234"/>
    <w:link w:val="254"/>
    <w:qFormat/>
    <w:uiPriority w:val="0"/>
    <w:rPr>
      <w:rFonts w:ascii="Times New Roman" w:hAnsi="Times New Roman" w:eastAsia="宋体" w:cs="Times New Roman"/>
      <w:sz w:val="18"/>
      <w:szCs w:val="18"/>
    </w:rPr>
  </w:style>
  <w:style w:type="paragraph" w:customStyle="1" w:styleId="256">
    <w:name w:val="页眉1"/>
    <w:basedOn w:val="1"/>
    <w:link w:val="257"/>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57">
    <w:name w:val="页眉 Char"/>
    <w:basedOn w:val="234"/>
    <w:link w:val="256"/>
    <w:qFormat/>
    <w:uiPriority w:val="0"/>
    <w:rPr>
      <w:rFonts w:ascii="Times New Roman" w:hAnsi="Times New Roman" w:eastAsia="宋体" w:cs="Times New Roman"/>
      <w:sz w:val="18"/>
      <w:szCs w:val="18"/>
    </w:rPr>
  </w:style>
  <w:style w:type="paragraph" w:customStyle="1" w:styleId="258">
    <w:name w:val="目录 11"/>
    <w:basedOn w:val="1"/>
    <w:next w:val="1"/>
    <w:qFormat/>
    <w:uiPriority w:val="0"/>
    <w:pPr>
      <w:tabs>
        <w:tab w:val="right" w:leader="dot" w:pos="8296"/>
      </w:tabs>
      <w:jc w:val="center"/>
    </w:pPr>
    <w:rPr>
      <w:rFonts w:ascii="黑体" w:hAnsi="黑体" w:eastAsia="黑体"/>
      <w:sz w:val="44"/>
      <w:szCs w:val="44"/>
    </w:rPr>
  </w:style>
  <w:style w:type="paragraph" w:customStyle="1" w:styleId="259">
    <w:name w:val="普通(网站)1"/>
    <w:basedOn w:val="1"/>
    <w:qFormat/>
    <w:uiPriority w:val="0"/>
    <w:rPr>
      <w:rFonts w:ascii="Times New Roman" w:hAnsi="Times New Roman"/>
      <w:sz w:val="24"/>
    </w:rPr>
  </w:style>
  <w:style w:type="table" w:customStyle="1" w:styleId="260">
    <w:name w:val="网格型1"/>
    <w:basedOn w:val="235"/>
    <w:qFormat/>
    <w:uiPriority w:val="0"/>
  </w:style>
  <w:style w:type="character" w:customStyle="1" w:styleId="261">
    <w:name w:val="超链接1"/>
    <w:qFormat/>
    <w:uiPriority w:val="0"/>
    <w:rPr>
      <w:rFonts w:ascii="Times New Roman" w:hAnsi="Times New Roman" w:eastAsia="宋体" w:cs="Times New Roman"/>
      <w:color w:val="0000FF"/>
      <w:u w:val="none"/>
    </w:rPr>
  </w:style>
  <w:style w:type="character" w:customStyle="1" w:styleId="262">
    <w:name w:val="批注引用1"/>
    <w:qFormat/>
    <w:uiPriority w:val="0"/>
    <w:rPr>
      <w:rFonts w:ascii="Times New Roman" w:hAnsi="Times New Roman" w:eastAsia="宋体" w:cs="Times New Roman"/>
      <w:sz w:val="21"/>
      <w:szCs w:val="21"/>
    </w:rPr>
  </w:style>
  <w:style w:type="paragraph" w:customStyle="1" w:styleId="26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64">
    <w:name w:val="列出段落1"/>
    <w:basedOn w:val="1"/>
    <w:qFormat/>
    <w:uiPriority w:val="0"/>
    <w:pPr>
      <w:ind w:firstLine="420"/>
    </w:pPr>
    <w:rPr>
      <w:rFonts w:ascii="Times New Roman" w:hAnsi="Times New Roman"/>
      <w:szCs w:val="21"/>
    </w:rPr>
  </w:style>
  <w:style w:type="paragraph" w:customStyle="1" w:styleId="265">
    <w:name w:val="无间隔1"/>
    <w:basedOn w:val="1"/>
    <w:qFormat/>
    <w:uiPriority w:val="0"/>
    <w:rPr>
      <w:rFonts w:ascii="Times New Roman" w:hAnsi="Times New Roman"/>
    </w:rPr>
  </w:style>
  <w:style w:type="paragraph" w:customStyle="1" w:styleId="266">
    <w:name w:val="正文文本11"/>
    <w:basedOn w:val="1"/>
    <w:next w:val="1"/>
    <w:qFormat/>
    <w:uiPriority w:val="0"/>
    <w:rPr>
      <w:rFonts w:ascii="楷体_GB2312" w:hAnsi="Arial" w:eastAsia="楷体_GB2312"/>
      <w:sz w:val="28"/>
      <w:szCs w:val="28"/>
      <w:lang w:eastAsia="en-US"/>
    </w:rPr>
  </w:style>
  <w:style w:type="paragraph" w:customStyle="1" w:styleId="267">
    <w:name w:val="正文首行缩进11"/>
    <w:basedOn w:val="266"/>
    <w:qFormat/>
    <w:uiPriority w:val="0"/>
    <w:pPr>
      <w:spacing w:line="360" w:lineRule="auto"/>
      <w:ind w:firstLine="200"/>
    </w:pPr>
    <w:rPr>
      <w:rFonts w:ascii="仿宋_GB2312" w:hAnsi="Times New Roman" w:eastAsia="仿宋_GB2312"/>
      <w:sz w:val="30"/>
      <w:szCs w:val="30"/>
    </w:rPr>
  </w:style>
  <w:style w:type="character" w:customStyle="1" w:styleId="268">
    <w:name w:val="批注框文本 字符"/>
    <w:basedOn w:val="38"/>
    <w:link w:val="22"/>
    <w:semiHidden/>
    <w:qFormat/>
    <w:uiPriority w:val="99"/>
    <w:rPr>
      <w:rFonts w:ascii="Calibri" w:hAnsi="Calibri"/>
      <w:sz w:val="18"/>
      <w:szCs w:val="18"/>
    </w:rPr>
  </w:style>
  <w:style w:type="character" w:customStyle="1" w:styleId="269">
    <w:name w:val="批注文字 字符"/>
    <w:basedOn w:val="38"/>
    <w:link w:val="14"/>
    <w:semiHidden/>
    <w:qFormat/>
    <w:uiPriority w:val="99"/>
    <w:rPr>
      <w:rFonts w:ascii="Calibri" w:hAnsi="Calibri"/>
      <w:sz w:val="21"/>
      <w:szCs w:val="22"/>
    </w:rPr>
  </w:style>
  <w:style w:type="character" w:customStyle="1" w:styleId="270">
    <w:name w:val="批注主题 字符"/>
    <w:basedOn w:val="269"/>
    <w:link w:val="35"/>
    <w:semiHidden/>
    <w:qFormat/>
    <w:uiPriority w:val="99"/>
    <w:rPr>
      <w:rFonts w:ascii="Calibri" w:hAnsi="Calibri"/>
      <w:b/>
      <w:bCs/>
      <w:sz w:val="21"/>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118</Pages>
  <Words>9206</Words>
  <Characters>9831</Characters>
  <TotalTime>16</TotalTime>
  <ScaleCrop>false</ScaleCrop>
  <LinksUpToDate>false</LinksUpToDate>
  <CharactersWithSpaces>9944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cp:category>
  <dcterms:created xsi:type="dcterms:W3CDTF">2026-06-27T07:06:00Z</dcterms:created>
  <dc:creator>连云港市公共</dc:creator>
  <dc:description>2024年8</dc:description>
  <cp:lastModifiedBy>中和德汇</cp:lastModifiedBy>
  <dcterms:modified xsi:type="dcterms:W3CDTF">2026-09-17T01:12:06Z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eyJoZGlkIjoiYWIzMGRjZmE3OWJjOTY2YTIzOGRkM2JlNDk2Yzc0OTAiLCJ1c2VySWQiOiI2NTMwMDAzNDQifQ==</vt:lpwstr>
  </property>
  <property fmtid="{D5CDD505-2E9C-101B-9397-08002B2CF9AE}" pid="3" name="KSOProductBuildVer">
    <vt:lpwstr>2052-12.1.0.28043</vt:lpwstr>
  </property>
  <property fmtid="{D5CDD505-2E9C-101B-9397-08002B2CF9AE}" pid="4" name="ICV">
    <vt:lpwstr>AD06D681900D46F5A8990FC2CE0733AC_13</vt:lpwstr>
  </property>
</Properties>
</file>