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eastAsia="宋体"/>
          <w:lang w:eastAsia="zh-CN"/>
        </w:rPr>
        <w:pBdr>
          <w:top w:val="none" w:color="auto" w:sz="0" w:space="1"/>
          <w:left w:val="none" w:color="auto" w:sz="0" w:space="4"/>
          <w:bottom w:val="none" w:color="auto" w:sz="0" w:space="1"/>
          <w:right w:val="none" w:color="auto" w:sz="0" w:space="4"/>
        </w:pBdr>
      </w:pPr>
      <w:r>
        <w:rPr>
          <w:rFonts w:hint="eastAsia" w:eastAsia="宋体"/>
          <w:lang w:eastAsia="zh-CN"/>
        </w:rPr>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jc w:val="center"/>
        <w:rPr>
          <w:rFonts w:ascii="黑体" w:hAnsi="黑体" w:eastAsia="黑体"/>
          <w:b/>
          <w:sz w:val="84"/>
          <w:szCs w:val="84"/>
        </w:rPr>
        <w:pBdr>
          <w:top w:val="none" w:color="auto" w:sz="0" w:space="1"/>
          <w:left w:val="none" w:color="auto" w:sz="0" w:space="4"/>
          <w:bottom w:val="none" w:color="auto" w:sz="0" w:space="1"/>
          <w:right w:val="none" w:color="auto" w:sz="0" w:space="4"/>
        </w:pBdr>
      </w:pPr>
      <w:r>
        <w:rPr>
          <w:rFonts w:hint="eastAsia" w:ascii="黑体" w:hAnsi="黑体" w:eastAsia="黑体"/>
          <w:b/>
          <w:sz w:val="84"/>
          <w:szCs w:val="84"/>
        </w:rPr>
        <w:t xml:space="preserve">招　标　文　件</w:t>
      </w:r>
      <w:r/>
    </w:p>
    <w:p>
      <w:pPr>
        <w:ind w:firstLine="2249"/>
        <w:jc w:val="left"/>
        <w:spacing w:line="480" w:lineRule="auto"/>
        <w:rPr>
          <w:rFonts w:ascii="Arial" w:hAnsi="Arial"/>
          <w:b/>
          <w:bCs/>
          <w:color w:val="000000"/>
          <w:sz w:val="32"/>
          <w:szCs w:val="24"/>
        </w:rPr>
        <w:pBdr>
          <w:top w:val="none" w:color="auto" w:sz="0" w:space="1"/>
          <w:left w:val="none" w:color="auto" w:sz="0" w:space="4"/>
          <w:bottom w:val="none" w:color="auto" w:sz="0" w:space="1"/>
          <w:right w:val="none" w:color="auto" w:sz="0" w:space="4"/>
        </w:pBdr>
      </w:pPr>
      <w:r>
        <w:rPr>
          <w:rFonts w:ascii="Arial" w:hAnsi="Arial"/>
          <w:b/>
          <w:bCs/>
          <w:color w:val="000000"/>
          <w:sz w:val="32"/>
          <w:szCs w:val="24"/>
        </w:rPr>
      </w:r>
      <w:r/>
    </w:p>
    <w:p>
      <w:pPr>
        <w:ind w:firstLine="2249"/>
        <w:jc w:val="left"/>
        <w:spacing w:line="480" w:lineRule="auto"/>
        <w:rPr>
          <w:rFonts w:ascii="Arial" w:hAnsi="Arial"/>
          <w:b/>
          <w:bCs/>
          <w:color w:val="000000"/>
          <w:sz w:val="32"/>
          <w:szCs w:val="24"/>
        </w:rPr>
        <w:pBdr>
          <w:top w:val="none" w:color="auto" w:sz="0" w:space="1"/>
          <w:left w:val="none" w:color="auto" w:sz="0" w:space="4"/>
          <w:bottom w:val="none" w:color="auto" w:sz="0" w:space="1"/>
          <w:right w:val="none" w:color="auto" w:sz="0" w:space="4"/>
        </w:pBdr>
      </w:pPr>
      <w:r>
        <w:rPr>
          <w:rFonts w:ascii="Arial" w:hAnsi="Arial"/>
          <w:b/>
          <w:bCs/>
          <w:color w:val="000000"/>
          <w:sz w:val="32"/>
          <w:szCs w:val="24"/>
        </w:rPr>
      </w:r>
      <w:r/>
    </w:p>
    <w:p>
      <w:pPr>
        <w:ind w:firstLine="2249"/>
        <w:jc w:val="left"/>
        <w:spacing w:line="480" w:lineRule="auto"/>
        <w:rPr>
          <w:rFonts w:ascii="Arial" w:hAnsi="Arial"/>
          <w:b/>
          <w:bCs/>
          <w:color w:val="000000"/>
          <w:sz w:val="32"/>
          <w:szCs w:val="24"/>
        </w:rPr>
        <w:pBdr>
          <w:top w:val="none" w:color="auto" w:sz="0" w:space="1"/>
          <w:left w:val="none" w:color="auto" w:sz="0" w:space="4"/>
          <w:bottom w:val="none" w:color="auto" w:sz="0" w:space="1"/>
          <w:right w:val="none" w:color="auto" w:sz="0" w:space="4"/>
        </w:pBdr>
      </w:pPr>
      <w:r>
        <w:rPr>
          <w:rFonts w:ascii="Arial" w:hAnsi="Arial"/>
          <w:b/>
          <w:bCs/>
          <w:color w:val="000000"/>
          <w:sz w:val="32"/>
          <w:szCs w:val="24"/>
        </w:rPr>
      </w:r>
      <w:r/>
    </w:p>
    <w:p>
      <w:pPr>
        <w:ind w:firstLine="2249"/>
        <w:jc w:val="left"/>
        <w:spacing w:line="480" w:lineRule="auto"/>
        <w:rPr>
          <w:rFonts w:ascii="Arial" w:hAnsi="Arial"/>
          <w:b/>
          <w:bCs/>
          <w:color w:val="000000"/>
          <w:sz w:val="32"/>
          <w:szCs w:val="24"/>
        </w:rPr>
        <w:pBdr>
          <w:top w:val="none" w:color="auto" w:sz="0" w:space="1"/>
          <w:left w:val="none" w:color="auto" w:sz="0" w:space="4"/>
          <w:bottom w:val="none" w:color="auto" w:sz="0" w:space="1"/>
          <w:right w:val="none" w:color="auto" w:sz="0" w:space="4"/>
        </w:pBdr>
      </w:pPr>
      <w:r>
        <w:rPr>
          <w:rFonts w:ascii="Arial" w:hAnsi="Arial"/>
          <w:b/>
          <w:bCs/>
          <w:color w:val="000000"/>
          <w:sz w:val="32"/>
          <w:szCs w:val="24"/>
        </w:rPr>
      </w:r>
      <w:r/>
    </w:p>
    <w:p>
      <w:pPr>
        <w:ind w:firstLine="2249"/>
        <w:jc w:val="left"/>
        <w:spacing w:line="480" w:lineRule="auto"/>
        <w:rPr>
          <w:rFonts w:ascii="Arial" w:hAnsi="Arial"/>
          <w:b/>
          <w:bCs/>
          <w:color w:val="000000"/>
          <w:sz w:val="32"/>
          <w:szCs w:val="24"/>
        </w:rPr>
        <w:pBdr>
          <w:top w:val="none" w:color="auto" w:sz="0" w:space="1"/>
          <w:left w:val="none" w:color="auto" w:sz="0" w:space="4"/>
          <w:bottom w:val="none" w:color="auto" w:sz="0" w:space="1"/>
          <w:right w:val="none" w:color="auto" w:sz="0" w:space="4"/>
        </w:pBdr>
      </w:pPr>
      <w:r>
        <w:rPr>
          <w:rFonts w:ascii="Arial" w:hAnsi="Arial"/>
          <w:b/>
          <w:bCs/>
          <w:color w:val="000000"/>
          <w:sz w:val="32"/>
          <w:szCs w:val="24"/>
        </w:rPr>
      </w:r>
      <w:r/>
    </w:p>
    <w:p>
      <w:pPr>
        <w:spacing w:line="480" w:lineRule="auto"/>
        <w:rPr>
          <w:rFonts w:ascii="Arial" w:hAnsi="Arial"/>
          <w:b/>
          <w:bCs/>
          <w:color w:val="000000"/>
          <w:sz w:val="32"/>
          <w:szCs w:val="24"/>
        </w:rPr>
        <w:pBdr>
          <w:top w:val="none" w:color="auto" w:sz="0" w:space="1"/>
          <w:left w:val="none" w:color="auto" w:sz="0" w:space="4"/>
          <w:bottom w:val="none" w:color="auto" w:sz="0" w:space="1"/>
          <w:right w:val="none" w:color="auto" w:sz="0" w:space="4"/>
        </w:pBdr>
      </w:pPr>
      <w:r>
        <w:rPr>
          <w:rFonts w:ascii="Arial" w:hAnsi="Arial"/>
          <w:b/>
          <w:bCs/>
          <w:color w:val="000000"/>
          <w:sz w:val="32"/>
          <w:szCs w:val="24"/>
        </w:rPr>
      </w:r>
      <w:r/>
    </w:p>
    <w:p>
      <w:pPr>
        <w:jc w:val="center"/>
        <w:spacing w:line="480" w:lineRule="auto"/>
        <w:rPr>
          <w:rFonts w:hint="eastAsia" w:ascii="Arial" w:hAnsi="Arial" w:eastAsia="宋体"/>
          <w:b/>
          <w:bCs/>
          <w:color w:val="000000"/>
          <w:sz w:val="32"/>
          <w:szCs w:val="24"/>
          <w:lang w:eastAsia="zh-CN"/>
        </w:rPr>
        <w:pBdr>
          <w:top w:val="none" w:color="auto" w:sz="0" w:space="1"/>
          <w:left w:val="none" w:color="auto" w:sz="0" w:space="4"/>
          <w:bottom w:val="none" w:color="auto" w:sz="0" w:space="1"/>
          <w:right w:val="none" w:color="auto" w:sz="0" w:space="4"/>
        </w:pBdr>
      </w:pPr>
      <w:r>
        <w:rPr>
          <w:rFonts w:hint="eastAsia" w:ascii="Arial" w:hAnsi="Arial"/>
          <w:b/>
          <w:bCs/>
          <w:color w:val="000000"/>
          <w:sz w:val="32"/>
          <w:szCs w:val="24"/>
        </w:rPr>
        <w:t xml:space="preserve">项目名称：</w:t>
      </w:r>
      <w:r>
        <w:rPr>
          <w:rFonts w:hint="eastAsia" w:ascii="Arial" w:hAnsi="Arial"/>
          <w:b/>
          <w:bCs/>
          <w:color w:val="000000"/>
          <w:sz w:val="32"/>
          <w:szCs w:val="24"/>
          <w:lang w:eastAsia="zh-CN"/>
        </w:rPr>
        <w:t xml:space="preserve">2026年第十三批采购项目-设备：离子色谱仪、电子天平、刀式研磨仪</w:t>
      </w:r>
      <w:r/>
    </w:p>
    <w:p>
      <w:pPr>
        <w:spacing w:line="480" w:lineRule="auto"/>
        <w:rPr>
          <w:rFonts w:hint="eastAsia" w:ascii="黑体" w:hAnsi="Arial" w:eastAsia="宋体"/>
          <w:b/>
          <w:color w:val="000000"/>
          <w:sz w:val="44"/>
          <w:szCs w:val="21"/>
          <w:lang w:eastAsia="zh-CN"/>
        </w:rPr>
        <w:pBdr>
          <w:top w:val="none" w:color="auto" w:sz="0" w:space="1"/>
          <w:left w:val="none" w:color="auto" w:sz="0" w:space="4"/>
          <w:bottom w:val="none" w:color="auto" w:sz="0" w:space="1"/>
          <w:right w:val="none" w:color="auto" w:sz="0" w:space="4"/>
        </w:pBdr>
      </w:pPr>
      <w:r>
        <w:rPr>
          <w:rFonts w:hint="eastAsia" w:ascii="Arial" w:hAnsi="Arial"/>
          <w:b/>
          <w:bCs/>
          <w:sz w:val="32"/>
          <w:szCs w:val="24"/>
        </w:rPr>
        <w:t xml:space="preserve">项目编号：</w:t>
      </w:r>
      <w:r>
        <w:rPr>
          <w:rFonts w:hint="eastAsia" w:ascii="Arial" w:hAnsi="Arial"/>
          <w:b/>
          <w:bCs/>
          <w:sz w:val="32"/>
          <w:szCs w:val="24"/>
          <w:lang w:eastAsia="zh-CN"/>
        </w:rPr>
        <w:t xml:space="preserve">JSZC-320700-XHZX-G2026-0027</w:t>
      </w:r>
      <w:r/>
    </w:p>
    <w:p>
      <w:pPr>
        <w:spacing w:line="480" w:lineRule="auto"/>
        <w:rPr>
          <w:rFonts w:ascii="黑体" w:hAnsi="Arial" w:eastAsia="黑体"/>
          <w:b/>
          <w:color w:val="000000"/>
          <w:sz w:val="44"/>
          <w:szCs w:val="21"/>
        </w:rPr>
        <w:pBdr>
          <w:top w:val="none" w:color="auto" w:sz="0" w:space="1"/>
          <w:left w:val="none" w:color="auto" w:sz="0" w:space="4"/>
          <w:bottom w:val="none" w:color="auto" w:sz="0" w:space="1"/>
          <w:right w:val="none" w:color="auto" w:sz="0" w:space="4"/>
        </w:pBdr>
      </w:pPr>
      <w:r>
        <w:rPr>
          <w:rFonts w:ascii="黑体" w:hAnsi="Arial" w:eastAsia="黑体"/>
          <w:b/>
          <w:color w:val="000000"/>
          <w:sz w:val="44"/>
          <w:szCs w:val="21"/>
        </w:rPr>
      </w:r>
      <w:r/>
    </w:p>
    <w:p>
      <w:pPr>
        <w:spacing w:line="480" w:lineRule="auto"/>
        <w:rPr>
          <w:rFonts w:ascii="黑体" w:hAnsi="Arial" w:eastAsia="黑体"/>
          <w:b/>
          <w:color w:val="000000"/>
          <w:sz w:val="44"/>
          <w:szCs w:val="21"/>
        </w:rPr>
        <w:pBdr>
          <w:top w:val="none" w:color="auto" w:sz="0" w:space="1"/>
          <w:left w:val="none" w:color="auto" w:sz="0" w:space="4"/>
          <w:bottom w:val="none" w:color="auto" w:sz="0" w:space="1"/>
          <w:right w:val="none" w:color="auto" w:sz="0" w:space="4"/>
        </w:pBdr>
      </w:pPr>
      <w:r>
        <w:rPr>
          <w:rFonts w:ascii="黑体" w:hAnsi="Arial" w:eastAsia="黑体"/>
          <w:b/>
          <w:color w:val="000000"/>
          <w:sz w:val="44"/>
          <w:szCs w:val="21"/>
        </w:rPr>
      </w:r>
      <w:r/>
    </w:p>
    <w:p>
      <w:pPr>
        <w:pStyle w:val="746"/>
        <w:jc w:val="center"/>
        <w:spacing w:line="360" w:lineRule="auto"/>
        <w:rPr>
          <w:b/>
          <w:color w:val="000000"/>
          <w:sz w:val="32"/>
        </w:rPr>
        <w:pBdr>
          <w:top w:val="none" w:color="auto" w:sz="0" w:space="1"/>
          <w:left w:val="none" w:color="auto" w:sz="0" w:space="4"/>
          <w:bottom w:val="none" w:color="auto" w:sz="0" w:space="1"/>
          <w:right w:val="none" w:color="auto" w:sz="0" w:space="4"/>
        </w:pBdr>
      </w:pPr>
      <w:r>
        <w:rPr>
          <w:rFonts w:hint="eastAsia" w:ascii="宋体" w:hAnsi="宋体"/>
          <w:b/>
          <w:bCs/>
          <w:sz w:val="32"/>
        </w:rPr>
        <w:t xml:space="preserve">采  购  人：</w:t>
      </w:r>
      <w:r>
        <w:rPr>
          <w:rFonts w:hint="eastAsia"/>
          <w:b/>
          <w:color w:val="000000"/>
          <w:sz w:val="32"/>
        </w:rPr>
        <w:t xml:space="preserve">连云港市疾病预防控制中心</w:t>
      </w:r>
      <w:r/>
    </w:p>
    <w:p>
      <w:pPr>
        <w:jc w:val="center"/>
        <w:spacing w:before="120" w:after="120" w:line="360" w:lineRule="auto"/>
        <w:rPr>
          <w:rFonts w:ascii="Arial" w:hAnsi="Arial"/>
          <w:b/>
          <w:bCs/>
          <w:color w:val="000000"/>
          <w:sz w:val="32"/>
          <w:szCs w:val="24"/>
        </w:rPr>
        <w:pBdr>
          <w:top w:val="none" w:color="auto" w:sz="0" w:space="1"/>
          <w:left w:val="none" w:color="auto" w:sz="0" w:space="4"/>
          <w:bottom w:val="none" w:color="auto" w:sz="0" w:space="1"/>
          <w:right w:val="none" w:color="auto" w:sz="0" w:space="4"/>
        </w:pBdr>
      </w:pPr>
      <w:r>
        <w:rPr>
          <w:rFonts w:hint="eastAsia" w:ascii="宋体" w:hAnsi="宋体"/>
          <w:b/>
          <w:bCs/>
          <w:sz w:val="32"/>
        </w:rPr>
        <w:t xml:space="preserve">采购代理机构：江苏协鸿工程咨询有限公司</w:t>
      </w:r>
      <w:r/>
    </w:p>
    <w:p>
      <w:pPr>
        <w:jc w:val="center"/>
        <w:spacing w:before="120" w:after="120" w:line="360" w:lineRule="auto"/>
        <w:rPr>
          <w:rFonts w:ascii="Arial" w:hAnsi="Arial"/>
          <w:b/>
          <w:bCs/>
          <w:color w:val="000000"/>
          <w:sz w:val="32"/>
          <w:szCs w:val="24"/>
        </w:rPr>
        <w:pBdr>
          <w:top w:val="none" w:color="auto" w:sz="0" w:space="1"/>
          <w:left w:val="none" w:color="auto" w:sz="0" w:space="4"/>
          <w:bottom w:val="none" w:color="auto" w:sz="0" w:space="1"/>
          <w:right w:val="none" w:color="auto" w:sz="0" w:space="4"/>
        </w:pBdr>
      </w:pPr>
      <w:r>
        <w:rPr>
          <w:rFonts w:hint="eastAsia" w:ascii="Arial" w:hAnsi="Arial"/>
          <w:b/>
          <w:bCs/>
          <w:color w:val="000000"/>
          <w:sz w:val="32"/>
          <w:szCs w:val="24"/>
        </w:rPr>
        <w:t xml:space="preserve">2026年8月</w:t>
      </w:r>
      <w:r/>
    </w:p>
    <w:p>
      <w:pPr>
        <w:jc w:val="center"/>
        <w:spacing w:before="120" w:after="120" w:line="360" w:lineRule="auto"/>
        <w:pBdr>
          <w:top w:val="none" w:color="auto" w:sz="0" w:space="1"/>
          <w:left w:val="none" w:color="auto" w:sz="0" w:space="4"/>
          <w:bottom w:val="none" w:color="auto" w:sz="0" w:space="1"/>
          <w:right w:val="none" w:color="auto" w:sz="0" w:space="4"/>
        </w:pBdr>
      </w:pPr>
      <w:r>
        <w:rPr>
          <w:rFonts w:hint="eastAsia" w:ascii="Arial" w:hAnsi="Arial"/>
          <w:b/>
          <w:bCs/>
          <w:color w:val="000000"/>
          <w:sz w:val="32"/>
          <w:szCs w:val="24"/>
        </w:rPr>
        <w:br w:type="page" w:clear="all"/>
      </w:r>
      <w:r>
        <w:fldChar w:fldCharType="begin"/>
      </w:r>
      <w:r>
        <w:instrText xml:space="preserve"> TOC \o "1-1" \u </w:instrText>
      </w:r>
      <w:r>
        <w:fldChar w:fldCharType="separate"/>
      </w:r>
      <w:r/>
    </w:p>
    <w:p>
      <w:pPr>
        <w:pStyle w:val="962"/>
        <w:pBdr>
          <w:top w:val="none" w:color="auto" w:sz="0" w:space="1"/>
          <w:left w:val="none" w:color="auto" w:sz="0" w:space="4"/>
          <w:bottom w:val="none" w:color="auto" w:sz="0" w:space="1"/>
          <w:right w:val="none" w:color="auto" w:sz="0" w:space="4"/>
        </w:pBdr>
      </w:pPr>
      <w:r>
        <w:rPr>
          <w:rFonts w:hint="eastAsia"/>
        </w:rPr>
        <w:t xml:space="preserve">目  录</w:t>
      </w:r>
      <w:r/>
    </w:p>
    <w:p>
      <w:pPr>
        <w:pStyle w:val="962"/>
        <w:rPr>
          <w:sz w:val="36"/>
          <w:szCs w:val="36"/>
        </w:rPr>
        <w:pBdr>
          <w:top w:val="none" w:color="auto" w:sz="0" w:space="1"/>
          <w:left w:val="none" w:color="auto" w:sz="0" w:space="4"/>
          <w:bottom w:val="none" w:color="auto" w:sz="0" w:space="1"/>
          <w:right w:val="none" w:color="auto" w:sz="0" w:space="4"/>
        </w:pBdr>
      </w:pPr>
      <w:r>
        <w:rPr>
          <w:rFonts w:hint="eastAsia"/>
          <w:sz w:val="36"/>
          <w:szCs w:val="36"/>
        </w:rPr>
        <w:t xml:space="preserve">第一章投标邀请</w:t>
      </w:r>
      <w:r>
        <w:rPr>
          <w:sz w:val="36"/>
          <w:szCs w:val="36"/>
        </w:rPr>
        <w:tab/>
      </w:r>
      <w:r>
        <w:rPr>
          <w:sz w:val="36"/>
          <w:szCs w:val="36"/>
        </w:rPr>
        <w:fldChar w:fldCharType="begin"/>
      </w:r>
      <w:r>
        <w:rPr>
          <w:sz w:val="36"/>
          <w:szCs w:val="36"/>
        </w:rPr>
        <w:instrText xml:space="preserve"> PAGEREF _Toc165205794 \h </w:instrText>
      </w:r>
      <w:r>
        <w:rPr>
          <w:sz w:val="36"/>
          <w:szCs w:val="36"/>
        </w:rPr>
        <w:fldChar w:fldCharType="separate"/>
      </w:r>
      <w:r>
        <w:rPr>
          <w:sz w:val="36"/>
          <w:szCs w:val="36"/>
        </w:rPr>
        <w:t xml:space="preserve">1</w:t>
      </w:r>
      <w:r>
        <w:rPr>
          <w:sz w:val="36"/>
          <w:szCs w:val="36"/>
        </w:rPr>
        <w:fldChar w:fldCharType="end"/>
      </w:r>
      <w:r/>
    </w:p>
    <w:p>
      <w:pPr>
        <w:pStyle w:val="962"/>
        <w:rPr>
          <w:sz w:val="36"/>
          <w:szCs w:val="36"/>
        </w:rPr>
        <w:pBdr>
          <w:top w:val="none" w:color="auto" w:sz="0" w:space="1"/>
          <w:left w:val="none" w:color="auto" w:sz="0" w:space="4"/>
          <w:bottom w:val="none" w:color="auto" w:sz="0" w:space="1"/>
          <w:right w:val="none" w:color="auto" w:sz="0" w:space="4"/>
        </w:pBdr>
      </w:pPr>
      <w:r>
        <w:rPr>
          <w:rFonts w:hint="eastAsia"/>
          <w:sz w:val="36"/>
          <w:szCs w:val="36"/>
        </w:rPr>
        <w:t xml:space="preserve">第二章供应商须知</w:t>
      </w:r>
      <w:r>
        <w:rPr>
          <w:sz w:val="36"/>
          <w:szCs w:val="36"/>
        </w:rPr>
        <w:tab/>
      </w:r>
      <w:r>
        <w:rPr>
          <w:sz w:val="36"/>
          <w:szCs w:val="36"/>
        </w:rPr>
        <w:fldChar w:fldCharType="begin"/>
      </w:r>
      <w:r>
        <w:rPr>
          <w:sz w:val="36"/>
          <w:szCs w:val="36"/>
        </w:rPr>
        <w:instrText xml:space="preserve"> PAGEREF _Toc165205795 \h </w:instrText>
      </w:r>
      <w:r>
        <w:rPr>
          <w:sz w:val="36"/>
          <w:szCs w:val="36"/>
        </w:rPr>
        <w:fldChar w:fldCharType="separate"/>
      </w:r>
      <w:r>
        <w:rPr>
          <w:sz w:val="36"/>
          <w:szCs w:val="36"/>
        </w:rPr>
        <w:t xml:space="preserve">5</w:t>
      </w:r>
      <w:r>
        <w:rPr>
          <w:sz w:val="36"/>
          <w:szCs w:val="36"/>
        </w:rPr>
        <w:fldChar w:fldCharType="end"/>
      </w:r>
      <w:r/>
    </w:p>
    <w:p>
      <w:pPr>
        <w:pStyle w:val="962"/>
        <w:rPr>
          <w:sz w:val="36"/>
          <w:szCs w:val="36"/>
        </w:rPr>
        <w:pBdr>
          <w:top w:val="none" w:color="auto" w:sz="0" w:space="1"/>
          <w:left w:val="none" w:color="auto" w:sz="0" w:space="4"/>
          <w:bottom w:val="none" w:color="auto" w:sz="0" w:space="1"/>
          <w:right w:val="none" w:color="auto" w:sz="0" w:space="4"/>
        </w:pBdr>
      </w:pPr>
      <w:r>
        <w:rPr>
          <w:rFonts w:hint="eastAsia"/>
          <w:sz w:val="36"/>
          <w:szCs w:val="36"/>
        </w:rPr>
        <w:t xml:space="preserve">第三章合同文本</w:t>
      </w:r>
      <w:r>
        <w:rPr>
          <w:sz w:val="36"/>
          <w:szCs w:val="36"/>
        </w:rPr>
        <w:tab/>
      </w:r>
      <w:bookmarkStart w:id="26" w:name="_GoBack"/>
      <w:r/>
      <w:bookmarkEnd w:id="26"/>
      <w:r>
        <w:rPr>
          <w:sz w:val="36"/>
          <w:szCs w:val="36"/>
        </w:rPr>
        <w:fldChar w:fldCharType="begin"/>
      </w:r>
      <w:r>
        <w:rPr>
          <w:sz w:val="36"/>
          <w:szCs w:val="36"/>
        </w:rPr>
        <w:instrText xml:space="preserve"> PAGEREF _Toc165205796 \h </w:instrText>
      </w:r>
      <w:r>
        <w:rPr>
          <w:sz w:val="36"/>
          <w:szCs w:val="36"/>
        </w:rPr>
        <w:fldChar w:fldCharType="separate"/>
      </w:r>
      <w:r>
        <w:rPr>
          <w:sz w:val="36"/>
          <w:szCs w:val="36"/>
        </w:rPr>
        <w:t xml:space="preserve">22</w:t>
      </w:r>
      <w:r>
        <w:rPr>
          <w:sz w:val="36"/>
          <w:szCs w:val="36"/>
        </w:rPr>
        <w:fldChar w:fldCharType="end"/>
      </w:r>
      <w:r/>
    </w:p>
    <w:p>
      <w:pPr>
        <w:pStyle w:val="962"/>
        <w:rPr>
          <w:sz w:val="36"/>
          <w:szCs w:val="36"/>
        </w:rPr>
        <w:pBdr>
          <w:top w:val="none" w:color="auto" w:sz="0" w:space="1"/>
          <w:left w:val="none" w:color="auto" w:sz="0" w:space="4"/>
          <w:bottom w:val="none" w:color="auto" w:sz="0" w:space="1"/>
          <w:right w:val="none" w:color="auto" w:sz="0" w:space="4"/>
        </w:pBdr>
      </w:pPr>
      <w:r>
        <w:rPr>
          <w:rFonts w:hint="eastAsia"/>
          <w:sz w:val="36"/>
          <w:szCs w:val="36"/>
        </w:rPr>
        <w:t xml:space="preserve">第四章采购需求</w:t>
      </w:r>
      <w:r>
        <w:rPr>
          <w:sz w:val="36"/>
          <w:szCs w:val="36"/>
        </w:rPr>
        <w:tab/>
      </w:r>
      <w:r>
        <w:rPr>
          <w:sz w:val="36"/>
          <w:szCs w:val="36"/>
        </w:rPr>
        <w:fldChar w:fldCharType="begin"/>
      </w:r>
      <w:r>
        <w:rPr>
          <w:sz w:val="36"/>
          <w:szCs w:val="36"/>
        </w:rPr>
        <w:instrText xml:space="preserve"> PAGEREF _Toc165205797 \h </w:instrText>
      </w:r>
      <w:r>
        <w:rPr>
          <w:sz w:val="36"/>
          <w:szCs w:val="36"/>
        </w:rPr>
        <w:fldChar w:fldCharType="separate"/>
      </w:r>
      <w:r>
        <w:rPr>
          <w:sz w:val="36"/>
          <w:szCs w:val="36"/>
        </w:rPr>
        <w:t xml:space="preserve">37</w:t>
      </w:r>
      <w:r>
        <w:rPr>
          <w:sz w:val="36"/>
          <w:szCs w:val="36"/>
        </w:rPr>
        <w:fldChar w:fldCharType="end"/>
      </w:r>
      <w:r/>
    </w:p>
    <w:p>
      <w:pPr>
        <w:pStyle w:val="962"/>
        <w:rPr>
          <w:sz w:val="36"/>
          <w:szCs w:val="36"/>
        </w:rPr>
        <w:pBdr>
          <w:top w:val="none" w:color="auto" w:sz="0" w:space="1"/>
          <w:left w:val="none" w:color="auto" w:sz="0" w:space="4"/>
          <w:bottom w:val="none" w:color="auto" w:sz="0" w:space="1"/>
          <w:right w:val="none" w:color="auto" w:sz="0" w:space="4"/>
        </w:pBdr>
      </w:pPr>
      <w:r>
        <w:rPr>
          <w:rFonts w:hint="eastAsia"/>
          <w:sz w:val="36"/>
          <w:szCs w:val="36"/>
        </w:rPr>
        <w:t xml:space="preserve">第五章评标方法与评标标准</w:t>
      </w:r>
      <w:r>
        <w:rPr>
          <w:sz w:val="36"/>
          <w:szCs w:val="36"/>
        </w:rPr>
        <w:tab/>
      </w:r>
      <w:r>
        <w:rPr>
          <w:sz w:val="36"/>
          <w:szCs w:val="36"/>
        </w:rPr>
        <w:fldChar w:fldCharType="begin"/>
      </w:r>
      <w:r>
        <w:rPr>
          <w:sz w:val="36"/>
          <w:szCs w:val="36"/>
        </w:rPr>
        <w:instrText xml:space="preserve"> PAGEREF _Toc165205798 \h </w:instrText>
      </w:r>
      <w:r>
        <w:rPr>
          <w:sz w:val="36"/>
          <w:szCs w:val="36"/>
        </w:rPr>
        <w:fldChar w:fldCharType="separate"/>
      </w:r>
      <w:r>
        <w:rPr>
          <w:sz w:val="36"/>
          <w:szCs w:val="36"/>
        </w:rPr>
        <w:t xml:space="preserve">50</w:t>
      </w:r>
      <w:r>
        <w:rPr>
          <w:sz w:val="36"/>
          <w:szCs w:val="36"/>
        </w:rPr>
        <w:fldChar w:fldCharType="end"/>
      </w:r>
      <w:r/>
    </w:p>
    <w:p>
      <w:pPr>
        <w:pStyle w:val="962"/>
        <w:rPr>
          <w:sz w:val="36"/>
          <w:szCs w:val="36"/>
        </w:rPr>
        <w:pBdr>
          <w:top w:val="none" w:color="auto" w:sz="0" w:space="1"/>
          <w:left w:val="none" w:color="auto" w:sz="0" w:space="4"/>
          <w:bottom w:val="none" w:color="auto" w:sz="0" w:space="1"/>
          <w:right w:val="none" w:color="auto" w:sz="0" w:space="4"/>
        </w:pBdr>
      </w:pPr>
      <w:r>
        <w:rPr>
          <w:rFonts w:hint="eastAsia"/>
          <w:sz w:val="36"/>
          <w:szCs w:val="36"/>
        </w:rPr>
        <w:t xml:space="preserve">第六章投标文件格式</w:t>
      </w:r>
      <w:r>
        <w:rPr>
          <w:sz w:val="36"/>
          <w:szCs w:val="36"/>
        </w:rPr>
        <w:tab/>
      </w:r>
      <w:r>
        <w:rPr>
          <w:sz w:val="36"/>
          <w:szCs w:val="36"/>
        </w:rPr>
        <w:fldChar w:fldCharType="begin"/>
      </w:r>
      <w:r>
        <w:rPr>
          <w:sz w:val="36"/>
          <w:szCs w:val="36"/>
        </w:rPr>
        <w:instrText xml:space="preserve"> PAGEREF _Toc165205799 \h </w:instrText>
      </w:r>
      <w:r>
        <w:rPr>
          <w:sz w:val="36"/>
          <w:szCs w:val="36"/>
        </w:rPr>
        <w:fldChar w:fldCharType="separate"/>
      </w:r>
      <w:r>
        <w:rPr>
          <w:sz w:val="36"/>
          <w:szCs w:val="36"/>
        </w:rPr>
        <w:t xml:space="preserve">55</w:t>
      </w:r>
      <w:r>
        <w:rPr>
          <w:sz w:val="36"/>
          <w:szCs w:val="36"/>
        </w:rPr>
        <w:fldChar w:fldCharType="end"/>
      </w:r>
      <w:r/>
    </w:p>
    <w:p>
      <w:pPr>
        <w:jc w:val="left"/>
        <w:widowControl/>
        <w:pBdr>
          <w:top w:val="none" w:color="auto" w:sz="0" w:space="1"/>
          <w:left w:val="none" w:color="auto" w:sz="0" w:space="4"/>
          <w:bottom w:val="none" w:color="auto" w:sz="0" w:space="1"/>
          <w:right w:val="none" w:color="auto" w:sz="0" w:space="4"/>
        </w:pBdr>
      </w:pPr>
      <w:r>
        <w:fldChar w:fldCharType="end"/>
      </w:r>
      <w:r/>
    </w:p>
    <w:p>
      <w:pPr>
        <w:pStyle w:val="935"/>
        <w:jc w:val="center"/>
        <w:spacing w:line="360" w:lineRule="auto"/>
        <w:rPr>
          <w:rFonts w:ascii="黑体" w:hAnsi="黑体" w:eastAsia="黑体"/>
          <w:b w:val="0"/>
        </w:rPr>
        <w:pBdr>
          <w:top w:val="none" w:color="auto" w:sz="0" w:space="1"/>
          <w:left w:val="none" w:color="auto" w:sz="0" w:space="4"/>
          <w:bottom w:val="none" w:color="auto" w:sz="0" w:space="1"/>
          <w:right w:val="none" w:color="auto" w:sz="0" w:space="4"/>
        </w:pBd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ascii="黑体" w:hAnsi="黑体" w:eastAsia="黑体"/>
          <w:b w:val="0"/>
        </w:rPr>
      </w:r>
      <w:r/>
    </w:p>
    <w:p>
      <w:pPr>
        <w:pStyle w:val="935"/>
        <w:jc w:val="center"/>
        <w:spacing w:line="360" w:lineRule="auto"/>
        <w:rPr>
          <w:rFonts w:ascii="黑体" w:hAnsi="黑体" w:eastAsia="黑体"/>
          <w:b w:val="0"/>
        </w:rPr>
        <w:pBdr>
          <w:top w:val="none" w:color="auto" w:sz="0" w:space="1"/>
          <w:left w:val="none" w:color="auto" w:sz="0" w:space="4"/>
          <w:bottom w:val="none" w:color="auto" w:sz="0" w:space="1"/>
          <w:right w:val="none" w:color="auto" w:sz="0" w:space="4"/>
        </w:pBdr>
      </w:pPr>
      <w:r/>
      <w:bookmarkStart w:id="0" w:name="_Toc165205794"/>
      <w:r>
        <w:rPr>
          <w:rFonts w:hint="eastAsia" w:ascii="黑体" w:hAnsi="黑体" w:eastAsia="黑体"/>
          <w:b w:val="0"/>
        </w:rPr>
        <w:t xml:space="preserve">第一章  投标邀请</w:t>
      </w:r>
      <w:bookmarkEnd w:id="0"/>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受连云港市疾病预防控制中心的委托，江苏协鸿工程咨询有限公司就</w:t>
      </w:r>
      <w:r>
        <w:rPr>
          <w:rFonts w:hint="eastAsia"/>
          <w:sz w:val="24"/>
          <w:szCs w:val="24"/>
          <w:lang w:eastAsia="zh-CN"/>
        </w:rPr>
        <w:t xml:space="preserve">2026年第十三批采购项目-设备：离子色谱仪、电子天平、刀式研磨仪</w:t>
      </w:r>
      <w:r>
        <w:rPr>
          <w:rFonts w:hint="eastAsia"/>
          <w:sz w:val="24"/>
          <w:szCs w:val="24"/>
        </w:rPr>
        <w:t xml:space="preserve">（</w:t>
      </w:r>
      <w:r>
        <w:rPr>
          <w:rFonts w:hint="eastAsia"/>
          <w:sz w:val="24"/>
          <w:szCs w:val="24"/>
          <w:lang w:eastAsia="zh-CN"/>
        </w:rPr>
        <w:t xml:space="preserve">JSZC-320700-XHZX-G2026-0027</w:t>
      </w:r>
      <w:r>
        <w:rPr>
          <w:rFonts w:hint="eastAsia"/>
          <w:sz w:val="24"/>
          <w:szCs w:val="24"/>
        </w:rPr>
        <w:t xml:space="preserve">）进行公开招标采购，欢迎符合条件的供应商投标。</w:t>
      </w:r>
      <w:r/>
    </w:p>
    <w:tbl>
      <w:tblPr>
        <w:tblStyle w:val="736"/>
        <w:tblW w:w="95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18"/>
      </w:tblGrid>
      <w:tr>
        <w:trPr>
          <w:jc w:val="center"/>
        </w:trPr>
        <w:tc>
          <w:tcPr>
            <w:tcW w:w="9518" w:type="dxa"/>
            <w:textDirection w:val="lrTb"/>
            <w:noWrap w:val="false"/>
          </w:tcPr>
          <w:p>
            <w:pPr>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项目概况</w:t>
            </w:r>
            <w:r/>
          </w:p>
          <w:p>
            <w:pPr>
              <w:ind w:firstLine="482"/>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b/>
                <w:bCs/>
                <w:sz w:val="24"/>
                <w:szCs w:val="24"/>
                <w:u w:val="single"/>
                <w:lang w:eastAsia="zh-CN"/>
              </w:rPr>
              <w:t xml:space="preserve">2026年第十三批采购项目-设备：离子色谱仪、电子天平、刀式研磨仪</w:t>
            </w:r>
            <w:r>
              <w:rPr>
                <w:rFonts w:hint="eastAsia"/>
                <w:sz w:val="24"/>
                <w:szCs w:val="24"/>
              </w:rPr>
              <w:t xml:space="preserve">的潜在供应商应在</w:t>
            </w:r>
            <w:r>
              <w:rPr>
                <w:rFonts w:hint="eastAsia"/>
                <w:b/>
                <w:bCs/>
                <w:sz w:val="24"/>
                <w:szCs w:val="24"/>
                <w:u w:val="single"/>
              </w:rPr>
              <w:t xml:space="preserve">江苏政府采购网</w:t>
            </w:r>
            <w:r>
              <w:rPr>
                <w:rFonts w:hint="eastAsia"/>
                <w:sz w:val="24"/>
                <w:szCs w:val="24"/>
              </w:rPr>
              <w:t xml:space="preserve">自行免费下载招标文件，并于2026年9月17日9:00:00（北京时间）前递交（上传）投标文件。</w:t>
            </w:r>
            <w:r/>
          </w:p>
        </w:tc>
      </w:tr>
    </w:tbl>
    <w:p>
      <w:pPr>
        <w:pStyle w:val="936"/>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一、项目基本情况</w:t>
      </w:r>
      <w:r/>
    </w:p>
    <w:p>
      <w:pPr>
        <w:ind w:firstLine="480"/>
        <w:jc w:val="left"/>
        <w:spacing w:line="500" w:lineRule="exact"/>
        <w:rPr>
          <w:rFonts w:hint="eastAsia" w:eastAsia="宋体"/>
          <w:sz w:val="24"/>
          <w:szCs w:val="24"/>
          <w:lang w:eastAsia="zh-CN"/>
        </w:rPr>
        <w:pBdr>
          <w:top w:val="none" w:color="auto" w:sz="0" w:space="1"/>
          <w:left w:val="none" w:color="auto" w:sz="0" w:space="4"/>
          <w:bottom w:val="none" w:color="auto" w:sz="0" w:space="1"/>
          <w:right w:val="none" w:color="auto" w:sz="0" w:space="4"/>
        </w:pBdr>
      </w:pPr>
      <w:r>
        <w:rPr>
          <w:rFonts w:hint="eastAsia"/>
          <w:sz w:val="24"/>
          <w:szCs w:val="24"/>
        </w:rPr>
        <w:t xml:space="preserve">项目编号：</w:t>
      </w:r>
      <w:r>
        <w:rPr>
          <w:rFonts w:hint="eastAsia"/>
          <w:sz w:val="24"/>
          <w:szCs w:val="24"/>
          <w:lang w:eastAsia="zh-CN"/>
        </w:rPr>
        <w:t xml:space="preserve">JSZC-320700-XHZX-G2026-0027</w:t>
      </w:r>
      <w:r/>
    </w:p>
    <w:p>
      <w:pPr>
        <w:ind w:firstLine="480"/>
        <w:jc w:val="left"/>
        <w:spacing w:line="500" w:lineRule="exact"/>
        <w:rPr>
          <w:rFonts w:hint="eastAsia" w:eastAsia="宋体"/>
          <w:sz w:val="24"/>
          <w:szCs w:val="24"/>
          <w:lang w:eastAsia="zh-CN"/>
        </w:rPr>
        <w:pBdr>
          <w:top w:val="none" w:color="auto" w:sz="0" w:space="1"/>
          <w:left w:val="none" w:color="auto" w:sz="0" w:space="4"/>
          <w:bottom w:val="none" w:color="auto" w:sz="0" w:space="1"/>
          <w:right w:val="none" w:color="auto" w:sz="0" w:space="4"/>
        </w:pBdr>
      </w:pPr>
      <w:r>
        <w:rPr>
          <w:rFonts w:hint="eastAsia"/>
          <w:sz w:val="24"/>
          <w:szCs w:val="24"/>
        </w:rPr>
        <w:t xml:space="preserve">项目名称：</w:t>
      </w:r>
      <w:r>
        <w:rPr>
          <w:rFonts w:hint="eastAsia"/>
          <w:sz w:val="24"/>
          <w:szCs w:val="24"/>
          <w:lang w:eastAsia="zh-CN"/>
        </w:rPr>
        <w:t xml:space="preserve">2026年第十三批采购项目-设备：离子色谱仪、电子天平、刀式研磨仪</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预算金额：164万元</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最高限价：164万元，其中离子色谱仪：120万元；电子天平：12万元/台；刀式研磨仪：10万元/台，</w:t>
      </w:r>
      <w:r>
        <w:rPr>
          <w:rFonts w:hint="eastAsia" w:ascii="宋体" w:hAnsi="宋体"/>
          <w:color w:val="000000"/>
          <w:sz w:val="24"/>
        </w:rPr>
        <w:t xml:space="preserve">投标报价超过最高限价的投标无效。</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采购方式：公开招标</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采购需求：2026年度采购项目第十三批-设备：离子色谱仪1台、电子天平2台、刀式研磨仪2台，具体详见第四章采购需求。</w:t>
      </w:r>
      <w:r/>
    </w:p>
    <w:p>
      <w:pPr>
        <w:ind w:firstLine="482"/>
        <w:jc w:val="left"/>
        <w:spacing w:line="500" w:lineRule="exact"/>
        <w:rPr>
          <w:b/>
          <w:sz w:val="24"/>
          <w:szCs w:val="24"/>
        </w:rPr>
        <w:pBdr>
          <w:top w:val="none" w:color="auto" w:sz="0" w:space="1"/>
          <w:left w:val="none" w:color="auto" w:sz="0" w:space="4"/>
          <w:bottom w:val="none" w:color="auto" w:sz="0" w:space="1"/>
          <w:right w:val="none" w:color="auto" w:sz="0" w:space="4"/>
        </w:pBdr>
      </w:pPr>
      <w:r>
        <w:rPr>
          <w:rFonts w:hint="eastAsia"/>
          <w:b/>
          <w:sz w:val="24"/>
          <w:szCs w:val="24"/>
        </w:rPr>
        <w:t xml:space="preserve">对本项目资格要求、采购需求、评标方法与评标标准等部分的询问、质疑请与采购人联系，由采购人负责答复。</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合同履行期限（交货期）：</w:t>
      </w:r>
      <w:r>
        <w:rPr>
          <w:rFonts w:hint="eastAsia" w:ascii="宋体" w:hAnsi="宋体"/>
          <w:sz w:val="24"/>
          <w:szCs w:val="24"/>
        </w:rPr>
        <w:t xml:space="preserve">合同签订后60天内完成安装调试，达到预期效果。</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本项目（是/否）接受联合体投标：不接受联合体。</w:t>
      </w:r>
      <w:r/>
    </w:p>
    <w:p>
      <w:pPr>
        <w:pStyle w:val="936"/>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二、申请人的资格要求</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（一）满足《中华人民共和国政府采购法》第二十二条规定，并提供下列材料：</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1.法人或者其他组织的营业执照等证明文件，自然人的身份证明；</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2.2024或2025年度的财务状况报告；（成立不满一年无需提供）</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500" w:lineRule="exact"/>
        <w:rPr>
          <w:b/>
          <w:bCs/>
          <w:sz w:val="24"/>
          <w:szCs w:val="24"/>
        </w:rPr>
        <w:pBdr>
          <w:top w:val="none" w:color="auto" w:sz="0" w:space="1"/>
          <w:left w:val="none" w:color="auto" w:sz="0" w:space="4"/>
          <w:bottom w:val="none" w:color="auto" w:sz="0" w:space="1"/>
          <w:right w:val="none" w:color="auto" w:sz="0" w:space="4"/>
        </w:pBdr>
      </w:pPr>
      <w:r>
        <w:rPr>
          <w:rFonts w:hint="eastAsia"/>
          <w:b/>
          <w:bCs/>
          <w:sz w:val="24"/>
          <w:szCs w:val="24"/>
        </w:rPr>
        <w:t xml:space="preserve">（根据连财购〔2023〕4号文件精神，2、3项可以提供《财务状况报告及税收、社会保障资金缴纳情况承诺函》，详见第六章 投标文件格式）</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4.具备履行合同所必需的设备和专业技术能力的声明及证明材料；</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5.参加政府采购活动前3年内在经营活动中没有重大违法记录的书面声明；</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6.法律、行政法规规定的其他条件；（如有，请按要求提供）</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7.资格审查现场查询信用中国、中国政府采购网，供应商被列入失信被执行人、</w:t>
      </w:r>
      <w:r>
        <w:rPr>
          <w:sz w:val="24"/>
          <w:szCs w:val="24"/>
        </w:rPr>
        <w:t xml:space="preserve">税收违法黑名单</w:t>
      </w:r>
      <w:r>
        <w:rPr>
          <w:rFonts w:hint="eastAsia"/>
          <w:sz w:val="24"/>
          <w:szCs w:val="24"/>
        </w:rPr>
        <w:t xml:space="preserve">、政府采购严重违法失信行为记录名单及具有其他不符合《中华人民共和国政府采购法》第二十二条规定情形的，拒绝其参与政府采购活动。（投标文件中无需提供证明材料）</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8.本项目不接受进口产品（进口产品是指通过中国海关报关验放进入中国境内且产自关境外的产品）。</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（二）落实政府采购政策需满足的资格要求：无。</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（三）本项目的特定资格要求：无。</w:t>
      </w:r>
      <w:r/>
    </w:p>
    <w:p>
      <w:pPr>
        <w:pStyle w:val="936"/>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三、获取招标文件</w:t>
      </w:r>
      <w:r/>
    </w:p>
    <w:p>
      <w:pPr>
        <w:ind w:firstLine="480"/>
        <w:jc w:val="left"/>
        <w:spacing w:line="5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时间：自招标公告发布之日起至2026年9月1日</w:t>
      </w:r>
      <w:r>
        <w:rPr>
          <w:rFonts w:hint="eastAsia"/>
          <w:sz w:val="24"/>
          <w:szCs w:val="24"/>
        </w:rPr>
        <w:t xml:space="preserve">（北京时间）</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地点：江苏政府采购网</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方式：供应商办理江苏省政府采购交易系统CA数字证书，登录“苏采云”政府采购交易系统，自行下载。</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售价：0.00元</w:t>
      </w:r>
      <w:r/>
    </w:p>
    <w:p>
      <w:pPr>
        <w:pStyle w:val="936"/>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四、提交投标文件截止时间、开标时间和地点</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提交投标文件截止时间：2026年9月17日9:00:00（北京时间）</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开标时间：提交投标文件截止时间</w:t>
      </w:r>
      <w:r/>
    </w:p>
    <w:p>
      <w:pPr>
        <w:ind w:firstLine="480"/>
        <w:jc w:val="left"/>
        <w:spacing w:line="500" w:lineRule="exact"/>
        <w:pBdr>
          <w:top w:val="none" w:color="auto" w:sz="0" w:space="1"/>
          <w:left w:val="none" w:color="auto" w:sz="0" w:space="4"/>
          <w:bottom w:val="none" w:color="auto" w:sz="0" w:space="1"/>
          <w:right w:val="none" w:color="auto" w:sz="0" w:space="4"/>
        </w:pBdr>
      </w:pPr>
      <w:r>
        <w:rPr>
          <w:rFonts w:hint="eastAsia"/>
          <w:sz w:val="24"/>
          <w:szCs w:val="24"/>
        </w:rPr>
        <w:t xml:space="preserve">开标地点：“苏采云”政府采购交易系统网上开标大厅</w:t>
      </w:r>
      <w:r/>
    </w:p>
    <w:p>
      <w:pPr>
        <w:pStyle w:val="936"/>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五、公告期限</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自本公告发布之日起5个工作日。</w:t>
      </w:r>
      <w:r/>
    </w:p>
    <w:p>
      <w:pPr>
        <w:pStyle w:val="936"/>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六、其他补充事宜</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1.本次招标不收取投标保证金。</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2.本招标文件中</w:t>
      </w:r>
      <w:r>
        <w:rPr>
          <w:rFonts w:hint="eastAsia"/>
          <w:i/>
          <w:iCs/>
          <w:color w:val="c00000"/>
          <w:sz w:val="24"/>
          <w:szCs w:val="24"/>
          <w:u w:val="single"/>
        </w:rPr>
        <w:t xml:space="preserve">斜体且有下划线</w:t>
      </w:r>
      <w:r>
        <w:rPr>
          <w:rFonts w:hint="eastAsia"/>
          <w:sz w:val="24"/>
          <w:szCs w:val="24"/>
        </w:rPr>
        <w:t xml:space="preserve">部分为实质性要求和条件，由采购人根据实际情况设置，供应商须逐条明确作出满足实质性要求和条件的响应，否则将按无效响应处理。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无论出于何种原因，采购人及其委托的采购代理机构在采购活动开始前可对招标文件进行修改、补充或者变更，其内容作为招标文件的重要组成部分，请各供应商关注江苏政府采购网。若因供应商自身原因未及时关注本项目有关修改、补充或者变更信息，导致投标文件编制或者提交失误，由此造成的一切损失由供应商自行承担。</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http://www.ccgp-jiangsu.gov.cn/jiangsu/zlxz/ee/ee3a4bc5a3454aa2b0d9312230633ce9.html</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请供应商按照《操作手册》要求获取招标文件，制作、递交（上传）电子投标文件，参加开标，澄清、说明或者补正。因供应商未按要求操作原因导致电子投标文件被拒绝、造成无效响应的，自行承担一切损失。</w:t>
      </w:r>
      <w:r/>
    </w:p>
    <w:p>
      <w:pPr>
        <w:pStyle w:val="936"/>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七、对本次招标提出询问，请按以下方式联系</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1.采购人信息</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名    称：连云港市疾病预防控制中心</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地    址：江苏省连云港市海州区迎曙路99号</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联 系 人：沈老师</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联系电话：0518-85606056</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2.采购代理机构信息</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名    称：江苏协鸿工程咨询有限公司</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地    址：</w:t>
      </w:r>
      <w:r>
        <w:rPr>
          <w:rFonts w:hint="eastAsia" w:ascii="宋体" w:hAnsi="宋体" w:cs="宋体"/>
          <w:sz w:val="24"/>
          <w:szCs w:val="28"/>
        </w:rPr>
        <w:t xml:space="preserve">连云港市海州区秦东门大街兴亿达大厦西厅14楼</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联 系 人：陈工</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联系电话：0518-82341968</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3.项目联系方式</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项目联系人：陈工</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电      话：0518-82341968</w:t>
      </w:r>
      <w:r/>
    </w:p>
    <w:p>
      <w:pPr>
        <w:jc w:val="left"/>
        <w:widowControl/>
        <w:rPr>
          <w:rFonts w:ascii="黑体" w:hAnsi="黑体" w:eastAsia="黑体"/>
          <w:bCs/>
          <w:sz w:val="44"/>
          <w:szCs w:val="44"/>
        </w:rPr>
        <w:pBdr>
          <w:top w:val="none" w:color="auto" w:sz="0" w:space="1"/>
          <w:left w:val="none" w:color="auto" w:sz="0" w:space="4"/>
          <w:bottom w:val="none" w:color="auto" w:sz="0" w:space="1"/>
          <w:right w:val="none" w:color="auto" w:sz="0" w:space="4"/>
        </w:pBdr>
      </w:pPr>
      <w:r>
        <w:rPr>
          <w:rFonts w:ascii="黑体" w:hAnsi="黑体" w:eastAsia="黑体"/>
          <w:b/>
        </w:rPr>
        <w:br w:type="page" w:clear="all"/>
      </w:r>
      <w:r/>
    </w:p>
    <w:p>
      <w:pPr>
        <w:pStyle w:val="935"/>
        <w:jc w:val="center"/>
        <w:spacing w:line="360" w:lineRule="auto"/>
        <w:rPr>
          <w:rFonts w:ascii="黑体" w:hAnsi="黑体" w:eastAsia="黑体"/>
          <w:b w:val="0"/>
        </w:rPr>
        <w:pBdr>
          <w:top w:val="none" w:color="auto" w:sz="0" w:space="1"/>
          <w:left w:val="none" w:color="auto" w:sz="0" w:space="4"/>
          <w:bottom w:val="none" w:color="auto" w:sz="0" w:space="1"/>
          <w:right w:val="none" w:color="auto" w:sz="0" w:space="4"/>
        </w:pBdr>
      </w:pPr>
      <w:r/>
      <w:bookmarkStart w:id="1" w:name="_Toc165205795"/>
      <w:r>
        <w:rPr>
          <w:rFonts w:hint="eastAsia" w:ascii="黑体" w:hAnsi="黑体" w:eastAsia="黑体"/>
          <w:b w:val="0"/>
        </w:rPr>
        <w:t xml:space="preserve">第二章  供应商须知</w:t>
      </w:r>
      <w:bookmarkEnd w:id="1"/>
      <w:r/>
      <w:r/>
    </w:p>
    <w:p>
      <w:pPr>
        <w:pStyle w:val="936"/>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一、总则</w:t>
      </w:r>
      <w:r/>
    </w:p>
    <w:p>
      <w:pPr>
        <w:pStyle w:val="937"/>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1、采购方式</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1.1 本次招标采取公开招标方式，本招标文件仅适用于招标公告中所述项目。</w:t>
      </w:r>
      <w:r/>
    </w:p>
    <w:p>
      <w:pPr>
        <w:pStyle w:val="937"/>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2、合格的供应商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2.1 满足招标公告中申请人的资格要求的规定。</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2.3 满足本招标文件全部实质性要求和条件的规定。</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2.4 符合上述条件的供应商应承担投标及履约过程应承担的全部责任与义务。</w:t>
      </w:r>
      <w:r/>
    </w:p>
    <w:p>
      <w:pPr>
        <w:pStyle w:val="937"/>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3、适用法律</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3.1 本次招标及由此产生的合同受中华人民共和国有关的法律法规制约和保护。</w:t>
      </w:r>
      <w:r/>
    </w:p>
    <w:p>
      <w:pPr>
        <w:pStyle w:val="937"/>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4、投标费用</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4.1 供应商应自行承担所有与参与投标有关的费用，无论投标过程中的做法和结果如何，采购人和江苏协鸿工程咨询有限公司（以下简称采购代理机构）在任何情况下均无义务和责任承担这些费用。</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4.2 </w:t>
      </w:r>
      <w:r>
        <w:rPr>
          <w:rFonts w:cs="Calibri"/>
          <w:color w:val="000000"/>
          <w:sz w:val="24"/>
          <w:szCs w:val="24"/>
        </w:rPr>
        <w:t xml:space="preserve">供应商投标时报价须包含代理费（供应商在投标报价时可综合考虑此费用，不单列）。依据本项目委托代理协议约定，</w:t>
      </w:r>
      <w:r>
        <w:rPr>
          <w:rFonts w:hint="eastAsia"/>
          <w:sz w:val="24"/>
          <w:szCs w:val="24"/>
        </w:rPr>
        <w:t xml:space="preserve">本项目采购代理费根据苏招协【2022】002号收费标准的69.99%计取，由中标人支付。支付方式：电汇、网银、现金。</w:t>
      </w:r>
      <w:r/>
    </w:p>
    <w:p>
      <w:pPr>
        <w:pStyle w:val="937"/>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5、招标文件的约束力</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5.1 供应商一旦参与本项目采购活动，即被认为接受了本招标文件的规定和约束。</w:t>
      </w:r>
      <w:r/>
    </w:p>
    <w:p>
      <w:pPr>
        <w:pStyle w:val="936"/>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二、招标文件</w:t>
      </w:r>
      <w:r/>
    </w:p>
    <w:p>
      <w:pPr>
        <w:pStyle w:val="937"/>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6、招标文件的构成</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6.1 招标文件由以下部分构成：</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（1）投标邀请</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（2）供应商须知</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（3）合同文本</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（4）采购需求</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（5）评标方法与评标标准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（6）投标文件格式</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请仔细检查招标文件是否齐全，如有缺漏请立即与采购代理机构联系解决。</w:t>
      </w:r>
      <w:r/>
    </w:p>
    <w:p>
      <w:pPr>
        <w:pStyle w:val="937"/>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7、招标文件的澄清</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7.1 任何要求对招标文件进行澄清的供应商，应在投标截止时间十日前按招标公告中的通讯地址，以书面形式通知采购人或者采购代理机构。</w:t>
      </w:r>
      <w:r/>
    </w:p>
    <w:p>
      <w:pPr>
        <w:pStyle w:val="937"/>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8、招标文件的修改</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8.1 在投标截止时间前，采购人和采购代理机构可以对招标文件进行修改。</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8.2 采购人和采购代理机构有权按照法定的要求推迟投标截止时间和开标时间。</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8.3 招标文件的修改将在江苏政府采购网公布，补充文件将作为招标文件的组成部分，并对供应商具有约束力。</w:t>
      </w:r>
      <w:r/>
    </w:p>
    <w:p>
      <w:pPr>
        <w:pStyle w:val="936"/>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三、投标文件编制</w:t>
      </w:r>
      <w:r/>
    </w:p>
    <w:p>
      <w:pPr>
        <w:pStyle w:val="937"/>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9、投标文件编写注意事项</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9.1 供应商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9.2 对招标文件提出的实质性要求和条件作出响应是指供应商必须对招标文件中标明实质性要求和条件的技术参数及性能配置、数量、价格、售后服务、合同主要条款及其它要求等内容逐条作出满足原要求和条件的响应。</w:t>
      </w:r>
      <w:r/>
    </w:p>
    <w:p>
      <w:pPr>
        <w:pStyle w:val="937"/>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10、投标文件的语言及度量衡单位</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10.1 除专用术语外，供应商提交的投标文件以及供应商与采购人和采购代理机构就有关投标的所有来往通知、函件和文件均应使用简体中文。必要时专用术语应附有中文解释。供应商提交的支持资料和已印制的文献可以使用外文，但相应内容应附有中文翻译本，在解释投标文件时以中文翻译本为准。未附中文翻译本或翻译本中文内容明显与外文内容不一致的，其不利后果由供应商自行承担。</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10.2 除技术性能另有规定外，投标文件所使用的度量衡单位，均须采用国家法定计量单位。</w:t>
      </w:r>
      <w:r/>
    </w:p>
    <w:p>
      <w:pPr>
        <w:pStyle w:val="937"/>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11、投标文件的构成</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11.1 供应商编写的投标文件应包括资格证明文件、符合性证明文件、投标分项报价表、技术要求响应及偏离表、商务要求响应及偏离表、其他证明文件、投标函、开标一览表等部分。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11.2 如投标文件制作工具中格式和内容与江苏政府采购网发布的招标文件不一致，请以江苏政府采购网发布的招标文件为准。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11.3 特别提醒供应商，混乱的编排导致投标文件被误读或评标委员会（以下简称评委会）查找不到有效文件是供应商的风险。</w:t>
      </w:r>
      <w:r/>
    </w:p>
    <w:p>
      <w:pPr>
        <w:pStyle w:val="937"/>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12、证明供应商及投标标的符合招标文件规定的文件</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12.1 供应商应按照招标文件要求提交证明文件，证明其及投标标的符合招标文件规定。</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12.2 招标文件对证明文件无明确形式要求的，证明文件可以以文字资料、图纸和数据等形式提交。</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12.3 供应商委托代理时应当提交授权委托书，请按招标文件第六章给定格式及要求填写并附法定代表人（单位负责人）与委托代理人身份证明。</w:t>
      </w:r>
      <w:r/>
    </w:p>
    <w:p>
      <w:pPr>
        <w:pStyle w:val="937"/>
        <w:ind w:firstLine="562"/>
        <w:jc w:val="left"/>
        <w:spacing w:before="0" w:after="0" w:line="360" w:lineRule="auto"/>
        <w:pBdr>
          <w:top w:val="none" w:color="auto" w:sz="0" w:space="1"/>
          <w:left w:val="none" w:color="auto" w:sz="0" w:space="4"/>
          <w:bottom w:val="none" w:color="auto" w:sz="0" w:space="1"/>
          <w:right w:val="none" w:color="auto" w:sz="0" w:space="4"/>
        </w:pBdr>
      </w:pPr>
      <w:r>
        <w:rPr>
          <w:rFonts w:hint="eastAsia"/>
          <w:sz w:val="28"/>
          <w:szCs w:val="28"/>
        </w:rPr>
        <w:t xml:space="preserve">13、投标分项报价表</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（1）投标的货物总价；</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（2）货物的标准附件、备品备件、专用工具、运输、装卸等各种费用；</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（3）必要的保险费用和各项税金；</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（4）投标总价要求包含安装维保费用。</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13.2 供应商应根据投标报价要求在投标分项报价表中列明各项投标单价、总价等，未全部列示的作无效响应处理。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13.3 投标文件中的单价和总价无特殊规定的采用人民币报价，以元为单位标注。招标文件中另有规定的按规定执行。</w:t>
      </w:r>
      <w:r/>
    </w:p>
    <w:p>
      <w:pPr>
        <w:pStyle w:val="937"/>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14、技术要求响应及偏离表、商务要求响应及偏离表</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招标文件中的技术要求与商务要求逐项作出响应或偏离。</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14.2 供应商可在投标文件中提供认为需要的其他技术文件或说明。</w:t>
      </w:r>
      <w:r/>
    </w:p>
    <w:p>
      <w:pPr>
        <w:pStyle w:val="937"/>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15、服务承诺、培训计划、人员安排及其他</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15.1 供应商应根据招标文件要求提供有关售后服务的管理制度，售后服务机构的分布情况，售后服务人员的数量、素质、技术水平及售后服务的反应能力等。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15.2 供应商应根据招标文件要求提供培训计划、人员安排等。</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15.3 供应商应根据招标文件要求提供所投标的的主要组成部分、功能设计、实现思路及关键技术等。</w:t>
      </w:r>
      <w:r/>
    </w:p>
    <w:p>
      <w:pPr>
        <w:pStyle w:val="937"/>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16、投标函和开标一览表</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16.1 供应商应按照招标文件提供的格式完整、正确填写投标函、开标一览表。</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937"/>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17、投标有效期</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17.1 投标有效期为招标文件规定的开标之日后一百二十（120）天。投标有效期比规定短的将被视为未实质性响应招标文件而予以拒绝。</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17.2 在特殊情况下（法律法规另有规定的除外），经监管部门批准后，采购代理机构于原投标有效期满之前可向供应商提出延长投标有效期的要求。这种要求与答复均应采用书面形式。供应商可以拒绝采购代理机构的这一要求而放弃投标，同意延长投标有效期的供应商既不能要求也不允许修改其投标文件。受投标有效期约束的所有权利与义务均延长至新的有效期。</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ind w:firstLine="573"/>
        <w:jc w:val="left"/>
        <w:pBdr>
          <w:top w:val="none" w:color="auto" w:sz="0" w:space="1"/>
          <w:left w:val="none" w:color="auto" w:sz="0" w:space="4"/>
          <w:bottom w:val="none" w:color="auto" w:sz="0" w:space="1"/>
          <w:right w:val="none" w:color="auto" w:sz="0" w:space="4"/>
        </w:pBdr>
      </w:pPr>
      <w:r/>
      <w:r/>
    </w:p>
    <w:p>
      <w:pPr>
        <w:pStyle w:val="936"/>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四、投标文件递交</w:t>
      </w:r>
      <w:r/>
    </w:p>
    <w:p>
      <w:pPr>
        <w:pStyle w:val="937"/>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18、电子投标文件的递交</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18.1 供应商应当按照《操作手册》规定，在投标截止时间前制作并递交（上传）电子投标文件。</w:t>
      </w:r>
      <w:r/>
    </w:p>
    <w:p>
      <w:pPr>
        <w:pStyle w:val="937"/>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19、投标截止时间</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19.1 供应商递交（上传）电子投标文件的时间不得迟于招标公告中规定的投标截止时间。</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供应商应充分考虑计算机硬件、软件及网络环境等风险因素，如因供应商自身原因造成电子投标文件递交（上传）不成功的按照本招标文件第二章第27.1条规定作无效投标处理。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19.2 采购人和采购代理机构可以按照规定，通过修改招标文件酌情延长投标截止时间，在此情况下，供应商的所有权利和义务以及供应商受制的截止时间均应以延长后新的截止时间为准。</w:t>
      </w:r>
      <w:r/>
    </w:p>
    <w:p>
      <w:pPr>
        <w:pStyle w:val="937"/>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20、投标文件的拒收</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20.1 采购代理机构拒绝接收在招标文件规定的投标截止时间后递交（上传）的任何投标文件。</w:t>
      </w:r>
      <w:r/>
    </w:p>
    <w:p>
      <w:pPr>
        <w:pStyle w:val="937"/>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21、投标文件的撤回和修改</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21.1 供应商可在投标截止时间前，撤回其电子投标文件，具体操作方法见《操作手册》。供应商撤回电子投标文件的，则认为其不再参与本项目采购活动。</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21.2 供应商可在投标截止时间前，对其电子投标文件进行修改，具体操作方法见《操作手册》。在投标截止时间之后，供应商不得对其电子投标文件做任何修改。</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21.3 在投标截止时间至招标文件规定的投标有效期满之间的这段时间内，供应商不得撤回其投标。</w:t>
      </w:r>
      <w:r/>
    </w:p>
    <w:p>
      <w:pPr>
        <w:pStyle w:val="936"/>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五、开标与评标</w:t>
      </w:r>
      <w:r/>
    </w:p>
    <w:p>
      <w:pPr>
        <w:pStyle w:val="937"/>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22、开标</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22.1 采购代理机构将在招标公告中规定的时间和地点组织公开开标。供应商应当按时参加开标活动，并在“苏采云”系统规定的时间内对其投标文件进行解密。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22.2 开标仪式由采购代理机构组织。“苏采云”系统将自动对项目进行开标，并宣布各供应商名称和投标价格。</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22.3 供应商在开标过程中涉及到的投标文件解密、开标结果确认等工作，应当按照《操作手册》规定执行。</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22.4 供应商如果对开标过程和开标记录有疑义，应当按照《操作手册》规定提出，未在“苏采云”系统《开标记录表》宣布后5分钟内提出的，视同认可开标结果。</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22.5 供应商未参加开标的，视同认可开标结果。</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22.6 供应商在开标、评标全过程中应保持通讯畅通，及时登录“苏采云”系统查阅、答复相关信息，并安排专人与采购代理机构及评委会联系。</w:t>
      </w:r>
      <w:r/>
    </w:p>
    <w:p>
      <w:pPr>
        <w:pStyle w:val="937"/>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23、评标委员会</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23.1 开标后，采购代理机构将组织评委会进行评标。</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23.2 评委会由采购人代表和有关技术、经济等方面的评审专家组成，且人员构成符合政府采购有关规定。</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23.3 评委会按照采购文件规定的评审程序、评审方法和评审标准进行独立评审并确定中标候选人。</w:t>
      </w:r>
      <w:r/>
    </w:p>
    <w:p>
      <w:pPr>
        <w:pStyle w:val="937"/>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24、评标过程的保密与公正</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24.1 凡是与审查、澄清、评价和比较投标的有关资料以及授标建议等，采购人、评审专家、采购代理机构均不得向供应商或与评标无关的其他人员透露。</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24.2 在评标过程中，供应商不得以任何行为影响评标过程，否则其投标文件将被作为无效投标文件。</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24.3 采购代理机构和评委会不向未中标的供应商解释未中标原因，也不公布评标过程中的相关细节。</w:t>
      </w:r>
      <w:r/>
    </w:p>
    <w:p>
      <w:pPr>
        <w:pStyle w:val="937"/>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25、投标文件的澄清</w:t>
      </w:r>
      <w:r/>
    </w:p>
    <w:p>
      <w:pPr>
        <w:ind w:firstLine="480"/>
        <w:jc w:val="left"/>
        <w:spacing w:line="500" w:lineRule="exact"/>
        <w:rPr>
          <w:szCs w:val="21"/>
        </w:rPr>
        <w:pBdr>
          <w:top w:val="none" w:color="auto" w:sz="0" w:space="1"/>
          <w:left w:val="none" w:color="auto" w:sz="0" w:space="4"/>
          <w:bottom w:val="none" w:color="auto" w:sz="0" w:space="1"/>
          <w:right w:val="none" w:color="auto" w:sz="0" w:space="4"/>
        </w:pBdr>
      </w:pPr>
      <w:r>
        <w:rPr>
          <w:rFonts w:hint="eastAsia"/>
          <w:szCs w:val="21"/>
        </w:rPr>
        <w:t xml:space="preserve">25.1 评标期间，评委会对投标文件中含义不明确、同类问题表述不一致或者有明显文字和计算错误的内容，有权要求供应商作出必要的澄清、说明或者补正。</w:t>
      </w:r>
      <w:r/>
    </w:p>
    <w:p>
      <w:pPr>
        <w:ind w:firstLine="480"/>
        <w:jc w:val="left"/>
        <w:spacing w:line="500" w:lineRule="exact"/>
        <w:rPr>
          <w:szCs w:val="21"/>
        </w:rPr>
        <w:pBdr>
          <w:top w:val="none" w:color="auto" w:sz="0" w:space="1"/>
          <w:left w:val="none" w:color="auto" w:sz="0" w:space="4"/>
          <w:bottom w:val="none" w:color="auto" w:sz="0" w:space="1"/>
          <w:right w:val="none" w:color="auto" w:sz="0" w:space="4"/>
        </w:pBdr>
      </w:pPr>
      <w:r>
        <w:rPr>
          <w:rFonts w:hint="eastAsia"/>
          <w:szCs w:val="21"/>
        </w:rPr>
        <w:t xml:space="preserve">供应商的澄清、说明或者补正应当采用书面形式，并加盖公章，或者由法定代表人（单位负责人）或其授权的代表签字。供应商的澄清、说明或者补正不得超出投标文件的范围或者改变投标文件的实质性内容。</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评委会并非对每个供应商都提出澄清、说明或者补正要求。</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25.2 需要供应商进行澄清、说明或者补正的，评委会将通过“苏采云”系统向供应商发出“澄清要求函”，接到“澄清要求函”的供应商应当按照要求在“苏采云”系统中提交“澄清响应函”，并加盖CA电子公章。澄清、说明或者补正的内容作为投标文件的补充部分，具体操作方法见《操作手册》。</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25.3 接到评委会澄清、说明或者补正要求的供应商如未按要求响应，其风险由供应商自行承担。</w:t>
      </w:r>
      <w:r/>
    </w:p>
    <w:p>
      <w:pPr>
        <w:pStyle w:val="937"/>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26、对投标文件的审查</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26.1 投标文件审查分为资格审查和符合性审查。</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（1）资格审查：采购人依据法律法规和招标文件的规定，对投标文件中的资格证明文件进行审查。资格审查的结论，采购人以书面形式向评委会进行反馈。</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采购人在进行资格审查的同时，将在信用中国网站（www.creditchina.gov.cn）、中国政府采购网（www.ccgp.gov.cn）查询供应商的信用记录，以确定供应商是否具备投标资格，查询结果留存并归档。</w:t>
      </w:r>
      <w:r/>
    </w:p>
    <w:p>
      <w:pPr>
        <w:ind w:firstLine="480"/>
        <w:jc w:val="left"/>
        <w:spacing w:line="500" w:lineRule="exact"/>
        <w:rPr>
          <w:color w:val="000000"/>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接受联合体的项目，两个以上的自然人、法人或者其他组织组成一个联合体，以一个供应商的身份共同参与政府采购活动的，联合体成员中任何一方存在不良信</w:t>
      </w:r>
      <w:r>
        <w:rPr>
          <w:rFonts w:hint="eastAsia"/>
          <w:color w:val="000000"/>
          <w:sz w:val="24"/>
          <w:szCs w:val="24"/>
        </w:rPr>
        <w:t xml:space="preserve">用记录的，视同联合体存在不良信用记录。</w:t>
      </w:r>
      <w:r/>
    </w:p>
    <w:p>
      <w:pPr>
        <w:ind w:firstLine="480"/>
        <w:jc w:val="left"/>
        <w:spacing w:line="500" w:lineRule="exact"/>
        <w:rPr>
          <w:color w:val="000000"/>
          <w:sz w:val="24"/>
          <w:szCs w:val="24"/>
        </w:rPr>
        <w:pBdr>
          <w:top w:val="none" w:color="auto" w:sz="0" w:space="1"/>
          <w:left w:val="none" w:color="auto" w:sz="0" w:space="4"/>
          <w:bottom w:val="none" w:color="auto" w:sz="0" w:space="1"/>
          <w:right w:val="none" w:color="auto" w:sz="0" w:space="4"/>
        </w:pBdr>
      </w:pPr>
      <w:r>
        <w:rPr>
          <w:rFonts w:hint="eastAsia"/>
          <w:color w:val="000000"/>
          <w:sz w:val="24"/>
          <w:szCs w:val="24"/>
        </w:rPr>
        <w:t xml:space="preserve">（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color w:val="000000"/>
          <w:sz w:val="24"/>
          <w:szCs w:val="24"/>
        </w:rPr>
        <w:t xml:space="preserve">且</w:t>
      </w:r>
      <w:r>
        <w:rPr>
          <w:rFonts w:hint="eastAsia"/>
          <w:color w:val="000000"/>
          <w:sz w:val="24"/>
          <w:szCs w:val="24"/>
        </w:rPr>
        <w:t xml:space="preserve">与招标文件的</w:t>
      </w:r>
      <w:r>
        <w:rPr>
          <w:color w:val="000000"/>
          <w:sz w:val="24"/>
          <w:szCs w:val="24"/>
        </w:rPr>
        <w:t xml:space="preserve">其余非实质性要求和条件</w:t>
      </w:r>
      <w:r>
        <w:rPr>
          <w:rFonts w:hint="eastAsia"/>
          <w:color w:val="000000"/>
          <w:sz w:val="24"/>
          <w:szCs w:val="24"/>
        </w:rPr>
        <w:t xml:space="preserve">没有重大偏离。</w:t>
      </w:r>
      <w:r/>
    </w:p>
    <w:p>
      <w:pPr>
        <w:ind w:firstLine="480"/>
        <w:jc w:val="left"/>
        <w:spacing w:line="500" w:lineRule="exact"/>
        <w:rPr>
          <w:color w:val="000000"/>
          <w:sz w:val="24"/>
          <w:szCs w:val="24"/>
        </w:rPr>
        <w:pBdr>
          <w:top w:val="none" w:color="auto" w:sz="0" w:space="1"/>
          <w:left w:val="none" w:color="auto" w:sz="0" w:space="4"/>
          <w:bottom w:val="none" w:color="auto" w:sz="0" w:space="1"/>
          <w:right w:val="none" w:color="auto" w:sz="0" w:space="4"/>
        </w:pBdr>
      </w:pPr>
      <w:r>
        <w:rPr>
          <w:rFonts w:hint="eastAsia"/>
          <w:color w:val="000000"/>
          <w:sz w:val="24"/>
          <w:szCs w:val="24"/>
        </w:rPr>
        <w:t xml:space="preserve">未通过资格审查或符合性审查的供应商，将通过“苏采云”系统中告知其未通过的原因，评审结束后，将不再告知。</w:t>
      </w:r>
      <w:r/>
    </w:p>
    <w:p>
      <w:pPr>
        <w:ind w:firstLine="480"/>
        <w:jc w:val="left"/>
        <w:spacing w:line="500" w:lineRule="exact"/>
        <w:rPr>
          <w:color w:val="000000"/>
          <w:sz w:val="24"/>
          <w:szCs w:val="24"/>
        </w:rPr>
        <w:pBdr>
          <w:top w:val="none" w:color="auto" w:sz="0" w:space="1"/>
          <w:left w:val="none" w:color="auto" w:sz="0" w:space="4"/>
          <w:bottom w:val="none" w:color="auto" w:sz="0" w:space="1"/>
          <w:right w:val="none" w:color="auto" w:sz="0" w:space="4"/>
        </w:pBdr>
      </w:pPr>
      <w:r>
        <w:rPr>
          <w:rFonts w:hint="eastAsia"/>
          <w:color w:val="000000"/>
          <w:sz w:val="24"/>
          <w:szCs w:val="24"/>
        </w:rPr>
        <w:t xml:space="preserve">26.2 </w:t>
      </w:r>
      <w:r>
        <w:rPr>
          <w:rFonts w:hint="eastAsia" w:cs="宋体"/>
          <w:color w:val="000000"/>
          <w:sz w:val="24"/>
          <w:szCs w:val="24"/>
        </w:rPr>
        <w:t xml:space="preserve">所谓重大偏离</w:t>
      </w:r>
      <w:r>
        <w:rPr>
          <w:rFonts w:ascii="宋体" w:hAnsi="宋体"/>
          <w:color w:val="000000"/>
          <w:sz w:val="24"/>
        </w:rPr>
        <w:t xml:space="preserve">是指</w:t>
      </w:r>
      <w:r>
        <w:rPr>
          <w:rFonts w:hint="eastAsia" w:cs="宋体"/>
          <w:color w:val="000000"/>
          <w:sz w:val="24"/>
          <w:szCs w:val="24"/>
        </w:rPr>
        <w:t xml:space="preserve">实质上与招标文件要求不一致，而且限制了合同中买方的权利或供应商的义务，纠正这些偏离将会对其他实质性响应要求的供应商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color w:val="000000"/>
          <w:sz w:val="24"/>
          <w:szCs w:val="24"/>
        </w:rPr>
        <w:t xml:space="preserve">26.3如果投标文件实质上</w:t>
      </w:r>
      <w:r>
        <w:rPr>
          <w:rFonts w:hint="eastAsia"/>
          <w:sz w:val="24"/>
          <w:szCs w:val="24"/>
        </w:rPr>
        <w:t xml:space="preserve">没有响应招标文件的要求，评委会将予以拒绝，供应商不得通过修改或撤销不符合要求的偏离而使其投标成为实质性响应的投标。</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26.4 评委会将对确定为实质性响应的投标进行进一步审核，看其是否有计算上或累加上的算术错误，修正错误的原则如下：</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（1）投标文件中开标一览表内容与投标文件中相应内容不一致的，以开标一览表为准。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（2）大写金额和小写金额不一致的，以大写金额为准。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（3）单价金额小数点或者百分比有明显错位的，以开标一览表的总价为准，并修改单价。</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（4）总价金额与按单价汇总金额不一致的，以单价金额计算结果为准。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同时出现两种以上错误的，按照前款规定的顺序修正。</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26.5 评委会将按上述修正错误的方法调整投标文件中的投标报价，并通过“苏采云”系统告知供应商，调整后的价格对供应商具有约束力。如果供应商不接受修正后的价格，则其投标将被拒绝。</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26.6 采用最低评标价法的采购项目，提供相同品牌产品的不同供应商参加同一合同项下投标的，以其中通过资格审查、符合性审查且报价最低的参加评标；报价相同的，由评委会按照招标文件规定的方式确定一个参加评标的供应商，招标文件未规定的采取随机抽取方式确定，其他投标无效。</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采用综合评分法的采购项目，提供相同品牌产品且通过资格审查、符合性审查的不同供应商参加同一合同项下投标的，按一家供应商计算，评审后得分最高的同品牌供应商获得中标人推荐资格；评审得分相同的，由评委会按照招标文件规定的方式确定一个供应商获得中标人推荐资格，招标文件未规定的采取随机抽取方式确定，其他同品牌供应商不作为中标候选人。</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非单一产品采购项目，招标文件中将载明核心产品。多家供应商提供的核心产品品牌相同的，按前两款规定处理。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26.7政府采购异常低价审查：</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（1）评审过程中出现下列情形之一的，评标委员会应当启动异常低价投标（响应）审查程序：</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①投标（响应）报价低于全部通过符合性审查供应商投标（响应）报价平均值50%的，即投标（响应）报价&lt;全部通过符合性审查供应商投标（响应）报价平均值×50%；</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②投标（响应）报价低于通过符合性审查的次低报价供应商投标（响应）报价50%的，即投标（响应）报价&lt;通过符合性审查的次低报价供应商投标（响应）报价×50%；</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③投标（响应）报价低于采购项目最高限价45%的，即投标（响应）报价&lt;采购项目最高限价×45%；</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④评审委员会基于专业判断，认为供应商报价过低，有可能影响产品质量或者不能诚信履约的其他情形。</w:t>
      </w:r>
      <w:r/>
    </w:p>
    <w:p>
      <w:pPr>
        <w:ind w:firstLine="480"/>
        <w:spacing w:line="500" w:lineRule="exact"/>
        <w:rPr>
          <w:rFonts w:ascii="宋体" w:hAnsi="宋体" w:cs="宋体"/>
          <w:sz w:val="24"/>
          <w:szCs w:val="24"/>
        </w:rPr>
      </w:pPr>
      <w:r>
        <w:rPr>
          <w:rFonts w:hint="eastAsia" w:ascii="宋体" w:hAnsi="宋体" w:cs="宋体"/>
          <w:sz w:val="24"/>
          <w:szCs w:val="24"/>
        </w:rPr>
        <w:t xml:space="preserve">（2）评审委员会启动异常低价投标审查后，属于前述（1）中第</w:t>
      </w:r>
      <w:r>
        <w:rPr>
          <w:rFonts w:hint="eastAsia"/>
          <w:sz w:val="24"/>
          <w:szCs w:val="24"/>
        </w:rPr>
        <w:t xml:space="preserve">①</w:t>
      </w:r>
      <w:r>
        <w:rPr>
          <w:rFonts w:hint="eastAsia" w:ascii="宋体" w:hAnsi="宋体" w:cs="宋体"/>
          <w:sz w:val="24"/>
          <w:szCs w:val="24"/>
        </w:rPr>
        <w:t xml:space="preserve">项至第</w:t>
      </w:r>
      <w:r>
        <w:rPr>
          <w:rFonts w:hint="eastAsia"/>
          <w:sz w:val="24"/>
          <w:szCs w:val="24"/>
        </w:rPr>
        <w:t xml:space="preserve">④</w:t>
      </w:r>
      <w:r>
        <w:rPr>
          <w:rFonts w:hint="eastAsia" w:ascii="宋体" w:hAnsi="宋体" w:cs="宋体"/>
          <w:sz w:val="24"/>
          <w:szCs w:val="24"/>
        </w:rPr>
        <w:t xml:space="preserve">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1）中第</w:t>
      </w:r>
      <w:r>
        <w:rPr>
          <w:rFonts w:hint="eastAsia"/>
          <w:sz w:val="24"/>
          <w:szCs w:val="24"/>
        </w:rPr>
        <w:t xml:space="preserve">③</w:t>
      </w:r>
      <w:r>
        <w:rPr>
          <w:rFonts w:hint="eastAsia" w:ascii="宋体" w:hAnsi="宋体" w:cs="宋体"/>
          <w:sz w:val="24"/>
          <w:szCs w:val="24"/>
        </w:rPr>
        <w:t xml:space="preserve">项情形，供应商已随投标文件一并提交相关书面说明及必要的证明材料的，在评审现场可不再重复提交。</w:t>
      </w:r>
      <w:r/>
    </w:p>
    <w:p>
      <w:pPr>
        <w:ind w:firstLine="480"/>
        <w:spacing w:line="500" w:lineRule="exact"/>
        <w:rPr>
          <w:rFonts w:ascii="宋体" w:hAnsi="宋体" w:cs="宋体"/>
          <w:sz w:val="24"/>
          <w:szCs w:val="24"/>
        </w:rPr>
      </w:pPr>
      <w:r>
        <w:rPr>
          <w:rFonts w:hint="eastAsia" w:ascii="宋体" w:hAnsi="宋体" w:cs="宋体"/>
          <w:sz w:val="24"/>
          <w:szCs w:val="24"/>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spacing w:line="500" w:lineRule="exact"/>
        <w:rPr>
          <w:rFonts w:ascii="宋体" w:hAnsi="宋体" w:cs="宋体"/>
          <w:sz w:val="24"/>
          <w:szCs w:val="24"/>
        </w:rPr>
      </w:pPr>
      <w:r>
        <w:rPr>
          <w:rFonts w:hint="eastAsia" w:ascii="宋体" w:hAnsi="宋体" w:cs="宋体"/>
          <w:sz w:val="24"/>
          <w:szCs w:val="24"/>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numPr>
          <w:ilvl w:val="0"/>
          <w:numId w:val="2"/>
        </w:numPr>
        <w:ind w:firstLine="480"/>
        <w:jc w:val="left"/>
        <w:spacing w:line="500" w:lineRule="exact"/>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pStyle w:val="937"/>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27、无效投标条款和废标条款</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27.1 无效投标条款：</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（1）供应商未按照招标文件要求递交（上传）电子投标文件的。</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（2）供应商在“苏采云”系统规定的时间内未成功解密电子投标文件的。</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（3）供应商不具备招标文件中规定的资格要求的。</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（5）供应商提交两个（含两个）以上不同的投标报价的。</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（6）供应商的报价超过了采购预算或者最高限价的。</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7）评委会认为供应商的报价明显低于其他通过符合性审查供应商的报价，有可能影响产品质量或者不能诚信履约，将通过“苏采云”系统要求其在合理的时间内提供说明，必要时提交相关证明材料，供应商不能证明其报价合理性的。</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（8）不符合招标文件规定的实质性要求和条件的。（本招标文件中斜体且有下划线部分为实质性要求和条件）</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9）本项目采购产品（如有）被财政部、国家发改委、生态环境部等列入“节能产品品目清单”“环境标志产品品目清单”强制采购范围，而供应商投标产品不在强制采购范围内或者未按要求提供国家确定的认证机构出具的、处于有效期之内的节能产品认证证书的。</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（10）供应商未通过符合性审查的。</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（11）投标文件含有采购人不能接受的附加条件的。</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（12）投标文件未按照招标文件要求加盖公章（CA电子公章）的。</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（13）其他法律、法规及本招标文件规定的属于无效投标的情形。</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27.2 有下列情形之一的，视为供应商串通投标，投标无效：</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（1）不同供应商的投标文件由同一单位或者个人编制。</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（2）不同供应商委托同一单位或者个人办理投标事宜。</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（3）不同供应商的投标文件载明的项目管理成员或者联系人员为同一人。</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（4）不同供应商的投标文件异常一致或者投标报价呈规律性差异。</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（5）不同供应商的投标文件相互混装。</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27.3 废标条款：</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（1）因“苏采云”系统故障原因造成开标不成功的。</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（3）符合专业条件的供应商或者对招标文件作实质响应的供应商不足三家的。</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（4）出现影响采购公正的违法、违规行为的。</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（5）因重大变故，采购任务取消的。</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27.4 出现投标截止时间结束后参加投标的供应商或者在评标期间对招标文件做出实质响应的供应商不足三家情况的，按照政府采购有关规定执行。</w:t>
      </w:r>
      <w:r/>
    </w:p>
    <w:p>
      <w:pPr>
        <w:pStyle w:val="936"/>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六、定标</w:t>
      </w:r>
      <w:r/>
    </w:p>
    <w:p>
      <w:pPr>
        <w:pStyle w:val="937"/>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28、确定中标单位</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28.1 中标候选人的选取原则和数量详见招标文件第五章规定。 </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28.2 采购人应根据评委会推荐的中标候选人确定中标人。</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28.3 采购代理机构将在江苏政府采购网发布中标公告，公告期限为1个工作日。</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28.4 若有充分证据证明，中标人存在下列情形之一的，一经查实，将被取消中标资格：</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（1）提供虚假材料谋取中标、成交的。</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（2）采取不正当手段诋毁、排挤其他供应商的。</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（3）与采购人、其他供应商或者采购代理机构恶意串通的。</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（4）向采购人、采购代理机构行贿或者提供其他不正当利益的。</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（5）在招标采购过程中与采购人进行协商谈判的。</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（6）属于本招标文件规定的无效情形，但在评标过程中又未被评委会发现的。</w:t>
      </w:r>
      <w:r/>
    </w:p>
    <w:p>
      <w:pPr>
        <w:pStyle w:val="937"/>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29、中标通知书</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29.3 中标人应在中标后七个工作日内，向采购代理机构提供四份与电子投标文件一致的纸质打印胶装投标文件，封面、骑缝需加盖公章。</w:t>
      </w:r>
      <w:r/>
    </w:p>
    <w:p>
      <w:pPr>
        <w:pStyle w:val="936"/>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七、授予合同</w:t>
      </w:r>
      <w:r/>
    </w:p>
    <w:p>
      <w:pPr>
        <w:pStyle w:val="937"/>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30、履约保证金</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30.3 履约保证金自合同生效之日起至合同约定的中标人主要义务履行完毕止，采购人应当按合同约定及时退还履约保证金。</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30.4 逾期退还履约保证金的采购人承担违约责任，按照中国人民银行同期贷款基准利率向中标人支付超期资金占用费。</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30.5 本项目履约保证金要求详见招标文件第四章 采购需求。</w:t>
      </w:r>
      <w:r/>
    </w:p>
    <w:p>
      <w:pPr>
        <w:pStyle w:val="937"/>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31、签订合同</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31.1 中标人应当在中标通知书发出之日起三十日内，按照招标文件和中标人投标文件的规定，与采购人签订政府采购合同。</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31.2 招标文件、中标人的投标文件及招标过程中有关澄清、承诺等文件均应作为合同附件。</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937"/>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32、合同标的的追加</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937"/>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33、政府采购履约资金扶持政策</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33.1 中标人可凭政府采购合同办理融资贷款，详情请见江苏政府采购网“政采贷”专栏。</w:t>
      </w:r>
      <w:r/>
    </w:p>
    <w:p>
      <w:pPr>
        <w:pStyle w:val="936"/>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八、询问与质疑</w:t>
      </w:r>
      <w:r/>
    </w:p>
    <w:p>
      <w:pPr>
        <w:pStyle w:val="937"/>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34、询问</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34.1 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其向采购人提出。</w:t>
      </w:r>
      <w:r/>
    </w:p>
    <w:p>
      <w:pPr>
        <w:pStyle w:val="937"/>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35、质疑提出</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35.1 提出质疑的供应商应当是参与所质疑项目采购活动的供应商。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采购代理机构提出质疑。</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35.4 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35.5 质疑函应当使用范本，详见招标文件第六章。供应商提出质疑应当提交质疑函和必要的证明材料，应当包括下列内容：</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（1）供应商的姓名或者名称、地址、邮编、联系人及联系电话；</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（2）质疑项目的名称、编号；</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（3）具体、明确的质疑事项和与质疑事项相关的请求；</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（4）事实依据；</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（5）必要的法律依据；</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（6）提出质疑的日期；</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（7）必要的证明材料；</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（8）营业执照复印件及授权委托书原件、法定代表人（单位负责人）身份证复印件、委托代理人身份证复印件。</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937"/>
        <w:ind w:firstLine="562"/>
        <w:jc w:val="left"/>
        <w:spacing w:before="0" w:after="0" w:line="360" w:lineRule="auto"/>
        <w:rPr>
          <w:sz w:val="24"/>
          <w:szCs w:val="24"/>
        </w:rPr>
        <w:pBdr>
          <w:top w:val="none" w:color="auto" w:sz="0" w:space="1"/>
          <w:left w:val="none" w:color="auto" w:sz="0" w:space="4"/>
          <w:bottom w:val="none" w:color="auto" w:sz="0" w:space="1"/>
          <w:right w:val="none" w:color="auto" w:sz="0" w:space="4"/>
        </w:pBdr>
      </w:pPr>
      <w:r>
        <w:rPr>
          <w:rFonts w:hint="eastAsia"/>
          <w:sz w:val="28"/>
          <w:szCs w:val="28"/>
        </w:rPr>
        <w:t xml:space="preserve">36、质疑函的受理和答复</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36.2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36.3 对不符合质疑要求的，采购人、采购代理机构有权要求其补充必要的证明材料，质疑供应商未在法定时间内补充必要的证明材料的，不利后果由质疑供应商自行承担。</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36.4 以下情形的质疑依法不予受理：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（2）超出政府采购法定期限的质疑。</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（3）以传真、电子邮件等方式递交的非原件形式的质疑。</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（5）供应商组成联合体，联合体中任何一方或多方未按要求签字（盖章）、加盖公章的质疑。</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36.5 采购人、采购代理机构依法受理的质疑，将按照政府采购有关规定，在法定期限内作出答复。</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36.6 因质疑供应商所留联系方式无效，或者无故不接收，导致质疑答复结果无法送达的，视为质疑供应商主动放弃知晓质疑答复结果的权利。</w:t>
      </w:r>
      <w:r/>
    </w:p>
    <w:p>
      <w:pPr>
        <w:pStyle w:val="937"/>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37、质疑处理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37.1 质疑供应商未按照法定程序进行质疑投诉的，视为一般失信行为。</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37.2 质疑供应商不配合或者采取不正当手段干扰政府采购质疑、投诉处理工作的，视为一般失信行为。</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37.3 质疑供应商投诉受理期间，就同一事项多头举报，干扰财政部门投诉处理的，视为一般失信行为。</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37.4 质疑供应商在全国范围12个月内三次以上质疑查无实据的，视为一般失信行为。</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37.6 质疑供应商在全国范围12个月内三次以上投诉查无实据的，视为严重失信行为。</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37.7 未尽事宜，依照有关法律、法规执行。</w:t>
      </w:r>
      <w:r/>
    </w:p>
    <w:p>
      <w:pPr>
        <w:pStyle w:val="936"/>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九、政府采购政策功能</w:t>
      </w:r>
      <w:r/>
    </w:p>
    <w:p>
      <w:pPr>
        <w:pStyle w:val="937"/>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38、促进中小企业发展</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38.2 供应商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本项目价格扣除计算方法如下：参与报价得分计算的价格＝供应商的最后报价-小型企业、微型企业、监狱企业、残疾人福利性单位的最后报价×10%。</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38.3 参加本项目政府采购活动的供应商享受价格评审优惠的应当提供的材料： </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（1）供应商提供的货物全部由中型企业、小型企业、微型企业制造的，提供《中小企业声明函》（第六章 投标文件格式）。</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38.4 享受扶持政策获得政府采购合同的，小微型企业不得将合同分包给大中型企业，中型企业不得将合同分包给大型企业。</w:t>
      </w:r>
      <w:r/>
    </w:p>
    <w:p>
      <w:pPr>
        <w:pStyle w:val="937"/>
        <w:ind w:firstLine="562"/>
        <w:jc w:val="left"/>
        <w:spacing w:before="0" w:after="0" w:line="360" w:lineRule="auto"/>
        <w:rPr>
          <w:sz w:val="28"/>
          <w:szCs w:val="28"/>
        </w:rPr>
      </w:pPr>
      <w:r>
        <w:rPr>
          <w:rFonts w:hint="eastAsia"/>
          <w:sz w:val="28"/>
          <w:szCs w:val="28"/>
        </w:rPr>
        <w:t xml:space="preserve">39、政府采购中实施本国产品标准及相关政策</w:t>
      </w:r>
      <w:r/>
    </w:p>
    <w:p>
      <w:pPr>
        <w:ind w:firstLine="562"/>
        <w:jc w:val="left"/>
        <w:spacing w:line="360" w:lineRule="auto"/>
        <w:rPr>
          <w:rFonts w:ascii="宋体" w:hAnsi="宋体" w:cs="宋体"/>
          <w:bCs/>
          <w:sz w:val="24"/>
          <w:szCs w:val="24"/>
        </w:rPr>
      </w:pPr>
      <w:r>
        <w:rPr>
          <w:rFonts w:hint="eastAsia" w:ascii="宋体" w:hAnsi="宋体" w:cs="宋体"/>
          <w:bCs/>
          <w:sz w:val="24"/>
          <w:szCs w:val="24"/>
        </w:rPr>
        <w:t xml:space="preserve">39.1本项目政府采购活动中既有本国产品又有非本国产品参与竞争的，依法对本国产品给予价格评审优惠，对本国产品的报价给予20%的价格扣除，用扣除后的价格参与评审。</w:t>
      </w:r>
      <w:r/>
    </w:p>
    <w:p>
      <w:pPr>
        <w:ind w:firstLine="562"/>
        <w:jc w:val="left"/>
        <w:spacing w:line="360" w:lineRule="auto"/>
        <w:rPr>
          <w:rFonts w:ascii="宋体" w:hAnsi="宋体" w:cs="宋体"/>
          <w:bCs/>
          <w:sz w:val="24"/>
          <w:szCs w:val="24"/>
        </w:rPr>
      </w:pPr>
      <w:r>
        <w:rPr>
          <w:rFonts w:hint="eastAsia" w:ascii="宋体" w:hAnsi="宋体" w:cs="宋体"/>
          <w:bCs/>
          <w:sz w:val="24"/>
          <w:szCs w:val="24"/>
        </w:rPr>
        <w:t xml:space="preserve">39.2当采购项目或者采购包中含有多种产品，供应商为该采购项目或者采购包提供的符合本国产品标准的产品成本之和占该供应商提供的全部产品成本之和的比例达到80%以上时（供应商需在“第六章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2"/>
        <w:jc w:val="left"/>
        <w:spacing w:line="360" w:lineRule="auto"/>
        <w:rPr>
          <w:rFonts w:ascii="宋体" w:hAnsi="宋体" w:cs="宋体"/>
          <w:bCs/>
          <w:sz w:val="24"/>
          <w:szCs w:val="24"/>
        </w:rPr>
      </w:pPr>
      <w:r>
        <w:rPr>
          <w:rFonts w:hint="eastAsia" w:ascii="宋体" w:hAnsi="宋体" w:cs="宋体"/>
          <w:bCs/>
          <w:sz w:val="24"/>
          <w:szCs w:val="24"/>
        </w:rPr>
        <w:t xml:space="preserve">39.3供应商需按照招标文件的要求提供《关于符合本国产品标准的声明函》（以下简称《声明函》），如不提供将不享受本国产品价格评审优惠。</w:t>
      </w:r>
      <w:r/>
    </w:p>
    <w:p>
      <w:pPr>
        <w:ind w:firstLine="562"/>
        <w:jc w:val="left"/>
        <w:spacing w:line="360" w:lineRule="auto"/>
        <w:rPr>
          <w:rFonts w:ascii="宋体" w:hAnsi="宋体" w:cs="宋体"/>
          <w:bCs/>
          <w:sz w:val="24"/>
          <w:szCs w:val="24"/>
        </w:rPr>
      </w:pPr>
      <w:r>
        <w:rPr>
          <w:rFonts w:hint="eastAsia" w:ascii="宋体" w:hAnsi="宋体" w:cs="宋体"/>
          <w:bCs/>
          <w:sz w:val="24"/>
          <w:szCs w:val="24"/>
        </w:rPr>
        <w:t xml:space="preserve">39.4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2"/>
        <w:jc w:val="left"/>
        <w:spacing w:line="360" w:lineRule="auto"/>
        <w:rPr>
          <w:rFonts w:ascii="宋体" w:hAnsi="宋体" w:cs="宋体"/>
          <w:bCs/>
          <w:sz w:val="24"/>
          <w:szCs w:val="24"/>
        </w:rPr>
      </w:pPr>
      <w:r>
        <w:rPr>
          <w:rFonts w:hint="eastAsia" w:ascii="宋体" w:hAnsi="宋体" w:cs="宋体"/>
          <w:bCs/>
          <w:sz w:val="24"/>
          <w:szCs w:val="24"/>
        </w:rPr>
        <w:t xml:space="preserve">39.5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2"/>
        <w:jc w:val="left"/>
        <w:spacing w:line="360" w:lineRule="auto"/>
        <w:rPr>
          <w:rFonts w:ascii="宋体" w:hAnsi="宋体" w:cs="宋体"/>
          <w:bCs/>
          <w:sz w:val="24"/>
          <w:szCs w:val="24"/>
        </w:rPr>
      </w:pPr>
      <w:r>
        <w:rPr>
          <w:rFonts w:hint="eastAsia" w:ascii="宋体" w:hAnsi="宋体" w:cs="宋体"/>
          <w:bCs/>
          <w:sz w:val="24"/>
          <w:szCs w:val="24"/>
        </w:rPr>
        <w:t xml:space="preserve">39.6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37"/>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ascii="宋体" w:hAnsi="宋体" w:cs="宋体"/>
          <w:b w:val="0"/>
          <w:sz w:val="24"/>
          <w:szCs w:val="24"/>
        </w:rPr>
        <w:t xml:space="preserve">39.7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37"/>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40、支持绿色发展</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40.1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招标文件要求提供相关产品认证证书。</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40.2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40.3 为落实挥发性有机化合物（VOCs）治理要求，本项目采购标的如涉及涂料、胶黏剂、油墨、清洗剂等挥发性有机物产品的，供应商应当执行国家和我省VOCs含量限制标准，并优先使用低挥发性原辅材料。供应商使用低VOCs含量的涂料、胶黏剂等将纳入政府采购合同条款。</w:t>
      </w:r>
      <w:r/>
    </w:p>
    <w:p>
      <w:pPr>
        <w:pStyle w:val="937"/>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41、政府采购需求标准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41.1 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Bdr>
          <w:top w:val="none" w:color="auto" w:sz="0" w:space="1"/>
          <w:left w:val="none" w:color="auto" w:sz="0" w:space="4"/>
          <w:bottom w:val="none" w:color="auto" w:sz="0" w:space="1"/>
          <w:right w:val="none" w:color="auto" w:sz="0" w:space="4"/>
        </w:pBdr>
      </w:pPr>
      <w:r>
        <w:rPr>
          <w:sz w:val="24"/>
          <w:szCs w:val="24"/>
        </w:rPr>
        <w:br w:type="page" w:clear="all"/>
      </w:r>
      <w:r/>
    </w:p>
    <w:p>
      <w:pPr>
        <w:pStyle w:val="935"/>
        <w:jc w:val="center"/>
        <w:spacing w:line="360" w:lineRule="auto"/>
        <w:rPr>
          <w:rFonts w:ascii="黑体" w:hAnsi="黑体" w:eastAsia="黑体"/>
          <w:b w:val="0"/>
        </w:rPr>
        <w:pBdr>
          <w:top w:val="none" w:color="auto" w:sz="0" w:space="1"/>
          <w:left w:val="none" w:color="auto" w:sz="0" w:space="4"/>
          <w:bottom w:val="none" w:color="auto" w:sz="0" w:space="1"/>
          <w:right w:val="none" w:color="auto" w:sz="0" w:space="4"/>
        </w:pBdr>
      </w:pPr>
      <w:r/>
      <w:bookmarkStart w:id="2" w:name="_Toc165205796"/>
      <w:r>
        <w:rPr>
          <w:rFonts w:hint="eastAsia" w:ascii="黑体" w:hAnsi="黑体" w:eastAsia="黑体"/>
          <w:b w:val="0"/>
        </w:rPr>
        <w:t xml:space="preserve">第三章  合同文本</w:t>
      </w:r>
      <w:bookmarkEnd w:id="2"/>
      <w:r/>
      <w:r/>
    </w:p>
    <w:p>
      <w:pPr>
        <w:pStyle w:val="948"/>
        <w:jc w:val="center"/>
        <w:spacing w:after="0"/>
        <w:rPr>
          <w:rFonts w:ascii="宋体" w:hAnsi="宋体" w:cs="宋体"/>
          <w:b/>
          <w:bCs/>
          <w:spacing w:val="-20"/>
          <w:sz w:val="48"/>
          <w:szCs w:val="48"/>
        </w:rPr>
        <w:pBdr>
          <w:top w:val="none" w:color="auto" w:sz="0" w:space="1"/>
          <w:left w:val="none" w:color="auto" w:sz="0" w:space="4"/>
          <w:bottom w:val="none" w:color="auto" w:sz="0" w:space="1"/>
          <w:right w:val="none" w:color="auto" w:sz="0" w:space="4"/>
        </w:pBdr>
      </w:pPr>
      <w:r/>
      <w:bookmarkStart w:id="3" w:name="_Toc3995"/>
      <w:r/>
      <w:r/>
    </w:p>
    <w:p>
      <w:pPr>
        <w:pStyle w:val="948"/>
        <w:jc w:val="center"/>
        <w:spacing w:after="0"/>
        <w:rPr>
          <w:rFonts w:ascii="宋体" w:hAnsi="宋体" w:cs="宋体"/>
          <w:b/>
          <w:bCs/>
          <w:spacing w:val="-20"/>
          <w:sz w:val="48"/>
          <w:szCs w:val="48"/>
        </w:rPr>
        <w:pBdr>
          <w:top w:val="none" w:color="auto" w:sz="0" w:space="1"/>
          <w:left w:val="none" w:color="auto" w:sz="0" w:space="4"/>
          <w:bottom w:val="none" w:color="auto" w:sz="0" w:space="1"/>
          <w:right w:val="none" w:color="auto" w:sz="0" w:space="4"/>
        </w:pBdr>
      </w:pPr>
      <w:r>
        <w:rPr>
          <w:rFonts w:ascii="宋体" w:hAnsi="宋体" w:cs="宋体"/>
          <w:b/>
          <w:bCs/>
          <w:spacing w:val="-20"/>
          <w:sz w:val="48"/>
          <w:szCs w:val="48"/>
        </w:rPr>
      </w:r>
      <w:r/>
    </w:p>
    <w:p>
      <w:pPr>
        <w:pStyle w:val="948"/>
        <w:jc w:val="center"/>
        <w:spacing w:after="0"/>
        <w:rPr>
          <w:rFonts w:ascii="宋体" w:hAnsi="宋体" w:cs="宋体"/>
          <w:b/>
          <w:bCs/>
          <w:spacing w:val="-20"/>
          <w:sz w:val="48"/>
          <w:szCs w:val="48"/>
        </w:rPr>
        <w:pBdr>
          <w:top w:val="none" w:color="auto" w:sz="0" w:space="1"/>
          <w:left w:val="none" w:color="auto" w:sz="0" w:space="4"/>
          <w:bottom w:val="none" w:color="auto" w:sz="0" w:space="1"/>
          <w:right w:val="none" w:color="auto" w:sz="0" w:space="4"/>
        </w:pBdr>
      </w:pPr>
      <w:r>
        <w:rPr>
          <w:rFonts w:ascii="宋体" w:hAnsi="宋体" w:cs="宋体"/>
          <w:b/>
          <w:bCs/>
          <w:spacing w:val="-20"/>
          <w:sz w:val="48"/>
          <w:szCs w:val="48"/>
        </w:rPr>
      </w:r>
      <w:r/>
    </w:p>
    <w:p>
      <w:pPr>
        <w:pStyle w:val="948"/>
        <w:jc w:val="center"/>
        <w:spacing w:after="0"/>
        <w:rPr>
          <w:rFonts w:ascii="宋体" w:hAnsi="宋体" w:cs="宋体"/>
          <w:b/>
          <w:bCs/>
          <w:spacing w:val="-20"/>
          <w:sz w:val="48"/>
          <w:szCs w:val="48"/>
        </w:rPr>
        <w:pBdr>
          <w:top w:val="none" w:color="auto" w:sz="0" w:space="1"/>
          <w:left w:val="none" w:color="auto" w:sz="0" w:space="4"/>
          <w:bottom w:val="none" w:color="auto" w:sz="0" w:space="1"/>
          <w:right w:val="none" w:color="auto" w:sz="0" w:space="4"/>
        </w:pBdr>
      </w:pPr>
      <w:r>
        <w:rPr>
          <w:rFonts w:ascii="宋体" w:hAnsi="宋体" w:cs="宋体"/>
          <w:b/>
          <w:bCs/>
          <w:spacing w:val="-20"/>
          <w:sz w:val="48"/>
          <w:szCs w:val="48"/>
        </w:rPr>
      </w:r>
      <w:r/>
    </w:p>
    <w:p>
      <w:pPr>
        <w:pStyle w:val="948"/>
        <w:jc w:val="center"/>
        <w:spacing w:after="0"/>
        <w:rPr>
          <w:rFonts w:ascii="宋体" w:hAnsi="宋体" w:cs="宋体"/>
          <w:b/>
          <w:bCs/>
          <w:spacing w:val="-20"/>
          <w:sz w:val="48"/>
          <w:szCs w:val="48"/>
        </w:rPr>
        <w:pBdr>
          <w:top w:val="none" w:color="auto" w:sz="0" w:space="1"/>
          <w:left w:val="none" w:color="auto" w:sz="0" w:space="4"/>
          <w:bottom w:val="none" w:color="auto" w:sz="0" w:space="1"/>
          <w:right w:val="none" w:color="auto" w:sz="0" w:space="4"/>
        </w:pBdr>
      </w:pPr>
      <w:r>
        <w:rPr>
          <w:rFonts w:hint="eastAsia" w:ascii="宋体" w:hAnsi="宋体" w:cs="宋体"/>
          <w:b/>
          <w:bCs/>
          <w:spacing w:val="-20"/>
          <w:sz w:val="48"/>
          <w:szCs w:val="48"/>
        </w:rPr>
        <w:t xml:space="preserve">连云港市政府采购货物买卖合同</w:t>
      </w:r>
      <w:r/>
    </w:p>
    <w:p>
      <w:pPr>
        <w:rPr>
          <w:rFonts w:ascii="宋体" w:hAnsi="宋体" w:cs="宋体"/>
          <w:b/>
          <w:bCs/>
          <w:spacing w:val="-20"/>
          <w:sz w:val="40"/>
          <w:szCs w:val="40"/>
        </w:rPr>
        <w:pBdr>
          <w:top w:val="none" w:color="auto" w:sz="0" w:space="1"/>
          <w:left w:val="none" w:color="auto" w:sz="0" w:space="4"/>
          <w:bottom w:val="none" w:color="auto" w:sz="0" w:space="1"/>
          <w:right w:val="none" w:color="auto" w:sz="0" w:space="4"/>
        </w:pBdr>
      </w:pPr>
      <w:r>
        <w:rPr>
          <w:rFonts w:ascii="宋体" w:hAnsi="宋体" w:cs="宋体"/>
          <w:b/>
          <w:bCs/>
          <w:spacing w:val="-20"/>
          <w:sz w:val="40"/>
          <w:szCs w:val="40"/>
        </w:rPr>
      </w:r>
      <w:r/>
    </w:p>
    <w:p>
      <w:pPr>
        <w:rPr>
          <w:rFonts w:ascii="宋体" w:hAnsi="宋体" w:cs="宋体"/>
          <w:b/>
          <w:bCs/>
          <w:spacing w:val="-20"/>
          <w:sz w:val="40"/>
          <w:szCs w:val="40"/>
        </w:rPr>
        <w:pBdr>
          <w:top w:val="none" w:color="auto" w:sz="0" w:space="1"/>
          <w:left w:val="none" w:color="auto" w:sz="0" w:space="4"/>
          <w:bottom w:val="none" w:color="auto" w:sz="0" w:space="1"/>
          <w:right w:val="none" w:color="auto" w:sz="0" w:space="4"/>
        </w:pBdr>
      </w:pPr>
      <w:r>
        <w:rPr>
          <w:rFonts w:ascii="宋体" w:hAnsi="宋体" w:cs="宋体"/>
          <w:b/>
          <w:bCs/>
          <w:spacing w:val="-20"/>
          <w:sz w:val="40"/>
          <w:szCs w:val="40"/>
        </w:rPr>
      </w:r>
      <w:r/>
    </w:p>
    <w:p>
      <w:pPr>
        <w:rPr>
          <w:rFonts w:ascii="宋体" w:hAnsi="宋体" w:cs="宋体"/>
          <w:b/>
          <w:bCs/>
          <w:spacing w:val="-20"/>
          <w:sz w:val="40"/>
          <w:szCs w:val="40"/>
        </w:rPr>
        <w:pBdr>
          <w:top w:val="none" w:color="auto" w:sz="0" w:space="1"/>
          <w:left w:val="none" w:color="auto" w:sz="0" w:space="4"/>
          <w:bottom w:val="none" w:color="auto" w:sz="0" w:space="1"/>
          <w:right w:val="none" w:color="auto" w:sz="0" w:space="4"/>
        </w:pBdr>
      </w:pPr>
      <w:r>
        <w:rPr>
          <w:rFonts w:ascii="宋体" w:hAnsi="宋体" w:cs="宋体"/>
          <w:b/>
          <w:bCs/>
          <w:spacing w:val="-20"/>
          <w:sz w:val="40"/>
          <w:szCs w:val="40"/>
        </w:rPr>
      </w:r>
      <w:r/>
    </w:p>
    <w:p>
      <w:pPr>
        <w:ind w:left="420"/>
        <w:spacing w:line="360" w:lineRule="auto"/>
        <w:rPr>
          <w:sz w:val="32"/>
          <w:szCs w:val="32"/>
        </w:rPr>
        <w:pBdr>
          <w:top w:val="none" w:color="auto" w:sz="0" w:space="1"/>
          <w:left w:val="none" w:color="auto" w:sz="0" w:space="4"/>
          <w:bottom w:val="none" w:color="auto" w:sz="0" w:space="1"/>
          <w:right w:val="none" w:color="auto" w:sz="0" w:space="4"/>
        </w:pBdr>
      </w:pPr>
      <w:r>
        <w:rPr>
          <w:rFonts w:hint="eastAsia" w:ascii="宋体" w:hAnsi="宋体" w:cs="宋体"/>
          <w:sz w:val="32"/>
          <w:szCs w:val="32"/>
        </w:rPr>
        <w:t xml:space="preserve">项目名称：</w:t>
      </w:r>
      <w:r/>
    </w:p>
    <w:p>
      <w:pPr>
        <w:ind w:left="420"/>
        <w:spacing w:line="360" w:lineRule="auto"/>
        <w:rPr>
          <w:sz w:val="32"/>
          <w:szCs w:val="32"/>
          <w:u w:val="single"/>
        </w:rPr>
        <w:pBdr>
          <w:top w:val="none" w:color="auto" w:sz="0" w:space="1"/>
          <w:left w:val="none" w:color="auto" w:sz="0" w:space="4"/>
          <w:bottom w:val="none" w:color="auto" w:sz="0" w:space="1"/>
          <w:right w:val="none" w:color="auto" w:sz="0" w:space="4"/>
        </w:pBdr>
      </w:pPr>
      <w:r>
        <w:rPr>
          <w:rFonts w:hint="eastAsia"/>
          <w:sz w:val="32"/>
          <w:szCs w:val="32"/>
        </w:rPr>
        <w:t xml:space="preserve">合同编号：</w:t>
      </w:r>
      <w:r/>
    </w:p>
    <w:p>
      <w:pPr>
        <w:ind w:left="420"/>
        <w:spacing w:line="360" w:lineRule="auto"/>
        <w:rPr>
          <w:sz w:val="32"/>
          <w:szCs w:val="32"/>
        </w:rPr>
        <w:pBdr>
          <w:top w:val="none" w:color="auto" w:sz="0" w:space="1"/>
          <w:left w:val="none" w:color="auto" w:sz="0" w:space="4"/>
          <w:bottom w:val="none" w:color="auto" w:sz="0" w:space="1"/>
          <w:right w:val="none" w:color="auto" w:sz="0" w:space="4"/>
        </w:pBdr>
      </w:pPr>
      <w:r>
        <w:rPr>
          <w:rFonts w:hint="eastAsia"/>
          <w:sz w:val="32"/>
          <w:szCs w:val="32"/>
        </w:rPr>
        <w:t xml:space="preserve">甲    方：</w:t>
      </w:r>
      <w:r/>
    </w:p>
    <w:p>
      <w:pPr>
        <w:ind w:left="420"/>
        <w:spacing w:line="360" w:lineRule="auto"/>
        <w:rPr>
          <w:sz w:val="32"/>
          <w:szCs w:val="32"/>
          <w:u w:val="single"/>
        </w:rPr>
        <w:pBdr>
          <w:top w:val="none" w:color="auto" w:sz="0" w:space="1"/>
          <w:left w:val="none" w:color="auto" w:sz="0" w:space="4"/>
          <w:bottom w:val="none" w:color="auto" w:sz="0" w:space="1"/>
          <w:right w:val="none" w:color="auto" w:sz="0" w:space="4"/>
        </w:pBdr>
      </w:pPr>
      <w:r>
        <w:rPr>
          <w:rFonts w:hint="eastAsia"/>
          <w:sz w:val="32"/>
          <w:szCs w:val="32"/>
        </w:rPr>
        <w:t xml:space="preserve">乙    方：</w:t>
      </w:r>
      <w:r/>
    </w:p>
    <w:p>
      <w:pPr>
        <w:ind w:left="420"/>
        <w:spacing w:line="360" w:lineRule="auto"/>
        <w:rPr>
          <w:sz w:val="32"/>
          <w:szCs w:val="32"/>
        </w:rPr>
        <w:pBdr>
          <w:top w:val="none" w:color="auto" w:sz="0" w:space="1"/>
          <w:left w:val="none" w:color="auto" w:sz="0" w:space="4"/>
          <w:bottom w:val="none" w:color="auto" w:sz="0" w:space="1"/>
          <w:right w:val="none" w:color="auto" w:sz="0" w:space="4"/>
        </w:pBdr>
      </w:pPr>
      <w:r>
        <w:rPr>
          <w:rFonts w:hint="eastAsia"/>
          <w:sz w:val="32"/>
          <w:szCs w:val="32"/>
        </w:rPr>
        <w:t xml:space="preserve">签订时间：</w:t>
      </w:r>
      <w:r/>
    </w:p>
    <w:p>
      <w:pPr>
        <w:jc w:val="left"/>
        <w:widowControl/>
        <w:rPr>
          <w:rFonts w:eastAsia="黑体"/>
          <w:sz w:val="44"/>
          <w:szCs w:val="44"/>
        </w:rPr>
        <w:pBdr>
          <w:top w:val="none" w:color="auto" w:sz="0" w:space="1"/>
          <w:left w:val="none" w:color="auto" w:sz="0" w:space="4"/>
          <w:bottom w:val="none" w:color="auto" w:sz="0" w:space="1"/>
          <w:right w:val="none" w:color="auto" w:sz="0" w:space="4"/>
        </w:pBdr>
      </w:pPr>
      <w:r>
        <w:rPr>
          <w:rFonts w:eastAsia="黑体"/>
          <w:sz w:val="44"/>
          <w:szCs w:val="44"/>
        </w:rPr>
        <w:br w:type="page" w:clear="all"/>
      </w:r>
      <w:r/>
    </w:p>
    <w:p>
      <w:pPr>
        <w:jc w:val="center"/>
        <w:rPr>
          <w:rFonts w:ascii="黑体" w:hAnsi="黑体" w:eastAsia="黑体"/>
          <w:sz w:val="44"/>
          <w:szCs w:val="44"/>
        </w:rPr>
        <w:pBdr>
          <w:top w:val="none" w:color="auto" w:sz="0" w:space="1"/>
          <w:left w:val="none" w:color="auto" w:sz="0" w:space="4"/>
          <w:bottom w:val="none" w:color="auto" w:sz="0" w:space="1"/>
          <w:right w:val="none" w:color="auto" w:sz="0" w:space="4"/>
        </w:pBdr>
      </w:pPr>
      <w:r>
        <w:rPr>
          <w:rFonts w:hint="eastAsia" w:ascii="黑体" w:hAnsi="黑体" w:eastAsia="黑体"/>
          <w:sz w:val="44"/>
          <w:szCs w:val="44"/>
        </w:rPr>
        <w:t xml:space="preserve">使用说明</w:t>
      </w:r>
      <w:r/>
    </w:p>
    <w:p>
      <w:pPr>
        <w:ind w:firstLine="640"/>
        <w:rPr>
          <w:rFonts w:ascii="仿宋" w:hAnsi="仿宋" w:eastAsia="仿宋" w:cs="仿宋_GB2312"/>
          <w:sz w:val="32"/>
          <w:szCs w:val="32"/>
        </w:rPr>
        <w:pBdr>
          <w:top w:val="none" w:color="auto" w:sz="0" w:space="1"/>
          <w:left w:val="none" w:color="auto" w:sz="0" w:space="4"/>
          <w:bottom w:val="none" w:color="auto" w:sz="0" w:space="1"/>
          <w:right w:val="none" w:color="auto" w:sz="0" w:space="4"/>
        </w:pBdr>
      </w:pPr>
      <w:r>
        <w:rPr>
          <w:rFonts w:hint="eastAsia" w:ascii="仿宋" w:hAnsi="仿宋" w:eastAsia="仿宋" w:cs="仿宋_GB2312"/>
          <w:sz w:val="32"/>
          <w:szCs w:val="32"/>
        </w:rPr>
        <w:t xml:space="preserve">1.本合同标准文本适用于购买现成货物的采购项目，不包括需要供应商定制开发、创新研发的货物采购项目。</w:t>
      </w:r>
      <w:r/>
    </w:p>
    <w:p>
      <w:pPr>
        <w:ind w:firstLine="640"/>
        <w:rPr>
          <w:rFonts w:ascii="仿宋" w:hAnsi="仿宋" w:eastAsia="仿宋" w:cs="仿宋_GB2312"/>
          <w:sz w:val="32"/>
          <w:szCs w:val="32"/>
        </w:rPr>
        <w:pBdr>
          <w:top w:val="none" w:color="auto" w:sz="0" w:space="1"/>
          <w:left w:val="none" w:color="auto" w:sz="0" w:space="4"/>
          <w:bottom w:val="none" w:color="auto" w:sz="0" w:space="1"/>
          <w:right w:val="none" w:color="auto" w:sz="0" w:space="4"/>
        </w:pBdr>
      </w:pPr>
      <w:r>
        <w:rPr>
          <w:rFonts w:hint="eastAsia" w:ascii="仿宋" w:hAnsi="仿宋" w:eastAsia="仿宋"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 w:hAnsi="仿宋" w:eastAsia="仿宋" w:cs="仿宋_GB2312"/>
          <w:sz w:val="32"/>
          <w:szCs w:val="32"/>
        </w:rPr>
        <w:pBdr>
          <w:top w:val="none" w:color="auto" w:sz="0" w:space="1"/>
          <w:left w:val="none" w:color="auto" w:sz="0" w:space="4"/>
          <w:bottom w:val="none" w:color="auto" w:sz="0" w:space="1"/>
          <w:right w:val="none" w:color="auto" w:sz="0" w:space="4"/>
        </w:pBdr>
      </w:pPr>
      <w:r>
        <w:rPr>
          <w:rFonts w:hint="eastAsia" w:ascii="仿宋" w:hAnsi="仿宋" w:eastAsia="仿宋" w:cs="仿宋_GB2312"/>
          <w:sz w:val="32"/>
          <w:szCs w:val="32"/>
        </w:rPr>
        <w:t xml:space="preserve">3.本合同标准文本各条款中，如涉及填写多家供应商、制造商，多种采购标的、分包主要内容等信息的，可根据采购项目具体情况添加信息项。</w:t>
      </w:r>
      <w:bookmarkEnd w:id="3"/>
      <w:r/>
      <w:r/>
    </w:p>
    <w:p>
      <w:pPr>
        <w:jc w:val="left"/>
        <w:widowControl/>
        <w:rPr>
          <w:rFonts w:ascii="黑体" w:hAnsi="黑体" w:eastAsia="黑体"/>
          <w:sz w:val="28"/>
          <w:szCs w:val="28"/>
        </w:rPr>
        <w:pBdr>
          <w:top w:val="none" w:color="auto" w:sz="0" w:space="1"/>
          <w:left w:val="none" w:color="auto" w:sz="0" w:space="4"/>
          <w:bottom w:val="none" w:color="auto" w:sz="0" w:space="1"/>
          <w:right w:val="none" w:color="auto" w:sz="0" w:space="4"/>
        </w:pBdr>
      </w:pPr>
      <w:r/>
      <w:bookmarkStart w:id="4" w:name="_Toc22209"/>
      <w:r>
        <w:rPr>
          <w:rFonts w:ascii="黑体" w:hAnsi="黑体" w:eastAsia="黑体"/>
          <w:b/>
          <w:bCs/>
          <w:sz w:val="28"/>
          <w:szCs w:val="28"/>
        </w:rPr>
        <w:br w:type="page" w:clear="all"/>
      </w:r>
      <w:r/>
    </w:p>
    <w:p>
      <w:pPr>
        <w:pStyle w:val="936"/>
        <w:jc w:val="center"/>
        <w:spacing w:line="400" w:lineRule="exact"/>
        <w:rPr>
          <w:rFonts w:ascii="黑体" w:hAnsi="华文中宋" w:eastAsia="黑体"/>
          <w:b w:val="0"/>
          <w:bCs w:val="0"/>
          <w:sz w:val="28"/>
          <w:szCs w:val="28"/>
        </w:rPr>
        <w:pBdr>
          <w:top w:val="none" w:color="auto" w:sz="0" w:space="1"/>
          <w:left w:val="none" w:color="auto" w:sz="0" w:space="4"/>
          <w:bottom w:val="none" w:color="auto" w:sz="0" w:space="1"/>
          <w:right w:val="none" w:color="auto" w:sz="0" w:space="4"/>
        </w:pBd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4"/>
      <w:r/>
      <w:r/>
    </w:p>
    <w:p>
      <w:pPr>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甲方（全称）：（采购人、受采购人委托签订合同的单位或采购文件约定的合同甲方）</w:t>
      </w:r>
      <w:r/>
    </w:p>
    <w:p>
      <w:pPr>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乙方（全称）：（供应商）</w:t>
      </w:r>
      <w:r/>
    </w:p>
    <w:p>
      <w:pPr>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ascii="宋体" w:hAnsi="宋体"/>
          <w:szCs w:val="21"/>
        </w:rPr>
      </w:r>
      <w:r/>
    </w:p>
    <w:p>
      <w:pPr>
        <w:spacing w:line="400" w:lineRule="exact"/>
        <w:rPr>
          <w:rFonts w:ascii="宋体" w:hAnsi="宋体"/>
        </w:rPr>
        <w:pBdr>
          <w:top w:val="none" w:color="auto" w:sz="0" w:space="1"/>
          <w:left w:val="none" w:color="auto" w:sz="0" w:space="4"/>
          <w:bottom w:val="none" w:color="auto" w:sz="0" w:space="1"/>
          <w:right w:val="none" w:color="auto" w:sz="0" w:space="4"/>
        </w:pBdr>
      </w:pPr>
      <w:r>
        <w:rPr>
          <w:rFonts w:ascii="宋体" w:hAnsi="宋体"/>
        </w:rPr>
      </w:r>
      <w:r/>
    </w:p>
    <w:p>
      <w:pPr>
        <w:pStyle w:val="742"/>
        <w:ind w:left="0" w:firstLine="420"/>
        <w:spacing w:after="0"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3"/>
        </w:numPr>
        <w:ind w:firstLine="422"/>
        <w:spacing w:line="400" w:lineRule="exact"/>
        <w:rPr>
          <w:rFonts w:ascii="宋体" w:hAnsi="宋体"/>
          <w:b/>
          <w:szCs w:val="21"/>
        </w:rPr>
        <w:pBdr>
          <w:top w:val="none" w:color="auto" w:sz="0" w:space="1"/>
          <w:left w:val="none" w:color="auto" w:sz="0" w:space="4"/>
          <w:bottom w:val="none" w:color="auto" w:sz="0" w:space="1"/>
          <w:right w:val="none" w:color="auto" w:sz="0" w:space="4"/>
        </w:pBdr>
      </w:pPr>
      <w:r>
        <w:rPr>
          <w:rFonts w:hint="eastAsia" w:ascii="宋体" w:hAnsi="宋体"/>
          <w:b/>
          <w:szCs w:val="21"/>
        </w:rPr>
        <w:t xml:space="preserve">项目信息</w:t>
      </w:r>
      <w:r/>
    </w:p>
    <w:p>
      <w:pPr>
        <w:pStyle w:val="742"/>
        <w:numPr>
          <w:ilvl w:val="0"/>
          <w:numId w:val="4"/>
        </w:numPr>
        <w:ind w:left="0" w:firstLine="420"/>
        <w:spacing w:after="0" w:line="400" w:lineRule="exact"/>
        <w:rPr>
          <w:rFonts w:ascii="宋体" w:hAnsi="宋体"/>
          <w:szCs w:val="21"/>
          <w:u w:val="single"/>
        </w:rPr>
        <w:pBdr>
          <w:top w:val="none" w:color="auto" w:sz="0" w:space="1"/>
          <w:left w:val="none" w:color="auto" w:sz="0" w:space="4"/>
          <w:bottom w:val="none" w:color="auto" w:sz="0" w:space="1"/>
          <w:right w:val="none" w:color="auto" w:sz="0" w:space="4"/>
        </w:pBdr>
      </w:pPr>
      <w:r>
        <w:rPr>
          <w:rFonts w:hint="eastAsia" w:ascii="宋体" w:hAnsi="宋体"/>
          <w:szCs w:val="21"/>
        </w:rPr>
        <w:t xml:space="preserve">采购项目名称：</w:t>
      </w:r>
      <w:r>
        <w:rPr>
          <w:rFonts w:ascii="宋体" w:hAnsi="宋体"/>
          <w:szCs w:val="21"/>
          <w:u w:val="single"/>
        </w:rPr>
        <w:t xml:space="preserve">                                          </w:t>
      </w:r>
      <w:r/>
    </w:p>
    <w:p>
      <w:pPr>
        <w:pStyle w:val="742"/>
        <w:numPr>
          <w:ilvl w:val="255"/>
          <w:numId w:val="0"/>
        </w:numPr>
        <w:spacing w:after="0" w:line="400" w:lineRule="exact"/>
        <w:tabs>
          <w:tab w:val="left" w:pos="999" w:leader="none"/>
        </w:tabs>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采购项目编号：</w:t>
      </w:r>
      <w:r>
        <w:rPr>
          <w:rFonts w:ascii="宋体" w:hAnsi="宋体"/>
          <w:szCs w:val="21"/>
          <w:u w:val="single"/>
        </w:rPr>
        <w:t xml:space="preserve">                                          </w:t>
      </w:r>
      <w:r/>
    </w:p>
    <w:p>
      <w:pPr>
        <w:pStyle w:val="742"/>
        <w:ind w:left="0" w:firstLine="420"/>
        <w:spacing w:after="0"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（3）项目内容：</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numPr>
          <w:ilvl w:val="255"/>
          <w:numId w:val="0"/>
        </w:numPr>
        <w:ind w:firstLine="420"/>
        <w:spacing w:line="400" w:lineRule="exact"/>
        <w:rPr>
          <w:rFonts w:ascii="宋体" w:hAnsi="宋体" w:cs="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spacing w:line="400" w:lineRule="exact"/>
        <w:rPr>
          <w:rFonts w:ascii="宋体" w:hAnsi="宋体"/>
          <w:szCs w:val="21"/>
          <w:u w:val="single"/>
        </w:rPr>
        <w:pBdr>
          <w:top w:val="none" w:color="auto" w:sz="0" w:space="1"/>
          <w:left w:val="none" w:color="auto" w:sz="0" w:space="4"/>
          <w:bottom w:val="none" w:color="auto" w:sz="0" w:space="1"/>
          <w:right w:val="none" w:color="auto" w:sz="0" w:space="4"/>
        </w:pBdr>
      </w:pPr>
      <w:r>
        <w:rPr>
          <w:rFonts w:hint="eastAsia" w:ascii="宋体" w:hAnsi="宋体"/>
          <w:szCs w:val="21"/>
        </w:rPr>
        <w:t xml:space="preserve">采购标的的技术要求、商务要求具体见附件。</w:t>
      </w:r>
      <w:r/>
    </w:p>
    <w:p>
      <w:pPr>
        <w:numPr>
          <w:ilvl w:val="255"/>
          <w:numId w:val="0"/>
        </w:numPr>
        <w:ind w:firstLine="945"/>
        <w:spacing w:line="400" w:lineRule="exact"/>
        <w:rPr>
          <w:rFonts w:ascii="宋体" w:hAnsi="宋体" w:cs="宋体"/>
          <w:szCs w:val="21"/>
        </w:rPr>
        <w:pBdr>
          <w:top w:val="none" w:color="auto" w:sz="0" w:space="1"/>
          <w:left w:val="none" w:color="auto" w:sz="0" w:space="4"/>
          <w:bottom w:val="none" w:color="auto" w:sz="0" w:space="1"/>
          <w:right w:val="none" w:color="auto" w:sz="0" w:space="4"/>
        </w:pBd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numPr>
          <w:ilvl w:val="255"/>
          <w:numId w:val="0"/>
        </w:numPr>
        <w:ind w:firstLine="420"/>
        <w:spacing w:line="400" w:lineRule="exact"/>
        <w:rPr>
          <w:rFonts w:ascii="宋体" w:hAnsi="宋体" w:cs="宋体"/>
          <w:szCs w:val="21"/>
          <w:u w:val="single"/>
        </w:rPr>
        <w:pBdr>
          <w:top w:val="none" w:color="auto" w:sz="0" w:space="1"/>
          <w:left w:val="none" w:color="auto" w:sz="0" w:space="4"/>
          <w:bottom w:val="none" w:color="auto" w:sz="0" w:space="1"/>
          <w:right w:val="none" w:color="auto" w:sz="0" w:space="4"/>
        </w:pBd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numPr>
          <w:ilvl w:val="255"/>
          <w:numId w:val="0"/>
        </w:numPr>
        <w:ind w:firstLine="420"/>
        <w:spacing w:line="400" w:lineRule="exact"/>
        <w:rPr>
          <w:rFonts w:ascii="宋体" w:hAnsi="宋体" w:cs="宋体"/>
          <w:szCs w:val="21"/>
        </w:rPr>
        <w:pBdr>
          <w:top w:val="none" w:color="auto" w:sz="0" w:space="1"/>
          <w:left w:val="none" w:color="auto" w:sz="0" w:space="4"/>
          <w:bottom w:val="none" w:color="auto" w:sz="0" w:space="1"/>
          <w:right w:val="none" w:color="auto" w:sz="0" w:space="4"/>
        </w:pBd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967"/>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67"/>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967"/>
        <w:numPr>
          <w:ilvl w:val="255"/>
          <w:numId w:val="0"/>
        </w:numPr>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967"/>
        <w:numPr>
          <w:ilvl w:val="255"/>
          <w:numId w:val="0"/>
        </w:numPr>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967"/>
        <w:numPr>
          <w:ilvl w:val="255"/>
          <w:numId w:val="0"/>
        </w:numPr>
        <w:rPr>
          <w:rFonts w:asciiTheme="minorEastAsia" w:hAnsiTheme="minorEastAsia" w:eastAsiaTheme="minorEastAsia" w:cstheme="minorEastAsia"/>
          <w:sz w:val="21"/>
        </w:rPr>
        <w:pBdr>
          <w:top w:val="none" w:color="auto" w:sz="0" w:space="1"/>
          <w:left w:val="none" w:color="auto" w:sz="0" w:space="4"/>
          <w:bottom w:val="none" w:color="auto" w:sz="0" w:space="1"/>
          <w:right w:val="none" w:color="auto" w:sz="0" w:space="4"/>
        </w:pBdr>
      </w:pPr>
      <w:r>
        <w:rPr>
          <w:rFonts w:hint="eastAsia" w:asciiTheme="minorEastAsia" w:hAnsiTheme="minorEastAsia" w:eastAsiaTheme="minorEastAsia" w:cstheme="minorEastAsia"/>
          <w:sz w:val="21"/>
        </w:rPr>
        <w:t xml:space="preserve">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是，《政府采购品目分类目录》底级品目名称：</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数量：</w:t>
      </w:r>
      <w:r>
        <w:rPr>
          <w:rFonts w:hint="eastAsia" w:asciiTheme="minorEastAsia" w:hAnsiTheme="minorEastAsia" w:eastAsiaTheme="minorEastAsia" w:cstheme="minorEastAsia"/>
          <w:sz w:val="21"/>
          <w:u w:val="single"/>
        </w:rPr>
        <w:t xml:space="preserve"> </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金额：</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w:t>
      </w:r>
      <w:r/>
    </w:p>
    <w:p>
      <w:pPr>
        <w:pStyle w:val="967"/>
        <w:numPr>
          <w:ilvl w:val="255"/>
          <w:numId w:val="0"/>
        </w:numPr>
        <w:rPr>
          <w:rFonts w:asciiTheme="minorEastAsia" w:hAnsiTheme="minorEastAsia" w:eastAsiaTheme="minorEastAsia" w:cstheme="minorEastAsia"/>
          <w:sz w:val="21"/>
        </w:rPr>
        <w:pBdr>
          <w:top w:val="none" w:color="auto" w:sz="0" w:space="1"/>
          <w:left w:val="none" w:color="auto" w:sz="0" w:space="4"/>
          <w:bottom w:val="none" w:color="auto" w:sz="0" w:space="1"/>
          <w:right w:val="none" w:color="auto" w:sz="0" w:space="4"/>
        </w:pBdr>
      </w:pPr>
      <w:r>
        <w:rPr>
          <w:rFonts w:hint="eastAsia" w:asciiTheme="minorEastAsia" w:hAnsiTheme="minorEastAsia" w:eastAsiaTheme="minorEastAsia" w:cstheme="minorEastAsia"/>
          <w:sz w:val="21"/>
        </w:rPr>
        <w:t xml:space="preserve">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否</w:t>
      </w:r>
      <w:r/>
    </w:p>
    <w:p>
      <w:pPr>
        <w:pStyle w:val="967"/>
        <w:numPr>
          <w:ilvl w:val="255"/>
          <w:numId w:val="0"/>
        </w:numPr>
        <w:rPr>
          <w:rFonts w:asciiTheme="minorEastAsia" w:hAnsiTheme="minorEastAsia" w:eastAsiaTheme="minorEastAsia" w:cstheme="minorEastAsia"/>
          <w:sz w:val="21"/>
        </w:rPr>
        <w:pBdr>
          <w:top w:val="none" w:color="auto" w:sz="0" w:space="1"/>
          <w:left w:val="none" w:color="auto" w:sz="0" w:space="4"/>
          <w:bottom w:val="none" w:color="auto" w:sz="0" w:space="1"/>
          <w:right w:val="none" w:color="auto" w:sz="0" w:space="4"/>
        </w:pBdr>
      </w:pPr>
      <w:r>
        <w:rPr>
          <w:rFonts w:hint="eastAsia" w:asciiTheme="minorEastAsia" w:hAnsiTheme="minorEastAsia" w:eastAsiaTheme="minorEastAsia" w:cstheme="minorEastAsia"/>
          <w:sz w:val="21"/>
        </w:rPr>
        <w:t xml:space="preserve">    （</w:t>
      </w:r>
      <w:r>
        <w:rPr>
          <w:rFonts w:asciiTheme="minorEastAsia" w:hAnsiTheme="minorEastAsia" w:eastAsiaTheme="minorEastAsia" w:cstheme="minorEastAsia"/>
          <w:sz w:val="21"/>
          <w:lang w:val="en"/>
        </w:rPr>
        <w:t xml:space="preserve">4</w:t>
      </w:r>
      <w:r>
        <w:rPr>
          <w:rFonts w:hint="eastAsia" w:asciiTheme="minorEastAsia" w:hAnsiTheme="minorEastAsia" w:eastAsiaTheme="minorEastAsia" w:cstheme="minorEastAsia"/>
          <w:sz w:val="21"/>
        </w:rPr>
        <w:t xml:space="preserve">）政府采购组织形式：</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政府集中采购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部门集中采购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分散采购</w:t>
      </w:r>
      <w:r/>
    </w:p>
    <w:p>
      <w:pPr>
        <w:pStyle w:val="967"/>
        <w:numPr>
          <w:ilvl w:val="255"/>
          <w:numId w:val="0"/>
        </w:numPr>
        <w:ind w:firstLine="420"/>
        <w:rPr>
          <w:rFonts w:asciiTheme="minorEastAsia" w:hAnsiTheme="minorEastAsia" w:eastAsiaTheme="minorEastAsia" w:cstheme="minorEastAsia"/>
          <w:sz w:val="21"/>
        </w:rPr>
        <w:pBdr>
          <w:top w:val="none" w:color="auto" w:sz="0" w:space="1"/>
          <w:left w:val="none" w:color="auto" w:sz="0" w:space="4"/>
          <w:bottom w:val="none" w:color="auto" w:sz="0" w:space="1"/>
          <w:right w:val="none" w:color="auto" w:sz="0" w:space="4"/>
        </w:pBdr>
      </w:pPr>
      <w:r>
        <w:rPr>
          <w:rFonts w:hint="eastAsia" w:asciiTheme="minorEastAsia" w:hAnsiTheme="minorEastAsia" w:eastAsiaTheme="minorEastAsia" w:cstheme="minorEastAsia"/>
          <w:sz w:val="21"/>
        </w:rPr>
        <w:t xml:space="preserve">（</w:t>
      </w:r>
      <w:r>
        <w:rPr>
          <w:rFonts w:asciiTheme="minorEastAsia" w:hAnsiTheme="minorEastAsia" w:eastAsiaTheme="minorEastAsia" w:cstheme="minorEastAsia"/>
          <w:sz w:val="21"/>
          <w:lang w:val="en"/>
        </w:rPr>
        <w:t xml:space="preserve">5</w:t>
      </w:r>
      <w:r>
        <w:rPr>
          <w:rFonts w:hint="eastAsia" w:asciiTheme="minorEastAsia" w:hAnsiTheme="minorEastAsia" w:eastAsiaTheme="minorEastAsia" w:cstheme="minorEastAsia"/>
          <w:sz w:val="21"/>
        </w:rPr>
        <w:t xml:space="preserve">）政府采购方式：</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公开招标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邀请招标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竞争性谈判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竞争性磋商</w:t>
      </w:r>
      <w:r/>
    </w:p>
    <w:p>
      <w:pPr>
        <w:pStyle w:val="967"/>
        <w:numPr>
          <w:ilvl w:val="255"/>
          <w:numId w:val="0"/>
        </w:numPr>
        <w:ind w:firstLine="420"/>
        <w:rPr>
          <w:rFonts w:ascii="宋体" w:hAnsi="宋体" w:eastAsia="宋体" w:cs="宋体"/>
          <w:sz w:val="21"/>
          <w:u w:val="single"/>
        </w:rPr>
        <w:pBdr>
          <w:top w:val="none" w:color="auto" w:sz="0" w:space="1"/>
          <w:left w:val="none" w:color="auto" w:sz="0" w:space="4"/>
          <w:bottom w:val="none" w:color="auto" w:sz="0" w:space="1"/>
          <w:right w:val="none" w:color="auto" w:sz="0" w:space="4"/>
        </w:pBdr>
      </w:pPr>
      <w:r>
        <w:rPr>
          <w:rFonts w:hint="eastAsia" w:ascii="宋体" w:hAnsi="宋体" w:cs="宋体"/>
        </w:rPr>
        <w:t xml:space="preserve">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询价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单一来源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框架协议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其他：</w:t>
      </w:r>
      <w:r>
        <w:rPr>
          <w:rFonts w:hint="eastAsia" w:ascii="宋体" w:hAnsi="宋体" w:eastAsia="宋体" w:cs="宋体"/>
          <w:sz w:val="21"/>
          <w:u w:val="single"/>
        </w:rPr>
        <w:t xml:space="preserve">          </w:t>
      </w:r>
      <w:r/>
    </w:p>
    <w:p>
      <w:pPr>
        <w:pStyle w:val="967"/>
        <w:numPr>
          <w:ilvl w:val="255"/>
          <w:numId w:val="0"/>
        </w:numPr>
        <w:ind w:firstLine="420"/>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（注：在框架协议采购的第二阶段，可选择使用该合同文本）</w:t>
      </w:r>
      <w:r/>
    </w:p>
    <w:p>
      <w:pPr>
        <w:pStyle w:val="967"/>
        <w:numPr>
          <w:ilvl w:val="255"/>
          <w:numId w:val="0"/>
        </w:numPr>
        <w:ind w:firstLine="220"/>
        <w:rPr>
          <w:rFonts w:ascii="宋体" w:hAnsi="宋体" w:eastAsia="宋体" w:cs="Times New Roman"/>
          <w:sz w:val="21"/>
        </w:rPr>
        <w:pBdr>
          <w:top w:val="none" w:color="auto" w:sz="0" w:space="1"/>
          <w:left w:val="none" w:color="auto" w:sz="0" w:space="4"/>
          <w:bottom w:val="none" w:color="auto" w:sz="0" w:space="1"/>
          <w:right w:val="none" w:color="auto" w:sz="0" w:space="4"/>
        </w:pBd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ascii="宋体" w:hAnsi="宋体"/>
          <w:iCs/>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255"/>
          <w:numId w:val="0"/>
        </w:numPr>
        <w:spacing w:line="400" w:lineRule="exact"/>
        <w:rPr>
          <w:rFonts w:ascii="宋体" w:hAnsi="宋体"/>
          <w:iCs/>
          <w:szCs w:val="21"/>
        </w:rPr>
        <w:pBdr>
          <w:top w:val="none" w:color="auto" w:sz="0" w:space="1"/>
          <w:left w:val="none" w:color="auto" w:sz="0" w:space="4"/>
          <w:bottom w:val="none" w:color="auto" w:sz="0" w:space="1"/>
          <w:right w:val="none" w:color="auto" w:sz="0" w:space="4"/>
        </w:pBd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255"/>
          <w:numId w:val="0"/>
        </w:numPr>
        <w:spacing w:line="400" w:lineRule="exact"/>
        <w:rPr>
          <w:rFonts w:ascii="宋体" w:hAnsi="宋体"/>
          <w:iCs/>
          <w:szCs w:val="21"/>
        </w:rPr>
        <w:pBdr>
          <w:top w:val="none" w:color="auto" w:sz="0" w:space="1"/>
          <w:left w:val="none" w:color="auto" w:sz="0" w:space="4"/>
          <w:bottom w:val="none" w:color="auto" w:sz="0" w:space="1"/>
          <w:right w:val="none" w:color="auto" w:sz="0" w:space="4"/>
        </w:pBd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Bdr>
          <w:top w:val="none" w:color="auto" w:sz="0" w:space="1"/>
          <w:left w:val="none" w:color="auto" w:sz="0" w:space="4"/>
          <w:bottom w:val="none" w:color="auto" w:sz="0" w:space="1"/>
          <w:right w:val="none" w:color="auto" w:sz="0" w:space="4"/>
        </w:pBdr>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ascii="宋体" w:hAnsi="宋体"/>
          <w:szCs w:val="21"/>
          <w:u w:val="single"/>
        </w:rPr>
        <w:pBdr>
          <w:top w:val="none" w:color="auto" w:sz="0" w:space="1"/>
          <w:left w:val="none" w:color="auto" w:sz="0" w:space="4"/>
          <w:bottom w:val="none" w:color="auto" w:sz="0" w:space="1"/>
          <w:right w:val="none" w:color="auto" w:sz="0" w:space="4"/>
        </w:pBd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分包供应商/制造商名称（如供应商和制造商不同，请分别填写）：</w:t>
      </w:r>
      <w:r/>
    </w:p>
    <w:p>
      <w:pPr>
        <w:ind w:firstLine="840"/>
        <w:spacing w:line="400" w:lineRule="exact"/>
        <w:rPr>
          <w:rFonts w:ascii="宋体" w:hAnsi="宋体"/>
          <w:szCs w:val="21"/>
          <w:u w:val="single"/>
        </w:rPr>
        <w:pBdr>
          <w:top w:val="none" w:color="auto" w:sz="0" w:space="1"/>
          <w:left w:val="none" w:color="auto" w:sz="0" w:space="4"/>
          <w:bottom w:val="none" w:color="auto" w:sz="0" w:space="1"/>
          <w:right w:val="none" w:color="auto" w:sz="0" w:space="4"/>
        </w:pBd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分包供应商/制造商类型（如果供应商和制造商不同，只填写制造商类型）：</w:t>
      </w:r>
      <w:r/>
    </w:p>
    <w:p>
      <w:pPr>
        <w:ind w:firstLine="840"/>
        <w:spacing w:line="400" w:lineRule="exact"/>
        <w:rPr>
          <w:rFonts w:ascii="宋体" w:hAnsi="宋体"/>
          <w:iCs/>
          <w:szCs w:val="21"/>
        </w:rPr>
        <w:pBdr>
          <w:top w:val="none" w:color="auto" w:sz="0" w:space="1"/>
          <w:left w:val="none" w:color="auto" w:sz="0" w:space="4"/>
          <w:bottom w:val="none" w:color="auto" w:sz="0" w:space="1"/>
          <w:right w:val="none" w:color="auto" w:sz="0" w:space="4"/>
        </w:pBd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eastAsia="华文楷体"/>
        </w:rPr>
        <w:pBdr>
          <w:top w:val="none" w:color="auto" w:sz="0" w:space="1"/>
          <w:left w:val="none" w:color="auto" w:sz="0" w:space="4"/>
          <w:bottom w:val="none" w:color="auto" w:sz="0" w:space="1"/>
          <w:right w:val="none" w:color="auto" w:sz="0" w:space="4"/>
        </w:pBd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numPr>
          <w:ilvl w:val="255"/>
          <w:numId w:val="0"/>
        </w:numPr>
        <w:spacing w:line="400" w:lineRule="exact"/>
        <w:rPr>
          <w:rFonts w:ascii="宋体" w:hAnsi="宋体" w:cs="宋体"/>
          <w:iCs/>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967"/>
        <w:tabs>
          <w:tab w:val="left" w:pos="1340" w:leader="none"/>
        </w:tabs>
        <w:rPr>
          <w:rFonts w:ascii="宋体" w:hAnsi="宋体" w:eastAsia="宋体" w:cs="宋体"/>
          <w:sz w:val="21"/>
          <w:u w:val="single"/>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spacing w:line="400" w:lineRule="exact"/>
        <w:rPr>
          <w:rFonts w:ascii="宋体" w:hAnsi="宋体" w:cs="宋体"/>
          <w:szCs w:val="21"/>
        </w:rPr>
        <w:pBdr>
          <w:top w:val="none" w:color="auto" w:sz="0" w:space="1"/>
          <w:left w:val="none" w:color="auto" w:sz="0" w:space="4"/>
          <w:bottom w:val="none" w:color="auto" w:sz="0" w:space="1"/>
          <w:right w:val="none" w:color="auto" w:sz="0" w:space="4"/>
        </w:pBd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numPr>
          <w:ilvl w:val="255"/>
          <w:numId w:val="0"/>
        </w:numPr>
        <w:ind w:firstLine="840"/>
        <w:spacing w:line="400" w:lineRule="exact"/>
        <w:rPr>
          <w:rFonts w:ascii="宋体" w:hAnsi="宋体" w:cs="宋体"/>
          <w:szCs w:val="21"/>
          <w:u w:val="single"/>
        </w:rPr>
        <w:pBdr>
          <w:top w:val="none" w:color="auto" w:sz="0" w:space="1"/>
          <w:left w:val="none" w:color="auto" w:sz="0" w:space="4"/>
          <w:bottom w:val="none" w:color="auto" w:sz="0" w:space="1"/>
          <w:right w:val="none" w:color="auto" w:sz="0" w:space="4"/>
        </w:pBd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numPr>
          <w:ilvl w:val="255"/>
          <w:numId w:val="0"/>
        </w:numPr>
        <w:ind w:firstLine="84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line="400" w:lineRule="exact"/>
        <w:tabs>
          <w:tab w:val="left" w:pos="740" w:leader="none"/>
        </w:tabs>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numPr>
          <w:ilvl w:val="255"/>
          <w:numId w:val="0"/>
        </w:numPr>
        <w:spacing w:line="400" w:lineRule="exact"/>
        <w:tabs>
          <w:tab w:val="left" w:pos="740" w:leader="none"/>
        </w:tabs>
        <w:rPr>
          <w:rFonts w:ascii="宋体" w:hAnsi="宋体"/>
          <w:iCs/>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numPr>
          <w:ilvl w:val="255"/>
          <w:numId w:val="0"/>
        </w:numPr>
        <w:spacing w:line="400" w:lineRule="exact"/>
        <w:tabs>
          <w:tab w:val="left" w:pos="740" w:leader="none"/>
        </w:tabs>
        <w:rPr>
          <w:rFonts w:ascii="宋体" w:hAnsi="宋体"/>
          <w:iCs/>
          <w:szCs w:val="21"/>
        </w:rPr>
        <w:pBdr>
          <w:top w:val="none" w:color="auto" w:sz="0" w:space="1"/>
          <w:left w:val="none" w:color="auto" w:sz="0" w:space="4"/>
          <w:bottom w:val="none" w:color="auto" w:sz="0" w:space="1"/>
          <w:right w:val="none" w:color="auto" w:sz="0" w:space="4"/>
        </w:pBd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line="400" w:lineRule="exact"/>
        <w:tabs>
          <w:tab w:val="left" w:pos="740" w:leader="none"/>
        </w:tabs>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line="400" w:lineRule="exact"/>
        <w:tabs>
          <w:tab w:val="left" w:pos="740" w:leader="none"/>
        </w:tabs>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是否涉及环境标志产品：</w:t>
      </w:r>
      <w:r/>
    </w:p>
    <w:p>
      <w:pPr>
        <w:numPr>
          <w:ilvl w:val="255"/>
          <w:numId w:val="0"/>
        </w:numPr>
        <w:spacing w:line="400" w:lineRule="exact"/>
        <w:tabs>
          <w:tab w:val="left" w:pos="740" w:leader="none"/>
        </w:tabs>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numPr>
          <w:ilvl w:val="255"/>
          <w:numId w:val="0"/>
        </w:numPr>
        <w:spacing w:line="400" w:lineRule="exact"/>
        <w:tabs>
          <w:tab w:val="left" w:pos="740" w:leader="none"/>
        </w:tabs>
        <w:rPr>
          <w:rFonts w:ascii="宋体" w:hAnsi="宋体"/>
          <w:iCs/>
          <w:szCs w:val="21"/>
        </w:rPr>
        <w:pBdr>
          <w:top w:val="none" w:color="auto" w:sz="0" w:space="1"/>
          <w:left w:val="none" w:color="auto" w:sz="0" w:space="4"/>
          <w:bottom w:val="none" w:color="auto" w:sz="0" w:space="1"/>
          <w:right w:val="none" w:color="auto" w:sz="0" w:space="4"/>
        </w:pBd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line="400" w:lineRule="exact"/>
        <w:tabs>
          <w:tab w:val="left" w:pos="740" w:leader="none"/>
        </w:tabs>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967"/>
        <w:numPr>
          <w:ilvl w:val="255"/>
          <w:numId w:val="0"/>
        </w:numPr>
        <w:rPr>
          <w:rFonts w:ascii="宋体" w:hAnsi="宋体" w:eastAsia="宋体" w:cs="Times New Roman"/>
          <w:sz w:val="21"/>
        </w:rPr>
        <w:pBdr>
          <w:top w:val="none" w:color="auto" w:sz="0" w:space="1"/>
          <w:left w:val="none" w:color="auto" w:sz="0" w:space="4"/>
          <w:bottom w:val="none" w:color="auto" w:sz="0" w:space="1"/>
          <w:right w:val="none" w:color="auto" w:sz="0" w:space="4"/>
        </w:pBd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967"/>
        <w:ind w:firstLine="420"/>
        <w:rPr>
          <w:rFonts w:ascii="宋体" w:hAnsi="宋体" w:eastAsia="宋体"/>
          <w:u w:val="single"/>
        </w:rPr>
        <w:pBdr>
          <w:top w:val="none" w:color="auto" w:sz="0" w:space="1"/>
          <w:left w:val="none" w:color="auto" w:sz="0" w:space="4"/>
          <w:bottom w:val="none" w:color="auto" w:sz="0" w:space="1"/>
          <w:right w:val="none" w:color="auto" w:sz="0" w:space="4"/>
        </w:pBd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numPr>
          <w:ilvl w:val="255"/>
          <w:numId w:val="0"/>
        </w:numPr>
        <w:spacing w:line="400" w:lineRule="exact"/>
        <w:tabs>
          <w:tab w:val="left" w:pos="740" w:leader="none"/>
        </w:tabs>
        <w:rPr>
          <w:rFonts w:ascii="宋体" w:hAnsi="宋体"/>
          <w:iCs/>
          <w:szCs w:val="21"/>
        </w:rPr>
        <w:pBdr>
          <w:top w:val="none" w:color="auto" w:sz="0" w:space="1"/>
          <w:left w:val="none" w:color="auto" w:sz="0" w:space="4"/>
          <w:bottom w:val="none" w:color="auto" w:sz="0" w:space="1"/>
          <w:right w:val="none" w:color="auto" w:sz="0" w:space="4"/>
        </w:pBd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967"/>
        <w:ind w:firstLine="420"/>
        <w:rPr>
          <w:rFonts w:ascii="宋体" w:hAnsi="宋体"/>
          <w:sz w:val="21"/>
        </w:rPr>
        <w:pBdr>
          <w:top w:val="none" w:color="auto" w:sz="0" w:space="1"/>
          <w:left w:val="none" w:color="auto" w:sz="0" w:space="4"/>
          <w:bottom w:val="none" w:color="auto" w:sz="0" w:space="1"/>
          <w:right w:val="none" w:color="auto" w:sz="0" w:space="4"/>
        </w:pBd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3"/>
        </w:numPr>
        <w:ind w:firstLine="422"/>
        <w:spacing w:line="400" w:lineRule="exact"/>
        <w:rPr>
          <w:rFonts w:ascii="宋体" w:hAnsi="宋体"/>
          <w:b/>
          <w:szCs w:val="21"/>
        </w:rPr>
        <w:pBdr>
          <w:top w:val="none" w:color="auto" w:sz="0" w:space="1"/>
          <w:left w:val="none" w:color="auto" w:sz="0" w:space="4"/>
          <w:bottom w:val="none" w:color="auto" w:sz="0" w:space="1"/>
          <w:right w:val="none" w:color="auto" w:sz="0" w:space="4"/>
        </w:pBdr>
      </w:pPr>
      <w:r>
        <w:rPr>
          <w:rFonts w:hint="eastAsia" w:ascii="宋体" w:hAnsi="宋体"/>
          <w:b/>
          <w:szCs w:val="21"/>
        </w:rPr>
        <w:t xml:space="preserve">合同金额</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ascii="宋体" w:hAnsi="宋体"/>
          <w:szCs w:val="21"/>
          <w:u w:val="single"/>
        </w:rPr>
        <w:pBdr>
          <w:top w:val="none" w:color="auto" w:sz="0" w:space="1"/>
          <w:left w:val="none" w:color="auto" w:sz="0" w:space="4"/>
          <w:bottom w:val="none" w:color="auto" w:sz="0" w:space="1"/>
          <w:right w:val="none" w:color="auto" w:sz="0" w:space="4"/>
        </w:pBd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ascii="宋体" w:hAnsi="宋体"/>
          <w:szCs w:val="21"/>
          <w:u w:val="single"/>
        </w:rPr>
        <w:pBdr>
          <w:top w:val="none" w:color="auto" w:sz="0" w:space="1"/>
          <w:left w:val="none" w:color="auto" w:sz="0" w:space="4"/>
          <w:bottom w:val="none" w:color="auto" w:sz="0" w:space="1"/>
          <w:right w:val="none" w:color="auto" w:sz="0" w:space="4"/>
        </w:pBd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（注：固定单价合同应填写单价和最高限价）</w:t>
      </w:r>
      <w:r/>
    </w:p>
    <w:p>
      <w:pPr>
        <w:numPr>
          <w:ilvl w:val="255"/>
          <w:numId w:val="0"/>
        </w:numPr>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（2）合同定价方式（采用组合定价方式的，可以勾选多项）：</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968"/>
        <w:spacing w:line="400" w:lineRule="exact"/>
        <w:pBdr>
          <w:top w:val="none" w:color="auto" w:sz="0" w:space="1"/>
          <w:left w:val="none" w:color="auto" w:sz="0" w:space="4"/>
          <w:bottom w:val="none" w:color="auto" w:sz="0" w:space="1"/>
          <w:right w:val="none" w:color="auto" w:sz="0" w:space="4"/>
        </w:pBdr>
      </w:pPr>
      <w:r>
        <w:rPr>
          <w:rFonts w:hint="eastAsia" w:ascii="宋体" w:hAnsi="宋体"/>
        </w:rPr>
        <w:t xml:space="preserve">（3）付款方式（按项目实际勾选填写）：</w:t>
      </w:r>
      <w:r/>
    </w:p>
    <w:p>
      <w:pPr>
        <w:ind w:firstLine="630"/>
        <w:spacing w:line="400" w:lineRule="exact"/>
        <w:rPr>
          <w:rFonts w:ascii="宋体" w:hAnsi="宋体"/>
          <w:szCs w:val="21"/>
          <w:u w:val="single"/>
        </w:rPr>
        <w:pBdr>
          <w:top w:val="none" w:color="auto" w:sz="0" w:space="1"/>
          <w:left w:val="none" w:color="auto" w:sz="0" w:space="4"/>
          <w:bottom w:val="none" w:color="auto" w:sz="0" w:space="1"/>
          <w:right w:val="none" w:color="auto" w:sz="0" w:space="4"/>
        </w:pBd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pBdr>
          <w:top w:val="none" w:color="auto" w:sz="0" w:space="1"/>
          <w:left w:val="none" w:color="auto" w:sz="0" w:space="4"/>
          <w:bottom w:val="none" w:color="auto" w:sz="0" w:space="1"/>
          <w:right w:val="none" w:color="auto" w:sz="0" w:space="4"/>
        </w:pBd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630"/>
        <w:spacing w:line="400" w:lineRule="exact"/>
        <w:rPr>
          <w:rFonts w:ascii="宋体" w:hAnsi="宋体"/>
          <w:szCs w:val="21"/>
          <w:u w:val="single"/>
        </w:rPr>
        <w:pBdr>
          <w:top w:val="none" w:color="auto" w:sz="0" w:space="1"/>
          <w:left w:val="none" w:color="auto" w:sz="0" w:space="4"/>
          <w:bottom w:val="none" w:color="auto" w:sz="0" w:space="1"/>
          <w:right w:val="none" w:color="auto" w:sz="0" w:space="4"/>
        </w:pBd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3"/>
        </w:numPr>
        <w:ind w:firstLine="422"/>
        <w:spacing w:line="400" w:lineRule="exact"/>
        <w:rPr>
          <w:rFonts w:ascii="宋体" w:hAnsi="宋体"/>
          <w:b/>
          <w:szCs w:val="21"/>
          <w:u w:val="single"/>
        </w:rPr>
        <w:pBdr>
          <w:top w:val="none" w:color="auto" w:sz="0" w:space="1"/>
          <w:left w:val="none" w:color="auto" w:sz="0" w:space="4"/>
          <w:bottom w:val="none" w:color="auto" w:sz="0" w:space="1"/>
          <w:right w:val="none" w:color="auto" w:sz="0" w:space="4"/>
        </w:pBdr>
      </w:pPr>
      <w:r>
        <w:rPr>
          <w:rFonts w:hint="eastAsia" w:ascii="宋体" w:hAnsi="宋体"/>
          <w:b/>
          <w:szCs w:val="21"/>
        </w:rPr>
        <w:t xml:space="preserve">合同履行</w:t>
      </w:r>
      <w:r/>
    </w:p>
    <w:p>
      <w:pPr>
        <w:ind w:firstLine="420"/>
        <w:spacing w:line="400" w:lineRule="exact"/>
        <w:rPr>
          <w:rFonts w:ascii="宋体" w:hAnsi="宋体" w:cs="宋体"/>
          <w:szCs w:val="21"/>
        </w:rPr>
        <w:pBdr>
          <w:top w:val="none" w:color="auto" w:sz="0" w:space="1"/>
          <w:left w:val="none" w:color="auto" w:sz="0" w:space="4"/>
          <w:bottom w:val="none" w:color="auto" w:sz="0" w:space="1"/>
          <w:right w:val="none" w:color="auto" w:sz="0" w:space="4"/>
        </w:pBd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u w:val="single"/>
        </w:rPr>
        <w:pBdr>
          <w:top w:val="none" w:color="auto" w:sz="0" w:space="1"/>
          <w:left w:val="none" w:color="auto" w:sz="0" w:space="4"/>
          <w:bottom w:val="none" w:color="auto" w:sz="0" w:space="1"/>
          <w:right w:val="none" w:color="auto" w:sz="0" w:space="4"/>
        </w:pBd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ascii="宋体" w:hAnsi="宋体" w:cs="宋体"/>
          <w:szCs w:val="21"/>
        </w:rPr>
        <w:pBdr>
          <w:top w:val="none" w:color="auto" w:sz="0" w:space="1"/>
          <w:left w:val="none" w:color="auto" w:sz="0" w:space="4"/>
          <w:bottom w:val="none" w:color="auto" w:sz="0" w:space="1"/>
          <w:right w:val="none" w:color="auto" w:sz="0" w:space="4"/>
        </w:pBd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967"/>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cs="宋体"/>
          <w:bCs/>
        </w:rPr>
        <w:t xml:space="preserve">  </w:t>
      </w:r>
      <w:r>
        <w:rPr>
          <w:rFonts w:hint="eastAsia" w:ascii="宋体" w:hAnsi="宋体" w:eastAsia="宋体" w:cs="宋体"/>
          <w:sz w:val="21"/>
        </w:rPr>
        <w:t xml:space="preserve">  收取履约保证金形式：</w:t>
      </w:r>
      <w:r>
        <w:rPr>
          <w:rFonts w:hint="eastAsia" w:ascii="宋体" w:hAnsi="宋体" w:eastAsia="宋体" w:cs="宋体"/>
          <w:bCs/>
          <w:sz w:val="21"/>
          <w:u w:val="single"/>
        </w:rPr>
        <w:t xml:space="preserve">                            </w:t>
      </w:r>
      <w:r/>
    </w:p>
    <w:p>
      <w:pPr>
        <w:pStyle w:val="967"/>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p>
    <w:p>
      <w:pPr>
        <w:ind w:firstLine="420"/>
        <w:spacing w:line="400" w:lineRule="exact"/>
        <w:rPr>
          <w:rFonts w:ascii="宋体" w:hAnsi="宋体" w:cs="宋体"/>
        </w:rPr>
        <w:pBdr>
          <w:top w:val="none" w:color="auto" w:sz="0" w:space="1"/>
          <w:left w:val="none" w:color="auto" w:sz="0" w:space="4"/>
          <w:bottom w:val="none" w:color="auto" w:sz="0" w:space="1"/>
          <w:right w:val="none" w:color="auto" w:sz="0" w:space="4"/>
        </w:pBdr>
      </w:pPr>
      <w:r>
        <w:rPr>
          <w:rFonts w:hint="eastAsia" w:ascii="宋体" w:hAnsi="宋体" w:cs="宋体"/>
          <w:bCs/>
          <w:szCs w:val="21"/>
        </w:rPr>
        <w:t xml:space="preserve">    履约担保期限：</w:t>
      </w:r>
      <w:r>
        <w:rPr>
          <w:rFonts w:hint="eastAsia" w:ascii="宋体" w:hAnsi="宋体" w:cs="宋体"/>
          <w:bCs/>
          <w:szCs w:val="21"/>
          <w:u w:val="single"/>
        </w:rPr>
        <w:t xml:space="preserve">                                  </w:t>
      </w:r>
      <w:r/>
    </w:p>
    <w:p>
      <w:pPr>
        <w:ind w:firstLine="420"/>
        <w:spacing w:line="400" w:lineRule="exact"/>
        <w:rPr>
          <w:rFonts w:ascii="宋体" w:hAnsi="宋体" w:cs="宋体"/>
          <w:bCs/>
          <w:szCs w:val="21"/>
        </w:rPr>
        <w:pBdr>
          <w:top w:val="none" w:color="auto" w:sz="0" w:space="1"/>
          <w:left w:val="none" w:color="auto" w:sz="0" w:space="4"/>
          <w:bottom w:val="none" w:color="auto" w:sz="0" w:space="1"/>
          <w:right w:val="none" w:color="auto" w:sz="0" w:space="4"/>
        </w:pBd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ascii="宋体" w:hAnsi="宋体" w:cs="宋体"/>
          <w:szCs w:val="21"/>
          <w:u w:val="single"/>
        </w:rPr>
        <w:pBdr>
          <w:top w:val="none" w:color="auto" w:sz="0" w:space="1"/>
          <w:left w:val="none" w:color="auto" w:sz="0" w:space="4"/>
          <w:bottom w:val="none" w:color="auto" w:sz="0" w:space="1"/>
          <w:right w:val="none" w:color="auto" w:sz="0" w:space="4"/>
        </w:pBd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szCs w:val="21"/>
          <w:u w:val="single"/>
        </w:rPr>
        <w:t xml:space="preserve">                                                </w:t>
      </w:r>
      <w:r/>
    </w:p>
    <w:p>
      <w:pPr>
        <w:numPr>
          <w:ilvl w:val="0"/>
          <w:numId w:val="3"/>
        </w:numPr>
        <w:ind w:firstLine="422"/>
        <w:spacing w:line="400" w:lineRule="exact"/>
        <w:rPr>
          <w:rFonts w:ascii="宋体" w:hAnsi="宋体"/>
          <w:b/>
          <w:szCs w:val="21"/>
        </w:rPr>
        <w:pBdr>
          <w:top w:val="none" w:color="auto" w:sz="0" w:space="1"/>
          <w:left w:val="none" w:color="auto" w:sz="0" w:space="4"/>
          <w:bottom w:val="none" w:color="auto" w:sz="0" w:space="1"/>
          <w:right w:val="none" w:color="auto" w:sz="0" w:space="4"/>
        </w:pBdr>
      </w:pPr>
      <w:r>
        <w:rPr>
          <w:rFonts w:hint="eastAsia" w:ascii="宋体" w:hAnsi="宋体"/>
          <w:b/>
          <w:szCs w:val="21"/>
        </w:rPr>
        <w:t xml:space="preserve">合同验收</w:t>
      </w:r>
      <w:r/>
    </w:p>
    <w:p>
      <w:pPr>
        <w:numPr>
          <w:ilvl w:val="0"/>
          <w:numId w:val="5"/>
        </w:numPr>
        <w:ind w:firstLine="420"/>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u w:val="single"/>
        </w:rPr>
        <w:pBdr>
          <w:top w:val="none" w:color="auto" w:sz="0" w:space="1"/>
          <w:left w:val="none" w:color="auto" w:sz="0" w:space="4"/>
          <w:bottom w:val="none" w:color="auto" w:sz="0" w:space="1"/>
          <w:right w:val="none" w:color="auto" w:sz="0" w:space="4"/>
        </w:pBd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840"/>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u w:val="single"/>
        </w:rPr>
        <w:pBdr>
          <w:top w:val="none" w:color="auto" w:sz="0" w:space="1"/>
          <w:left w:val="none" w:color="auto" w:sz="0" w:space="4"/>
          <w:bottom w:val="none" w:color="auto" w:sz="0" w:space="1"/>
          <w:right w:val="none" w:color="auto" w:sz="0" w:space="4"/>
        </w:pBd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ascii="宋体" w:hAnsi="宋体"/>
          <w:bCs/>
          <w:szCs w:val="21"/>
          <w:u w:val="single"/>
        </w:rPr>
        <w:pBdr>
          <w:top w:val="none" w:color="auto" w:sz="0" w:space="1"/>
          <w:left w:val="none" w:color="auto" w:sz="0" w:space="4"/>
          <w:bottom w:val="none" w:color="auto" w:sz="0" w:space="1"/>
          <w:right w:val="none" w:color="auto" w:sz="0" w:space="4"/>
        </w:pBd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ascii="宋体" w:hAnsi="宋体"/>
          <w:bCs/>
          <w:szCs w:val="21"/>
          <w:u w:val="single"/>
        </w:rPr>
        <w:pBdr>
          <w:top w:val="none" w:color="auto" w:sz="0" w:space="1"/>
          <w:left w:val="none" w:color="auto" w:sz="0" w:space="4"/>
          <w:bottom w:val="none" w:color="auto" w:sz="0" w:space="1"/>
          <w:right w:val="none" w:color="auto" w:sz="0" w:space="4"/>
        </w:pBd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u w:val="single"/>
        </w:rPr>
        <w:pBdr>
          <w:top w:val="none" w:color="auto" w:sz="0" w:space="1"/>
          <w:left w:val="none" w:color="auto" w:sz="0" w:space="4"/>
          <w:bottom w:val="none" w:color="auto" w:sz="0" w:space="1"/>
          <w:right w:val="none" w:color="auto" w:sz="0" w:space="4"/>
        </w:pBdr>
      </w:pPr>
      <w:r>
        <w:rPr>
          <w:rFonts w:hint="eastAsia" w:ascii="宋体" w:hAnsi="宋体"/>
          <w:bCs/>
          <w:szCs w:val="21"/>
        </w:rPr>
        <w:t xml:space="preserve">（6）履约验收标准：</w:t>
      </w:r>
      <w:r>
        <w:rPr>
          <w:rFonts w:hint="eastAsia" w:ascii="宋体" w:hAnsi="宋体"/>
          <w:bCs/>
          <w:szCs w:val="21"/>
          <w:u w:val="single"/>
        </w:rPr>
        <w:t xml:space="preserve">                                         </w:t>
      </w:r>
      <w:r/>
    </w:p>
    <w:p>
      <w:pPr>
        <w:pStyle w:val="967"/>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szCs w:val="21"/>
          <w:u w:val="single"/>
        </w:rPr>
        <w:pBdr>
          <w:top w:val="none" w:color="auto" w:sz="0" w:space="1"/>
          <w:left w:val="none" w:color="auto" w:sz="0" w:space="4"/>
          <w:bottom w:val="none" w:color="auto" w:sz="0" w:space="1"/>
          <w:right w:val="none" w:color="auto" w:sz="0" w:space="4"/>
        </w:pBd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3"/>
        </w:numPr>
        <w:ind w:firstLine="422"/>
        <w:spacing w:line="400" w:lineRule="exact"/>
        <w:rPr>
          <w:rFonts w:ascii="宋体" w:hAnsi="宋体"/>
          <w:b/>
          <w:szCs w:val="21"/>
        </w:rPr>
        <w:pBdr>
          <w:top w:val="none" w:color="auto" w:sz="0" w:space="1"/>
          <w:left w:val="none" w:color="auto" w:sz="0" w:space="4"/>
          <w:bottom w:val="none" w:color="auto" w:sz="0" w:space="1"/>
          <w:right w:val="none" w:color="auto" w:sz="0" w:space="4"/>
        </w:pBdr>
      </w:pPr>
      <w:r>
        <w:rPr>
          <w:rFonts w:hint="eastAsia" w:ascii="宋体" w:hAnsi="宋体"/>
          <w:b/>
          <w:szCs w:val="21"/>
        </w:rPr>
        <w:t xml:space="preserve">组成合同的文件</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（2）政府采购合同专用条款</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（3）政府采购合同通用条款</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（4）中标（成交）通知书</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（5）投标（响应）文件</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（6）采购文件</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（7）有关技术文件，图纸</w:t>
      </w:r>
      <w:r/>
    </w:p>
    <w:p>
      <w:pPr>
        <w:pStyle w:val="967"/>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（8）</w:t>
      </w:r>
      <w:r>
        <w:rPr>
          <w:rFonts w:hint="eastAsia" w:ascii="宋体" w:hAnsi="宋体" w:eastAsia="宋体" w:cs="宋体"/>
          <w:color w:val="000000" w:themeColor="text1"/>
          <w:sz w:val="21"/>
          <w14:textFill>
            <w14:solidFill>
              <w14:schemeClr w14:val="tx1"/>
            </w14:solidFill>
          </w14:textFill>
        </w:rPr>
        <w:t xml:space="preserve">国家法律、行政法规和规章制度规定或合同约定的作为合同组成部分的其他文件</w:t>
      </w:r>
      <w:r/>
    </w:p>
    <w:p>
      <w:pPr>
        <w:numPr>
          <w:ilvl w:val="0"/>
          <w:numId w:val="3"/>
        </w:numPr>
        <w:ind w:firstLine="422"/>
        <w:spacing w:line="400" w:lineRule="exact"/>
        <w:rPr>
          <w:rFonts w:ascii="宋体" w:hAnsi="宋体"/>
          <w:b/>
          <w:szCs w:val="21"/>
        </w:rPr>
        <w:pBdr>
          <w:top w:val="none" w:color="auto" w:sz="0" w:space="1"/>
          <w:left w:val="none" w:color="auto" w:sz="0" w:space="4"/>
          <w:bottom w:val="none" w:color="auto" w:sz="0" w:space="1"/>
          <w:right w:val="none" w:color="auto" w:sz="0" w:space="4"/>
        </w:pBdr>
      </w:pPr>
      <w:r>
        <w:rPr>
          <w:rFonts w:hint="eastAsia" w:ascii="宋体" w:hAnsi="宋体"/>
          <w:b/>
          <w:szCs w:val="21"/>
        </w:rPr>
        <w:t xml:space="preserve">合同生效</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3"/>
        </w:numPr>
        <w:ind w:firstLine="422"/>
        <w:spacing w:line="400" w:lineRule="exact"/>
        <w:rPr>
          <w:rFonts w:ascii="宋体" w:hAnsi="宋体"/>
          <w:b/>
          <w:szCs w:val="21"/>
        </w:rPr>
        <w:pBdr>
          <w:top w:val="none" w:color="auto" w:sz="0" w:space="1"/>
          <w:left w:val="none" w:color="auto" w:sz="0" w:space="4"/>
          <w:bottom w:val="none" w:color="auto" w:sz="0" w:space="1"/>
          <w:right w:val="none" w:color="auto" w:sz="0" w:space="4"/>
        </w:pBdr>
      </w:pPr>
      <w:r>
        <w:rPr>
          <w:rFonts w:hint="eastAsia" w:ascii="宋体" w:hAnsi="宋体"/>
          <w:b/>
          <w:szCs w:val="21"/>
        </w:rPr>
        <w:t xml:space="preserve">合同份数</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合同订立地点：</w:t>
      </w:r>
      <w:r>
        <w:rPr>
          <w:rFonts w:hint="eastAsia" w:ascii="宋体" w:hAnsi="宋体"/>
          <w:szCs w:val="21"/>
          <w:u w:val="single"/>
        </w:rPr>
        <w:t xml:space="preserve">                           </w:t>
      </w:r>
      <w:r/>
    </w:p>
    <w:p>
      <w:pPr>
        <w:ind w:firstLine="420"/>
        <w:jc w:val="left"/>
        <w:spacing w:line="400" w:lineRule="exact"/>
        <w:rPr>
          <w:rFonts w:ascii="宋体" w:hAnsi="宋体"/>
        </w:rPr>
        <w:pBdr>
          <w:top w:val="none" w:color="auto" w:sz="0" w:space="1"/>
          <w:left w:val="none" w:color="auto" w:sz="0" w:space="4"/>
          <w:bottom w:val="none" w:color="auto" w:sz="0" w:space="1"/>
          <w:right w:val="none" w:color="auto" w:sz="0" w:space="4"/>
        </w:pBdr>
      </w:pPr>
      <w:r>
        <w:rPr>
          <w:rFonts w:hint="eastAsia" w:ascii="宋体" w:hAnsi="宋体"/>
          <w:szCs w:val="21"/>
        </w:rPr>
        <w:t xml:space="preserve">附件：具体标的及其技术要求和商务要求、联合协议、分包意向协议等。</w:t>
      </w:r>
      <w:r/>
    </w:p>
    <w:p>
      <w:pPr>
        <w:pBdr>
          <w:top w:val="none" w:color="auto" w:sz="0" w:space="1"/>
          <w:left w:val="none" w:color="auto" w:sz="0" w:space="4"/>
          <w:bottom w:val="none" w:color="auto" w:sz="0" w:space="1"/>
          <w:right w:val="none" w:color="auto" w:sz="0" w:space="4"/>
        </w:pBdr>
      </w:pPr>
      <w:r>
        <w:rPr>
          <w:rFonts w:hint="eastAsia"/>
        </w:rPr>
        <w:br w:type="page" w:clear="all"/>
      </w:r>
      <w:r/>
    </w:p>
    <w:p>
      <w:pPr>
        <w:pStyle w:val="968"/>
        <w:pBdr>
          <w:top w:val="none" w:color="auto" w:sz="0" w:space="1"/>
          <w:left w:val="none" w:color="auto" w:sz="0" w:space="4"/>
          <w:bottom w:val="none" w:color="auto" w:sz="0" w:space="1"/>
          <w:right w:val="none" w:color="auto" w:sz="0" w:space="4"/>
        </w:pBdr>
      </w:pPr>
      <w:r/>
      <w:r/>
    </w:p>
    <w:tbl>
      <w:tblPr>
        <w:tblStyle w:val="736"/>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186"/>
        <w:gridCol w:w="2789"/>
        <w:gridCol w:w="2288"/>
        <w:gridCol w:w="2447"/>
      </w:tblGrid>
      <w:tr>
        <w:trPr>
          <w:jc w:val="center"/>
          <w:trHeight w:val="490"/>
        </w:trPr>
        <w:tc>
          <w:tcPr>
            <w:gridSpan w:val="2"/>
            <w:tcW w:w="4303" w:type="dxa"/>
            <w:vAlign w:val="center"/>
            <w:textDirection w:val="lrTb"/>
            <w:noWrap w:val="false"/>
          </w:tcPr>
          <w:p>
            <w:pPr>
              <w:jc w:val="center"/>
              <w:spacing w:line="300" w:lineRule="exact"/>
              <w:pBdr>
                <w:top w:val="none" w:color="auto" w:sz="0" w:space="1"/>
                <w:left w:val="none" w:color="auto" w:sz="0" w:space="4"/>
                <w:bottom w:val="none" w:color="auto" w:sz="0" w:space="1"/>
                <w:right w:val="none" w:color="auto" w:sz="0" w:space="4"/>
              </w:pBdr>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095" w:type="dxa"/>
            <w:vAlign w:val="center"/>
            <w:textDirection w:val="lrTb"/>
            <w:noWrap w:val="false"/>
          </w:tcPr>
          <w:p>
            <w:pPr>
              <w:jc w:val="center"/>
              <w:spacing w:line="300" w:lineRule="exact"/>
              <w:pBdr>
                <w:top w:val="none" w:color="auto" w:sz="0" w:space="1"/>
                <w:left w:val="none" w:color="auto" w:sz="0" w:space="4"/>
                <w:bottom w:val="none" w:color="auto" w:sz="0" w:space="1"/>
                <w:right w:val="none" w:color="auto" w:sz="0" w:space="4"/>
              </w:pBdr>
            </w:pPr>
            <w:r>
              <w:rPr>
                <w:szCs w:val="21"/>
              </w:rPr>
              <w:t xml:space="preserve">乙方</w:t>
            </w:r>
            <w:r>
              <w:rPr>
                <w:rFonts w:hint="eastAsia"/>
                <w:szCs w:val="21"/>
              </w:rPr>
              <w:t xml:space="preserve">（供应商）</w:t>
            </w:r>
            <w:r/>
          </w:p>
        </w:tc>
      </w:tr>
      <w:tr>
        <w:trPr>
          <w:jc w:val="center"/>
          <w:trHeight w:val="917"/>
        </w:trPr>
        <w:tc>
          <w:tcPr>
            <w:tcW w:w="1891"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t xml:space="preserve">单位名称</w:t>
            </w:r>
            <w:r>
              <w:rPr>
                <w:rFonts w:hint="eastAsia"/>
                <w:szCs w:val="21"/>
              </w:rPr>
              <w:t xml:space="preserve">（公章或合同章）</w:t>
            </w:r>
            <w:r/>
          </w:p>
        </w:tc>
        <w:tc>
          <w:tcPr>
            <w:tcW w:w="2412"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r>
            <w:r/>
          </w:p>
        </w:tc>
        <w:tc>
          <w:tcPr>
            <w:tcW w:w="1979"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t xml:space="preserve">单位名称</w:t>
            </w:r>
            <w:r>
              <w:rPr>
                <w:rFonts w:hint="eastAsia"/>
                <w:szCs w:val="21"/>
              </w:rPr>
              <w:t xml:space="preserve">（公章或合同章）</w:t>
            </w:r>
            <w:r/>
          </w:p>
        </w:tc>
        <w:tc>
          <w:tcPr>
            <w:tcW w:w="2116" w:type="dxa"/>
            <w:vAlign w:val="center"/>
            <w:textDirection w:val="lrTb"/>
            <w:noWrap w:val="false"/>
          </w:tcPr>
          <w:p>
            <w:pPr>
              <w:jc w:val="center"/>
              <w:spacing w:line="300" w:lineRule="exact"/>
              <w:rPr>
                <w:spacing w:val="20"/>
                <w:szCs w:val="21"/>
              </w:rPr>
              <w:pBdr>
                <w:top w:val="none" w:color="auto" w:sz="0" w:space="1"/>
                <w:left w:val="none" w:color="auto" w:sz="0" w:space="4"/>
                <w:bottom w:val="none" w:color="auto" w:sz="0" w:space="1"/>
                <w:right w:val="none" w:color="auto" w:sz="0" w:space="4"/>
              </w:pBdr>
            </w:pPr>
            <w:r>
              <w:rPr>
                <w:spacing w:val="20"/>
                <w:szCs w:val="21"/>
              </w:rPr>
            </w:r>
            <w:r/>
          </w:p>
        </w:tc>
      </w:tr>
      <w:tr>
        <w:trPr>
          <w:jc w:val="center"/>
          <w:trHeight w:val="1171"/>
        </w:trPr>
        <w:tc>
          <w:tcPr>
            <w:tcW w:w="1891" w:type="dxa"/>
            <w:vAlign w:val="center"/>
            <w:vMerge w:val="restart"/>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t xml:space="preserve">法定代表人</w:t>
            </w:r>
            <w:r/>
          </w:p>
          <w:p>
            <w:pPr>
              <w:ind w:firstLine="100"/>
              <w:jc w:val="center"/>
              <w:spacing w:line="300" w:lineRule="exact"/>
              <w:rPr>
                <w:szCs w:val="21"/>
              </w:rPr>
              <w:pBdr>
                <w:top w:val="none" w:color="auto" w:sz="0" w:space="1"/>
                <w:left w:val="none" w:color="auto" w:sz="0" w:space="4"/>
                <w:bottom w:val="none" w:color="auto" w:sz="0" w:space="1"/>
                <w:right w:val="none" w:color="auto" w:sz="0" w:space="4"/>
              </w:pBdr>
            </w:pPr>
            <w:r>
              <w:rPr>
                <w:rFonts w:hint="eastAsia"/>
                <w:szCs w:val="21"/>
              </w:rPr>
              <w:t xml:space="preserve">或其</w:t>
            </w:r>
            <w:r>
              <w:rPr>
                <w:szCs w:val="21"/>
              </w:rPr>
              <w:t xml:space="preserve">委托代理人</w:t>
            </w:r>
            <w:r>
              <w:rPr>
                <w:rFonts w:hint="eastAsia"/>
                <w:szCs w:val="21"/>
              </w:rPr>
              <w:t xml:space="preserve">（签章）</w:t>
            </w:r>
            <w:r/>
          </w:p>
        </w:tc>
        <w:tc>
          <w:tcPr>
            <w:tcW w:w="2412" w:type="dxa"/>
            <w:vAlign w:val="center"/>
            <w:vMerge w:val="restart"/>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r>
            <w:r/>
          </w:p>
        </w:tc>
        <w:tc>
          <w:tcPr>
            <w:tcW w:w="1979"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t xml:space="preserve">法定代表人</w:t>
            </w:r>
            <w:r/>
          </w:p>
          <w:p>
            <w:pPr>
              <w:jc w:val="center"/>
              <w:spacing w:line="300" w:lineRule="exact"/>
              <w:rPr>
                <w:szCs w:val="21"/>
              </w:rPr>
              <w:pBdr>
                <w:top w:val="none" w:color="auto" w:sz="0" w:space="1"/>
                <w:left w:val="none" w:color="auto" w:sz="0" w:space="4"/>
                <w:bottom w:val="none" w:color="auto" w:sz="0" w:space="1"/>
                <w:right w:val="none" w:color="auto" w:sz="0" w:space="4"/>
              </w:pBdr>
            </w:pPr>
            <w:r>
              <w:rPr>
                <w:rFonts w:hint="eastAsia"/>
                <w:szCs w:val="21"/>
              </w:rPr>
              <w:t xml:space="preserve">或其</w:t>
            </w:r>
            <w:r>
              <w:rPr>
                <w:szCs w:val="21"/>
              </w:rPr>
              <w:t xml:space="preserve">委托代理人</w:t>
            </w:r>
            <w:r>
              <w:rPr>
                <w:rFonts w:hint="eastAsia"/>
                <w:szCs w:val="21"/>
              </w:rPr>
              <w:t xml:space="preserve">（签章）</w:t>
            </w:r>
            <w:r/>
          </w:p>
        </w:tc>
        <w:tc>
          <w:tcPr>
            <w:tcW w:w="2116"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r>
            <w:r/>
          </w:p>
        </w:tc>
      </w:tr>
      <w:tr>
        <w:trPr>
          <w:jc w:val="center"/>
          <w:trHeight w:val="483"/>
        </w:trPr>
        <w:tc>
          <w:tcPr>
            <w:tcW w:w="1891" w:type="dxa"/>
            <w:vAlign w:val="center"/>
            <w:vMerge w:val="continue"/>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r>
            <w:r/>
          </w:p>
        </w:tc>
        <w:tc>
          <w:tcPr>
            <w:tcW w:w="2412" w:type="dxa"/>
            <w:vAlign w:val="center"/>
            <w:vMerge w:val="continue"/>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r>
            <w:r/>
          </w:p>
        </w:tc>
        <w:tc>
          <w:tcPr>
            <w:tcW w:w="1979"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rFonts w:hint="eastAsia"/>
                <w:szCs w:val="21"/>
              </w:rPr>
              <w:t xml:space="preserve">拥有者性别</w:t>
            </w:r>
            <w:r/>
          </w:p>
        </w:tc>
        <w:tc>
          <w:tcPr>
            <w:tcW w:w="2116" w:type="dxa"/>
            <w:vAlign w:val="center"/>
            <w:textDirection w:val="lrTb"/>
            <w:noWrap w:val="false"/>
          </w:tcPr>
          <w:p>
            <w:pPr>
              <w:jc w:val="center"/>
              <w:spacing w:line="300" w:lineRule="exact"/>
              <w:rPr>
                <w:spacing w:val="20"/>
                <w:szCs w:val="21"/>
              </w:rPr>
              <w:pBdr>
                <w:top w:val="none" w:color="auto" w:sz="0" w:space="1"/>
                <w:left w:val="none" w:color="auto" w:sz="0" w:space="4"/>
                <w:bottom w:val="none" w:color="auto" w:sz="0" w:space="1"/>
                <w:right w:val="none" w:color="auto" w:sz="0" w:space="4"/>
              </w:pBdr>
            </w:pPr>
            <w:r>
              <w:rPr>
                <w:spacing w:val="20"/>
                <w:szCs w:val="21"/>
              </w:rPr>
            </w:r>
            <w:r/>
          </w:p>
        </w:tc>
      </w:tr>
      <w:tr>
        <w:trPr>
          <w:jc w:val="center"/>
          <w:trHeight w:val="483"/>
        </w:trPr>
        <w:tc>
          <w:tcPr>
            <w:tcW w:w="1891"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rFonts w:hint="eastAsia"/>
                <w:szCs w:val="21"/>
              </w:rPr>
              <w:t xml:space="preserve">住所</w:t>
            </w:r>
            <w:r/>
          </w:p>
        </w:tc>
        <w:tc>
          <w:tcPr>
            <w:tcW w:w="2412"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r>
            <w:r/>
          </w:p>
        </w:tc>
        <w:tc>
          <w:tcPr>
            <w:tcW w:w="1979"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rFonts w:hint="eastAsia"/>
                <w:szCs w:val="21"/>
              </w:rPr>
              <w:t xml:space="preserve">住所</w:t>
            </w:r>
            <w:r/>
          </w:p>
        </w:tc>
        <w:tc>
          <w:tcPr>
            <w:tcW w:w="2116" w:type="dxa"/>
            <w:vAlign w:val="center"/>
            <w:textDirection w:val="lrTb"/>
            <w:noWrap w:val="false"/>
          </w:tcPr>
          <w:p>
            <w:pPr>
              <w:jc w:val="center"/>
              <w:spacing w:line="300" w:lineRule="exact"/>
              <w:rPr>
                <w:spacing w:val="20"/>
                <w:szCs w:val="21"/>
              </w:rPr>
              <w:pBdr>
                <w:top w:val="none" w:color="auto" w:sz="0" w:space="1"/>
                <w:left w:val="none" w:color="auto" w:sz="0" w:space="4"/>
                <w:bottom w:val="none" w:color="auto" w:sz="0" w:space="1"/>
                <w:right w:val="none" w:color="auto" w:sz="0" w:space="4"/>
              </w:pBdr>
            </w:pPr>
            <w:r>
              <w:rPr>
                <w:spacing w:val="20"/>
                <w:szCs w:val="21"/>
              </w:rPr>
            </w:r>
            <w:r/>
          </w:p>
        </w:tc>
      </w:tr>
      <w:tr>
        <w:trPr>
          <w:jc w:val="center"/>
          <w:trHeight w:val="483"/>
        </w:trPr>
        <w:tc>
          <w:tcPr>
            <w:tcW w:w="1891"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t xml:space="preserve">联 系 人</w:t>
            </w:r>
            <w:r/>
          </w:p>
        </w:tc>
        <w:tc>
          <w:tcPr>
            <w:tcW w:w="2412"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r>
            <w:r/>
          </w:p>
        </w:tc>
        <w:tc>
          <w:tcPr>
            <w:tcW w:w="1979"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t xml:space="preserve">联 系 人</w:t>
            </w:r>
            <w:r/>
          </w:p>
        </w:tc>
        <w:tc>
          <w:tcPr>
            <w:tcW w:w="2116" w:type="dxa"/>
            <w:vAlign w:val="center"/>
            <w:textDirection w:val="lrTb"/>
            <w:noWrap w:val="false"/>
          </w:tcPr>
          <w:p>
            <w:pPr>
              <w:jc w:val="center"/>
              <w:spacing w:line="300" w:lineRule="exact"/>
              <w:rPr>
                <w:spacing w:val="20"/>
                <w:szCs w:val="21"/>
              </w:rPr>
              <w:pBdr>
                <w:top w:val="none" w:color="auto" w:sz="0" w:space="1"/>
                <w:left w:val="none" w:color="auto" w:sz="0" w:space="4"/>
                <w:bottom w:val="none" w:color="auto" w:sz="0" w:space="1"/>
                <w:right w:val="none" w:color="auto" w:sz="0" w:space="4"/>
              </w:pBdr>
            </w:pPr>
            <w:r>
              <w:rPr>
                <w:spacing w:val="20"/>
                <w:szCs w:val="21"/>
              </w:rPr>
            </w:r>
            <w:r/>
          </w:p>
        </w:tc>
      </w:tr>
      <w:tr>
        <w:trPr>
          <w:jc w:val="center"/>
          <w:trHeight w:val="483"/>
        </w:trPr>
        <w:tc>
          <w:tcPr>
            <w:tcW w:w="1891"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t xml:space="preserve">联系电话</w:t>
            </w:r>
            <w:r/>
          </w:p>
        </w:tc>
        <w:tc>
          <w:tcPr>
            <w:tcW w:w="2412"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r>
            <w:r/>
          </w:p>
        </w:tc>
        <w:tc>
          <w:tcPr>
            <w:tcW w:w="1979"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t xml:space="preserve">联系电话</w:t>
            </w:r>
            <w:r/>
          </w:p>
        </w:tc>
        <w:tc>
          <w:tcPr>
            <w:tcW w:w="2116" w:type="dxa"/>
            <w:vAlign w:val="center"/>
            <w:textDirection w:val="lrTb"/>
            <w:noWrap w:val="false"/>
          </w:tcPr>
          <w:p>
            <w:pPr>
              <w:jc w:val="center"/>
              <w:spacing w:line="300" w:lineRule="exact"/>
              <w:rPr>
                <w:spacing w:val="20"/>
                <w:szCs w:val="21"/>
              </w:rPr>
              <w:pBdr>
                <w:top w:val="none" w:color="auto" w:sz="0" w:space="1"/>
                <w:left w:val="none" w:color="auto" w:sz="0" w:space="4"/>
                <w:bottom w:val="none" w:color="auto" w:sz="0" w:space="1"/>
                <w:right w:val="none" w:color="auto" w:sz="0" w:space="4"/>
              </w:pBdr>
            </w:pPr>
            <w:r>
              <w:rPr>
                <w:spacing w:val="20"/>
                <w:szCs w:val="21"/>
              </w:rPr>
            </w:r>
            <w:r/>
          </w:p>
        </w:tc>
      </w:tr>
      <w:tr>
        <w:trPr>
          <w:jc w:val="center"/>
          <w:trHeight w:val="483"/>
        </w:trPr>
        <w:tc>
          <w:tcPr>
            <w:tcW w:w="1891"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rFonts w:hint="eastAsia"/>
                <w:szCs w:val="21"/>
              </w:rPr>
              <w:t xml:space="preserve">通信地址</w:t>
            </w:r>
            <w:r/>
          </w:p>
        </w:tc>
        <w:tc>
          <w:tcPr>
            <w:tcW w:w="2412"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r>
            <w:r/>
          </w:p>
        </w:tc>
        <w:tc>
          <w:tcPr>
            <w:tcW w:w="1979"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rFonts w:hint="eastAsia"/>
                <w:szCs w:val="21"/>
              </w:rPr>
              <w:t xml:space="preserve">通信地址</w:t>
            </w:r>
            <w:r/>
          </w:p>
        </w:tc>
        <w:tc>
          <w:tcPr>
            <w:tcW w:w="2116" w:type="dxa"/>
            <w:vAlign w:val="center"/>
            <w:textDirection w:val="lrTb"/>
            <w:noWrap w:val="false"/>
          </w:tcPr>
          <w:p>
            <w:pPr>
              <w:jc w:val="center"/>
              <w:spacing w:line="300" w:lineRule="exact"/>
              <w:rPr>
                <w:spacing w:val="20"/>
                <w:szCs w:val="21"/>
              </w:rPr>
              <w:pBdr>
                <w:top w:val="none" w:color="auto" w:sz="0" w:space="1"/>
                <w:left w:val="none" w:color="auto" w:sz="0" w:space="4"/>
                <w:bottom w:val="none" w:color="auto" w:sz="0" w:space="1"/>
                <w:right w:val="none" w:color="auto" w:sz="0" w:space="4"/>
              </w:pBdr>
            </w:pPr>
            <w:r>
              <w:rPr>
                <w:spacing w:val="20"/>
                <w:szCs w:val="21"/>
              </w:rPr>
            </w:r>
            <w:r/>
          </w:p>
        </w:tc>
      </w:tr>
      <w:tr>
        <w:trPr>
          <w:jc w:val="center"/>
          <w:trHeight w:val="483"/>
        </w:trPr>
        <w:tc>
          <w:tcPr>
            <w:tcW w:w="1891"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t xml:space="preserve">邮政编码</w:t>
            </w:r>
            <w:r/>
          </w:p>
        </w:tc>
        <w:tc>
          <w:tcPr>
            <w:tcW w:w="2412"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r>
            <w:r/>
          </w:p>
        </w:tc>
        <w:tc>
          <w:tcPr>
            <w:tcW w:w="1979"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t xml:space="preserve">邮政编码</w:t>
            </w:r>
            <w:r/>
          </w:p>
        </w:tc>
        <w:tc>
          <w:tcPr>
            <w:tcW w:w="2116" w:type="dxa"/>
            <w:vAlign w:val="center"/>
            <w:textDirection w:val="lrTb"/>
            <w:noWrap w:val="false"/>
          </w:tcPr>
          <w:p>
            <w:pPr>
              <w:jc w:val="center"/>
              <w:spacing w:line="300" w:lineRule="exact"/>
              <w:rPr>
                <w:spacing w:val="20"/>
                <w:szCs w:val="21"/>
              </w:rPr>
              <w:pBdr>
                <w:top w:val="none" w:color="auto" w:sz="0" w:space="1"/>
                <w:left w:val="none" w:color="auto" w:sz="0" w:space="4"/>
                <w:bottom w:val="none" w:color="auto" w:sz="0" w:space="1"/>
                <w:right w:val="none" w:color="auto" w:sz="0" w:space="4"/>
              </w:pBdr>
            </w:pPr>
            <w:r>
              <w:rPr>
                <w:spacing w:val="20"/>
                <w:szCs w:val="21"/>
              </w:rPr>
            </w:r>
            <w:r/>
          </w:p>
        </w:tc>
      </w:tr>
      <w:tr>
        <w:trPr>
          <w:jc w:val="center"/>
          <w:trHeight w:val="483"/>
        </w:trPr>
        <w:tc>
          <w:tcPr>
            <w:tcW w:w="1891"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rFonts w:hint="eastAsia"/>
                <w:szCs w:val="21"/>
              </w:rPr>
              <w:t xml:space="preserve">电子邮箱</w:t>
            </w:r>
            <w:r/>
          </w:p>
        </w:tc>
        <w:tc>
          <w:tcPr>
            <w:tcW w:w="2412"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r>
            <w:r/>
          </w:p>
        </w:tc>
        <w:tc>
          <w:tcPr>
            <w:tcW w:w="1979"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rFonts w:hint="eastAsia"/>
                <w:szCs w:val="21"/>
              </w:rPr>
              <w:t xml:space="preserve">电子邮箱</w:t>
            </w:r>
            <w:r/>
          </w:p>
        </w:tc>
        <w:tc>
          <w:tcPr>
            <w:tcW w:w="2116" w:type="dxa"/>
            <w:vAlign w:val="center"/>
            <w:textDirection w:val="lrTb"/>
            <w:noWrap w:val="false"/>
          </w:tcPr>
          <w:p>
            <w:pPr>
              <w:jc w:val="center"/>
              <w:spacing w:line="300" w:lineRule="exact"/>
              <w:rPr>
                <w:spacing w:val="20"/>
                <w:szCs w:val="21"/>
              </w:rPr>
              <w:pBdr>
                <w:top w:val="none" w:color="auto" w:sz="0" w:space="1"/>
                <w:left w:val="none" w:color="auto" w:sz="0" w:space="4"/>
                <w:bottom w:val="none" w:color="auto" w:sz="0" w:space="1"/>
                <w:right w:val="none" w:color="auto" w:sz="0" w:space="4"/>
              </w:pBdr>
            </w:pPr>
            <w:r>
              <w:rPr>
                <w:spacing w:val="20"/>
                <w:szCs w:val="21"/>
              </w:rPr>
            </w:r>
            <w:r/>
          </w:p>
        </w:tc>
      </w:tr>
      <w:tr>
        <w:trPr>
          <w:jc w:val="center"/>
          <w:trHeight w:val="483"/>
        </w:trPr>
        <w:tc>
          <w:tcPr>
            <w:tcW w:w="1891"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rFonts w:hint="eastAsia"/>
                <w:szCs w:val="21"/>
              </w:rPr>
              <w:t xml:space="preserve">统一社会信用代码</w:t>
            </w:r>
            <w:r/>
          </w:p>
        </w:tc>
        <w:tc>
          <w:tcPr>
            <w:tcW w:w="2412"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r>
            <w:r/>
          </w:p>
        </w:tc>
        <w:tc>
          <w:tcPr>
            <w:tcW w:w="1979"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rFonts w:hint="eastAsia"/>
                <w:szCs w:val="21"/>
              </w:rPr>
              <w:t xml:space="preserve">统一社会信用代码</w:t>
            </w:r>
            <w:r/>
          </w:p>
        </w:tc>
        <w:tc>
          <w:tcPr>
            <w:tcW w:w="2116" w:type="dxa"/>
            <w:vAlign w:val="center"/>
            <w:textDirection w:val="lrTb"/>
            <w:noWrap w:val="false"/>
          </w:tcPr>
          <w:p>
            <w:pPr>
              <w:jc w:val="center"/>
              <w:spacing w:line="300" w:lineRule="exact"/>
              <w:rPr>
                <w:spacing w:val="20"/>
                <w:szCs w:val="21"/>
              </w:rPr>
              <w:pBdr>
                <w:top w:val="none" w:color="auto" w:sz="0" w:space="1"/>
                <w:left w:val="none" w:color="auto" w:sz="0" w:space="4"/>
                <w:bottom w:val="none" w:color="auto" w:sz="0" w:space="1"/>
                <w:right w:val="none" w:color="auto" w:sz="0" w:space="4"/>
              </w:pBdr>
            </w:pPr>
            <w:r>
              <w:rPr>
                <w:spacing w:val="20"/>
                <w:szCs w:val="21"/>
              </w:rPr>
            </w:r>
            <w:r/>
          </w:p>
        </w:tc>
      </w:tr>
      <w:tr>
        <w:trPr>
          <w:jc w:val="center"/>
          <w:trHeight w:val="483"/>
        </w:trPr>
        <w:tc>
          <w:tcPr>
            <w:gridSpan w:val="2"/>
            <w:tcW w:w="4303" w:type="dxa"/>
            <w:vAlign w:val="center"/>
            <w:vMerge w:val="restart"/>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r>
            <w:r/>
          </w:p>
        </w:tc>
        <w:tc>
          <w:tcPr>
            <w:tcW w:w="1979"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t xml:space="preserve">开户名称</w:t>
            </w:r>
            <w:r/>
          </w:p>
        </w:tc>
        <w:tc>
          <w:tcPr>
            <w:tcW w:w="2116" w:type="dxa"/>
            <w:vAlign w:val="center"/>
            <w:textDirection w:val="lrTb"/>
            <w:noWrap w:val="false"/>
          </w:tcPr>
          <w:p>
            <w:pPr>
              <w:jc w:val="center"/>
              <w:spacing w:line="300" w:lineRule="exact"/>
              <w:rPr>
                <w:spacing w:val="20"/>
                <w:szCs w:val="21"/>
              </w:rPr>
              <w:pBdr>
                <w:top w:val="none" w:color="auto" w:sz="0" w:space="1"/>
                <w:left w:val="none" w:color="auto" w:sz="0" w:space="4"/>
                <w:bottom w:val="none" w:color="auto" w:sz="0" w:space="1"/>
                <w:right w:val="none" w:color="auto" w:sz="0" w:space="4"/>
              </w:pBdr>
            </w:pPr>
            <w:r>
              <w:rPr>
                <w:spacing w:val="20"/>
                <w:szCs w:val="21"/>
              </w:rPr>
            </w:r>
            <w:r/>
          </w:p>
        </w:tc>
      </w:tr>
      <w:tr>
        <w:trPr>
          <w:jc w:val="center"/>
          <w:trHeight w:val="483"/>
        </w:trPr>
        <w:tc>
          <w:tcPr>
            <w:gridSpan w:val="2"/>
            <w:tcW w:w="4303" w:type="dxa"/>
            <w:vAlign w:val="center"/>
            <w:vMerge w:val="continue"/>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r>
            <w:r/>
          </w:p>
        </w:tc>
        <w:tc>
          <w:tcPr>
            <w:tcW w:w="1979"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t xml:space="preserve">开户银行</w:t>
            </w:r>
            <w:r/>
          </w:p>
        </w:tc>
        <w:tc>
          <w:tcPr>
            <w:tcW w:w="2116" w:type="dxa"/>
            <w:vAlign w:val="center"/>
            <w:textDirection w:val="lrTb"/>
            <w:noWrap w:val="false"/>
          </w:tcPr>
          <w:p>
            <w:pPr>
              <w:jc w:val="center"/>
              <w:spacing w:line="300" w:lineRule="exact"/>
              <w:rPr>
                <w:spacing w:val="20"/>
                <w:szCs w:val="21"/>
              </w:rPr>
              <w:pBdr>
                <w:top w:val="none" w:color="auto" w:sz="0" w:space="1"/>
                <w:left w:val="none" w:color="auto" w:sz="0" w:space="4"/>
                <w:bottom w:val="none" w:color="auto" w:sz="0" w:space="1"/>
                <w:right w:val="none" w:color="auto" w:sz="0" w:space="4"/>
              </w:pBdr>
            </w:pPr>
            <w:r>
              <w:rPr>
                <w:spacing w:val="20"/>
                <w:szCs w:val="21"/>
              </w:rPr>
            </w:r>
            <w:r/>
          </w:p>
        </w:tc>
      </w:tr>
      <w:tr>
        <w:trPr>
          <w:jc w:val="center"/>
          <w:trHeight w:val="483"/>
        </w:trPr>
        <w:tc>
          <w:tcPr>
            <w:gridSpan w:val="2"/>
            <w:tcW w:w="4303" w:type="dxa"/>
            <w:vAlign w:val="center"/>
            <w:vMerge w:val="continue"/>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r>
            <w:r/>
          </w:p>
        </w:tc>
        <w:tc>
          <w:tcPr>
            <w:tcW w:w="1979" w:type="dxa"/>
            <w:vAlign w:val="center"/>
            <w:textDirection w:val="lrTb"/>
            <w:noWrap w:val="false"/>
          </w:tcPr>
          <w:p>
            <w:pPr>
              <w:jc w:val="center"/>
              <w:spacing w:line="300" w:lineRule="exact"/>
              <w:rPr>
                <w:szCs w:val="21"/>
              </w:rPr>
              <w:pBdr>
                <w:top w:val="none" w:color="auto" w:sz="0" w:space="1"/>
                <w:left w:val="none" w:color="auto" w:sz="0" w:space="4"/>
                <w:bottom w:val="none" w:color="auto" w:sz="0" w:space="1"/>
                <w:right w:val="none" w:color="auto" w:sz="0" w:space="4"/>
              </w:pBdr>
            </w:pPr>
            <w:r>
              <w:rPr>
                <w:szCs w:val="21"/>
              </w:rPr>
              <w:t xml:space="preserve">银行账号</w:t>
            </w:r>
            <w:r/>
          </w:p>
        </w:tc>
        <w:tc>
          <w:tcPr>
            <w:tcW w:w="2116" w:type="dxa"/>
            <w:vAlign w:val="center"/>
            <w:textDirection w:val="lrTb"/>
            <w:noWrap w:val="false"/>
          </w:tcPr>
          <w:p>
            <w:pPr>
              <w:jc w:val="center"/>
              <w:spacing w:line="300" w:lineRule="exact"/>
              <w:rPr>
                <w:spacing w:val="20"/>
                <w:szCs w:val="21"/>
              </w:rPr>
              <w:pBdr>
                <w:top w:val="none" w:color="auto" w:sz="0" w:space="1"/>
                <w:left w:val="none" w:color="auto" w:sz="0" w:space="4"/>
                <w:bottom w:val="none" w:color="auto" w:sz="0" w:space="1"/>
                <w:right w:val="none" w:color="auto" w:sz="0" w:space="4"/>
              </w:pBdr>
            </w:pPr>
            <w:r>
              <w:rPr>
                <w:spacing w:val="20"/>
                <w:szCs w:val="21"/>
              </w:rPr>
            </w:r>
            <w:r/>
          </w:p>
        </w:tc>
      </w:tr>
      <w:tr>
        <w:trPr>
          <w:jc w:val="center"/>
          <w:trHeight w:val="586"/>
        </w:trPr>
        <w:tc>
          <w:tcPr>
            <w:gridSpan w:val="4"/>
            <w:tcW w:w="8398" w:type="dxa"/>
            <w:vAlign w:val="center"/>
            <w:textDirection w:val="lrTb"/>
            <w:noWrap w:val="false"/>
          </w:tcPr>
          <w:p>
            <w:pPr>
              <w:pStyle w:val="950"/>
              <w:ind w:left="0"/>
              <w:jc w:val="left"/>
              <w:spacing w:after="0" w:line="360" w:lineRule="auto"/>
              <w:rPr>
                <w:spacing w:val="20"/>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注：涉及联合体或其他合同主体的信息应按上表格式加列。</w:t>
            </w:r>
            <w:r/>
          </w:p>
        </w:tc>
      </w:tr>
    </w:tbl>
    <w:p>
      <w:pPr>
        <w:pStyle w:val="936"/>
        <w:jc w:val="center"/>
        <w:spacing w:line="400" w:lineRule="exact"/>
        <w:rPr>
          <w:rFonts w:ascii="黑体" w:hAnsi="黑体" w:eastAsia="黑体"/>
          <w:sz w:val="28"/>
          <w:szCs w:val="28"/>
        </w:rPr>
        <w:pBdr>
          <w:top w:val="none" w:color="auto" w:sz="0" w:space="1"/>
          <w:left w:val="none" w:color="auto" w:sz="0" w:space="4"/>
          <w:bottom w:val="none" w:color="auto" w:sz="0" w:space="1"/>
          <w:right w:val="none" w:color="auto" w:sz="0" w:space="4"/>
        </w:pBdr>
      </w:pPr>
      <w:r>
        <w:rPr>
          <w:rFonts w:ascii="宋体" w:hAnsi="宋体"/>
          <w:sz w:val="21"/>
          <w:szCs w:val="21"/>
          <w:u w:val="single"/>
        </w:rPr>
        <w:br w:type="page" w:clear="all"/>
      </w:r>
      <w:bookmarkStart w:id="5" w:name="_Toc27624"/>
      <w:r>
        <w:rPr>
          <w:rFonts w:hint="eastAsia" w:ascii="黑体" w:hAnsi="黑体" w:eastAsia="黑体"/>
          <w:b w:val="0"/>
          <w:bCs w:val="0"/>
          <w:sz w:val="28"/>
          <w:szCs w:val="28"/>
        </w:rPr>
        <w:t xml:space="preserve">第二节 政府采购合同通用条款</w:t>
      </w:r>
      <w:bookmarkEnd w:id="5"/>
      <w:r/>
      <w:r/>
    </w:p>
    <w:p>
      <w:pPr>
        <w:jc w:val="left"/>
        <w:spacing w:line="400" w:lineRule="exact"/>
        <w:tabs>
          <w:tab w:val="left" w:pos="8820" w:leader="none"/>
          <w:tab w:val="left" w:pos="9345" w:leader="none"/>
          <w:tab w:val="left" w:pos="9765" w:leader="none"/>
        </w:tabs>
        <w:rPr>
          <w:rFonts w:ascii="宋体" w:hAnsi="宋体"/>
          <w:b/>
          <w:bCs/>
          <w:sz w:val="24"/>
        </w:rPr>
        <w:pBdr>
          <w:top w:val="none" w:color="auto" w:sz="0" w:space="1"/>
          <w:left w:val="none" w:color="auto" w:sz="0" w:space="4"/>
          <w:bottom w:val="none" w:color="auto" w:sz="0" w:space="1"/>
          <w:right w:val="none" w:color="auto" w:sz="0" w:space="4"/>
        </w:pBdr>
      </w:pPr>
      <w:r>
        <w:rPr>
          <w:rFonts w:hint="eastAsia" w:ascii="宋体" w:hAnsi="宋体"/>
          <w:b/>
          <w:sz w:val="24"/>
        </w:rPr>
        <w:t xml:space="preserve">1.</w:t>
      </w:r>
      <w:r>
        <w:rPr>
          <w:rFonts w:hint="eastAsia" w:ascii="宋体" w:hAnsi="宋体"/>
          <w:b/>
          <w:bCs/>
          <w:sz w:val="24"/>
        </w:rPr>
        <w:t xml:space="preserve">定义</w:t>
      </w:r>
      <w:r/>
    </w:p>
    <w:p>
      <w:pPr>
        <w:ind w:firstLine="420"/>
        <w:jc w:val="left"/>
        <w:spacing w:line="400" w:lineRule="exact"/>
        <w:rPr>
          <w:rFonts w:ascii="宋体" w:hAnsi="宋体"/>
          <w:color w:val="000000"/>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1.1 合同当事人</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1.2 本合同下列术语应解释为：</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6"/>
        </w:numPr>
        <w:jc w:val="left"/>
        <w:spacing w:line="400" w:lineRule="exact"/>
        <w:rPr>
          <w:rFonts w:ascii="宋体" w:hAnsi="宋体"/>
          <w:b/>
          <w:bCs/>
          <w:color w:val="000000"/>
          <w:sz w:val="24"/>
        </w:rPr>
        <w:pBdr>
          <w:top w:val="none" w:color="auto" w:sz="0" w:space="1"/>
          <w:left w:val="none" w:color="auto" w:sz="0" w:space="4"/>
          <w:bottom w:val="none" w:color="auto" w:sz="0" w:space="1"/>
          <w:right w:val="none" w:color="auto" w:sz="0" w:space="4"/>
        </w:pBd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rPr>
        <w:pBdr>
          <w:top w:val="none" w:color="auto" w:sz="0" w:space="1"/>
          <w:left w:val="none" w:color="auto" w:sz="0" w:space="4"/>
          <w:bottom w:val="none" w:color="auto" w:sz="0" w:space="1"/>
          <w:right w:val="none" w:color="auto" w:sz="0" w:space="4"/>
        </w:pBd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rPr>
        <w:pBdr>
          <w:top w:val="none" w:color="auto" w:sz="0" w:space="1"/>
          <w:left w:val="none" w:color="auto" w:sz="0" w:space="4"/>
          <w:bottom w:val="none" w:color="auto" w:sz="0" w:space="1"/>
          <w:right w:val="none" w:color="auto" w:sz="0" w:space="4"/>
        </w:pBd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4.1 </w:t>
      </w:r>
      <w:r>
        <w:rPr>
          <w:rFonts w:ascii="宋体" w:hAnsi="宋体"/>
          <w:color w:val="000000"/>
          <w:szCs w:val="21"/>
        </w:rPr>
        <w:t xml:space="preserve">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ascii="宋体" w:hAnsi="宋体"/>
          <w:color w:val="000000"/>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ascii="宋体" w:hAnsi="宋体"/>
          <w:color w:val="000000"/>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4.</w:t>
      </w:r>
      <w:r>
        <w:rPr>
          <w:rFonts w:ascii="宋体" w:hAnsi="宋体"/>
          <w:color w:val="000000"/>
          <w:szCs w:val="21"/>
        </w:rPr>
        <w:t xml:space="preserve">3甲方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Bdr>
          <w:top w:val="none" w:color="auto" w:sz="0" w:space="1"/>
          <w:left w:val="none" w:color="auto" w:sz="0" w:space="4"/>
          <w:bottom w:val="none" w:color="auto" w:sz="0" w:space="1"/>
          <w:right w:val="none" w:color="auto" w:sz="0" w:space="4"/>
        </w:pBdr>
      </w:pPr>
      <w:r>
        <w:rPr>
          <w:rFonts w:ascii="宋体" w:hAnsi="宋体"/>
          <w:color w:val="000000"/>
          <w:szCs w:val="21"/>
        </w:rPr>
        <w:t xml:space="preserve">4.4甲方应当按照合同约定及时对交付的货物进行验收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Bdr>
          <w:top w:val="none" w:color="auto" w:sz="0" w:space="1"/>
          <w:left w:val="none" w:color="auto" w:sz="0" w:space="4"/>
          <w:bottom w:val="none" w:color="auto" w:sz="0" w:space="1"/>
          <w:right w:val="none" w:color="auto" w:sz="0" w:space="4"/>
        </w:pBd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 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ascii="宋体" w:hAnsi="宋体"/>
          <w:color w:val="000000"/>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rPr>
        <w:pBdr>
          <w:top w:val="none" w:color="auto" w:sz="0" w:space="1"/>
          <w:left w:val="none" w:color="auto" w:sz="0" w:space="4"/>
          <w:bottom w:val="none" w:color="auto" w:sz="0" w:space="1"/>
          <w:right w:val="none" w:color="auto" w:sz="0" w:space="4"/>
        </w:pBd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ascii="宋体" w:hAnsi="宋体"/>
          <w:color w:val="000000"/>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5.</w:t>
      </w:r>
      <w:r>
        <w:rPr>
          <w:rFonts w:ascii="宋体" w:hAnsi="宋体"/>
          <w:color w:val="000000"/>
          <w:szCs w:val="21"/>
        </w:rPr>
        <w:t xml:space="preserve">2乙方应按照合同要求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pStyle w:val="948"/>
        <w:ind w:firstLine="369"/>
        <w:spacing w:after="0" w:line="400" w:lineRule="exact"/>
        <w:rPr>
          <w:rFonts w:ascii="宋体" w:hAnsi="宋体" w:cs="宋体"/>
          <w:color w:val="000000"/>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 乙方有权</w:t>
      </w:r>
      <w:r>
        <w:rPr>
          <w:rFonts w:hint="eastAsia" w:ascii="宋体" w:hAnsi="宋体" w:cs="宋体"/>
          <w:color w:val="000000"/>
          <w:szCs w:val="21"/>
        </w:rPr>
        <w:t xml:space="preserve">根据合同约定向甲方收取合同价款。</w:t>
      </w:r>
      <w:r/>
    </w:p>
    <w:p>
      <w:pPr>
        <w:pStyle w:val="948"/>
        <w:ind w:firstLine="369"/>
        <w:spacing w:after="0" w:line="400" w:lineRule="exact"/>
        <w:rPr>
          <w:rFonts w:ascii="宋体" w:hAnsi="宋体" w:cs="宋体"/>
          <w:color w:val="000000"/>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s="宋体"/>
          <w:color w:val="000000"/>
          <w:szCs w:val="21"/>
        </w:rPr>
        <w:t xml:space="preserve">国家法律法规规定</w:t>
      </w:r>
      <w:r>
        <w:rPr>
          <w:rFonts w:hint="eastAsia" w:ascii="宋体" w:hAnsi="宋体"/>
          <w:color w:val="000000"/>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szCs w:val="21"/>
        </w:rPr>
        <w:t xml:space="preserve">由乙方承担的其他义务和责任。</w:t>
      </w:r>
      <w:r/>
    </w:p>
    <w:p>
      <w:pPr>
        <w:numPr>
          <w:ilvl w:val="0"/>
          <w:numId w:val="7"/>
        </w:numPr>
        <w:jc w:val="left"/>
        <w:spacing w:line="400" w:lineRule="exact"/>
        <w:rPr>
          <w:rFonts w:ascii="宋体" w:hAnsi="宋体"/>
          <w:b/>
          <w:bCs/>
          <w:color w:val="000000"/>
          <w:sz w:val="24"/>
        </w:rPr>
        <w:pBdr>
          <w:top w:val="none" w:color="auto" w:sz="0" w:space="1"/>
          <w:left w:val="none" w:color="auto" w:sz="0" w:space="4"/>
          <w:bottom w:val="none" w:color="auto" w:sz="0" w:space="1"/>
          <w:right w:val="none" w:color="auto" w:sz="0" w:space="4"/>
        </w:pBdr>
      </w:pPr>
      <w:r>
        <w:rPr>
          <w:rFonts w:hint="eastAsia" w:ascii="宋体" w:hAnsi="宋体"/>
          <w:b/>
          <w:bCs/>
          <w:color w:val="000000"/>
          <w:sz w:val="24"/>
        </w:rPr>
        <w:t xml:space="preserve">合同履行</w:t>
      </w:r>
      <w:r/>
    </w:p>
    <w:p>
      <w:pPr>
        <w:ind w:firstLine="420"/>
        <w:jc w:val="left"/>
        <w:spacing w:line="400" w:lineRule="exact"/>
        <w:rPr>
          <w:rFonts w:ascii="宋体" w:hAnsi="宋体"/>
          <w:color w:val="000000"/>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Bdr>
          <w:top w:val="none" w:color="auto" w:sz="0" w:space="1"/>
          <w:left w:val="none" w:color="auto" w:sz="0" w:space="4"/>
          <w:bottom w:val="none" w:color="auto" w:sz="0" w:space="1"/>
          <w:right w:val="none" w:color="auto" w:sz="0" w:space="4"/>
        </w:pBd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967"/>
        <w:ind w:firstLine="420"/>
        <w:rPr>
          <w:sz w:val="21"/>
        </w:rPr>
        <w:pBdr>
          <w:top w:val="none" w:color="auto" w:sz="0" w:space="1"/>
          <w:left w:val="none" w:color="auto" w:sz="0" w:space="4"/>
          <w:bottom w:val="none" w:color="auto" w:sz="0" w:space="1"/>
          <w:right w:val="none" w:color="auto" w:sz="0" w:space="4"/>
        </w:pBd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Bdr>
          <w:top w:val="none" w:color="auto" w:sz="0" w:space="1"/>
          <w:left w:val="none" w:color="auto" w:sz="0" w:space="4"/>
          <w:bottom w:val="none" w:color="auto" w:sz="0" w:space="1"/>
          <w:right w:val="none" w:color="auto" w:sz="0" w:space="4"/>
        </w:pBdr>
      </w:pPr>
      <w:r>
        <w:rPr>
          <w:rFonts w:hint="eastAsia" w:ascii="宋体" w:hAnsi="宋体"/>
          <w:b/>
          <w:color w:val="000000"/>
          <w:sz w:val="24"/>
        </w:rPr>
        <w:t xml:space="preserve">8. </w:t>
      </w:r>
      <w:r>
        <w:rPr>
          <w:rFonts w:hint="eastAsia" w:ascii="宋体" w:hAnsi="宋体"/>
          <w:b/>
          <w:sz w:val="24"/>
        </w:rPr>
        <w:t xml:space="preserve">质量标准和保证</w:t>
      </w:r>
      <w:r/>
    </w:p>
    <w:p>
      <w:pPr>
        <w:pStyle w:val="952"/>
        <w:ind w:firstLine="420"/>
        <w:jc w:val="left"/>
        <w:spacing w:line="400" w:lineRule="exact"/>
        <w:rPr>
          <w:rFonts w:hAnsi="宋体"/>
          <w:b/>
        </w:rPr>
        <w:pBdr>
          <w:top w:val="none" w:color="auto" w:sz="0" w:space="1"/>
          <w:left w:val="none" w:color="auto" w:sz="0" w:space="4"/>
          <w:bottom w:val="none" w:color="auto" w:sz="0" w:space="1"/>
          <w:right w:val="none" w:color="auto" w:sz="0" w:space="4"/>
        </w:pBdr>
      </w:pPr>
      <w:r>
        <w:rPr>
          <w:rFonts w:hint="eastAsia" w:hAnsi="宋体"/>
        </w:rPr>
        <w:t xml:space="preserve">8.1 质量标准</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52"/>
        <w:ind w:firstLine="420"/>
        <w:jc w:val="left"/>
        <w:spacing w:line="400" w:lineRule="exact"/>
        <w:rPr>
          <w:rFonts w:hAnsi="宋体"/>
        </w:rPr>
        <w:pBdr>
          <w:top w:val="none" w:color="auto" w:sz="0" w:space="1"/>
          <w:left w:val="none" w:color="auto" w:sz="0" w:space="4"/>
          <w:bottom w:val="none" w:color="auto" w:sz="0" w:space="1"/>
          <w:right w:val="none" w:color="auto" w:sz="0" w:space="4"/>
        </w:pBdr>
      </w:pPr>
      <w:r>
        <w:rPr>
          <w:rFonts w:hint="eastAsia" w:hAnsi="宋体"/>
        </w:rPr>
        <w:t xml:space="preserve">（2）采用中华人民共和国法定计量单位。</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8.2 保证</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pBdr>
          <w:top w:val="none" w:color="auto" w:sz="0" w:space="1"/>
          <w:left w:val="none" w:color="auto" w:sz="0" w:space="4"/>
          <w:bottom w:val="none" w:color="auto" w:sz="0" w:space="1"/>
          <w:right w:val="none" w:color="auto" w:sz="0" w:space="4"/>
        </w:pBdr>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Bdr>
          <w:top w:val="none" w:color="auto" w:sz="0" w:space="1"/>
          <w:left w:val="none" w:color="auto" w:sz="0" w:space="4"/>
          <w:bottom w:val="none" w:color="auto" w:sz="0" w:space="1"/>
          <w:right w:val="none" w:color="auto" w:sz="0" w:space="4"/>
        </w:pBdr>
      </w:pPr>
      <w:r>
        <w:rPr>
          <w:rFonts w:hint="eastAsia" w:ascii="宋体" w:hAnsi="宋体"/>
          <w:b/>
          <w:bCs/>
          <w:color w:val="000000"/>
          <w:sz w:val="24"/>
        </w:rPr>
        <w:t xml:space="preserve">9</w:t>
      </w:r>
      <w:r>
        <w:rPr>
          <w:rFonts w:hint="eastAsia" w:ascii="宋体" w:hAnsi="宋体"/>
          <w:b/>
          <w:bCs/>
          <w:sz w:val="24"/>
        </w:rPr>
        <w:t xml:space="preserve">.权利瑕疵担保</w:t>
      </w:r>
      <w:r/>
    </w:p>
    <w:p>
      <w:pPr>
        <w:ind w:firstLine="420"/>
        <w:jc w:val="left"/>
        <w:spacing w:line="400" w:lineRule="exact"/>
        <w:rPr>
          <w:rFonts w:ascii="宋体" w:hAnsi="宋体"/>
          <w:color w:val="000000"/>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rPr>
        <w:pBdr>
          <w:top w:val="none" w:color="auto" w:sz="0" w:space="1"/>
          <w:left w:val="none" w:color="auto" w:sz="0" w:space="4"/>
          <w:bottom w:val="none" w:color="auto" w:sz="0" w:space="1"/>
          <w:right w:val="none" w:color="auto" w:sz="0" w:space="4"/>
        </w:pBdr>
      </w:pPr>
      <w:r>
        <w:rPr>
          <w:rFonts w:hint="eastAsia" w:ascii="宋体" w:hAnsi="宋体"/>
          <w:b/>
          <w:bCs/>
          <w:color w:val="000000"/>
          <w:sz w:val="24"/>
        </w:rPr>
        <w:t xml:space="preserve">10.知识产权保护</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6"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Cs w:val="21"/>
        </w:rPr>
        <w:t xml:space="preserve">。</w:t>
      </w:r>
      <w:r/>
    </w:p>
    <w:p>
      <w:pPr>
        <w:jc w:val="left"/>
        <w:spacing w:line="400" w:lineRule="exact"/>
        <w:rPr>
          <w:rFonts w:ascii="宋体" w:hAnsi="宋体"/>
          <w:b/>
          <w:bCs/>
          <w:sz w:val="24"/>
        </w:rPr>
        <w:pBdr>
          <w:top w:val="none" w:color="auto" w:sz="0" w:space="1"/>
          <w:left w:val="none" w:color="auto" w:sz="0" w:space="4"/>
          <w:bottom w:val="none" w:color="auto" w:sz="0" w:space="1"/>
          <w:right w:val="none" w:color="auto" w:sz="0" w:space="4"/>
        </w:pBdr>
      </w:pPr>
      <w:r>
        <w:rPr>
          <w:rFonts w:hint="eastAsia" w:ascii="宋体" w:hAnsi="宋体"/>
          <w:b/>
          <w:bCs/>
          <w:sz w:val="24"/>
        </w:rPr>
        <w:t xml:space="preserve">11.保密义务</w:t>
      </w:r>
      <w:r/>
    </w:p>
    <w:p>
      <w:pPr>
        <w:ind w:firstLine="420"/>
        <w:jc w:val="left"/>
        <w:spacing w:line="400" w:lineRule="exact"/>
        <w:rPr>
          <w:rFonts w:ascii="宋体" w:hAnsi="宋体" w:cs="宋体"/>
          <w:szCs w:val="15"/>
        </w:rPr>
        <w:pBdr>
          <w:top w:val="none" w:color="auto" w:sz="0" w:space="1"/>
          <w:left w:val="none" w:color="auto" w:sz="0" w:space="4"/>
          <w:bottom w:val="none" w:color="auto" w:sz="0" w:space="1"/>
          <w:right w:val="none" w:color="auto" w:sz="0" w:space="4"/>
        </w:pBd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Bdr>
          <w:top w:val="none" w:color="auto" w:sz="0" w:space="1"/>
          <w:left w:val="none" w:color="auto" w:sz="0" w:space="4"/>
          <w:bottom w:val="none" w:color="auto" w:sz="0" w:space="1"/>
          <w:right w:val="none" w:color="auto" w:sz="0" w:space="4"/>
        </w:pBdr>
      </w:pPr>
      <w:r>
        <w:rPr>
          <w:rFonts w:hint="eastAsia" w:ascii="宋体" w:hAnsi="宋体"/>
          <w:b/>
          <w:bCs/>
          <w:sz w:val="24"/>
        </w:rPr>
        <w:t xml:space="preserve">12.合同价款支付</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948"/>
        <w:spacing w:after="0" w:line="400" w:lineRule="exact"/>
        <w:rPr>
          <w:rFonts w:ascii="宋体" w:hAnsi="宋体"/>
          <w:b/>
          <w:bCs/>
          <w:sz w:val="24"/>
          <w:szCs w:val="24"/>
        </w:rPr>
        <w:pBdr>
          <w:top w:val="none" w:color="auto" w:sz="0" w:space="1"/>
          <w:left w:val="none" w:color="auto" w:sz="0" w:space="4"/>
          <w:bottom w:val="none" w:color="auto" w:sz="0" w:space="1"/>
          <w:right w:val="none" w:color="auto" w:sz="0" w:space="4"/>
        </w:pBdr>
      </w:pPr>
      <w:r>
        <w:rPr>
          <w:rFonts w:hint="eastAsia" w:ascii="宋体" w:hAnsi="宋体"/>
          <w:b/>
          <w:bCs/>
          <w:sz w:val="24"/>
          <w:szCs w:val="24"/>
        </w:rPr>
        <w:t xml:space="preserve">13.履约保证金</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Bdr>
          <w:top w:val="none" w:color="auto" w:sz="0" w:space="1"/>
          <w:left w:val="none" w:color="auto" w:sz="0" w:space="4"/>
          <w:bottom w:val="none" w:color="auto" w:sz="0" w:space="1"/>
          <w:right w:val="none" w:color="auto" w:sz="0" w:space="4"/>
        </w:pBdr>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Bdr>
          <w:top w:val="none" w:color="auto" w:sz="0" w:space="1"/>
          <w:left w:val="none" w:color="auto" w:sz="0" w:space="4"/>
          <w:bottom w:val="none" w:color="auto" w:sz="0" w:space="1"/>
          <w:right w:val="none" w:color="auto" w:sz="0" w:space="4"/>
        </w:pBdr>
      </w:pPr>
      <w:r>
        <w:rPr>
          <w:rFonts w:hint="eastAsia" w:ascii="宋体" w:hAnsi="宋体"/>
          <w:b/>
          <w:bCs/>
          <w:sz w:val="24"/>
        </w:rPr>
        <w:t xml:space="preserve">14.</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967"/>
        <w:ind w:firstLine="420"/>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Bdr>
          <w:top w:val="none" w:color="auto" w:sz="0" w:space="1"/>
          <w:left w:val="none" w:color="auto" w:sz="0" w:space="4"/>
          <w:bottom w:val="none" w:color="auto" w:sz="0" w:space="1"/>
          <w:right w:val="none" w:color="auto" w:sz="0" w:space="4"/>
        </w:pBdr>
      </w:pPr>
      <w:r>
        <w:rPr>
          <w:rFonts w:hint="eastAsia" w:ascii="宋体" w:hAnsi="宋体"/>
          <w:b/>
          <w:bCs/>
          <w:sz w:val="24"/>
        </w:rPr>
        <w:t xml:space="preserve">15.违约责任</w:t>
      </w:r>
      <w:r/>
    </w:p>
    <w:p>
      <w:pPr>
        <w:ind w:firstLine="420"/>
        <w:jc w:val="left"/>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15.1 质量瑕疵的违约责任</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15.3 迟延支付的违约责任</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15.4 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8"/>
        </w:numPr>
        <w:jc w:val="left"/>
        <w:spacing w:line="400" w:lineRule="exact"/>
        <w:rPr>
          <w:rFonts w:ascii="宋体" w:hAnsi="宋体"/>
          <w:b/>
          <w:sz w:val="24"/>
        </w:rPr>
        <w:pBdr>
          <w:top w:val="none" w:color="auto" w:sz="0" w:space="1"/>
          <w:left w:val="none" w:color="auto" w:sz="0" w:space="4"/>
          <w:bottom w:val="none" w:color="auto" w:sz="0" w:space="1"/>
          <w:right w:val="none" w:color="auto" w:sz="0" w:space="4"/>
        </w:pBdr>
      </w:pPr>
      <w:r>
        <w:rPr>
          <w:rFonts w:hint="eastAsia" w:ascii="宋体" w:hAnsi="宋体"/>
          <w:b/>
          <w:sz w:val="24"/>
        </w:rPr>
        <w:t xml:space="preserve">合同变更、中止与终止</w:t>
      </w:r>
      <w:r/>
    </w:p>
    <w:p>
      <w:pPr>
        <w:ind w:firstLine="420"/>
        <w:jc w:val="left"/>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16.1 合同的变更</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16.2 合同的中止</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67"/>
        <w:ind w:firstLine="420"/>
        <w:jc w:val="both"/>
        <w:rPr>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Bdr>
          <w:top w:val="none" w:color="auto" w:sz="0" w:space="1"/>
          <w:left w:val="none" w:color="auto" w:sz="0" w:space="4"/>
          <w:bottom w:val="none" w:color="auto" w:sz="0" w:space="1"/>
          <w:right w:val="none" w:color="auto" w:sz="0" w:space="4"/>
        </w:pBdr>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16.3 合同的终止</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（1）合同因有效期限届满而终止；</w:t>
      </w:r>
      <w:r/>
    </w:p>
    <w:p>
      <w:pPr>
        <w:ind w:firstLine="420"/>
        <w:spacing w:line="400" w:lineRule="exact"/>
        <w:rPr>
          <w:rFonts w:ascii="宋体" w:hAnsi="宋体" w:cs="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967"/>
        <w:rPr>
          <w:rFonts w:ascii="宋体" w:hAnsi="宋体"/>
        </w:rPr>
        <w:pBdr>
          <w:top w:val="none" w:color="auto" w:sz="0" w:space="1"/>
          <w:left w:val="none" w:color="auto" w:sz="0" w:space="4"/>
          <w:bottom w:val="none" w:color="auto" w:sz="0" w:space="1"/>
          <w:right w:val="none" w:color="auto" w:sz="0" w:space="4"/>
        </w:pBd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967"/>
        <w:ind w:firstLine="420"/>
        <w:jc w:val="both"/>
        <w:rPr>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Bdr>
          <w:top w:val="none" w:color="auto" w:sz="0" w:space="1"/>
          <w:left w:val="none" w:color="auto" w:sz="0" w:space="4"/>
          <w:bottom w:val="none" w:color="auto" w:sz="0" w:space="1"/>
          <w:right w:val="none" w:color="auto" w:sz="0" w:space="4"/>
        </w:pBdr>
      </w:pPr>
      <w:r>
        <w:rPr>
          <w:rFonts w:hint="eastAsia" w:ascii="宋体" w:hAnsi="宋体"/>
          <w:b/>
          <w:bCs/>
          <w:sz w:val="24"/>
        </w:rPr>
        <w:t xml:space="preserve">17.合同分包</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Bdr>
          <w:top w:val="none" w:color="auto" w:sz="0" w:space="1"/>
          <w:left w:val="none" w:color="auto" w:sz="0" w:space="4"/>
          <w:bottom w:val="none" w:color="auto" w:sz="0" w:space="1"/>
          <w:right w:val="none" w:color="auto" w:sz="0" w:space="4"/>
        </w:pBdr>
      </w:pPr>
      <w:r>
        <w:rPr>
          <w:rFonts w:hint="eastAsia" w:ascii="宋体" w:hAnsi="宋体"/>
          <w:b/>
          <w:bCs/>
          <w:sz w:val="24"/>
        </w:rPr>
        <w:t xml:space="preserve">18.不可抗力</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Bdr>
          <w:top w:val="none" w:color="auto" w:sz="0" w:space="1"/>
          <w:left w:val="none" w:color="auto" w:sz="0" w:space="4"/>
          <w:bottom w:val="none" w:color="auto" w:sz="0" w:space="1"/>
          <w:right w:val="none" w:color="auto" w:sz="0" w:space="4"/>
        </w:pBdr>
      </w:pPr>
      <w:r>
        <w:rPr>
          <w:rFonts w:hint="eastAsia" w:ascii="宋体" w:hAnsi="宋体"/>
          <w:b/>
          <w:bCs/>
          <w:sz w:val="24"/>
        </w:rPr>
        <w:t xml:space="preserve">19.解决争议的方法</w:t>
      </w:r>
      <w:r/>
    </w:p>
    <w:p>
      <w:pPr>
        <w:pStyle w:val="967"/>
        <w:ind w:firstLine="420"/>
        <w:jc w:val="both"/>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67"/>
        <w:ind w:firstLine="420"/>
        <w:jc w:val="both"/>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67"/>
        <w:ind w:firstLine="420"/>
        <w:jc w:val="both"/>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Bdr>
          <w:top w:val="none" w:color="auto" w:sz="0" w:space="1"/>
          <w:left w:val="none" w:color="auto" w:sz="0" w:space="4"/>
          <w:bottom w:val="none" w:color="auto" w:sz="0" w:space="1"/>
          <w:right w:val="none" w:color="auto" w:sz="0" w:space="4"/>
        </w:pBdr>
      </w:pPr>
      <w:r>
        <w:rPr>
          <w:rFonts w:hint="eastAsia" w:ascii="宋体" w:hAnsi="宋体"/>
          <w:b/>
          <w:sz w:val="24"/>
        </w:rPr>
        <w:t xml:space="preserve">20.政府采购政策</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948"/>
        <w:ind w:firstLine="420"/>
        <w:spacing w:after="0" w:line="400" w:lineRule="exact"/>
        <w:pBdr>
          <w:top w:val="none" w:color="auto" w:sz="0" w:space="1"/>
          <w:left w:val="none" w:color="auto" w:sz="0" w:space="4"/>
          <w:bottom w:val="none" w:color="auto" w:sz="0" w:space="1"/>
          <w:right w:val="none" w:color="auto" w:sz="0" w:space="4"/>
        </w:pBd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Bdr>
          <w:top w:val="none" w:color="auto" w:sz="0" w:space="1"/>
          <w:left w:val="none" w:color="auto" w:sz="0" w:space="4"/>
          <w:bottom w:val="none" w:color="auto" w:sz="0" w:space="1"/>
          <w:right w:val="none" w:color="auto" w:sz="0" w:space="4"/>
        </w:pBdr>
      </w:pPr>
      <w:r>
        <w:rPr>
          <w:rFonts w:hint="eastAsia" w:ascii="宋体" w:hAnsi="宋体"/>
          <w:b/>
          <w:sz w:val="24"/>
        </w:rPr>
        <w:t xml:space="preserve">21.法律适用</w:t>
      </w:r>
      <w:r/>
    </w:p>
    <w:p>
      <w:pPr>
        <w:pStyle w:val="967"/>
        <w:ind w:firstLine="420"/>
        <w:jc w:val="both"/>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21.1 本合同的订立、生效、解释、履行及与本合同有关的争议解决，均适用法律、行政法规。</w:t>
      </w:r>
      <w:r/>
    </w:p>
    <w:p>
      <w:pPr>
        <w:pStyle w:val="967"/>
        <w:ind w:firstLine="420"/>
        <w:jc w:val="both"/>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Bdr>
          <w:top w:val="none" w:color="auto" w:sz="0" w:space="1"/>
          <w:left w:val="none" w:color="auto" w:sz="0" w:space="4"/>
          <w:bottom w:val="none" w:color="auto" w:sz="0" w:space="1"/>
          <w:right w:val="none" w:color="auto" w:sz="0" w:space="4"/>
        </w:pBdr>
      </w:pPr>
      <w:r>
        <w:rPr>
          <w:rFonts w:hint="eastAsia" w:ascii="宋体" w:hAnsi="宋体"/>
          <w:b/>
          <w:sz w:val="24"/>
        </w:rPr>
        <w:t xml:space="preserve">22. 通知</w:t>
      </w:r>
      <w:r/>
    </w:p>
    <w:p>
      <w:pPr>
        <w:pStyle w:val="967"/>
        <w:ind w:firstLine="420"/>
        <w:jc w:val="both"/>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967"/>
        <w:ind w:firstLine="420"/>
        <w:jc w:val="both"/>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22.3 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22.4 通知以送达之日或通知书中规定的生效之日起生效，两者中以较迟之日为准。</w:t>
      </w:r>
      <w:r/>
    </w:p>
    <w:p>
      <w:pPr>
        <w:numPr>
          <w:ilvl w:val="0"/>
          <w:numId w:val="9"/>
        </w:numPr>
        <w:jc w:val="left"/>
        <w:spacing w:line="400" w:lineRule="exact"/>
        <w:rPr>
          <w:rFonts w:ascii="宋体" w:hAnsi="宋体"/>
          <w:b/>
          <w:bCs/>
          <w:sz w:val="24"/>
        </w:rPr>
        <w:pBdr>
          <w:top w:val="none" w:color="auto" w:sz="0" w:space="1"/>
          <w:left w:val="none" w:color="auto" w:sz="0" w:space="4"/>
          <w:bottom w:val="none" w:color="auto" w:sz="0" w:space="1"/>
          <w:right w:val="none" w:color="auto" w:sz="0" w:space="4"/>
        </w:pBdr>
      </w:pPr>
      <w:r>
        <w:rPr>
          <w:rFonts w:hint="eastAsia" w:ascii="宋体" w:hAnsi="宋体"/>
          <w:b/>
          <w:bCs/>
          <w:sz w:val="24"/>
        </w:rPr>
        <w:t xml:space="preserve">合同未尽事项</w:t>
      </w:r>
      <w:r/>
    </w:p>
    <w:p>
      <w:pPr>
        <w:ind w:firstLine="420"/>
        <w:jc w:val="left"/>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23.1 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Bdr>
          <w:top w:val="none" w:color="auto" w:sz="0" w:space="1"/>
          <w:left w:val="none" w:color="auto" w:sz="0" w:space="4"/>
          <w:bottom w:val="none" w:color="auto" w:sz="0" w:space="1"/>
          <w:right w:val="none" w:color="auto" w:sz="0" w:space="4"/>
        </w:pBdr>
      </w:pPr>
      <w:r>
        <w:rPr>
          <w:rFonts w:hint="eastAsia" w:ascii="宋体" w:hAnsi="宋体"/>
          <w:bCs/>
          <w:szCs w:val="21"/>
        </w:rPr>
        <w:t xml:space="preserve">    23.2 合同附件与合同正文具有同等的法律效力。</w:t>
      </w:r>
      <w:bookmarkStart w:id="7" w:name="_Toc20313"/>
      <w:r/>
      <w:r/>
    </w:p>
    <w:p>
      <w:pPr>
        <w:jc w:val="center"/>
        <w:rPr>
          <w:rFonts w:ascii="黑体" w:hAnsi="华文中宋" w:eastAsia="黑体"/>
          <w:sz w:val="28"/>
          <w:szCs w:val="28"/>
        </w:rPr>
        <w:pBdr>
          <w:top w:val="none" w:color="auto" w:sz="0" w:space="1"/>
          <w:left w:val="none" w:color="auto" w:sz="0" w:space="4"/>
          <w:bottom w:val="none" w:color="auto" w:sz="0" w:space="1"/>
          <w:right w:val="none" w:color="auto" w:sz="0" w:space="4"/>
        </w:pBdr>
      </w:pPr>
      <w:r>
        <w:rPr>
          <w:rFonts w:hint="eastAsia" w:ascii="黑体" w:hAnsi="华文中宋" w:eastAsia="黑体"/>
          <w:sz w:val="28"/>
          <w:szCs w:val="28"/>
        </w:rPr>
        <w:br w:type="page" w:clear="all"/>
      </w:r>
      <w:r/>
    </w:p>
    <w:p>
      <w:pPr>
        <w:pStyle w:val="936"/>
        <w:jc w:val="center"/>
        <w:spacing w:line="400" w:lineRule="exact"/>
        <w:rPr>
          <w:rFonts w:ascii="黑体" w:hAnsi="华文中宋" w:eastAsia="黑体"/>
          <w:b w:val="0"/>
          <w:bCs w:val="0"/>
          <w:sz w:val="28"/>
          <w:szCs w:val="28"/>
        </w:rPr>
        <w:pBdr>
          <w:top w:val="none" w:color="auto" w:sz="0" w:space="1"/>
          <w:left w:val="none" w:color="auto" w:sz="0" w:space="4"/>
          <w:bottom w:val="none" w:color="auto" w:sz="0" w:space="1"/>
          <w:right w:val="none" w:color="auto" w:sz="0" w:space="4"/>
        </w:pBdr>
      </w:pPr>
      <w:r>
        <w:rPr>
          <w:rFonts w:hint="eastAsia" w:ascii="黑体" w:hAnsi="华文中宋" w:eastAsia="黑体"/>
          <w:b w:val="0"/>
          <w:bCs w:val="0"/>
          <w:sz w:val="28"/>
          <w:szCs w:val="28"/>
        </w:rPr>
        <w:t xml:space="preserve">第三节 政府采购合同专用条款</w:t>
      </w:r>
      <w:bookmarkEnd w:id="7"/>
      <w:r/>
      <w:r/>
    </w:p>
    <w:tbl>
      <w:tblPr>
        <w:tblStyle w:val="736"/>
        <w:tblW w:w="85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第1.2（6）项</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联合体具体要求</w:t>
            </w:r>
            <w:r/>
          </w:p>
        </w:tc>
        <w:tc>
          <w:tcPr>
            <w:shd w:val="clear" w:color="auto" w:fill="auto"/>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无</w:t>
            </w:r>
            <w:r/>
          </w:p>
        </w:tc>
      </w:tr>
      <w:tr>
        <w:trPr>
          <w:jc w:val="center"/>
          <w:trHeight w:val="604"/>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第1.2（7）项</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其他术语解释</w:t>
            </w:r>
            <w:r/>
          </w:p>
        </w:tc>
        <w:tc>
          <w:tcPr>
            <w:shd w:val="clear" w:color="auto" w:fill="auto"/>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无</w:t>
            </w:r>
            <w:r/>
          </w:p>
        </w:tc>
      </w:tr>
      <w:tr>
        <w:trPr>
          <w:jc w:val="center"/>
          <w:trHeight w:val="73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第4.4款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履约验收中甲方提出异议或作出说明的期限</w:t>
            </w:r>
            <w:r/>
          </w:p>
        </w:tc>
        <w:tc>
          <w:tcPr>
            <w:shd w:val="clear" w:color="auto" w:fill="auto"/>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合同货物安装调试完毕后七日内。</w:t>
            </w:r>
            <w:r/>
          </w:p>
        </w:tc>
      </w:tr>
      <w:tr>
        <w:trPr>
          <w:jc w:val="center"/>
          <w:trHeight w:val="73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第4.6款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约定甲方承担的其他义务和责任</w:t>
            </w:r>
            <w:r/>
          </w:p>
        </w:tc>
        <w:tc>
          <w:tcPr>
            <w:shd w:val="clear" w:color="auto" w:fill="auto"/>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无</w:t>
            </w:r>
            <w:r/>
          </w:p>
        </w:tc>
      </w:tr>
      <w:tr>
        <w:trPr>
          <w:jc w:val="center"/>
          <w:trHeight w:val="73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pBdr>
                <w:top w:val="none" w:color="auto" w:sz="0" w:space="1"/>
                <w:left w:val="none" w:color="auto" w:sz="0" w:space="4"/>
                <w:bottom w:val="none" w:color="auto" w:sz="0" w:space="1"/>
                <w:right w:val="none" w:color="auto" w:sz="0" w:space="4"/>
              </w:pBdr>
            </w:pPr>
            <w:r>
              <w:rPr>
                <w:rFonts w:hint="eastAsia" w:ascii="宋体" w:hAnsi="宋体"/>
                <w:szCs w:val="21"/>
              </w:rPr>
              <w:t xml:space="preserve">第5.4款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约定乙方承担的其他义务和责任</w:t>
            </w:r>
            <w:r/>
          </w:p>
        </w:tc>
        <w:tc>
          <w:tcPr>
            <w:shd w:val="clear" w:color="auto" w:fill="auto"/>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无</w:t>
            </w:r>
            <w:r/>
          </w:p>
        </w:tc>
      </w:tr>
      <w:tr>
        <w:trPr>
          <w:jc w:val="center"/>
          <w:trHeight w:val="73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第6.1款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履行合同义务的顺序</w:t>
            </w:r>
            <w:r/>
          </w:p>
        </w:tc>
        <w:tc>
          <w:tcPr>
            <w:shd w:val="clear" w:color="auto" w:fill="auto"/>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无</w:t>
            </w:r>
            <w:r/>
          </w:p>
        </w:tc>
      </w:tr>
      <w:tr>
        <w:trPr>
          <w:jc w:val="center"/>
          <w:trHeight w:val="667"/>
        </w:trPr>
        <w:tc>
          <w:tcPr>
            <w:tcW w:w="1607" w:type="dxa"/>
            <w:vAlign w:val="center"/>
            <w:vMerge w:val="restart"/>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第7.1款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包装特殊要求</w:t>
            </w:r>
            <w:r/>
          </w:p>
        </w:tc>
        <w:tc>
          <w:tcPr>
            <w:shd w:val="clear" w:color="auto" w:fill="auto"/>
            <w:tcW w:w="5170" w:type="dxa"/>
            <w:vAlign w:val="center"/>
            <w:textDirection w:val="lrTb"/>
            <w:noWrap w:val="false"/>
          </w:tcPr>
          <w:p>
            <w:pPr>
              <w:jc w:val="center"/>
              <w:pBdr>
                <w:top w:val="none" w:color="auto" w:sz="0" w:space="1"/>
                <w:left w:val="none" w:color="auto" w:sz="0" w:space="4"/>
                <w:bottom w:val="none" w:color="auto" w:sz="0" w:space="1"/>
                <w:right w:val="none" w:color="auto" w:sz="0" w:space="4"/>
              </w:pBdr>
            </w:pPr>
            <w:r>
              <w:rPr>
                <w:rFonts w:hint="eastAsia"/>
              </w:rPr>
              <w:t xml:space="preserve">无</w:t>
            </w:r>
            <w:r/>
          </w:p>
        </w:tc>
      </w:tr>
      <w:tr>
        <w:trPr>
          <w:jc w:val="center"/>
          <w:trHeight w:val="667"/>
        </w:trPr>
        <w:tc>
          <w:tcPr>
            <w:tcW w:w="1607" w:type="dxa"/>
            <w:vAlign w:val="center"/>
            <w:vMerge w:val="continue"/>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ascii="宋体" w:hAnsi="宋体"/>
                <w:szCs w:val="21"/>
              </w:rPr>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指定现场</w:t>
            </w:r>
            <w:r/>
          </w:p>
        </w:tc>
        <w:tc>
          <w:tcPr>
            <w:shd w:val="clear" w:color="auto" w:fill="auto"/>
            <w:tcW w:w="5170" w:type="dxa"/>
            <w:vAlign w:val="center"/>
            <w:textDirection w:val="lrTb"/>
            <w:noWrap w:val="false"/>
          </w:tcPr>
          <w:p>
            <w:pPr>
              <w:jc w:val="center"/>
              <w:pBdr>
                <w:top w:val="none" w:color="auto" w:sz="0" w:space="1"/>
                <w:left w:val="none" w:color="auto" w:sz="0" w:space="4"/>
                <w:bottom w:val="none" w:color="auto" w:sz="0" w:space="1"/>
                <w:right w:val="none" w:color="auto" w:sz="0" w:space="4"/>
              </w:pBdr>
            </w:pPr>
            <w:r>
              <w:rPr>
                <w:rFonts w:hint="eastAsia"/>
              </w:rPr>
              <w:t xml:space="preserve">连云港市疾病预防控制中心</w:t>
            </w:r>
            <w:r/>
          </w:p>
        </w:tc>
      </w:tr>
      <w:tr>
        <w:trPr>
          <w:jc w:val="center"/>
          <w:trHeight w:val="772"/>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第7.2款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运输特殊要求</w:t>
            </w:r>
            <w:r/>
          </w:p>
        </w:tc>
        <w:tc>
          <w:tcPr>
            <w:shd w:val="clear" w:color="auto" w:fill="auto"/>
            <w:tcW w:w="5170" w:type="dxa"/>
            <w:vAlign w:val="center"/>
            <w:textDirection w:val="lrTb"/>
            <w:noWrap w:val="false"/>
          </w:tcPr>
          <w:p>
            <w:pPr>
              <w:jc w:val="center"/>
              <w:pBdr>
                <w:top w:val="none" w:color="auto" w:sz="0" w:space="1"/>
                <w:left w:val="none" w:color="auto" w:sz="0" w:space="4"/>
                <w:bottom w:val="none" w:color="auto" w:sz="0" w:space="1"/>
                <w:right w:val="none" w:color="auto" w:sz="0" w:space="4"/>
              </w:pBdr>
            </w:pPr>
            <w:r>
              <w:rPr>
                <w:rFonts w:hint="eastAsia"/>
              </w:rPr>
              <w:t xml:space="preserve">无</w:t>
            </w:r>
            <w:r/>
          </w:p>
        </w:tc>
      </w:tr>
      <w:tr>
        <w:trPr>
          <w:jc w:val="center"/>
          <w:trHeight w:val="667"/>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第7.3款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保险要求</w:t>
            </w:r>
            <w:r/>
          </w:p>
        </w:tc>
        <w:tc>
          <w:tcPr>
            <w:shd w:val="clear" w:color="auto" w:fill="auto"/>
            <w:tcW w:w="5170" w:type="dxa"/>
            <w:vAlign w:val="center"/>
            <w:textDirection w:val="lrTb"/>
            <w:noWrap w:val="false"/>
          </w:tcPr>
          <w:p>
            <w:pPr>
              <w:jc w:val="center"/>
              <w:pBdr>
                <w:top w:val="none" w:color="auto" w:sz="0" w:space="1"/>
                <w:left w:val="none" w:color="auto" w:sz="0" w:space="4"/>
                <w:bottom w:val="none" w:color="auto" w:sz="0" w:space="1"/>
                <w:right w:val="none" w:color="auto" w:sz="0" w:space="4"/>
              </w:pBdr>
            </w:pPr>
            <w:r>
              <w:rPr>
                <w:rFonts w:hint="eastAsia"/>
              </w:rPr>
              <w:t xml:space="preserve">无</w:t>
            </w:r>
            <w:r/>
          </w:p>
        </w:tc>
      </w:tr>
      <w:tr>
        <w:trPr>
          <w:jc w:val="center"/>
          <w:trHeight w:val="73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第8.2（1）项</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质量保证期</w:t>
            </w:r>
            <w:r/>
          </w:p>
        </w:tc>
        <w:tc>
          <w:tcPr>
            <w:shd w:val="clear" w:color="auto" w:fill="auto"/>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第8.2（3）项</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货物质量缺陷</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响应时间</w:t>
            </w:r>
            <w:r/>
          </w:p>
        </w:tc>
        <w:tc>
          <w:tcPr>
            <w:shd w:val="clear" w:color="auto" w:fill="auto"/>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ascii="宋体" w:hAnsi="宋体"/>
                <w:szCs w:val="21"/>
              </w:rPr>
              <w:t xml:space="preserve">乙方在接到甲方通知后在24小时内到达甲方现场</w:t>
            </w:r>
            <w:r>
              <w:rPr>
                <w:rFonts w:hint="eastAsia" w:ascii="宋体" w:hAnsi="宋体"/>
                <w:szCs w:val="21"/>
              </w:rPr>
              <w:t xml:space="preserve">。</w:t>
            </w:r>
            <w:r/>
          </w:p>
        </w:tc>
      </w:tr>
      <w:tr>
        <w:trPr>
          <w:jc w:val="center"/>
          <w:trHeight w:val="736"/>
        </w:trPr>
        <w:tc>
          <w:tcPr>
            <w:tcW w:w="1607" w:type="dxa"/>
            <w:vAlign w:val="center"/>
            <w:textDirection w:val="lrTb"/>
            <w:noWrap w:val="false"/>
          </w:tcPr>
          <w:p>
            <w:pPr>
              <w:jc w:val="center"/>
              <w:rPr>
                <w:rFonts w:ascii="宋体" w:hAnsi="宋体" w:cs="宋体"/>
                <w:szCs w:val="21"/>
              </w:rPr>
              <w:pBdr>
                <w:top w:val="none" w:color="auto" w:sz="0" w:space="1"/>
                <w:left w:val="none" w:color="auto" w:sz="0" w:space="4"/>
                <w:bottom w:val="none" w:color="auto" w:sz="0" w:space="1"/>
                <w:right w:val="none" w:color="auto" w:sz="0" w:space="4"/>
              </w:pBdr>
            </w:pPr>
            <w:r>
              <w:rPr>
                <w:rFonts w:hint="eastAsia" w:ascii="宋体" w:hAnsi="宋体" w:cs="宋体"/>
                <w:szCs w:val="21"/>
              </w:rPr>
              <w:t xml:space="preserve">第二节</w:t>
            </w:r>
            <w:r/>
          </w:p>
          <w:p>
            <w:pPr>
              <w:pStyle w:val="967"/>
              <w:ind w:firstLine="0"/>
              <w:jc w:val="center"/>
              <w:pBdr>
                <w:top w:val="none" w:color="auto" w:sz="0" w:space="1"/>
                <w:left w:val="none" w:color="auto" w:sz="0" w:space="4"/>
                <w:bottom w:val="none" w:color="auto" w:sz="0" w:space="1"/>
                <w:right w:val="none" w:color="auto" w:sz="0" w:space="4"/>
              </w:pBdr>
            </w:pPr>
            <w:r>
              <w:rPr>
                <w:rFonts w:hint="eastAsia" w:ascii="宋体" w:hAnsi="宋体" w:eastAsia="宋体" w:cs="宋体"/>
              </w:rPr>
              <w:t xml:space="preserve">第11.1款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其他应当保密的信息</w:t>
            </w:r>
            <w:r/>
          </w:p>
        </w:tc>
        <w:tc>
          <w:tcPr>
            <w:shd w:val="clear" w:color="auto" w:fill="auto"/>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无</w:t>
            </w:r>
            <w:r/>
          </w:p>
        </w:tc>
      </w:tr>
      <w:tr>
        <w:trPr>
          <w:jc w:val="center"/>
          <w:trHeight w:val="697"/>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第12.2款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合同价款支付时间</w:t>
            </w:r>
            <w:r/>
          </w:p>
        </w:tc>
        <w:tc>
          <w:tcPr>
            <w:shd w:val="clear" w:color="auto" w:fill="auto"/>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ascii="宋体" w:hAnsi="宋体"/>
                <w:szCs w:val="21"/>
              </w:rPr>
              <w:t xml:space="preserve">设备安装调试经验收合格后，经审计票据齐全后采购人一次性支付至审计金额的100%。</w:t>
            </w:r>
            <w:r/>
          </w:p>
        </w:tc>
      </w:tr>
      <w:tr>
        <w:trPr>
          <w:jc w:val="center"/>
          <w:trHeight w:val="697"/>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第13.2款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履约保证金不予退还的情形</w:t>
            </w:r>
            <w:r/>
          </w:p>
        </w:tc>
        <w:tc>
          <w:tcPr>
            <w:shd w:val="clear" w:color="auto" w:fill="auto"/>
            <w:tcW w:w="5170" w:type="dxa"/>
            <w:vAlign w:val="center"/>
            <w:textDirection w:val="lrTb"/>
            <w:noWrap w:val="false"/>
          </w:tcPr>
          <w:p>
            <w:pPr>
              <w:numPr>
                <w:ilvl w:val="0"/>
                <w:numId w:val="10"/>
              </w:numPr>
              <w:rPr>
                <w:rFonts w:ascii="Times New Roman" w:hAnsi="Times New Roman"/>
                <w:szCs w:val="21"/>
              </w:rPr>
              <w:pBdr>
                <w:top w:val="none" w:color="auto" w:sz="0" w:space="1"/>
                <w:left w:val="none" w:color="auto" w:sz="0" w:space="4"/>
                <w:bottom w:val="none" w:color="auto" w:sz="0" w:space="1"/>
                <w:right w:val="none" w:color="auto" w:sz="0" w:space="4"/>
              </w:pBdr>
            </w:pPr>
            <w:r>
              <w:rPr>
                <w:rFonts w:hint="eastAsia" w:ascii="Times New Roman" w:hAnsi="Times New Roman"/>
                <w:szCs w:val="21"/>
              </w:rPr>
              <w:t xml:space="preserve">所供货物不符合合同约定的质量标准、品牌、规格或等级的。</w:t>
            </w:r>
            <w:r/>
          </w:p>
          <w:p>
            <w:pPr>
              <w:numPr>
                <w:ilvl w:val="0"/>
                <w:numId w:val="10"/>
              </w:numPr>
              <w:jc w:val="left"/>
              <w:rPr>
                <w:rFonts w:ascii="Times New Roman" w:hAnsi="Times New Roman"/>
                <w:szCs w:val="21"/>
              </w:rPr>
              <w:pBdr>
                <w:top w:val="none" w:color="auto" w:sz="0" w:space="1"/>
                <w:left w:val="none" w:color="auto" w:sz="0" w:space="4"/>
                <w:bottom w:val="none" w:color="auto" w:sz="0" w:space="1"/>
                <w:right w:val="none" w:color="auto" w:sz="0" w:space="4"/>
              </w:pBdr>
            </w:pPr>
            <w:r>
              <w:rPr>
                <w:rFonts w:hint="eastAsia" w:ascii="Times New Roman" w:hAnsi="Times New Roman"/>
                <w:szCs w:val="21"/>
              </w:rPr>
              <w:t xml:space="preserve">未按合同约定的时间供货的。</w:t>
            </w:r>
            <w:r/>
          </w:p>
          <w:p>
            <w:pPr>
              <w:numPr>
                <w:ilvl w:val="0"/>
                <w:numId w:val="10"/>
              </w:numPr>
              <w:jc w:val="left"/>
              <w:rPr>
                <w:rFonts w:ascii="Times New Roman" w:hAnsi="Times New Roman"/>
                <w:szCs w:val="21"/>
              </w:rPr>
              <w:pBdr>
                <w:top w:val="none" w:color="auto" w:sz="0" w:space="1"/>
                <w:left w:val="none" w:color="auto" w:sz="0" w:space="4"/>
                <w:bottom w:val="none" w:color="auto" w:sz="0" w:space="1"/>
                <w:right w:val="none" w:color="auto" w:sz="0" w:space="4"/>
              </w:pBdr>
            </w:pPr>
            <w:r>
              <w:rPr>
                <w:rFonts w:hint="eastAsia" w:ascii="Times New Roman" w:hAnsi="Times New Roman"/>
                <w:szCs w:val="21"/>
              </w:rPr>
              <w:t xml:space="preserve">乙方无正当理由拒绝签订合同，或在签订时提出附加条件的。</w:t>
            </w:r>
            <w:r/>
          </w:p>
          <w:p>
            <w:pPr>
              <w:numPr>
                <w:ilvl w:val="0"/>
                <w:numId w:val="10"/>
              </w:numPr>
              <w:jc w:val="left"/>
              <w:rPr>
                <w:rFonts w:ascii="Times New Roman" w:hAnsi="Times New Roman"/>
                <w:szCs w:val="21"/>
              </w:rPr>
              <w:pBdr>
                <w:top w:val="none" w:color="auto" w:sz="0" w:space="1"/>
                <w:left w:val="none" w:color="auto" w:sz="0" w:space="4"/>
                <w:bottom w:val="none" w:color="auto" w:sz="0" w:space="1"/>
                <w:right w:val="none" w:color="auto" w:sz="0" w:space="4"/>
              </w:pBdr>
            </w:pPr>
            <w:r>
              <w:rPr>
                <w:rFonts w:hint="eastAsia" w:ascii="Times New Roman" w:hAnsi="Times New Roman"/>
                <w:szCs w:val="21"/>
              </w:rPr>
              <w:t xml:space="preserve">乙方将政府采购合同转包或违法分包的</w:t>
            </w:r>
            <w:r/>
          </w:p>
        </w:tc>
      </w:tr>
      <w:tr>
        <w:trPr>
          <w:jc w:val="center"/>
          <w:trHeight w:val="73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第13.3款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履约保证金退还时间及逾期退还的违约金</w:t>
            </w:r>
            <w:r/>
          </w:p>
        </w:tc>
        <w:tc>
          <w:tcPr>
            <w:shd w:val="clear" w:color="auto" w:fill="auto"/>
            <w:tcW w:w="5170" w:type="dxa"/>
            <w:vAlign w:val="center"/>
            <w:textDirection w:val="lrTb"/>
            <w:noWrap w:val="false"/>
          </w:tcPr>
          <w:p>
            <w:pPr>
              <w:rPr>
                <w:rFonts w:ascii="Times New Roman" w:hAnsi="Times New Roman"/>
                <w:szCs w:val="21"/>
              </w:rPr>
              <w:pBdr>
                <w:top w:val="none" w:color="auto" w:sz="0" w:space="1"/>
                <w:left w:val="none" w:color="auto" w:sz="0" w:space="4"/>
                <w:bottom w:val="none" w:color="auto" w:sz="0" w:space="1"/>
                <w:right w:val="none" w:color="auto" w:sz="0" w:space="4"/>
              </w:pBdr>
            </w:pPr>
            <w:r>
              <w:rPr>
                <w:rFonts w:hint="eastAsia" w:ascii="Times New Roman" w:hAnsi="Times New Roman"/>
                <w:szCs w:val="21"/>
              </w:rPr>
              <w:t xml:space="preserve">1、乙方违约的，甲方将根据违约责任条款扣除其全部或部分履约保证金。如乙方违约给甲方造成的损失超过履约保证金的，应当依法赔偿超过部分的损失。</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Times New Roman" w:hAnsi="Times New Roman"/>
                <w:szCs w:val="21"/>
              </w:rPr>
              <w:t xml:space="preserve">2、逾期退还履约保证金的甲方承担违约责任，按照中国人民银行同期贷款基准利率支付超期资金占用费。</w:t>
            </w:r>
            <w:r/>
          </w:p>
        </w:tc>
      </w:tr>
      <w:tr>
        <w:trPr>
          <w:jc w:val="center"/>
          <w:trHeight w:val="784"/>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第14.1（3）项</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运行监督、维修期限</w:t>
            </w:r>
            <w:r/>
          </w:p>
        </w:tc>
        <w:tc>
          <w:tcPr>
            <w:shd w:val="clear" w:color="auto" w:fill="auto"/>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详见第四章采购需求</w:t>
            </w:r>
            <w:r/>
          </w:p>
        </w:tc>
      </w:tr>
      <w:tr>
        <w:trPr>
          <w:jc w:val="center"/>
          <w:trHeight w:val="784"/>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第14.1（5）项</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货物回收的约定</w:t>
            </w:r>
            <w:r/>
          </w:p>
        </w:tc>
        <w:tc>
          <w:tcPr>
            <w:shd w:val="clear" w:color="auto" w:fill="auto"/>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无</w:t>
            </w:r>
            <w:r/>
          </w:p>
        </w:tc>
      </w:tr>
      <w:tr>
        <w:trPr>
          <w:jc w:val="center"/>
          <w:trHeight w:val="73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第14.1（6）项</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乙方提供的其他服务</w:t>
            </w:r>
            <w:r/>
          </w:p>
        </w:tc>
        <w:tc>
          <w:tcPr>
            <w:shd w:val="clear" w:color="auto" w:fill="auto"/>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无</w:t>
            </w:r>
            <w:r/>
          </w:p>
        </w:tc>
      </w:tr>
      <w:tr>
        <w:trPr>
          <w:jc w:val="center"/>
          <w:trHeight w:val="73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第15.1款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修理、重作、更换相关具体规定</w:t>
            </w:r>
            <w:r/>
          </w:p>
        </w:tc>
        <w:tc>
          <w:tcPr>
            <w:shd w:val="clear" w:color="auto" w:fill="auto"/>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ascii="宋体" w:hAnsi="宋体"/>
                <w:szCs w:val="21"/>
              </w:rPr>
              <w:t xml:space="preserve">《中华人民共和国产品质量法》第四十条</w:t>
            </w:r>
            <w:r/>
          </w:p>
        </w:tc>
      </w:tr>
      <w:tr>
        <w:trPr>
          <w:jc w:val="center"/>
          <w:trHeight w:val="73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第15.2（2）项</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迟延交货赔偿费</w:t>
            </w:r>
            <w:r/>
          </w:p>
        </w:tc>
        <w:tc>
          <w:tcPr>
            <w:shd w:val="clear" w:color="auto" w:fill="auto"/>
            <w:tcW w:w="5170" w:type="dxa"/>
            <w:vAlign w:val="center"/>
            <w:textDirection w:val="lrTb"/>
            <w:noWrap w:val="false"/>
          </w:tcPr>
          <w:p>
            <w:pPr>
              <w:jc w:val="left"/>
              <w:rPr>
                <w:rFonts w:ascii="宋体" w:hAnsi="宋体"/>
                <w:szCs w:val="21"/>
                <w:u w:val="single"/>
              </w:rPr>
              <w:pBdr>
                <w:top w:val="none" w:color="auto" w:sz="0" w:space="1"/>
                <w:left w:val="none" w:color="auto" w:sz="0" w:space="4"/>
                <w:bottom w:val="none" w:color="auto" w:sz="0" w:space="1"/>
                <w:right w:val="none" w:color="auto" w:sz="0" w:space="4"/>
              </w:pBdr>
            </w:pPr>
            <w:r>
              <w:rPr>
                <w:rFonts w:ascii="宋体" w:hAnsi="宋体"/>
                <w:szCs w:val="21"/>
              </w:rPr>
              <w:t xml:space="preserve">每延迟一天交付，按照合同金额1‰向甲方支付逾期交付违约金，违约金总额不超过合同总额的1%。（因甲方原因，逾期交付违约金不予计算）</w:t>
            </w:r>
            <w:r/>
          </w:p>
        </w:tc>
      </w:tr>
      <w:tr>
        <w:trPr>
          <w:jc w:val="center"/>
          <w:trHeight w:val="73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第15.3款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逾期付款利息</w:t>
            </w:r>
            <w:r/>
          </w:p>
        </w:tc>
        <w:tc>
          <w:tcPr>
            <w:shd w:val="clear" w:color="auto" w:fill="auto"/>
            <w:tcW w:w="5170" w:type="dxa"/>
            <w:vAlign w:val="center"/>
            <w:textDirection w:val="lrTb"/>
            <w:noWrap w:val="false"/>
          </w:tcPr>
          <w:p>
            <w:pPr>
              <w:jc w:val="center"/>
              <w:rPr>
                <w:rFonts w:ascii="宋体" w:hAnsi="宋体"/>
                <w:szCs w:val="21"/>
                <w:u w:val="single"/>
              </w:rPr>
              <w:pBdr>
                <w:top w:val="none" w:color="auto" w:sz="0" w:space="1"/>
                <w:left w:val="none" w:color="auto" w:sz="0" w:space="4"/>
                <w:bottom w:val="none" w:color="auto" w:sz="0" w:space="1"/>
                <w:right w:val="none" w:color="auto" w:sz="0" w:space="4"/>
              </w:pBdr>
            </w:pPr>
            <w:r>
              <w:rPr>
                <w:rFonts w:hint="eastAsia" w:ascii="宋体" w:hAnsi="宋体"/>
                <w:szCs w:val="21"/>
              </w:rPr>
              <w:t xml:space="preserve">在逾期</w:t>
            </w:r>
            <w:r>
              <w:rPr>
                <w:rFonts w:ascii="宋体" w:hAnsi="宋体"/>
                <w:szCs w:val="21"/>
              </w:rPr>
              <w:t xml:space="preserve">时段按月息2%计息</w:t>
            </w:r>
            <w:r/>
          </w:p>
        </w:tc>
      </w:tr>
      <w:tr>
        <w:trPr>
          <w:jc w:val="center"/>
          <w:trHeight w:val="87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第15.4款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其他违约责任</w:t>
            </w:r>
            <w:r/>
          </w:p>
        </w:tc>
        <w:tc>
          <w:tcPr>
            <w:shd w:val="clear" w:color="auto" w:fill="auto"/>
            <w:tcW w:w="5170" w:type="dxa"/>
            <w:vAlign w:val="center"/>
            <w:textDirection w:val="lrTb"/>
            <w:noWrap w:val="false"/>
          </w:tcPr>
          <w:p>
            <w:pPr>
              <w:jc w:val="center"/>
              <w:rPr>
                <w:rFonts w:ascii="宋体" w:hAnsi="宋体"/>
                <w:szCs w:val="21"/>
                <w:u w:val="single"/>
              </w:rPr>
              <w:pBdr>
                <w:top w:val="none" w:color="auto" w:sz="0" w:space="1"/>
                <w:left w:val="none" w:color="auto" w:sz="0" w:space="4"/>
                <w:bottom w:val="none" w:color="auto" w:sz="0" w:space="1"/>
                <w:right w:val="none" w:color="auto" w:sz="0" w:space="4"/>
              </w:pBdr>
            </w:pPr>
            <w:r>
              <w:rPr>
                <w:rFonts w:hint="eastAsia" w:ascii="宋体" w:hAnsi="宋体"/>
                <w:szCs w:val="21"/>
              </w:rPr>
              <w:t xml:space="preserve">如乙方无法提供制造商质保承诺或协议的，甲方有权单方面解除合同、扣除履约保证金、将乙方清退出场，同时报政府采购监督管理部门</w:t>
            </w:r>
            <w:r/>
          </w:p>
        </w:tc>
      </w:tr>
      <w:tr>
        <w:trPr>
          <w:jc w:val="center"/>
          <w:trHeight w:val="90"/>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第19.2款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解决争议的方法</w:t>
            </w:r>
            <w:r/>
          </w:p>
        </w:tc>
        <w:tc>
          <w:tcPr>
            <w:tcW w:w="5170" w:type="dxa"/>
            <w:vAlign w:val="center"/>
            <w:textDirection w:val="lrTb"/>
            <w:noWrap w:val="false"/>
          </w:tcPr>
          <w:p>
            <w:pPr>
              <w:jc w:val="left"/>
              <w:spacing w:line="400" w:lineRule="exact"/>
              <w:rPr>
                <w:rFonts w:ascii="宋体" w:hAnsi="宋体" w:cs="宋体"/>
                <w:iCs/>
                <w:szCs w:val="21"/>
              </w:rPr>
              <w:pBdr>
                <w:top w:val="none" w:color="auto" w:sz="0" w:space="1"/>
                <w:left w:val="none" w:color="auto" w:sz="0" w:space="4"/>
                <w:bottom w:val="none" w:color="auto" w:sz="0" w:space="1"/>
                <w:right w:val="none" w:color="auto" w:sz="0" w:space="4"/>
              </w:pBdr>
            </w:pPr>
            <w:r>
              <w:rPr>
                <w:rFonts w:hint="eastAsia" w:ascii="宋体" w:hAnsi="宋体" w:cs="宋体"/>
                <w:iCs/>
                <w:szCs w:val="21"/>
              </w:rPr>
              <w:t xml:space="preserve">因本合同及合同有关事项发生的争议，按下列第（2）种方式解决：</w:t>
            </w:r>
            <w:r/>
          </w:p>
          <w:p>
            <w:pPr>
              <w:jc w:val="left"/>
              <w:spacing w:line="400" w:lineRule="exact"/>
              <w:rPr>
                <w:rFonts w:ascii="宋体" w:hAnsi="宋体" w:cs="宋体"/>
                <w:iCs/>
                <w:szCs w:val="21"/>
              </w:rPr>
              <w:pBdr>
                <w:top w:val="none" w:color="auto" w:sz="0" w:space="1"/>
                <w:left w:val="none" w:color="auto" w:sz="0" w:space="4"/>
                <w:bottom w:val="none" w:color="auto" w:sz="0" w:space="1"/>
                <w:right w:val="none" w:color="auto" w:sz="0" w:space="4"/>
              </w:pBdr>
            </w:pPr>
            <w:r>
              <w:rPr>
                <w:rFonts w:hint="eastAsia" w:ascii="宋体" w:hAnsi="宋体" w:cs="宋体"/>
                <w:iCs/>
                <w:szCs w:val="21"/>
              </w:rPr>
              <w:t xml:space="preserve">（1）向仲裁委员会申请仲裁，仲裁地点为        ；</w:t>
            </w:r>
            <w:r/>
          </w:p>
          <w:p>
            <w:pPr>
              <w:jc w:val="left"/>
              <w:rPr>
                <w:rFonts w:ascii="宋体" w:hAnsi="宋体"/>
                <w:szCs w:val="21"/>
                <w:u w:val="single"/>
              </w:rPr>
              <w:pBdr>
                <w:top w:val="none" w:color="auto" w:sz="0" w:space="1"/>
                <w:left w:val="none" w:color="auto" w:sz="0" w:space="4"/>
                <w:bottom w:val="none" w:color="auto" w:sz="0" w:space="1"/>
                <w:right w:val="none" w:color="auto" w:sz="0" w:space="4"/>
              </w:pBdr>
            </w:pPr>
            <w:r>
              <w:rPr>
                <w:rFonts w:hint="eastAsia" w:ascii="宋体" w:hAnsi="宋体" w:cs="宋体"/>
                <w:iCs/>
                <w:szCs w:val="21"/>
              </w:rPr>
              <w:t xml:space="preserve">（2）向连云港市人民法院起诉。</w:t>
            </w:r>
            <w:r/>
          </w:p>
        </w:tc>
      </w:tr>
      <w:tr>
        <w:trPr>
          <w:jc w:val="center"/>
          <w:trHeight w:val="770"/>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第23.1款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Bdr>
                <w:top w:val="none" w:color="auto" w:sz="0" w:space="1"/>
                <w:left w:val="none" w:color="auto" w:sz="0" w:space="4"/>
                <w:bottom w:val="none" w:color="auto" w:sz="0" w:space="1"/>
                <w:right w:val="none" w:color="auto" w:sz="0" w:space="4"/>
              </w:pBdr>
            </w:pPr>
            <w:r>
              <w:rPr>
                <w:rFonts w:ascii="宋体" w:hAnsi="宋体"/>
                <w:szCs w:val="21"/>
              </w:rPr>
            </w:r>
            <w:r/>
          </w:p>
        </w:tc>
      </w:tr>
    </w:tbl>
    <w:p>
      <w:pPr>
        <w:jc w:val="left"/>
        <w:widowControl/>
        <w:rPr>
          <w:rFonts w:ascii="宋体" w:hAnsi="宋体"/>
          <w:szCs w:val="21"/>
        </w:rPr>
        <w:pBdr>
          <w:top w:val="none" w:color="auto" w:sz="0" w:space="1"/>
          <w:left w:val="none" w:color="auto" w:sz="0" w:space="4"/>
          <w:bottom w:val="none" w:color="auto" w:sz="0" w:space="1"/>
          <w:right w:val="none" w:color="auto" w:sz="0" w:space="4"/>
        </w:pBdr>
      </w:pPr>
      <w:r>
        <w:rPr>
          <w:rFonts w:ascii="宋体" w:hAnsi="宋体"/>
          <w:szCs w:val="21"/>
        </w:rPr>
        <w:br w:type="page" w:clear="all"/>
      </w:r>
      <w:r/>
    </w:p>
    <w:p>
      <w:pPr>
        <w:pStyle w:val="935"/>
        <w:jc w:val="center"/>
        <w:spacing w:line="360" w:lineRule="auto"/>
        <w:rPr>
          <w:rFonts w:ascii="黑体" w:hAnsi="黑体" w:eastAsia="黑体"/>
          <w:b w:val="0"/>
        </w:rPr>
        <w:pBdr>
          <w:top w:val="none" w:color="auto" w:sz="0" w:space="1"/>
          <w:left w:val="none" w:color="auto" w:sz="0" w:space="4"/>
          <w:bottom w:val="none" w:color="auto" w:sz="0" w:space="1"/>
          <w:right w:val="none" w:color="auto" w:sz="0" w:space="4"/>
        </w:pBdr>
      </w:pPr>
      <w:r/>
      <w:bookmarkStart w:id="8" w:name="_Toc165205797"/>
      <w:r>
        <w:rPr>
          <w:rFonts w:hint="eastAsia" w:ascii="黑体" w:hAnsi="黑体" w:eastAsia="黑体"/>
          <w:b w:val="0"/>
        </w:rPr>
        <w:t xml:space="preserve">第四章  采购需求</w:t>
      </w:r>
      <w:bookmarkEnd w:id="8"/>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说明：本项目属性为</w:t>
      </w:r>
      <w:r>
        <w:rPr>
          <w:rFonts w:hint="eastAsia"/>
          <w:b/>
          <w:sz w:val="24"/>
          <w:szCs w:val="24"/>
        </w:rPr>
        <w:t xml:space="preserve">货物</w:t>
      </w:r>
      <w:r>
        <w:rPr>
          <w:rFonts w:hint="eastAsia"/>
          <w:sz w:val="24"/>
          <w:szCs w:val="24"/>
        </w:rPr>
        <w:t xml:space="preserve">，采购标的对应的中小企业划分标准所属行业详见货物（标的）采购清单。</w:t>
      </w:r>
      <w:r/>
    </w:p>
    <w:p>
      <w:pPr>
        <w:ind w:firstLine="480"/>
        <w:jc w:val="left"/>
        <w:spacing w:line="360" w:lineRule="auto"/>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根据《关于印发中小企业划型标准规定的通知》（工信部联企业〔2011〕300号）规定，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1、根据《政府采购需求管理办法》等有关规定，采购人确定采购需求。</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w:t>
      </w:r>
      <w:r>
        <w:rPr>
          <w:rFonts w:hint="eastAsia"/>
          <w:b/>
          <w:sz w:val="24"/>
          <w:szCs w:val="24"/>
        </w:rPr>
        <w:t xml:space="preserve">本招标文件中</w:t>
      </w:r>
      <w:r>
        <w:rPr>
          <w:rFonts w:hint="eastAsia"/>
          <w:b/>
          <w:i/>
          <w:color w:val="c0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，由采购人根据实际情况设置，供应商须逐条明确作出满足实质性要求和条件的响应，否则将按无效响应处理。</w:t>
      </w:r>
      <w:r/>
    </w:p>
    <w:tbl>
      <w:tblPr>
        <w:tblStyle w:val="761"/>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ascii="黑体" w:hAnsi="黑体" w:eastAsia="黑体"/>
                <w:sz w:val="24"/>
                <w:szCs w:val="24"/>
              </w:rPr>
              <w:pBdr>
                <w:top w:val="none" w:color="auto" w:sz="0" w:space="1"/>
                <w:left w:val="none" w:color="auto" w:sz="0" w:space="4"/>
                <w:bottom w:val="none" w:color="auto" w:sz="0" w:space="1"/>
                <w:right w:val="none" w:color="auto" w:sz="0" w:space="4"/>
              </w:pBdr>
            </w:pPr>
            <w:r>
              <w:rPr>
                <w:rFonts w:ascii="黑体" w:hAnsi="黑体" w:eastAsia="黑体"/>
                <w:sz w:val="24"/>
                <w:szCs w:val="24"/>
              </w:rPr>
              <w:t xml:space="preserve">采购需求中须满足的实质性要求和条件</w:t>
            </w:r>
            <w:r/>
          </w:p>
        </w:tc>
      </w:tr>
      <w:tr>
        <w:trPr>
          <w:jc w:val="center"/>
        </w:trPr>
        <w:tc>
          <w:tcPr>
            <w:tcBorders>
              <w:top w:val="single" w:color="auto" w:sz="4" w:space="0"/>
            </w:tcBorders>
            <w:tcW w:w="816" w:type="dxa"/>
            <w:textDirection w:val="lrTb"/>
            <w:noWrap w:val="false"/>
          </w:tcPr>
          <w:p>
            <w:pPr>
              <w:jc w:val="center"/>
              <w:spacing w:line="500" w:lineRule="exact"/>
              <w:rPr>
                <w:b/>
                <w:sz w:val="24"/>
                <w:szCs w:val="24"/>
              </w:rPr>
              <w:pBdr>
                <w:top w:val="none" w:color="auto" w:sz="0" w:space="1"/>
                <w:left w:val="none" w:color="auto" w:sz="0" w:space="4"/>
                <w:bottom w:val="none" w:color="auto" w:sz="0" w:space="1"/>
                <w:right w:val="none" w:color="auto" w:sz="0" w:space="4"/>
              </w:pBdr>
            </w:pPr>
            <w:r>
              <w:rPr>
                <w:b/>
                <w:sz w:val="24"/>
                <w:szCs w:val="24"/>
              </w:rPr>
              <w:t xml:space="preserve">序号</w:t>
            </w:r>
            <w:r/>
          </w:p>
        </w:tc>
        <w:tc>
          <w:tcPr>
            <w:tcBorders>
              <w:top w:val="single" w:color="auto" w:sz="4" w:space="0"/>
            </w:tcBorders>
            <w:tcW w:w="7689" w:type="dxa"/>
            <w:textDirection w:val="lrTb"/>
            <w:noWrap w:val="false"/>
          </w:tcPr>
          <w:p>
            <w:pPr>
              <w:jc w:val="center"/>
              <w:spacing w:line="500" w:lineRule="exact"/>
              <w:rPr>
                <w:b/>
                <w:sz w:val="24"/>
                <w:szCs w:val="24"/>
              </w:rPr>
              <w:pBdr>
                <w:top w:val="none" w:color="auto" w:sz="0" w:space="1"/>
                <w:left w:val="none" w:color="auto" w:sz="0" w:space="4"/>
                <w:bottom w:val="none" w:color="auto" w:sz="0" w:space="1"/>
                <w:right w:val="none" w:color="auto" w:sz="0" w:space="4"/>
              </w:pBdr>
            </w:pPr>
            <w:r>
              <w:rPr>
                <w:b/>
                <w:sz w:val="24"/>
                <w:szCs w:val="24"/>
              </w:rPr>
              <w:t xml:space="preserve">实质性要求和条件</w:t>
            </w:r>
            <w:r/>
          </w:p>
        </w:tc>
      </w:tr>
      <w:tr>
        <w:trPr>
          <w:jc w:val="center"/>
        </w:trPr>
        <w:tc>
          <w:tcPr>
            <w:shd w:val="clear" w:color="auto" w:fill="auto"/>
            <w:tcBorders>
              <w:top w:val="single" w:color="auto" w:sz="4" w:space="0"/>
            </w:tcBorders>
            <w:tcW w:w="816" w:type="dxa"/>
            <w:vAlign w:val="center"/>
            <w:textDirection w:val="lrTb"/>
            <w:noWrap w:val="false"/>
          </w:tcPr>
          <w:p>
            <w:pPr>
              <w:jc w:val="center"/>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w:t>
            </w:r>
            <w:r/>
          </w:p>
        </w:tc>
        <w:tc>
          <w:tcPr>
            <w:tcBorders>
              <w:top w:val="single" w:color="auto" w:sz="4" w:space="0"/>
            </w:tcBorders>
            <w:tcW w:w="7689" w:type="dxa"/>
            <w:textDirection w:val="lrTb"/>
            <w:noWrap w:val="false"/>
          </w:tcPr>
          <w:p>
            <w:pPr>
              <w:jc w:val="left"/>
              <w:spacing w:line="500" w:lineRule="exact"/>
              <w:rPr>
                <w:rFonts w:ascii="宋体" w:hAnsi="宋体" w:cs="宋体"/>
                <w:b/>
                <w:bCs/>
                <w:i/>
                <w:iCs/>
                <w:sz w:val="24"/>
                <w:szCs w:val="24"/>
                <w:u w:val="single"/>
              </w:rPr>
              <w:pBdr>
                <w:top w:val="none" w:color="auto" w:sz="0" w:space="1"/>
                <w:left w:val="none" w:color="auto" w:sz="0" w:space="4"/>
                <w:bottom w:val="none" w:color="auto" w:sz="0" w:space="1"/>
                <w:right w:val="none" w:color="auto" w:sz="0" w:space="4"/>
              </w:pBdr>
            </w:pPr>
            <w:r>
              <w:rPr>
                <w:rFonts w:hint="eastAsia" w:ascii="宋体" w:hAnsi="宋体" w:cs="宋体"/>
                <w:b/>
                <w:bCs/>
                <w:i/>
                <w:iCs/>
                <w:sz w:val="24"/>
                <w:szCs w:val="24"/>
                <w:u w:val="single"/>
              </w:rPr>
              <w:t xml:space="preserve">1、四元梯度泵+高压泵：高性能/低脉冲高压双柱塞双泵，泵头及管路均为化学惰性非金属PEEK材质，适合于pH为0～14的淋洗液及反相有机溶剂；最大耐压≥40Mpa，流速范围：0.00-10.00 mL/min无需更换泵头；</w:t>
            </w:r>
            <w:r/>
          </w:p>
          <w:p>
            <w:pPr>
              <w:jc w:val="left"/>
              <w:spacing w:line="500" w:lineRule="exact"/>
              <w:rPr>
                <w:rFonts w:ascii="宋体" w:hAnsi="宋体" w:cs="宋体"/>
                <w:b/>
                <w:bCs/>
                <w:i/>
                <w:iCs/>
                <w:sz w:val="24"/>
                <w:szCs w:val="24"/>
                <w:u w:val="single"/>
              </w:rPr>
              <w:pBdr>
                <w:top w:val="none" w:color="auto" w:sz="0" w:space="1"/>
                <w:left w:val="none" w:color="auto" w:sz="0" w:space="4"/>
                <w:bottom w:val="none" w:color="auto" w:sz="0" w:space="1"/>
                <w:right w:val="none" w:color="auto" w:sz="0" w:space="4"/>
              </w:pBdr>
            </w:pPr>
            <w:r>
              <w:rPr>
                <w:rFonts w:hint="eastAsia" w:ascii="宋体" w:hAnsi="宋体" w:cs="宋体"/>
                <w:b/>
                <w:bCs/>
                <w:i/>
                <w:iCs/>
                <w:sz w:val="24"/>
                <w:szCs w:val="24"/>
                <w:u w:val="single"/>
              </w:rPr>
              <w:t xml:space="preserve">4.1、产生方式：利用在线电解产生的H+或OH-生成酸性或碱性淋洗液，可有效避免空气影响，杜绝母液的变化对淋洗液产生影响，不能采用稀释的方式代替，梯度精度0.2%，梯度准确度0.15%；</w:t>
            </w:r>
            <w:r/>
          </w:p>
          <w:p>
            <w:pPr>
              <w:jc w:val="left"/>
              <w:spacing w:line="500" w:lineRule="exact"/>
              <w:rPr>
                <w:rFonts w:ascii="宋体" w:hAnsi="宋体" w:cs="宋体"/>
                <w:b/>
                <w:bCs/>
                <w:i/>
                <w:iCs/>
                <w:sz w:val="24"/>
                <w:szCs w:val="24"/>
                <w:u w:val="single"/>
              </w:rPr>
              <w:pBdr>
                <w:top w:val="none" w:color="auto" w:sz="0" w:space="1"/>
                <w:left w:val="none" w:color="auto" w:sz="0" w:space="4"/>
                <w:bottom w:val="none" w:color="auto" w:sz="0" w:space="1"/>
                <w:right w:val="none" w:color="auto" w:sz="0" w:space="4"/>
              </w:pBdr>
            </w:pPr>
            <w:r>
              <w:rPr>
                <w:rFonts w:hint="eastAsia" w:ascii="宋体" w:hAnsi="宋体" w:cs="宋体"/>
                <w:b/>
                <w:bCs/>
                <w:i/>
                <w:iCs/>
                <w:sz w:val="24"/>
                <w:szCs w:val="24"/>
                <w:u w:val="single"/>
              </w:rPr>
              <w:t xml:space="preserve">4.2、梯度产生：高压梯度，可耐受5000psi压力，梯度产生在泵后高压区，有效避免由于压力过低产生气泡的问题；</w:t>
            </w:r>
            <w:r/>
          </w:p>
          <w:p>
            <w:pPr>
              <w:pStyle w:val="974"/>
              <w:numPr>
                <w:ilvl w:val="2"/>
                <w:numId w:val="0"/>
              </w:numPr>
              <w:spacing w:after="0"/>
              <w:widowControl w:val="off"/>
              <w:rPr>
                <w:rFonts w:ascii="宋体" w:hAnsi="宋体" w:cs="宋体"/>
                <w:b/>
                <w:i/>
                <w:iCs/>
                <w:sz w:val="24"/>
                <w:u w:val="single"/>
              </w:rPr>
            </w:pPr>
            <w:r>
              <w:rPr>
                <w:rFonts w:hint="eastAsia" w:ascii="宋体" w:hAnsi="宋体" w:cs="宋体"/>
                <w:b/>
                <w:i/>
                <w:iCs/>
                <w:sz w:val="24"/>
                <w:u w:val="single"/>
              </w:rPr>
              <w:t xml:space="preserve">6.4、具有在线稀释功能，稀释倍数1:1到1:1000；稀释精度：&lt; 1.0%（1:10稀释）</w:t>
            </w:r>
            <w:r/>
          </w:p>
        </w:tc>
      </w:tr>
      <w:tr>
        <w:trPr>
          <w:jc w:val="center"/>
        </w:trPr>
        <w:tc>
          <w:tcPr>
            <w:shd w:val="clear" w:color="auto" w:fill="auto"/>
            <w:tcW w:w="816" w:type="dxa"/>
            <w:vAlign w:val="center"/>
            <w:textDirection w:val="lrTb"/>
            <w:noWrap w:val="false"/>
          </w:tcPr>
          <w:p>
            <w:pPr>
              <w:jc w:val="center"/>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w:t>
            </w:r>
            <w:r/>
          </w:p>
        </w:tc>
        <w:tc>
          <w:tcPr>
            <w:tcW w:w="7689" w:type="dxa"/>
            <w:textDirection w:val="lrTb"/>
            <w:noWrap w:val="false"/>
          </w:tcPr>
          <w:p>
            <w:pPr>
              <w:jc w:val="left"/>
              <w:spacing w:line="360" w:lineRule="auto"/>
              <w:rPr>
                <w:rFonts w:ascii="宋体" w:hAnsi="宋体" w:cs="宋体"/>
                <w:b/>
                <w:bCs/>
                <w:i/>
                <w:iCs/>
                <w:sz w:val="24"/>
                <w:szCs w:val="24"/>
                <w:u w:val="single"/>
              </w:rPr>
            </w:pPr>
            <w:r>
              <w:rPr>
                <w:rFonts w:hint="eastAsia" w:ascii="宋体" w:hAnsi="宋体" w:cs="宋体"/>
                <w:b/>
                <w:bCs/>
                <w:i/>
                <w:iCs/>
                <w:sz w:val="24"/>
                <w:szCs w:val="24"/>
                <w:u w:val="single"/>
              </w:rPr>
              <w:t xml:space="preserve">2、最大秤量: 万分之一 ≥220g，十万分之一 ≥80g；</w:t>
            </w:r>
            <w:r/>
          </w:p>
          <w:p>
            <w:pPr>
              <w:jc w:val="left"/>
              <w:spacing w:line="360" w:lineRule="auto"/>
              <w:rPr>
                <w:rFonts w:ascii="宋体" w:hAnsi="宋体" w:cs="宋体"/>
                <w:b/>
                <w:bCs/>
                <w:i/>
                <w:iCs/>
                <w:sz w:val="24"/>
                <w:szCs w:val="24"/>
                <w:u w:val="single"/>
              </w:rPr>
            </w:pPr>
            <w:r>
              <w:rPr>
                <w:rFonts w:hint="eastAsia" w:ascii="宋体" w:hAnsi="宋体" w:cs="宋体"/>
                <w:b/>
                <w:bCs/>
                <w:i/>
                <w:iCs/>
                <w:sz w:val="24"/>
                <w:szCs w:val="24"/>
                <w:u w:val="single"/>
              </w:rPr>
              <w:t xml:space="preserve">4、重复性（5%载荷，典型值）：≤0.01mg；</w:t>
            </w:r>
            <w:r/>
          </w:p>
          <w:p>
            <w:pPr>
              <w:jc w:val="left"/>
              <w:spacing w:line="360" w:lineRule="auto"/>
              <w:rPr>
                <w:rFonts w:ascii="宋体" w:hAnsi="宋体" w:cs="宋体"/>
                <w:b/>
                <w:bCs/>
                <w:i/>
                <w:iCs/>
                <w:sz w:val="24"/>
                <w:szCs w:val="24"/>
                <w:u w:val="single"/>
              </w:rPr>
            </w:pPr>
            <w:r>
              <w:rPr>
                <w:rFonts w:hint="eastAsia" w:ascii="宋体" w:hAnsi="宋体" w:cs="宋体"/>
                <w:b/>
                <w:bCs/>
                <w:i/>
                <w:iCs/>
                <w:sz w:val="24"/>
                <w:szCs w:val="24"/>
                <w:u w:val="single"/>
              </w:rPr>
              <w:t xml:space="preserve">7、防风罩有效高度：≥230mm ；</w:t>
            </w:r>
            <w:r/>
          </w:p>
        </w:tc>
      </w:tr>
      <w:tr>
        <w:trPr>
          <w:jc w:val="center"/>
        </w:trPr>
        <w:tc>
          <w:tcPr>
            <w:shd w:val="clear" w:color="auto" w:fill="auto"/>
            <w:tcW w:w="816" w:type="dxa"/>
            <w:vAlign w:val="center"/>
            <w:textDirection w:val="lrTb"/>
            <w:noWrap w:val="false"/>
          </w:tcPr>
          <w:p>
            <w:pPr>
              <w:jc w:val="center"/>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w:t>
            </w:r>
            <w:r/>
          </w:p>
        </w:tc>
        <w:tc>
          <w:tcPr>
            <w:shd w:val="clear" w:color="auto" w:fill="auto"/>
            <w:tcW w:w="7689" w:type="dxa"/>
            <w:textDirection w:val="lrTb"/>
            <w:noWrap w:val="false"/>
          </w:tcPr>
          <w:p>
            <w:pPr>
              <w:jc w:val="left"/>
              <w:spacing w:line="360" w:lineRule="auto"/>
              <w:rPr>
                <w:rFonts w:ascii="宋体" w:hAnsi="宋体" w:cs="宋体"/>
                <w:b/>
                <w:bCs/>
                <w:i/>
                <w:iCs/>
                <w:sz w:val="24"/>
                <w:szCs w:val="24"/>
                <w:u w:val="single"/>
              </w:rPr>
            </w:pPr>
            <w:r>
              <w:rPr>
                <w:rFonts w:hint="eastAsia" w:ascii="宋体" w:hAnsi="宋体" w:cs="宋体"/>
                <w:b/>
                <w:bCs/>
                <w:i/>
                <w:iCs/>
                <w:sz w:val="24"/>
                <w:szCs w:val="24"/>
                <w:u w:val="single"/>
              </w:rPr>
              <w:t xml:space="preserve">1.3转刀的刀片数≥4片，转刀直径≥128 mm，刀具圆周速度≥67m/s，刀片上具有预切口，刀片不在一个水平面上；</w:t>
            </w:r>
            <w:r/>
          </w:p>
          <w:p>
            <w:pPr>
              <w:jc w:val="left"/>
              <w:spacing w:line="360" w:lineRule="auto"/>
              <w:rPr>
                <w:rFonts w:ascii="宋体" w:hAnsi="宋体" w:cs="宋体"/>
                <w:b/>
                <w:bCs/>
                <w:i/>
                <w:iCs/>
                <w:sz w:val="24"/>
                <w:szCs w:val="24"/>
                <w:u w:val="single"/>
              </w:rPr>
            </w:pPr>
            <w:r>
              <w:rPr>
                <w:rFonts w:hint="eastAsia" w:ascii="宋体" w:hAnsi="宋体" w:cs="宋体"/>
                <w:b/>
                <w:bCs/>
                <w:i/>
                <w:iCs/>
                <w:sz w:val="24"/>
                <w:szCs w:val="24"/>
                <w:u w:val="single"/>
              </w:rPr>
              <w:t xml:space="preserve">1.6配置容器≥1.4升，容器材质可采用伊士曼共聚酯容器（常规粉碎）、PC容器（可高温高压灭菌）、不锈钢容器（用于硬性、韧性样品粉碎）等等；</w:t>
            </w:r>
            <w:r/>
          </w:p>
          <w:p>
            <w:pPr>
              <w:jc w:val="left"/>
              <w:spacing w:line="360" w:lineRule="auto"/>
              <w:rPr>
                <w:rFonts w:ascii="宋体" w:hAnsi="宋体" w:cs="宋体"/>
                <w:b/>
                <w:bCs/>
                <w:i/>
                <w:iCs/>
                <w:sz w:val="24"/>
                <w:szCs w:val="24"/>
                <w:u w:val="single"/>
              </w:rPr>
            </w:pPr>
            <w:r>
              <w:rPr>
                <w:rFonts w:hint="eastAsia" w:ascii="宋体" w:hAnsi="宋体" w:cs="宋体"/>
                <w:b/>
                <w:bCs/>
                <w:i/>
                <w:iCs/>
                <w:sz w:val="24"/>
                <w:szCs w:val="24"/>
                <w:u w:val="single"/>
              </w:rPr>
              <w:t xml:space="preserve">1.12针对需要一次性工具处理的样品，可选配容积40mL和100mL的PP制一次性研磨套件；</w:t>
            </w:r>
            <w:r/>
          </w:p>
        </w:tc>
      </w:tr>
      <w:tr>
        <w:trPr>
          <w:jc w:val="center"/>
        </w:trPr>
        <w:tc>
          <w:tcPr>
            <w:shd w:val="clear" w:color="auto" w:fill="auto"/>
            <w:tcW w:w="816" w:type="dxa"/>
            <w:vAlign w:val="center"/>
            <w:textDirection w:val="lrTb"/>
            <w:noWrap w:val="false"/>
          </w:tcPr>
          <w:p>
            <w:pPr>
              <w:jc w:val="center"/>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w:t>
            </w:r>
            <w:r/>
          </w:p>
        </w:tc>
        <w:tc>
          <w:tcPr>
            <w:shd w:val="clear" w:color="auto" w:fill="auto"/>
            <w:tcW w:w="7689" w:type="dxa"/>
            <w:textDirection w:val="lrTb"/>
            <w:noWrap w:val="false"/>
          </w:tcPr>
          <w:p>
            <w:pPr>
              <w:jc w:val="left"/>
              <w:spacing w:line="360" w:lineRule="auto"/>
              <w:rPr>
                <w:rFonts w:ascii="宋体" w:hAnsi="宋体" w:cs="宋体"/>
                <w:b/>
                <w:bCs/>
                <w:i/>
                <w:iCs/>
                <w:sz w:val="24"/>
                <w:szCs w:val="24"/>
                <w:u w:val="single"/>
              </w:rPr>
            </w:pPr>
            <w:r>
              <w:rPr>
                <w:rFonts w:hint="eastAsia" w:ascii="宋体" w:hAnsi="宋体" w:cs="宋体"/>
                <w:b/>
                <w:bCs/>
                <w:i/>
                <w:iCs/>
                <w:sz w:val="24"/>
                <w:szCs w:val="24"/>
                <w:u w:val="single"/>
              </w:rPr>
              <w:t xml:space="preserve">1.5、触摸显示屏的位置应高于研磨区域的上机盖，位于整机最上方，操作方便，也不会沾染样品水分，导致故障；（提供实物图片等证明材料）</w:t>
            </w:r>
            <w:r/>
          </w:p>
          <w:p>
            <w:pPr>
              <w:spacing w:line="360" w:lineRule="auto"/>
              <w:rPr>
                <w:rFonts w:ascii="宋体" w:hAnsi="宋体" w:cs="宋体"/>
                <w:b/>
                <w:bCs/>
                <w:i/>
                <w:iCs/>
                <w:sz w:val="24"/>
                <w:szCs w:val="24"/>
                <w:u w:val="single"/>
              </w:rPr>
            </w:pPr>
            <w:r>
              <w:rPr>
                <w:rFonts w:hint="eastAsia" w:ascii="宋体" w:hAnsi="宋体" w:cs="宋体"/>
                <w:b/>
                <w:bCs/>
                <w:i/>
                <w:iCs/>
                <w:sz w:val="24"/>
                <w:szCs w:val="24"/>
                <w:u w:val="single"/>
              </w:rPr>
              <w:t xml:space="preserve">1.9、研磨区域与机箱为前后式设计，研磨区域具有独立的空间，左右无任何机壳遮挡，便于研磨套件的安装、样品的添加及取样等；（提供实物图片等证明材料）</w:t>
            </w:r>
            <w:r/>
          </w:p>
        </w:tc>
      </w:tr>
      <w:tr>
        <w:trPr>
          <w:jc w:val="center"/>
        </w:trPr>
        <w:tc>
          <w:tcPr>
            <w:shd w:val="clear" w:color="auto" w:fill="auto"/>
            <w:tcW w:w="816" w:type="dxa"/>
            <w:vAlign w:val="center"/>
            <w:textDirection w:val="lrTb"/>
            <w:noWrap w:val="false"/>
          </w:tcPr>
          <w:p>
            <w:pPr>
              <w:jc w:val="center"/>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5</w:t>
            </w:r>
            <w:r/>
          </w:p>
        </w:tc>
        <w:tc>
          <w:tcPr>
            <w:shd w:val="clear" w:color="auto" w:fill="auto"/>
            <w:tcW w:w="7689" w:type="dxa"/>
            <w:textDirection w:val="lrTb"/>
            <w:noWrap w:val="false"/>
          </w:tcPr>
          <w:p>
            <w:pPr>
              <w:jc w:val="left"/>
              <w:spacing w:line="360" w:lineRule="auto"/>
              <w:rPr>
                <w:rFonts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合同履行期限（交货期）：合同签订后60天内完成安装调试，达到预期效果。</w:t>
            </w:r>
            <w:r/>
          </w:p>
          <w:p>
            <w:pPr>
              <w:jc w:val="left"/>
              <w:spacing w:line="360" w:lineRule="auto"/>
              <w:rPr>
                <w:rFonts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整套设备（离子色谱仪、电子天平、刀式研磨仪）保修≥24个月，保修期外优惠收取零配件费用与上门维修服务费用（投标时提供承诺书，合同签订后7个工作日提供制造商加盖公章的质保承诺或协议，无法提供的，采购人有权单方面解除合同、扣除履约保证金、成交供应商清退出场，同时报政府采购监督管理部门）。</w:t>
            </w:r>
            <w:r/>
          </w:p>
          <w:p>
            <w:pPr>
              <w:jc w:val="left"/>
              <w:spacing w:line="360" w:lineRule="auto"/>
              <w:rPr>
                <w:rFonts w:ascii="宋体" w:hAnsi="宋体" w:cs="宋体"/>
                <w:b/>
                <w:bCs/>
                <w:i/>
                <w:iCs/>
                <w:color w:val="000000"/>
                <w:sz w:val="24"/>
                <w:szCs w:val="24"/>
                <w:u w:val="single"/>
              </w:rPr>
            </w:pPr>
            <w:r>
              <w:rPr>
                <w:rFonts w:hint="eastAsia" w:ascii="宋体" w:hAnsi="宋体" w:cs="宋体"/>
                <w:b/>
                <w:bCs/>
                <w:i/>
                <w:iCs/>
                <w:color w:val="000000"/>
                <w:sz w:val="24"/>
                <w:szCs w:val="24"/>
                <w:u w:val="single"/>
              </w:rPr>
              <w:t xml:space="preserve">设备安装调试经验收合格后，经审计票据齐全后一次性支付至审计金额的100%。</w:t>
            </w:r>
            <w:r/>
          </w:p>
        </w:tc>
      </w:tr>
    </w:tbl>
    <w:p>
      <w:pPr>
        <w:ind w:firstLine="480"/>
        <w:jc w:val="left"/>
        <w:spacing w:line="500" w:lineRule="exact"/>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sz w:val="24"/>
          <w:szCs w:val="24"/>
        </w:rPr>
        <w:t xml:space="preserve">3、本项目核心产品为：</w:t>
      </w:r>
      <w:r>
        <w:rPr>
          <w:rFonts w:hint="eastAsia" w:ascii="宋体" w:hAnsi="宋体"/>
          <w:b/>
          <w:color w:val="000000"/>
          <w:sz w:val="24"/>
          <w:u w:val="single"/>
        </w:rPr>
        <w:t xml:space="preserve"> 离子色谱仪 </w:t>
      </w:r>
      <w:r>
        <w:rPr>
          <w:rFonts w:hint="eastAsia"/>
          <w:sz w:val="24"/>
          <w:szCs w:val="24"/>
        </w:rPr>
        <w:t xml:space="preserve">。</w:t>
      </w:r>
      <w:r/>
    </w:p>
    <w:p>
      <w:pPr>
        <w:ind w:firstLine="562"/>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一、项目概况</w:t>
      </w:r>
      <w:r/>
    </w:p>
    <w:p>
      <w:pPr>
        <w:ind w:firstLine="480"/>
        <w:jc w:val="left"/>
        <w:spacing w:line="360" w:lineRule="auto"/>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连云港市疾病预防控制中心因实验室建设与工作需求，采购</w:t>
      </w:r>
      <w:r>
        <w:rPr>
          <w:rFonts w:hint="eastAsia" w:ascii="宋体" w:hAnsi="宋体" w:cs="宋体"/>
          <w:color w:val="000000"/>
          <w:sz w:val="24"/>
          <w:szCs w:val="24"/>
          <w:lang w:bidi="ar"/>
        </w:rPr>
        <w:t xml:space="preserve">离子色谱仪1台、电子天平2台、刀式研磨仪2台。</w:t>
      </w:r>
      <w:r/>
    </w:p>
    <w:p>
      <w:pPr>
        <w:ind w:firstLine="562"/>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二、货物（标的）采购清单</w:t>
      </w:r>
      <w:r/>
    </w:p>
    <w:tbl>
      <w:tblPr>
        <w:tblStyle w:val="736"/>
        <w:tblW w:w="487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1"/>
        <w:gridCol w:w="3471"/>
        <w:gridCol w:w="1225"/>
        <w:gridCol w:w="1620"/>
        <w:gridCol w:w="2415"/>
      </w:tblGrid>
      <w:tr>
        <w:trPr>
          <w:jc w:val="center"/>
        </w:trPr>
        <w:tc>
          <w:tcPr>
            <w:tcW w:w="872" w:type="dxa"/>
            <w:vAlign w:val="center"/>
            <w:textDirection w:val="lrTb"/>
            <w:noWrap w:val="false"/>
          </w:tcPr>
          <w:p>
            <w:pPr>
              <w:jc w:val="center"/>
              <w:spacing w:line="360" w:lineRule="auto"/>
              <w:widowControl/>
              <w:rPr>
                <w:rFonts w:ascii="宋体" w:hAnsi="宋体" w:cs="Helvetica"/>
                <w:sz w:val="24"/>
                <w:szCs w:val="32"/>
              </w:rPr>
              <w:pBdr>
                <w:top w:val="none" w:color="auto" w:sz="0" w:space="1"/>
                <w:left w:val="none" w:color="auto" w:sz="0" w:space="4"/>
                <w:bottom w:val="none" w:color="auto" w:sz="0" w:space="1"/>
                <w:right w:val="none" w:color="auto" w:sz="0" w:space="4"/>
              </w:pBdr>
            </w:pPr>
            <w:r/>
            <w:bookmarkStart w:id="9" w:name="_Toc139967216"/>
            <w:r/>
            <w:bookmarkStart w:id="10" w:name="_Toc139966432"/>
            <w:r>
              <w:rPr>
                <w:rFonts w:hint="eastAsia" w:ascii="宋体" w:hAnsi="宋体" w:cs="Helvetica"/>
                <w:sz w:val="24"/>
                <w:szCs w:val="32"/>
              </w:rPr>
              <w:t xml:space="preserve">序号</w:t>
            </w:r>
            <w:r/>
          </w:p>
        </w:tc>
        <w:tc>
          <w:tcPr>
            <w:tcW w:w="3471" w:type="dxa"/>
            <w:vAlign w:val="center"/>
            <w:textDirection w:val="lrTb"/>
            <w:noWrap w:val="false"/>
          </w:tcPr>
          <w:p>
            <w:pPr>
              <w:jc w:val="center"/>
              <w:spacing w:line="360" w:lineRule="auto"/>
              <w:widowControl/>
              <w:rPr>
                <w:rFonts w:ascii="宋体" w:hAnsi="宋体" w:cs="Helvetica"/>
                <w:sz w:val="24"/>
                <w:szCs w:val="32"/>
              </w:rPr>
              <w:pBdr>
                <w:top w:val="none" w:color="auto" w:sz="0" w:space="1"/>
                <w:left w:val="none" w:color="auto" w:sz="0" w:space="4"/>
                <w:bottom w:val="none" w:color="auto" w:sz="0" w:space="1"/>
                <w:right w:val="none" w:color="auto" w:sz="0" w:space="4"/>
              </w:pBdr>
            </w:pPr>
            <w:r>
              <w:rPr>
                <w:rFonts w:hint="eastAsia" w:ascii="宋体" w:hAnsi="宋体" w:cs="Helvetica"/>
                <w:sz w:val="24"/>
                <w:szCs w:val="32"/>
              </w:rPr>
              <w:t xml:space="preserve">货物（标的）名称</w:t>
            </w:r>
            <w:r/>
          </w:p>
        </w:tc>
        <w:tc>
          <w:tcPr>
            <w:tcW w:w="1225" w:type="dxa"/>
            <w:vAlign w:val="center"/>
            <w:textDirection w:val="lrTb"/>
            <w:noWrap w:val="false"/>
          </w:tcPr>
          <w:p>
            <w:pPr>
              <w:jc w:val="center"/>
              <w:spacing w:line="360" w:lineRule="auto"/>
              <w:widowControl/>
              <w:rPr>
                <w:rFonts w:ascii="宋体" w:hAnsi="Times New Roman"/>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sz w:val="24"/>
                <w:szCs w:val="24"/>
              </w:rPr>
              <w:t xml:space="preserve">数量</w:t>
            </w:r>
            <w:r/>
          </w:p>
        </w:tc>
        <w:tc>
          <w:tcPr>
            <w:tcW w:w="1620" w:type="dxa"/>
            <w:vAlign w:val="center"/>
            <w:textDirection w:val="lrTb"/>
            <w:noWrap w:val="false"/>
          </w:tcPr>
          <w:p>
            <w:pPr>
              <w:jc w:val="center"/>
              <w:spacing w:line="360" w:lineRule="auto"/>
              <w:widowControl/>
              <w:rPr>
                <w:rFonts w:ascii="Times New Roman" w:hAnsi="Times New Roman"/>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sz w:val="24"/>
                <w:szCs w:val="24"/>
              </w:rPr>
              <w:t xml:space="preserve">单位</w:t>
            </w:r>
            <w:r/>
          </w:p>
        </w:tc>
        <w:tc>
          <w:tcPr>
            <w:tcW w:w="2415" w:type="dxa"/>
            <w:vAlign w:val="center"/>
            <w:textDirection w:val="lrTb"/>
            <w:noWrap w:val="false"/>
          </w:tcPr>
          <w:p>
            <w:pPr>
              <w:jc w:val="center"/>
              <w:widowControl/>
              <w:rPr>
                <w:rFonts w:ascii="Times New Roman" w:hAnsi="Times New Roman"/>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sz w:val="24"/>
                <w:szCs w:val="24"/>
              </w:rPr>
              <w:t xml:space="preserve">中小企业划分标准所属行业</w:t>
            </w:r>
            <w:r/>
          </w:p>
        </w:tc>
      </w:tr>
      <w:tr>
        <w:trPr>
          <w:jc w:val="center"/>
          <w:trHeight w:val="567"/>
        </w:trPr>
        <w:tc>
          <w:tcPr>
            <w:tcW w:w="872" w:type="dxa"/>
            <w:vAlign w:val="center"/>
            <w:textDirection w:val="lrTb"/>
            <w:noWrap w:val="false"/>
          </w:tcPr>
          <w:p>
            <w:pPr>
              <w:jc w:val="center"/>
              <w:widowControl/>
              <w:rPr>
                <w:rFonts w:ascii="宋体" w:hAnsi="宋体" w:cs="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lang w:bidi="ar"/>
              </w:rPr>
              <w:t xml:space="preserve">1</w:t>
            </w:r>
            <w:r/>
          </w:p>
        </w:tc>
        <w:tc>
          <w:tcPr>
            <w:shd w:val="clear" w:color="auto" w:fill="auto"/>
            <w:tcW w:w="3471" w:type="dxa"/>
            <w:vAlign w:val="center"/>
            <w:textDirection w:val="lrTb"/>
            <w:noWrap w:val="false"/>
          </w:tcPr>
          <w:p>
            <w:pPr>
              <w:jc w:val="center"/>
              <w:widowControl/>
              <w:rPr>
                <w:rFonts w:ascii="宋体" w:hAnsi="宋体" w:cs="宋体"/>
                <w:color w:val="000000"/>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lang w:bidi="ar"/>
              </w:rPr>
              <w:t xml:space="preserve">离子色谱仪</w:t>
            </w:r>
            <w:r/>
          </w:p>
        </w:tc>
        <w:tc>
          <w:tcPr>
            <w:tcW w:w="1225" w:type="dxa"/>
            <w:vAlign w:val="center"/>
            <w:textDirection w:val="lrTb"/>
            <w:noWrap w:val="false"/>
          </w:tcPr>
          <w:p>
            <w:pPr>
              <w:jc w:val="center"/>
              <w:widowControl/>
              <w:rPr>
                <w:rFonts w:ascii="宋体" w:hAnsi="宋体" w:cs="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lang w:bidi="ar"/>
              </w:rPr>
              <w:t xml:space="preserve">1</w:t>
            </w:r>
            <w:r/>
          </w:p>
        </w:tc>
        <w:tc>
          <w:tcPr>
            <w:tcW w:w="1620" w:type="dxa"/>
            <w:vAlign w:val="center"/>
            <w:textDirection w:val="lrTb"/>
            <w:noWrap w:val="false"/>
          </w:tcPr>
          <w:p>
            <w:pPr>
              <w:jc w:val="center"/>
              <w:widowControl/>
              <w:rPr>
                <w:rFonts w:ascii="宋体" w:hAnsi="宋体" w:cs="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lang w:bidi="ar"/>
              </w:rPr>
              <w:t xml:space="preserve">套</w:t>
            </w:r>
            <w:r/>
          </w:p>
        </w:tc>
        <w:tc>
          <w:tcPr>
            <w:tcW w:w="2415" w:type="dxa"/>
            <w:vAlign w:val="center"/>
            <w:textDirection w:val="lrTb"/>
            <w:noWrap w:val="false"/>
          </w:tcPr>
          <w:p>
            <w:pPr>
              <w:jc w:val="center"/>
              <w:widowControl/>
              <w:rPr>
                <w:rFonts w:ascii="宋体" w:hAnsi="宋体" w:cs="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lang w:bidi="ar"/>
              </w:rPr>
              <w:t xml:space="preserve">工业</w:t>
            </w:r>
            <w:r/>
          </w:p>
        </w:tc>
      </w:tr>
      <w:tr>
        <w:trPr>
          <w:jc w:val="center"/>
          <w:trHeight w:val="567"/>
        </w:trPr>
        <w:tc>
          <w:tcPr>
            <w:tcW w:w="872" w:type="dxa"/>
            <w:vAlign w:val="center"/>
            <w:textDirection w:val="lrTb"/>
            <w:noWrap w:val="false"/>
          </w:tcPr>
          <w:p>
            <w:pPr>
              <w:jc w:val="center"/>
              <w:widowControl/>
              <w:rPr>
                <w:rFonts w:ascii="宋体" w:hAnsi="宋体" w:cs="宋体"/>
                <w:color w:val="000000"/>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lang w:bidi="ar"/>
              </w:rPr>
              <w:t xml:space="preserve">2</w:t>
            </w:r>
            <w:r/>
          </w:p>
        </w:tc>
        <w:tc>
          <w:tcPr>
            <w:shd w:val="clear" w:color="auto" w:fill="auto"/>
            <w:tcW w:w="3471" w:type="dxa"/>
            <w:vAlign w:val="center"/>
            <w:textDirection w:val="lrTb"/>
            <w:noWrap w:val="false"/>
          </w:tcPr>
          <w:p>
            <w:pPr>
              <w:jc w:val="center"/>
              <w:widowControl/>
              <w:rPr>
                <w:rFonts w:ascii="宋体" w:hAnsi="宋体" w:cs="宋体"/>
                <w:color w:val="000000"/>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lang w:bidi="ar"/>
              </w:rPr>
              <w:t xml:space="preserve">电子天平</w:t>
            </w:r>
            <w:r/>
          </w:p>
        </w:tc>
        <w:tc>
          <w:tcPr>
            <w:tcW w:w="1225" w:type="dxa"/>
            <w:vAlign w:val="center"/>
            <w:textDirection w:val="lrTb"/>
            <w:noWrap w:val="false"/>
          </w:tcPr>
          <w:p>
            <w:pPr>
              <w:jc w:val="center"/>
              <w:widowControl/>
              <w:rPr>
                <w:rFonts w:ascii="宋体" w:hAnsi="宋体" w:cs="宋体"/>
                <w:color w:val="000000"/>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lang w:bidi="ar"/>
              </w:rPr>
              <w:t xml:space="preserve">2</w:t>
            </w:r>
            <w:r/>
          </w:p>
        </w:tc>
        <w:tc>
          <w:tcPr>
            <w:tcW w:w="1620" w:type="dxa"/>
            <w:vAlign w:val="center"/>
            <w:textDirection w:val="lrTb"/>
            <w:noWrap w:val="false"/>
          </w:tcPr>
          <w:p>
            <w:pPr>
              <w:jc w:val="center"/>
              <w:widowControl/>
              <w:rPr>
                <w:rFonts w:ascii="宋体" w:hAnsi="宋体" w:cs="宋体"/>
                <w:color w:val="000000"/>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lang w:bidi="ar"/>
              </w:rPr>
              <w:t xml:space="preserve">台</w:t>
            </w:r>
            <w:r/>
          </w:p>
        </w:tc>
        <w:tc>
          <w:tcPr>
            <w:tcW w:w="2415" w:type="dxa"/>
            <w:vAlign w:val="center"/>
            <w:textDirection w:val="lrTb"/>
            <w:noWrap w:val="false"/>
          </w:tcPr>
          <w:p>
            <w:pPr>
              <w:jc w:val="center"/>
              <w:widowControl/>
              <w:rPr>
                <w:rFonts w:ascii="宋体" w:hAnsi="宋体" w:cs="宋体"/>
                <w:color w:val="000000"/>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lang w:bidi="ar"/>
              </w:rPr>
              <w:t xml:space="preserve">工业</w:t>
            </w:r>
            <w:r/>
          </w:p>
        </w:tc>
      </w:tr>
      <w:tr>
        <w:trPr>
          <w:jc w:val="center"/>
          <w:trHeight w:val="567"/>
        </w:trPr>
        <w:tc>
          <w:tcPr>
            <w:tcW w:w="872" w:type="dxa"/>
            <w:vAlign w:val="center"/>
            <w:textDirection w:val="lrTb"/>
            <w:noWrap w:val="false"/>
          </w:tcPr>
          <w:p>
            <w:pPr>
              <w:jc w:val="center"/>
              <w:widowControl/>
              <w:rPr>
                <w:rFonts w:ascii="宋体" w:hAnsi="宋体" w:cs="宋体"/>
                <w:color w:val="000000"/>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lang w:bidi="ar"/>
              </w:rPr>
              <w:t xml:space="preserve">3</w:t>
            </w:r>
            <w:r/>
          </w:p>
        </w:tc>
        <w:tc>
          <w:tcPr>
            <w:shd w:val="clear" w:color="auto" w:fill="auto"/>
            <w:tcW w:w="3471" w:type="dxa"/>
            <w:vAlign w:val="center"/>
            <w:textDirection w:val="lrTb"/>
            <w:noWrap w:val="false"/>
          </w:tcPr>
          <w:p>
            <w:pPr>
              <w:jc w:val="center"/>
              <w:widowControl/>
              <w:rPr>
                <w:rFonts w:ascii="宋体" w:hAnsi="宋体" w:cs="宋体"/>
                <w:color w:val="000000"/>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lang w:bidi="ar"/>
              </w:rPr>
              <w:t xml:space="preserve">刀式研磨仪</w:t>
            </w:r>
            <w:r/>
          </w:p>
        </w:tc>
        <w:tc>
          <w:tcPr>
            <w:tcW w:w="1225" w:type="dxa"/>
            <w:vAlign w:val="center"/>
            <w:textDirection w:val="lrTb"/>
            <w:noWrap w:val="false"/>
          </w:tcPr>
          <w:p>
            <w:pPr>
              <w:jc w:val="center"/>
              <w:widowControl/>
              <w:rPr>
                <w:rFonts w:ascii="宋体" w:hAnsi="宋体" w:cs="宋体"/>
                <w:color w:val="000000"/>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lang w:bidi="ar"/>
              </w:rPr>
              <w:t xml:space="preserve">2</w:t>
            </w:r>
            <w:r/>
          </w:p>
        </w:tc>
        <w:tc>
          <w:tcPr>
            <w:tcW w:w="1620" w:type="dxa"/>
            <w:vAlign w:val="center"/>
            <w:textDirection w:val="lrTb"/>
            <w:noWrap w:val="false"/>
          </w:tcPr>
          <w:p>
            <w:pPr>
              <w:jc w:val="center"/>
              <w:widowControl/>
              <w:rPr>
                <w:rFonts w:ascii="宋体" w:hAnsi="宋体" w:cs="宋体"/>
                <w:color w:val="000000"/>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lang w:bidi="ar"/>
              </w:rPr>
              <w:t xml:space="preserve">台</w:t>
            </w:r>
            <w:r/>
          </w:p>
        </w:tc>
        <w:tc>
          <w:tcPr>
            <w:tcW w:w="2415" w:type="dxa"/>
            <w:vAlign w:val="center"/>
            <w:textDirection w:val="lrTb"/>
            <w:noWrap w:val="false"/>
          </w:tcPr>
          <w:p>
            <w:pPr>
              <w:jc w:val="center"/>
              <w:widowControl/>
              <w:rPr>
                <w:rFonts w:ascii="宋体" w:hAnsi="宋体" w:cs="宋体"/>
                <w:color w:val="000000"/>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lang w:bidi="ar"/>
              </w:rPr>
              <w:t xml:space="preserve">工业</w:t>
            </w:r>
            <w:r/>
          </w:p>
        </w:tc>
      </w:tr>
    </w:tbl>
    <w:p>
      <w:pPr>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ascii="Times New Roman" w:hAnsi="Times New Roman"/>
          <w:b/>
          <w:sz w:val="28"/>
          <w:szCs w:val="28"/>
        </w:rPr>
      </w:r>
      <w:r/>
    </w:p>
    <w:p>
      <w:pPr>
        <w:ind w:firstLine="562"/>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三、货物（标的）技术参数及功能指标</w:t>
      </w:r>
      <w:r/>
    </w:p>
    <w:tbl>
      <w:tblPr>
        <w:tblStyle w:val="73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1524"/>
        <w:gridCol w:w="7631"/>
      </w:tblGrid>
      <w:tr>
        <w:trPr/>
        <w:tc>
          <w:tcPr>
            <w:shd w:val="clear" w:color="auto" w:fill="auto"/>
            <w:tcW w:w="355" w:type="pct"/>
            <w:vAlign w:val="center"/>
            <w:textDirection w:val="lrTb"/>
            <w:noWrap w:val="false"/>
          </w:tcPr>
          <w:p>
            <w:pPr>
              <w:jc w:val="center"/>
              <w:spacing w:line="360" w:lineRule="auto"/>
              <w:widowControl/>
              <w:rPr>
                <w:rFonts w:ascii="宋体" w:hAnsi="宋体" w:cs="宋体"/>
                <w:szCs w:val="21"/>
              </w:rPr>
              <w:pBdr>
                <w:top w:val="none" w:color="auto" w:sz="0" w:space="1"/>
                <w:left w:val="none" w:color="auto" w:sz="0" w:space="4"/>
                <w:bottom w:val="none" w:color="auto" w:sz="0" w:space="1"/>
                <w:right w:val="none" w:color="auto" w:sz="0" w:space="4"/>
              </w:pBdr>
            </w:pPr>
            <w:r>
              <w:rPr>
                <w:rFonts w:hint="eastAsia" w:ascii="宋体" w:hAnsi="宋体" w:cs="宋体"/>
                <w:szCs w:val="21"/>
              </w:rPr>
              <w:t xml:space="preserve">序号</w:t>
            </w:r>
            <w:r/>
          </w:p>
        </w:tc>
        <w:tc>
          <w:tcPr>
            <w:shd w:val="clear" w:color="auto" w:fill="auto"/>
            <w:tcW w:w="773" w:type="pct"/>
            <w:vAlign w:val="center"/>
            <w:textDirection w:val="lrTb"/>
            <w:noWrap w:val="false"/>
          </w:tcPr>
          <w:p>
            <w:pPr>
              <w:jc w:val="center"/>
              <w:spacing w:line="360" w:lineRule="auto"/>
              <w:widowControl/>
              <w:rPr>
                <w:rFonts w:ascii="宋体" w:hAnsi="宋体" w:cs="宋体"/>
                <w:szCs w:val="21"/>
              </w:rPr>
              <w:pBdr>
                <w:top w:val="none" w:color="auto" w:sz="0" w:space="1"/>
                <w:left w:val="none" w:color="auto" w:sz="0" w:space="4"/>
                <w:bottom w:val="none" w:color="auto" w:sz="0" w:space="1"/>
                <w:right w:val="none" w:color="auto" w:sz="0" w:space="4"/>
              </w:pBdr>
            </w:pPr>
            <w:r>
              <w:rPr>
                <w:rFonts w:hint="eastAsia" w:ascii="宋体" w:hAnsi="宋体" w:cs="宋体"/>
                <w:szCs w:val="21"/>
              </w:rPr>
              <w:t xml:space="preserve">货物（标的）名称</w:t>
            </w:r>
            <w:r/>
          </w:p>
        </w:tc>
        <w:tc>
          <w:tcPr>
            <w:shd w:val="clear" w:color="auto" w:fill="auto"/>
            <w:tcW w:w="3871" w:type="pct"/>
            <w:vAlign w:val="center"/>
            <w:textDirection w:val="lrTb"/>
            <w:noWrap w:val="false"/>
          </w:tcPr>
          <w:p>
            <w:pPr>
              <w:jc w:val="center"/>
              <w:spacing w:line="360" w:lineRule="auto"/>
              <w:widowControl/>
              <w:rPr>
                <w:rFonts w:ascii="宋体" w:hAnsi="宋体" w:cs="宋体"/>
                <w:szCs w:val="21"/>
              </w:rPr>
              <w:pBdr>
                <w:top w:val="none" w:color="auto" w:sz="0" w:space="1"/>
                <w:left w:val="none" w:color="auto" w:sz="0" w:space="4"/>
                <w:bottom w:val="none" w:color="auto" w:sz="0" w:space="1"/>
                <w:right w:val="none" w:color="auto" w:sz="0" w:space="4"/>
              </w:pBdr>
            </w:pPr>
            <w:r>
              <w:rPr>
                <w:rFonts w:hint="eastAsia" w:ascii="宋体" w:hAnsi="宋体" w:cs="宋体"/>
                <w:szCs w:val="21"/>
              </w:rPr>
              <w:t xml:space="preserve">技术参数及功能指标</w:t>
            </w:r>
            <w:r/>
          </w:p>
        </w:tc>
      </w:tr>
      <w:tr>
        <w:trPr/>
        <w:tc>
          <w:tcPr>
            <w:shd w:val="clear" w:color="auto" w:fill="auto"/>
            <w:tcW w:w="355" w:type="pct"/>
            <w:vAlign w:val="center"/>
            <w:textDirection w:val="lrTb"/>
            <w:noWrap w:val="false"/>
          </w:tcPr>
          <w:p>
            <w:pPr>
              <w:jc w:val="center"/>
              <w:spacing w:line="360" w:lineRule="auto"/>
              <w:widowControl/>
              <w:rPr>
                <w:rFonts w:ascii="宋体" w:hAnsi="宋体" w:cs="宋体"/>
                <w:szCs w:val="21"/>
              </w:rPr>
              <w:pBdr>
                <w:top w:val="none" w:color="auto" w:sz="0" w:space="1"/>
                <w:left w:val="none" w:color="auto" w:sz="0" w:space="4"/>
                <w:bottom w:val="none" w:color="auto" w:sz="0" w:space="1"/>
                <w:right w:val="none" w:color="auto" w:sz="0" w:space="4"/>
              </w:pBdr>
            </w:pPr>
            <w:r>
              <w:rPr>
                <w:rFonts w:hint="eastAsia" w:ascii="宋体" w:hAnsi="宋体" w:cs="宋体"/>
                <w:color w:val="000000"/>
                <w:szCs w:val="21"/>
              </w:rPr>
              <w:t xml:space="preserve">1</w:t>
            </w:r>
            <w:r/>
          </w:p>
        </w:tc>
        <w:tc>
          <w:tcPr>
            <w:shd w:val="clear" w:color="auto" w:fill="auto"/>
            <w:tcW w:w="773" w:type="pct"/>
            <w:vAlign w:val="center"/>
            <w:textDirection w:val="lrTb"/>
            <w:noWrap w:val="false"/>
          </w:tcPr>
          <w:p>
            <w:pPr>
              <w:jc w:val="center"/>
              <w:spacing w:line="360" w:lineRule="auto"/>
              <w:widowControl/>
              <w:rPr>
                <w:rFonts w:ascii="宋体" w:hAnsi="宋体" w:cs="宋体"/>
                <w:szCs w:val="21"/>
              </w:rPr>
              <w:pBdr>
                <w:top w:val="none" w:color="auto" w:sz="0" w:space="1"/>
                <w:left w:val="none" w:color="auto" w:sz="0" w:space="4"/>
                <w:bottom w:val="none" w:color="auto" w:sz="0" w:space="1"/>
                <w:right w:val="none" w:color="auto" w:sz="0" w:space="4"/>
              </w:pBdr>
            </w:pPr>
            <w:r>
              <w:rPr>
                <w:rFonts w:hint="eastAsia" w:ascii="宋体" w:hAnsi="宋体" w:cs="宋体"/>
                <w:color w:val="000000"/>
                <w:szCs w:val="21"/>
                <w:lang w:bidi="ar"/>
              </w:rPr>
              <w:t xml:space="preserve">离子色谱仪</w:t>
            </w:r>
            <w:r/>
          </w:p>
        </w:tc>
        <w:tc>
          <w:tcPr>
            <w:shd w:val="clear" w:color="auto" w:fill="auto"/>
            <w:tcW w:w="3871" w:type="pct"/>
            <w:vAlign w:val="center"/>
            <w:textDirection w:val="lrTb"/>
            <w:noWrap w:val="false"/>
          </w:tcPr>
          <w:p>
            <w:pPr>
              <w:pStyle w:val="972"/>
              <w:numPr>
                <w:ilvl w:val="1"/>
                <w:numId w:val="0"/>
              </w:numPr>
              <w:spacing w:before="0" w:after="0" w:line="360" w:lineRule="auto"/>
              <w:widowControl w:val="off"/>
              <w:rPr>
                <w:rFonts w:ascii="宋体" w:hAnsi="宋体" w:cs="宋体"/>
                <w:b/>
                <w:bCs w:val="0"/>
                <w:sz w:val="21"/>
                <w:szCs w:val="21"/>
              </w:rPr>
            </w:pPr>
            <w:r>
              <w:rPr>
                <w:rFonts w:hint="eastAsia" w:ascii="宋体" w:hAnsi="宋体" w:cs="宋体"/>
                <w:b/>
                <w:bCs w:val="0"/>
                <w:sz w:val="21"/>
                <w:szCs w:val="21"/>
              </w:rPr>
              <w:t xml:space="preserve">1、双系统高压离子色谱仪</w:t>
            </w:r>
            <w:r/>
          </w:p>
          <w:p>
            <w:pPr>
              <w:jc w:val="left"/>
              <w:spacing w:line="360" w:lineRule="auto"/>
              <w:rPr>
                <w:rFonts w:ascii="宋体" w:hAnsi="宋体" w:cs="宋体"/>
                <w:b/>
                <w:bCs/>
                <w:i/>
                <w:iCs/>
                <w:szCs w:val="21"/>
                <w:u w:val="single"/>
              </w:rPr>
              <w:pBdr>
                <w:top w:val="none" w:color="auto" w:sz="0" w:space="1"/>
                <w:left w:val="none" w:color="auto" w:sz="0" w:space="4"/>
                <w:bottom w:val="none" w:color="auto" w:sz="0" w:space="1"/>
                <w:right w:val="none" w:color="auto" w:sz="0" w:space="4"/>
              </w:pBdr>
            </w:pPr>
            <w:r>
              <w:rPr>
                <w:rFonts w:hint="eastAsia" w:ascii="宋体" w:hAnsi="宋体" w:cs="宋体"/>
                <w:b/>
                <w:bCs/>
                <w:i/>
                <w:iCs/>
                <w:szCs w:val="21"/>
                <w:u w:val="single"/>
              </w:rPr>
              <w:t xml:space="preserve">1、四元梯度泵+高压泵：高性能/低脉冲高压双柱塞双泵，泵头及管路均为化学惰性非金属PEEK材质，适合于pH为0～14的淋洗液及反相有机溶剂；最大耐压≥40Mpa，流速范围：0.00-10.00 mL/min无需更换泵头；</w:t>
            </w:r>
            <w:r/>
          </w:p>
          <w:p>
            <w:pPr>
              <w:pStyle w:val="974"/>
              <w:numPr>
                <w:ilvl w:val="2"/>
                <w:numId w:val="0"/>
              </w:numPr>
              <w:spacing w:after="0" w:line="360" w:lineRule="auto"/>
              <w:widowControl w:val="off"/>
              <w:rPr>
                <w:rFonts w:ascii="宋体" w:hAnsi="宋体" w:cs="宋体"/>
                <w:sz w:val="21"/>
                <w:szCs w:val="21"/>
              </w:rPr>
            </w:pPr>
            <w:r>
              <w:rPr>
                <w:rFonts w:hint="eastAsia" w:ascii="宋体" w:hAnsi="宋体" w:cs="宋体"/>
                <w:sz w:val="21"/>
                <w:szCs w:val="21"/>
              </w:rPr>
              <w:t xml:space="preserve">1.1、流速最大误差：&lt;0.1%；</w:t>
            </w:r>
            <w:r/>
          </w:p>
          <w:p>
            <w:pPr>
              <w:pStyle w:val="974"/>
              <w:numPr>
                <w:ilvl w:val="2"/>
                <w:numId w:val="0"/>
              </w:numPr>
              <w:spacing w:after="0" w:line="360" w:lineRule="auto"/>
              <w:widowControl w:val="off"/>
              <w:rPr>
                <w:rFonts w:ascii="宋体" w:hAnsi="宋体" w:cs="宋体"/>
                <w:sz w:val="21"/>
                <w:szCs w:val="21"/>
              </w:rPr>
            </w:pPr>
            <w:r>
              <w:rPr>
                <w:rFonts w:hint="eastAsia" w:ascii="宋体" w:hAnsi="宋体" w:cs="宋体"/>
                <w:sz w:val="21"/>
                <w:szCs w:val="21"/>
              </w:rPr>
              <w:t xml:space="preserve">1.2、流量精密度：&lt;0.1%；</w:t>
            </w:r>
            <w:r/>
          </w:p>
          <w:p>
            <w:pPr>
              <w:pStyle w:val="974"/>
              <w:numPr>
                <w:ilvl w:val="2"/>
                <w:numId w:val="0"/>
              </w:numPr>
              <w:spacing w:after="0" w:line="360" w:lineRule="auto"/>
              <w:widowControl w:val="off"/>
              <w:rPr>
                <w:rFonts w:ascii="宋体" w:hAnsi="宋体" w:cs="宋体"/>
                <w:sz w:val="21"/>
                <w:szCs w:val="21"/>
              </w:rPr>
            </w:pPr>
            <w:r>
              <w:rPr>
                <w:rFonts w:hint="eastAsia" w:ascii="宋体" w:hAnsi="宋体" w:cs="宋体"/>
                <w:sz w:val="21"/>
                <w:szCs w:val="21"/>
              </w:rPr>
              <w:t xml:space="preserve">1.3、梯度精度和准确度：≤0.5%；</w:t>
            </w:r>
            <w:r/>
          </w:p>
          <w:p>
            <w:pPr>
              <w:pStyle w:val="974"/>
              <w:numPr>
                <w:ilvl w:val="2"/>
                <w:numId w:val="0"/>
              </w:numPr>
              <w:spacing w:after="0" w:line="360" w:lineRule="auto"/>
              <w:widowControl w:val="off"/>
              <w:rPr>
                <w:rFonts w:ascii="宋体" w:hAnsi="宋体" w:cs="宋体"/>
                <w:sz w:val="21"/>
                <w:szCs w:val="21"/>
              </w:rPr>
            </w:pPr>
            <w:r>
              <w:rPr>
                <w:rFonts w:hint="eastAsia" w:ascii="宋体" w:hAnsi="宋体" w:cs="宋体"/>
                <w:sz w:val="21"/>
                <w:szCs w:val="21"/>
              </w:rPr>
              <w:t xml:space="preserve">1.4、梯度产生曲率：1-9，任意数值可选；</w:t>
            </w:r>
            <w:r/>
          </w:p>
          <w:p>
            <w:pPr>
              <w:pStyle w:val="974"/>
              <w:numPr>
                <w:ilvl w:val="2"/>
                <w:numId w:val="0"/>
              </w:numPr>
              <w:spacing w:after="0" w:line="360" w:lineRule="auto"/>
              <w:widowControl w:val="off"/>
              <w:rPr>
                <w:rFonts w:ascii="宋体" w:hAnsi="宋体" w:cs="宋体"/>
                <w:sz w:val="21"/>
                <w:szCs w:val="21"/>
              </w:rPr>
            </w:pPr>
            <w:r>
              <w:rPr>
                <w:rFonts w:hint="eastAsia" w:ascii="宋体" w:hAnsi="宋体" w:cs="宋体"/>
                <w:sz w:val="21"/>
                <w:szCs w:val="21"/>
              </w:rPr>
              <w:t xml:space="preserve">▲1.5、标配独立的在线密封圈清洗系统、真空脱气、淋洗液截止阀和漏液传感器</w:t>
            </w:r>
            <w:r>
              <w:rPr>
                <w:rFonts w:hint="eastAsia" w:ascii="宋体" w:hAnsi="宋体" w:cs="宋体"/>
                <w:b/>
                <w:bCs w:val="0"/>
                <w:sz w:val="21"/>
                <w:szCs w:val="21"/>
              </w:rPr>
              <w:t xml:space="preserve">（提供实物图和</w:t>
            </w:r>
            <w:r>
              <w:rPr>
                <w:b/>
                <w:bCs w:val="0"/>
              </w:rPr>
              <w:t xml:space="preserve">密封圈清洗系统软件截图</w:t>
            </w:r>
            <w:r>
              <w:rPr>
                <w:rFonts w:hint="eastAsia" w:ascii="宋体" w:hAnsi="宋体" w:cs="宋体"/>
                <w:b/>
                <w:bCs w:val="0"/>
                <w:sz w:val="21"/>
                <w:szCs w:val="21"/>
              </w:rPr>
              <w:t xml:space="preserve">）。</w:t>
            </w:r>
            <w:r/>
          </w:p>
          <w:p>
            <w:pPr>
              <w:pStyle w:val="972"/>
              <w:numPr>
                <w:ilvl w:val="1"/>
                <w:numId w:val="0"/>
              </w:numPr>
              <w:spacing w:before="0" w:after="0" w:line="360" w:lineRule="auto"/>
              <w:widowControl w:val="off"/>
              <w:rPr>
                <w:rFonts w:ascii="宋体" w:hAnsi="宋体" w:cs="宋体"/>
                <w:b/>
                <w:bCs w:val="0"/>
                <w:sz w:val="21"/>
                <w:szCs w:val="21"/>
              </w:rPr>
            </w:pPr>
            <w:r>
              <w:rPr>
                <w:rFonts w:hint="eastAsia" w:ascii="宋体" w:hAnsi="宋体" w:cs="宋体"/>
                <w:b/>
                <w:bCs w:val="0"/>
                <w:sz w:val="21"/>
                <w:szCs w:val="21"/>
              </w:rPr>
              <w:t xml:space="preserve">2、柱温箱和色谱分析柱</w:t>
            </w:r>
            <w:r/>
          </w:p>
          <w:p>
            <w:pPr>
              <w:pStyle w:val="974"/>
              <w:numPr>
                <w:ilvl w:val="2"/>
                <w:numId w:val="0"/>
              </w:numPr>
              <w:spacing w:after="0" w:line="360" w:lineRule="auto"/>
              <w:widowControl w:val="off"/>
              <w:rPr>
                <w:rFonts w:ascii="宋体" w:hAnsi="宋体" w:cs="宋体"/>
                <w:sz w:val="21"/>
                <w:szCs w:val="21"/>
              </w:rPr>
            </w:pPr>
            <w:r>
              <w:rPr>
                <w:rFonts w:hint="eastAsia" w:ascii="宋体" w:hAnsi="宋体" w:cs="宋体"/>
                <w:sz w:val="21"/>
                <w:szCs w:val="21"/>
              </w:rPr>
              <w:t xml:space="preserve">2.2、温控范围：10-70℃；</w:t>
            </w:r>
            <w:r/>
          </w:p>
          <w:p>
            <w:pPr>
              <w:pStyle w:val="974"/>
              <w:numPr>
                <w:ilvl w:val="0"/>
                <w:numId w:val="0"/>
              </w:numPr>
              <w:spacing w:after="0" w:line="360" w:lineRule="auto"/>
              <w:widowControl w:val="off"/>
              <w:rPr>
                <w:rFonts w:ascii="宋体" w:hAnsi="宋体" w:cs="宋体"/>
                <w:b/>
                <w:bCs w:val="0"/>
                <w:sz w:val="21"/>
                <w:szCs w:val="21"/>
              </w:rPr>
            </w:pPr>
            <w:r>
              <w:rPr>
                <w:rFonts w:hint="eastAsia" w:ascii="宋体" w:hAnsi="宋体" w:cs="宋体"/>
                <w:sz w:val="21"/>
                <w:szCs w:val="21"/>
              </w:rPr>
              <w:t xml:space="preserve">2.3、可同时容纳两根以上4mm分析型色谱柱和9mm制备型色谱柱；</w:t>
            </w:r>
            <w:r/>
          </w:p>
          <w:p>
            <w:pPr>
              <w:pStyle w:val="974"/>
              <w:numPr>
                <w:ilvl w:val="0"/>
                <w:numId w:val="0"/>
              </w:numPr>
              <w:spacing w:after="0" w:line="360" w:lineRule="auto"/>
              <w:widowControl w:val="off"/>
              <w:rPr>
                <w:rFonts w:ascii="宋体" w:hAnsi="宋体" w:cs="宋体"/>
                <w:sz w:val="21"/>
                <w:szCs w:val="21"/>
              </w:rPr>
            </w:pPr>
            <w:r>
              <w:rPr>
                <w:rFonts w:hint="eastAsia" w:ascii="宋体" w:hAnsi="宋体" w:cs="宋体"/>
                <w:sz w:val="21"/>
                <w:szCs w:val="21"/>
              </w:rPr>
              <w:t xml:space="preserve">▲2.4、原厂生产的高效高容量阴离子分离柱及保护柱，耐受0-14的pH工作范围，最大耐压不小于3000psi，柱交换量不小于280μeq/根，耐受2.0mL/min及以上的流速</w:t>
            </w:r>
            <w:r>
              <w:rPr>
                <w:rFonts w:hint="eastAsia" w:ascii="宋体" w:hAnsi="宋体" w:cs="宋体"/>
                <w:b/>
                <w:bCs w:val="0"/>
                <w:sz w:val="21"/>
                <w:szCs w:val="21"/>
              </w:rPr>
              <w:t xml:space="preserve">（提供仪器说明书或官方彩页或官网截图等）</w:t>
            </w:r>
            <w:r>
              <w:rPr>
                <w:rFonts w:hint="eastAsia" w:ascii="宋体" w:hAnsi="宋体" w:cs="宋体"/>
                <w:sz w:val="21"/>
                <w:szCs w:val="21"/>
              </w:rPr>
              <w:t xml:space="preserve">；</w:t>
            </w:r>
            <w:r/>
          </w:p>
          <w:p>
            <w:pPr>
              <w:pStyle w:val="974"/>
              <w:numPr>
                <w:ilvl w:val="0"/>
                <w:numId w:val="0"/>
              </w:numPr>
              <w:spacing w:after="0" w:line="360" w:lineRule="auto"/>
              <w:widowControl w:val="off"/>
              <w:rPr>
                <w:rFonts w:ascii="宋体" w:hAnsi="宋体" w:cs="宋体"/>
                <w:sz w:val="21"/>
                <w:szCs w:val="21"/>
              </w:rPr>
            </w:pPr>
            <w:r>
              <w:rPr>
                <w:rFonts w:hint="eastAsia" w:ascii="宋体" w:hAnsi="宋体" w:cs="宋体"/>
                <w:sz w:val="21"/>
                <w:szCs w:val="21"/>
              </w:rPr>
              <w:t xml:space="preserve">阴离子柱的Cl-：NO2-的分离能力可达到100000:1，可适用于高氯基体样品中痕量亚硝酸盐的分析</w:t>
            </w:r>
            <w:r>
              <w:rPr>
                <w:rFonts w:hint="eastAsia" w:ascii="宋体" w:hAnsi="宋体" w:cs="宋体"/>
                <w:b/>
                <w:bCs w:val="0"/>
                <w:sz w:val="21"/>
                <w:szCs w:val="21"/>
              </w:rPr>
              <w:t xml:space="preserve">（提供分离图谱）</w:t>
            </w:r>
            <w:r>
              <w:rPr>
                <w:rFonts w:hint="eastAsia" w:ascii="宋体" w:hAnsi="宋体" w:cs="宋体"/>
                <w:sz w:val="21"/>
                <w:szCs w:val="21"/>
              </w:rPr>
              <w:t xml:space="preserve">；原厂生产的高效高容量阳离子分离柱及保护柱，最大耐压≥3000psi，柱交换量需≥1450μeq/根以上，耐受1.5mL/min及以上的流速（</w:t>
            </w:r>
            <w:r>
              <w:rPr>
                <w:rFonts w:hint="eastAsia" w:ascii="宋体" w:hAnsi="宋体" w:cs="宋体"/>
                <w:b/>
                <w:bCs w:val="0"/>
                <w:sz w:val="21"/>
                <w:szCs w:val="21"/>
              </w:rPr>
              <w:t xml:space="preserve">提供仪器说明书或官方彩页或官网截图等）</w:t>
            </w:r>
            <w:r>
              <w:rPr>
                <w:rFonts w:hint="eastAsia" w:ascii="宋体" w:hAnsi="宋体" w:cs="宋体"/>
                <w:sz w:val="21"/>
                <w:szCs w:val="21"/>
              </w:rPr>
              <w:t xml:space="preserve">；</w:t>
            </w:r>
            <w:r/>
          </w:p>
          <w:p>
            <w:pPr>
              <w:pStyle w:val="974"/>
              <w:numPr>
                <w:ilvl w:val="0"/>
                <w:numId w:val="0"/>
              </w:numPr>
              <w:spacing w:after="0" w:line="360" w:lineRule="auto"/>
              <w:widowControl w:val="off"/>
              <w:rPr>
                <w:rFonts w:ascii="宋体" w:hAnsi="宋体" w:cs="宋体"/>
                <w:b/>
                <w:bCs w:val="0"/>
                <w:sz w:val="21"/>
                <w:szCs w:val="21"/>
              </w:rPr>
            </w:pPr>
            <w:r>
              <w:rPr>
                <w:rFonts w:hint="eastAsia" w:ascii="宋体" w:hAnsi="宋体" w:cs="宋体"/>
                <w:sz w:val="21"/>
                <w:szCs w:val="21"/>
              </w:rPr>
              <w:t xml:space="preserve">Na+：NH4+的分离能力可达到10000:1，适用于高钠基体样品中痕量铵根的分析</w:t>
            </w:r>
            <w:r>
              <w:rPr>
                <w:rFonts w:hint="eastAsia" w:ascii="宋体" w:hAnsi="宋体" w:cs="宋体"/>
                <w:b/>
                <w:bCs w:val="0"/>
                <w:sz w:val="21"/>
                <w:szCs w:val="21"/>
              </w:rPr>
              <w:t xml:space="preserve">（提供分离图谱）。</w:t>
            </w:r>
            <w:r/>
          </w:p>
          <w:p>
            <w:pPr>
              <w:pStyle w:val="974"/>
              <w:numPr>
                <w:ilvl w:val="2"/>
                <w:numId w:val="0"/>
              </w:numPr>
              <w:spacing w:after="0" w:line="360" w:lineRule="auto"/>
              <w:widowControl w:val="off"/>
              <w:rPr>
                <w:rFonts w:ascii="宋体" w:hAnsi="宋体" w:cs="宋体"/>
                <w:b/>
                <w:bCs w:val="0"/>
                <w:sz w:val="21"/>
                <w:szCs w:val="21"/>
              </w:rPr>
            </w:pPr>
            <w:r>
              <w:rPr>
                <w:rFonts w:hint="eastAsia" w:ascii="宋体" w:hAnsi="宋体" w:cs="宋体"/>
                <w:b/>
                <w:bCs w:val="0"/>
                <w:sz w:val="21"/>
                <w:szCs w:val="21"/>
              </w:rPr>
              <w:t xml:space="preserve">3、自动电解连续再生微膜抑制器</w:t>
            </w:r>
            <w:r/>
          </w:p>
          <w:p>
            <w:pPr>
              <w:pStyle w:val="974"/>
              <w:numPr>
                <w:ilvl w:val="2"/>
                <w:numId w:val="0"/>
              </w:numPr>
              <w:spacing w:after="0" w:line="360" w:lineRule="auto"/>
              <w:widowControl w:val="off"/>
              <w:rPr>
                <w:rFonts w:ascii="宋体" w:hAnsi="宋体" w:cs="宋体"/>
                <w:sz w:val="21"/>
                <w:szCs w:val="21"/>
              </w:rPr>
            </w:pPr>
            <w:r>
              <w:rPr>
                <w:rFonts w:hint="eastAsia" w:ascii="宋体" w:hAnsi="宋体" w:cs="宋体"/>
                <w:sz w:val="21"/>
                <w:szCs w:val="21"/>
              </w:rPr>
              <w:t xml:space="preserve">3.1、原厂生产阴/阳离子自动电解连续再生微膜抑制器，无需外加酸或者再生液进行化学再生，无需使用蠕动泵或其他任何加液装置进行清洗和再生，无需转子切换，所有样品和标样均通过同一抑制器；</w:t>
            </w:r>
            <w:r/>
          </w:p>
          <w:p>
            <w:pPr>
              <w:pStyle w:val="974"/>
              <w:numPr>
                <w:ilvl w:val="2"/>
                <w:numId w:val="0"/>
              </w:numPr>
              <w:spacing w:after="0" w:line="360" w:lineRule="auto"/>
              <w:widowControl w:val="off"/>
              <w:rPr>
                <w:rFonts w:ascii="宋体" w:hAnsi="宋体" w:cs="宋体"/>
                <w:sz w:val="21"/>
                <w:szCs w:val="21"/>
              </w:rPr>
            </w:pPr>
            <w:r>
              <w:rPr>
                <w:rFonts w:hint="eastAsia" w:ascii="宋体" w:hAnsi="宋体" w:cs="宋体"/>
                <w:sz w:val="21"/>
                <w:szCs w:val="21"/>
              </w:rPr>
              <w:t xml:space="preserve">▲3.2、抑制背景总电导小于5.0μS，阴离子抑制容量200mM氢氧化钠或氢氧化钾，阳离子抑制容量100mM甲基磺酸，1.0mL/min流速至少持续30min；</w:t>
            </w:r>
            <w:r/>
          </w:p>
          <w:p>
            <w:pPr>
              <w:pStyle w:val="974"/>
              <w:numPr>
                <w:ilvl w:val="2"/>
                <w:numId w:val="0"/>
              </w:numPr>
              <w:spacing w:after="0" w:line="360" w:lineRule="auto"/>
              <w:widowControl w:val="off"/>
              <w:rPr>
                <w:rFonts w:ascii="宋体" w:hAnsi="宋体" w:cs="宋体"/>
                <w:b/>
                <w:bCs w:val="0"/>
                <w:sz w:val="21"/>
                <w:szCs w:val="21"/>
              </w:rPr>
            </w:pPr>
            <w:r>
              <w:rPr>
                <w:rFonts w:hint="eastAsia" w:ascii="宋体" w:hAnsi="宋体" w:cs="宋体"/>
                <w:b/>
                <w:bCs w:val="0"/>
                <w:sz w:val="21"/>
                <w:szCs w:val="21"/>
              </w:rPr>
              <w:t xml:space="preserve">4、全自动在线电解淋洗液发生器</w:t>
            </w:r>
            <w:r/>
          </w:p>
          <w:p>
            <w:pPr>
              <w:pStyle w:val="974"/>
              <w:numPr>
                <w:ilvl w:val="2"/>
                <w:numId w:val="0"/>
              </w:numPr>
              <w:spacing w:after="0" w:line="360" w:lineRule="auto"/>
              <w:widowControl w:val="off"/>
              <w:rPr>
                <w:rFonts w:ascii="宋体" w:hAnsi="宋体" w:cs="宋体"/>
                <w:b/>
                <w:i/>
                <w:iCs/>
                <w:sz w:val="21"/>
                <w:szCs w:val="21"/>
                <w:u w:val="single"/>
              </w:rPr>
            </w:pPr>
            <w:r>
              <w:rPr>
                <w:rFonts w:hint="eastAsia" w:ascii="宋体" w:hAnsi="宋体" w:cs="宋体"/>
                <w:b/>
                <w:i/>
                <w:iCs/>
                <w:sz w:val="21"/>
                <w:szCs w:val="21"/>
                <w:u w:val="single"/>
              </w:rPr>
              <w:t xml:space="preserve">4.1、产生方式：利用在线电解产生的H+或OH-生成酸性或碱性淋洗液，可有效避免空气影响，杜绝母液的变化对淋洗液产生影响，不能采用稀释的方式代替，梯度精度0.2%，梯度准确度0.15%；</w:t>
            </w:r>
            <w:r/>
          </w:p>
          <w:p>
            <w:pPr>
              <w:pStyle w:val="974"/>
              <w:numPr>
                <w:ilvl w:val="2"/>
                <w:numId w:val="0"/>
              </w:numPr>
              <w:spacing w:after="0" w:line="360" w:lineRule="auto"/>
              <w:widowControl w:val="off"/>
              <w:rPr>
                <w:rFonts w:ascii="宋体" w:hAnsi="宋体" w:cs="宋体"/>
                <w:b/>
                <w:i/>
                <w:iCs/>
                <w:sz w:val="21"/>
                <w:szCs w:val="21"/>
                <w:u w:val="single"/>
              </w:rPr>
            </w:pPr>
            <w:r>
              <w:rPr>
                <w:rFonts w:hint="eastAsia" w:ascii="宋体" w:hAnsi="宋体" w:cs="宋体"/>
                <w:b/>
                <w:i/>
                <w:iCs/>
                <w:sz w:val="21"/>
                <w:szCs w:val="21"/>
                <w:u w:val="single"/>
              </w:rPr>
              <w:t xml:space="preserve">4.2、梯度产生：高压梯度，可耐受5000psi压力，梯度产生在泵后高压区，有效避免由于压力过低产生气泡的问题；</w:t>
            </w:r>
            <w:r/>
          </w:p>
          <w:p>
            <w:pPr>
              <w:spacing w:line="360" w:lineRule="auto"/>
              <w:rPr>
                <w:rFonts w:ascii="宋体" w:hAnsi="宋体" w:cs="宋体"/>
                <w:color w:val="auto"/>
                <w:szCs w:val="21"/>
              </w:rPr>
            </w:pPr>
            <w:r>
              <w:rPr>
                <w:rFonts w:hint="eastAsia" w:ascii="宋体" w:hAnsi="宋体" w:cs="宋体"/>
                <w:szCs w:val="21"/>
              </w:rPr>
              <w:t xml:space="preserve">4.3、软件控制：在软件中直接输入所需淋洗液浓度，而非编写百分比等其他非</w:t>
            </w:r>
            <w:r>
              <w:rPr>
                <w:rFonts w:hint="eastAsia" w:ascii="宋体" w:hAnsi="宋体" w:cs="宋体"/>
                <w:color w:val="auto"/>
                <w:szCs w:val="21"/>
              </w:rPr>
              <w:t xml:space="preserve">浓度参数；</w:t>
            </w:r>
            <w:r/>
          </w:p>
          <w:p>
            <w:pPr>
              <w:spacing w:line="360" w:lineRule="auto"/>
              <w:rPr>
                <w:rFonts w:ascii="宋体" w:hAnsi="宋体" w:cs="宋体"/>
                <w:color w:val="auto"/>
                <w:szCs w:val="21"/>
              </w:rPr>
            </w:pPr>
            <w:r>
              <w:rPr>
                <w:rFonts w:hint="eastAsia" w:ascii="宋体" w:hAnsi="宋体" w:cs="宋体"/>
                <w:bCs/>
                <w:color w:val="auto"/>
                <w:szCs w:val="21"/>
              </w:rPr>
              <w:t xml:space="preserve">▲</w:t>
            </w:r>
            <w:r>
              <w:rPr>
                <w:rFonts w:hint="eastAsia" w:ascii="宋体" w:hAnsi="宋体" w:cs="宋体"/>
                <w:color w:val="auto"/>
                <w:szCs w:val="21"/>
              </w:rPr>
              <w:t xml:space="preserve">4.4、支持MSA、KOH、NaOH、LiOH、K2CO3、K2CO3/KHCO3等多种淋洗液发生罐选择</w:t>
            </w:r>
            <w:r>
              <w:rPr>
                <w:rFonts w:hint="eastAsia" w:ascii="宋体" w:hAnsi="宋体" w:cs="宋体"/>
                <w:b/>
                <w:bCs/>
                <w:color w:val="auto"/>
                <w:szCs w:val="21"/>
              </w:rPr>
              <w:t xml:space="preserve">（提供官网链接和截图）</w:t>
            </w:r>
            <w:r>
              <w:rPr>
                <w:rFonts w:hint="eastAsia" w:ascii="宋体" w:hAnsi="宋体" w:cs="宋体"/>
                <w:color w:val="auto"/>
                <w:szCs w:val="21"/>
              </w:rPr>
              <w:t xml:space="preserve">，支持同时安装两个淋洗液罐供双系统使用，或两淋洗液罐串联使用；</w:t>
            </w:r>
            <w:r/>
          </w:p>
          <w:p>
            <w:pPr>
              <w:spacing w:line="360" w:lineRule="auto"/>
              <w:rPr>
                <w:rFonts w:ascii="宋体" w:hAnsi="宋体" w:cs="宋体"/>
                <w:b/>
                <w:bCs/>
                <w:color w:val="auto"/>
                <w:szCs w:val="21"/>
              </w:rPr>
            </w:pPr>
            <w:r>
              <w:rPr>
                <w:rFonts w:hint="eastAsia" w:ascii="宋体" w:hAnsi="宋体" w:cs="宋体"/>
                <w:color w:val="auto"/>
                <w:szCs w:val="21"/>
              </w:rPr>
              <w:t xml:space="preserve">4.5、标配连续电解自动再生捕获柱，进一步净化淋洗液，标配高压自动脱气装置，进行淋洗液脱气</w:t>
            </w:r>
            <w:r>
              <w:rPr>
                <w:rFonts w:hint="eastAsia" w:ascii="宋体" w:hAnsi="宋体" w:cs="宋体"/>
                <w:b/>
                <w:bCs/>
                <w:color w:val="auto"/>
                <w:szCs w:val="21"/>
              </w:rPr>
              <w:t xml:space="preserve">（提供实物图照片）</w:t>
            </w:r>
            <w:r/>
          </w:p>
          <w:p>
            <w:pPr>
              <w:pStyle w:val="972"/>
              <w:numPr>
                <w:ilvl w:val="1"/>
                <w:numId w:val="0"/>
              </w:numPr>
              <w:spacing w:before="0" w:after="0" w:line="360" w:lineRule="auto"/>
              <w:widowControl w:val="off"/>
              <w:rPr>
                <w:rFonts w:ascii="宋体" w:hAnsi="宋体" w:cs="宋体"/>
                <w:b/>
                <w:bCs w:val="0"/>
                <w:sz w:val="21"/>
                <w:szCs w:val="21"/>
              </w:rPr>
            </w:pPr>
            <w:r>
              <w:rPr>
                <w:rFonts w:hint="eastAsia" w:ascii="宋体" w:hAnsi="宋体" w:cs="宋体"/>
                <w:b/>
                <w:bCs w:val="0"/>
                <w:sz w:val="21"/>
                <w:szCs w:val="21"/>
              </w:rPr>
              <w:t xml:space="preserve">5、电导检测器</w:t>
            </w:r>
            <w:r/>
          </w:p>
          <w:p>
            <w:pPr>
              <w:pStyle w:val="974"/>
              <w:numPr>
                <w:ilvl w:val="2"/>
                <w:numId w:val="0"/>
              </w:numPr>
              <w:spacing w:after="0" w:line="360" w:lineRule="auto"/>
              <w:widowControl w:val="off"/>
              <w:rPr>
                <w:rFonts w:ascii="宋体" w:hAnsi="宋体" w:cs="宋体"/>
                <w:sz w:val="21"/>
                <w:szCs w:val="21"/>
              </w:rPr>
            </w:pPr>
            <w:r>
              <w:rPr>
                <w:rFonts w:hint="eastAsia" w:ascii="宋体" w:hAnsi="宋体" w:cs="宋体"/>
                <w:sz w:val="21"/>
                <w:szCs w:val="21"/>
              </w:rPr>
              <w:t xml:space="preserve">5.1、类型：电导检测器为数字信号控制，输出信号可直接数字拓展，无需调整量程，当检测μg/L级到g/L级不同浓度的离子时，输出值应为直接的电导信号；</w:t>
            </w:r>
            <w:r/>
          </w:p>
          <w:p>
            <w:pPr>
              <w:pStyle w:val="974"/>
              <w:numPr>
                <w:ilvl w:val="2"/>
                <w:numId w:val="0"/>
              </w:numPr>
              <w:spacing w:after="0" w:line="360" w:lineRule="auto"/>
              <w:widowControl w:val="off"/>
              <w:rPr>
                <w:rFonts w:ascii="宋体" w:hAnsi="宋体" w:cs="宋体"/>
                <w:sz w:val="21"/>
                <w:szCs w:val="21"/>
              </w:rPr>
            </w:pPr>
            <w:r>
              <w:rPr>
                <w:rFonts w:hint="eastAsia" w:ascii="宋体" w:hAnsi="宋体" w:cs="宋体"/>
                <w:sz w:val="21"/>
                <w:szCs w:val="21"/>
              </w:rPr>
              <w:t xml:space="preserve">5.2、全程信号输出范围：不小于0-18000μS，无需调整量程；</w:t>
            </w:r>
            <w:r/>
          </w:p>
          <w:p>
            <w:pPr>
              <w:pStyle w:val="974"/>
              <w:numPr>
                <w:ilvl w:val="2"/>
                <w:numId w:val="0"/>
              </w:numPr>
              <w:spacing w:after="0" w:line="360" w:lineRule="auto"/>
              <w:widowControl w:val="off"/>
              <w:rPr>
                <w:rFonts w:ascii="宋体" w:hAnsi="宋体" w:cs="宋体"/>
                <w:sz w:val="21"/>
                <w:szCs w:val="21"/>
              </w:rPr>
            </w:pPr>
            <w:r>
              <w:rPr>
                <w:rFonts w:hint="eastAsia" w:ascii="宋体" w:hAnsi="宋体" w:cs="宋体"/>
                <w:sz w:val="21"/>
                <w:szCs w:val="21"/>
              </w:rPr>
              <w:t xml:space="preserve">5.3、检测器分辨率≤0.003nS/cm；</w:t>
            </w:r>
            <w:r/>
          </w:p>
          <w:p>
            <w:pPr>
              <w:pStyle w:val="974"/>
              <w:numPr>
                <w:ilvl w:val="2"/>
                <w:numId w:val="0"/>
              </w:numPr>
              <w:spacing w:after="0" w:line="360" w:lineRule="auto"/>
              <w:widowControl w:val="off"/>
              <w:rPr>
                <w:rFonts w:ascii="宋体" w:hAnsi="宋体" w:cs="宋体"/>
                <w:sz w:val="21"/>
                <w:szCs w:val="21"/>
              </w:rPr>
            </w:pPr>
            <w:r>
              <w:rPr>
                <w:rFonts w:hint="eastAsia" w:ascii="宋体" w:hAnsi="宋体" w:cs="宋体"/>
                <w:sz w:val="21"/>
                <w:szCs w:val="21"/>
              </w:rPr>
              <w:t xml:space="preserve">▲5.4、检测器耐受最大压力≥10MPa；信号采集频率≥100Hz；</w:t>
            </w:r>
            <w:r/>
          </w:p>
          <w:p>
            <w:pPr>
              <w:pStyle w:val="974"/>
              <w:numPr>
                <w:ilvl w:val="2"/>
                <w:numId w:val="0"/>
              </w:numPr>
              <w:spacing w:after="0" w:line="360" w:lineRule="auto"/>
              <w:widowControl w:val="off"/>
              <w:rPr>
                <w:rFonts w:ascii="宋体" w:hAnsi="宋体" w:cs="宋体"/>
                <w:sz w:val="21"/>
                <w:szCs w:val="21"/>
              </w:rPr>
            </w:pPr>
            <w:r>
              <w:rPr>
                <w:rFonts w:hint="eastAsia" w:ascii="宋体" w:hAnsi="宋体" w:cs="宋体"/>
                <w:b/>
                <w:bCs w:val="0"/>
                <w:sz w:val="21"/>
                <w:szCs w:val="21"/>
              </w:rPr>
              <w:t xml:space="preserve">6、双系统自动进样器</w:t>
            </w:r>
            <w:r>
              <w:rPr>
                <w:rFonts w:hint="eastAsia" w:ascii="宋体" w:hAnsi="宋体" w:cs="宋体"/>
                <w:b/>
                <w:bCs w:val="0"/>
                <w:sz w:val="21"/>
                <w:szCs w:val="21"/>
              </w:rPr>
              <w:br/>
            </w:r>
            <w:r>
              <w:rPr>
                <w:rFonts w:hint="eastAsia" w:ascii="宋体" w:hAnsi="宋体" w:cs="宋体"/>
                <w:sz w:val="21"/>
                <w:szCs w:val="21"/>
              </w:rPr>
              <w:t xml:space="preserve">6.1、支持双系统顺序或者同时进样；</w:t>
            </w:r>
            <w:r/>
          </w:p>
          <w:p>
            <w:pPr>
              <w:pStyle w:val="974"/>
              <w:numPr>
                <w:ilvl w:val="2"/>
                <w:numId w:val="0"/>
              </w:numPr>
              <w:spacing w:after="0" w:line="360" w:lineRule="auto"/>
              <w:widowControl w:val="off"/>
              <w:rPr>
                <w:rFonts w:ascii="宋体" w:hAnsi="宋体" w:cs="宋体"/>
                <w:sz w:val="21"/>
                <w:szCs w:val="21"/>
              </w:rPr>
            </w:pPr>
            <w:r>
              <w:rPr>
                <w:rFonts w:hint="eastAsia" w:ascii="宋体" w:hAnsi="宋体" w:cs="宋体"/>
                <w:sz w:val="21"/>
                <w:szCs w:val="21"/>
              </w:rPr>
              <w:t xml:space="preserve">6.2、具有同时放置大于100个样品位，能放置1.5mL、10mL样品瓶及96孔板和384孔板；</w:t>
            </w:r>
            <w:r/>
          </w:p>
          <w:p>
            <w:pPr>
              <w:pStyle w:val="974"/>
              <w:numPr>
                <w:ilvl w:val="2"/>
                <w:numId w:val="0"/>
              </w:numPr>
              <w:spacing w:after="0" w:line="360" w:lineRule="auto"/>
              <w:widowControl w:val="off"/>
              <w:rPr>
                <w:rFonts w:ascii="宋体" w:hAnsi="宋体" w:cs="宋体"/>
                <w:sz w:val="21"/>
                <w:szCs w:val="21"/>
              </w:rPr>
            </w:pPr>
            <w:r>
              <w:rPr>
                <w:rFonts w:hint="eastAsia" w:ascii="宋体" w:hAnsi="宋体" w:cs="宋体"/>
                <w:sz w:val="21"/>
                <w:szCs w:val="21"/>
              </w:rPr>
              <w:t xml:space="preserve">6.3、采用注射泵电磁阀取样，单次进样体积：1-100μL，步进0.1μL；100–7500μL，步进1μL；</w:t>
            </w:r>
            <w:r/>
          </w:p>
          <w:p>
            <w:pPr>
              <w:pStyle w:val="974"/>
              <w:numPr>
                <w:ilvl w:val="2"/>
                <w:numId w:val="0"/>
              </w:numPr>
              <w:spacing w:after="0" w:line="360" w:lineRule="auto"/>
              <w:widowControl w:val="off"/>
              <w:rPr>
                <w:rFonts w:ascii="宋体" w:hAnsi="宋体" w:cs="宋体"/>
                <w:sz w:val="21"/>
                <w:szCs w:val="21"/>
              </w:rPr>
            </w:pPr>
            <w:r>
              <w:rPr>
                <w:rFonts w:hint="eastAsia" w:ascii="宋体" w:hAnsi="宋体" w:cs="宋体"/>
                <w:b/>
                <w:i/>
                <w:iCs/>
                <w:sz w:val="21"/>
                <w:szCs w:val="21"/>
                <w:u w:val="single"/>
              </w:rPr>
              <w:t xml:space="preserve">6.4、具有在线稀释功能，稀释倍数1:1到1:1000；稀释精度：&lt; 1.0%（1:10稀释）；</w:t>
            </w:r>
            <w:r/>
          </w:p>
          <w:p>
            <w:pPr>
              <w:pStyle w:val="974"/>
              <w:numPr>
                <w:ilvl w:val="2"/>
                <w:numId w:val="0"/>
              </w:numPr>
              <w:spacing w:after="0" w:line="360" w:lineRule="auto"/>
              <w:widowControl w:val="off"/>
              <w:rPr>
                <w:rFonts w:ascii="宋体" w:hAnsi="宋体" w:cs="宋体"/>
                <w:sz w:val="21"/>
                <w:szCs w:val="21"/>
              </w:rPr>
            </w:pPr>
            <w:r>
              <w:rPr>
                <w:rFonts w:hint="eastAsia" w:ascii="宋体" w:hAnsi="宋体" w:cs="宋体"/>
                <w:sz w:val="21"/>
                <w:szCs w:val="21"/>
              </w:rPr>
              <w:t xml:space="preserve">6.5、带有样品盘保护罩，降低外界环境对样品的影响；标配漏液传感器，可自动报警提示；标配自动震荡混匀功能；</w:t>
            </w:r>
            <w:r/>
          </w:p>
          <w:p>
            <w:pPr>
              <w:pStyle w:val="974"/>
              <w:numPr>
                <w:ilvl w:val="2"/>
                <w:numId w:val="0"/>
              </w:numPr>
              <w:spacing w:after="0" w:line="360" w:lineRule="auto"/>
              <w:widowControl w:val="off"/>
              <w:rPr>
                <w:rFonts w:ascii="宋体" w:hAnsi="宋体" w:cs="宋体"/>
                <w:sz w:val="21"/>
                <w:szCs w:val="21"/>
              </w:rPr>
            </w:pPr>
            <w:r>
              <w:rPr>
                <w:rFonts w:hint="eastAsia" w:ascii="宋体" w:hAnsi="宋体" w:cs="宋体"/>
                <w:sz w:val="21"/>
                <w:szCs w:val="21"/>
              </w:rPr>
              <w:t xml:space="preserve">6.6、配置六通阀，具有顺序进样、样品前处理、馏分收集与再次进样等功能；可扩展标准加入，在线富集，基体消除等在线前处理功能。</w:t>
            </w:r>
            <w:r/>
          </w:p>
          <w:p>
            <w:pPr>
              <w:pStyle w:val="972"/>
              <w:numPr>
                <w:ilvl w:val="1"/>
                <w:numId w:val="0"/>
              </w:numPr>
              <w:jc w:val="both"/>
              <w:spacing w:before="0" w:after="0" w:line="360" w:lineRule="auto"/>
              <w:widowControl w:val="off"/>
              <w:rPr>
                <w:rFonts w:ascii="宋体" w:hAnsi="宋体" w:cs="宋体"/>
                <w:b/>
                <w:bCs w:val="0"/>
                <w:sz w:val="21"/>
                <w:szCs w:val="21"/>
              </w:rPr>
            </w:pPr>
            <w:r>
              <w:rPr>
                <w:rFonts w:hint="eastAsia" w:ascii="宋体" w:hAnsi="宋体" w:cs="宋体"/>
                <w:b/>
                <w:bCs w:val="0"/>
                <w:sz w:val="21"/>
                <w:szCs w:val="21"/>
              </w:rPr>
              <w:t xml:space="preserve">7、操作软件:</w:t>
            </w:r>
            <w:r/>
          </w:p>
          <w:p>
            <w:pPr>
              <w:pStyle w:val="974"/>
              <w:numPr>
                <w:ilvl w:val="2"/>
                <w:numId w:val="0"/>
              </w:numPr>
              <w:spacing w:after="0" w:line="360" w:lineRule="auto"/>
              <w:widowControl w:val="off"/>
              <w:rPr>
                <w:rFonts w:ascii="宋体" w:hAnsi="宋体" w:cs="宋体"/>
                <w:sz w:val="21"/>
                <w:szCs w:val="21"/>
              </w:rPr>
            </w:pPr>
            <w:r>
              <w:rPr>
                <w:rFonts w:hint="eastAsia" w:ascii="宋体" w:hAnsi="宋体" w:cs="宋体"/>
                <w:sz w:val="21"/>
                <w:szCs w:val="21"/>
              </w:rPr>
              <w:t xml:space="preserve">7.1、操作界面模拟office操作系统易于学习和操作；样品列表中已采集数据的样品具有色谱图缩略显示功能，不用打开具体谱图即可看到样品大概组成及含量信息。</w:t>
            </w:r>
            <w:r/>
          </w:p>
          <w:p>
            <w:pPr>
              <w:pStyle w:val="974"/>
              <w:numPr>
                <w:ilvl w:val="2"/>
                <w:numId w:val="0"/>
              </w:numPr>
              <w:spacing w:after="0" w:line="360" w:lineRule="auto"/>
              <w:widowControl w:val="off"/>
              <w:rPr>
                <w:rFonts w:ascii="宋体" w:hAnsi="宋体" w:cs="宋体"/>
                <w:b/>
                <w:bCs w:val="0"/>
                <w:sz w:val="21"/>
                <w:szCs w:val="21"/>
              </w:rPr>
            </w:pPr>
            <w:r>
              <w:rPr>
                <w:rFonts w:hint="eastAsia" w:ascii="宋体" w:hAnsi="宋体" w:cs="宋体"/>
                <w:sz w:val="21"/>
                <w:szCs w:val="21"/>
              </w:rPr>
              <w:t xml:space="preserve">▲7.2、配置虚拟柱软件技术，模拟不同阴离子色谱柱对30种以上阴离子和有机酸的分离效果；不同阳离子色谱柱对20种以上阳离子和有机胺的分离效果；糖分析色谱柱对20种以上糖的分离效果，可帮助进行快速方法开发及辅助未知物定性</w:t>
            </w:r>
            <w:r>
              <w:rPr>
                <w:rFonts w:hint="eastAsia" w:ascii="宋体" w:hAnsi="宋体" w:cs="宋体"/>
                <w:b/>
                <w:bCs w:val="0"/>
                <w:sz w:val="21"/>
                <w:szCs w:val="21"/>
              </w:rPr>
              <w:t xml:space="preserve">（提供软件截图）</w:t>
            </w:r>
            <w:r>
              <w:rPr>
                <w:rFonts w:hint="eastAsia" w:ascii="宋体" w:hAnsi="宋体" w:cs="宋体"/>
                <w:sz w:val="21"/>
                <w:szCs w:val="21"/>
              </w:rPr>
              <w:t xml:space="preserve">。</w:t>
            </w:r>
            <w:r/>
          </w:p>
          <w:p>
            <w:pPr>
              <w:pStyle w:val="974"/>
              <w:numPr>
                <w:ilvl w:val="2"/>
                <w:numId w:val="0"/>
              </w:numPr>
              <w:spacing w:after="0" w:line="360" w:lineRule="auto"/>
              <w:widowControl w:val="off"/>
              <w:rPr>
                <w:rFonts w:ascii="宋体" w:hAnsi="宋体" w:cs="宋体"/>
                <w:b/>
                <w:bCs w:val="0"/>
                <w:sz w:val="21"/>
                <w:szCs w:val="21"/>
              </w:rPr>
            </w:pPr>
            <w:r>
              <w:rPr>
                <w:rFonts w:hint="eastAsia" w:ascii="宋体" w:hAnsi="宋体" w:cs="宋体"/>
                <w:sz w:val="21"/>
                <w:szCs w:val="21"/>
              </w:rPr>
              <w:t xml:space="preserve">8、应用能力：</w:t>
            </w:r>
            <w:r>
              <w:rPr>
                <w:rFonts w:hint="eastAsia" w:ascii="宋体" w:hAnsi="宋体" w:cs="宋体"/>
                <w:sz w:val="21"/>
                <w:szCs w:val="21"/>
              </w:rPr>
              <w:br/>
            </w:r>
            <w:r>
              <w:rPr>
                <w:rFonts w:hint="eastAsia" w:ascii="宋体" w:hAnsi="宋体" w:cs="宋体"/>
                <w:sz w:val="21"/>
                <w:szCs w:val="21"/>
              </w:rPr>
              <w:t xml:space="preserve">▲8.1、与实验室现有SCIEX Triple Quad™ 6500+</w:t>
            </w:r>
            <w:r>
              <w:rPr>
                <w:rFonts w:ascii="宋体" w:hAnsi="宋体" w:cs="宋体"/>
                <w:sz w:val="21"/>
                <w:szCs w:val="21"/>
              </w:rPr>
              <w:t xml:space="preserve"> </w:t>
            </w:r>
            <w:r>
              <w:rPr>
                <w:rFonts w:hint="eastAsia" w:ascii="宋体" w:hAnsi="宋体" w:cs="宋体"/>
                <w:sz w:val="21"/>
                <w:szCs w:val="21"/>
              </w:rPr>
              <w:t xml:space="preserve">联用，用于分析强极性化合物、阴阳离子、有机酸、寡糖等；可开展11种消毒副产物和30种以上有机酸的定性筛查和定量分析</w:t>
            </w:r>
            <w:r>
              <w:rPr>
                <w:rFonts w:hint="eastAsia" w:ascii="宋体" w:hAnsi="宋体" w:cs="宋体"/>
                <w:b/>
                <w:bCs w:val="0"/>
                <w:sz w:val="21"/>
                <w:szCs w:val="21"/>
              </w:rPr>
              <w:t xml:space="preserve">（提供官方应用报告）；</w:t>
            </w:r>
            <w:r/>
          </w:p>
          <w:p>
            <w:pPr>
              <w:pStyle w:val="974"/>
              <w:numPr>
                <w:ilvl w:val="2"/>
                <w:numId w:val="0"/>
              </w:numPr>
              <w:spacing w:after="0" w:line="360" w:lineRule="auto"/>
              <w:widowControl w:val="off"/>
              <w:rPr>
                <w:rFonts w:ascii="宋体" w:hAnsi="宋体" w:cs="宋体"/>
                <w:sz w:val="21"/>
                <w:szCs w:val="21"/>
              </w:rPr>
            </w:pPr>
            <w:r>
              <w:rPr>
                <w:rFonts w:hint="eastAsia" w:ascii="宋体" w:hAnsi="宋体" w:cs="宋体"/>
                <w:sz w:val="21"/>
                <w:szCs w:val="21"/>
              </w:rPr>
              <w:t xml:space="preserve">▲8.2、与实验室高分辨质谱联用，扩展升级为离子色谱-高分辨质谱联用平台，可用于半导体材料成分的鉴定、逆解析，高分子材料中聚合物分析、金属配合物分析，锂电池电解液中有机成分分析，新材料中有机杂质鉴定及差异分析，生物方向可用于45种以上代谢物的研究</w:t>
            </w:r>
            <w:r>
              <w:rPr>
                <w:rFonts w:hint="eastAsia" w:ascii="宋体" w:hAnsi="宋体" w:cs="宋体"/>
                <w:b/>
                <w:bCs w:val="0"/>
                <w:sz w:val="21"/>
                <w:szCs w:val="21"/>
              </w:rPr>
              <w:t xml:space="preserve">（提供官方应用报告）</w:t>
            </w:r>
            <w:r>
              <w:rPr>
                <w:rFonts w:hint="eastAsia" w:ascii="宋体" w:hAnsi="宋体" w:cs="宋体"/>
                <w:sz w:val="21"/>
                <w:szCs w:val="21"/>
              </w:rPr>
              <w:t xml:space="preserve">。</w:t>
            </w:r>
            <w:r/>
          </w:p>
          <w:p>
            <w:pPr>
              <w:spacing w:line="360" w:lineRule="auto"/>
              <w:rPr>
                <w:rFonts w:ascii="宋体" w:hAnsi="宋体" w:cs="宋体"/>
                <w:szCs w:val="21"/>
              </w:rPr>
            </w:pPr>
            <w:r>
              <w:rPr>
                <w:rFonts w:hint="eastAsia" w:ascii="宋体" w:hAnsi="宋体" w:cs="宋体"/>
                <w:bCs/>
                <w:szCs w:val="21"/>
              </w:rPr>
              <w:t xml:space="preserve">▲</w:t>
            </w:r>
            <w:r>
              <w:rPr>
                <w:rFonts w:hint="eastAsia" w:ascii="宋体" w:hAnsi="宋体" w:cs="宋体"/>
                <w:szCs w:val="21"/>
              </w:rPr>
              <w:t xml:space="preserve">8.3、可与实验室ICPMS无缝联接，用于铬、砷、汞、硒、锑、溴、碘等形态分析检测；</w:t>
            </w:r>
            <w:r/>
          </w:p>
          <w:p>
            <w:pPr>
              <w:spacing w:line="360" w:lineRule="auto"/>
              <w:rPr>
                <w:rFonts w:ascii="宋体" w:hAnsi="宋体" w:cs="宋体"/>
                <w:szCs w:val="21"/>
              </w:rPr>
            </w:pPr>
            <w:r>
              <w:rPr>
                <w:rFonts w:hint="eastAsia" w:ascii="宋体" w:hAnsi="宋体" w:cs="宋体"/>
                <w:szCs w:val="21"/>
              </w:rPr>
              <w:t xml:space="preserve">8.3.1可实现15分钟内对砷甜菜碱，二甲基砷，亚砷酸根（As</w:t>
            </w:r>
            <w:r>
              <w:rPr>
                <w:rFonts w:hint="eastAsia" w:ascii="宋体" w:hAnsi="宋体" w:cs="宋体"/>
                <w:szCs w:val="21"/>
                <w:vertAlign w:val="superscript"/>
              </w:rPr>
              <w:t xml:space="preserve">3+</w:t>
            </w:r>
            <w:r>
              <w:rPr>
                <w:rFonts w:hint="eastAsia" w:ascii="宋体" w:hAnsi="宋体" w:cs="宋体"/>
                <w:szCs w:val="21"/>
              </w:rPr>
              <w:t xml:space="preserve">），砷胆碱，一甲基砷，阿散酸，砷酸根（As</w:t>
            </w:r>
            <w:r>
              <w:rPr>
                <w:rFonts w:hint="eastAsia" w:ascii="宋体" w:hAnsi="宋体" w:cs="宋体"/>
                <w:szCs w:val="21"/>
                <w:vertAlign w:val="superscript"/>
              </w:rPr>
              <w:t xml:space="preserve">5+</w:t>
            </w:r>
            <w:r>
              <w:rPr>
                <w:rFonts w:hint="eastAsia" w:ascii="宋体" w:hAnsi="宋体" w:cs="宋体"/>
                <w:szCs w:val="21"/>
              </w:rPr>
              <w:t xml:space="preserve">），卡巴胂，硝苯砷酸，洛克沙砷共10种As形态进行完全分离</w:t>
            </w:r>
            <w:r>
              <w:rPr>
                <w:rFonts w:hint="eastAsia" w:ascii="宋体" w:hAnsi="宋体" w:cs="宋体"/>
                <w:b/>
                <w:bCs/>
                <w:szCs w:val="21"/>
              </w:rPr>
              <w:t xml:space="preserve">（提供官方应用报告）</w:t>
            </w:r>
            <w:r>
              <w:rPr>
                <w:rFonts w:hint="eastAsia" w:ascii="宋体" w:hAnsi="宋体" w:cs="宋体"/>
                <w:szCs w:val="21"/>
              </w:rPr>
              <w:t xml:space="preserve">；</w:t>
            </w:r>
            <w:r/>
          </w:p>
          <w:p>
            <w:pPr>
              <w:spacing w:line="360" w:lineRule="auto"/>
              <w:rPr>
                <w:rFonts w:ascii="宋体" w:hAnsi="宋体" w:cs="宋体"/>
                <w:szCs w:val="21"/>
              </w:rPr>
            </w:pPr>
            <w:r>
              <w:rPr>
                <w:rFonts w:hint="eastAsia" w:ascii="宋体" w:hAnsi="宋体" w:cs="宋体"/>
                <w:szCs w:val="21"/>
              </w:rPr>
              <w:t xml:space="preserve">8.3.2可实现超低含量的Cr</w:t>
            </w:r>
            <w:r>
              <w:rPr>
                <w:rFonts w:hint="eastAsia" w:ascii="宋体" w:hAnsi="宋体" w:cs="宋体"/>
                <w:szCs w:val="21"/>
                <w:vertAlign w:val="superscript"/>
              </w:rPr>
              <w:t xml:space="preserve">3+</w:t>
            </w:r>
            <w:r>
              <w:rPr>
                <w:rFonts w:hint="eastAsia" w:ascii="宋体" w:hAnsi="宋体" w:cs="宋体"/>
                <w:szCs w:val="21"/>
              </w:rPr>
              <w:t xml:space="preserve">和Cr</w:t>
            </w:r>
            <w:r>
              <w:rPr>
                <w:rFonts w:hint="eastAsia" w:ascii="宋体" w:hAnsi="宋体" w:cs="宋体"/>
                <w:szCs w:val="21"/>
                <w:vertAlign w:val="superscript"/>
              </w:rPr>
              <w:t xml:space="preserve">6+</w:t>
            </w:r>
            <w:r>
              <w:rPr>
                <w:rFonts w:hint="eastAsia" w:ascii="宋体" w:hAnsi="宋体" w:cs="宋体"/>
                <w:szCs w:val="21"/>
              </w:rPr>
              <w:t xml:space="preserve">形态检测，对于Cr</w:t>
            </w:r>
            <w:r>
              <w:rPr>
                <w:rFonts w:hint="eastAsia" w:ascii="宋体" w:hAnsi="宋体" w:cs="宋体"/>
                <w:szCs w:val="21"/>
                <w:vertAlign w:val="superscript"/>
              </w:rPr>
              <w:t xml:space="preserve">6+</w:t>
            </w:r>
            <w:r>
              <w:rPr>
                <w:rFonts w:hint="eastAsia" w:ascii="宋体" w:hAnsi="宋体" w:cs="宋体"/>
                <w:szCs w:val="21"/>
              </w:rPr>
              <w:t xml:space="preserve">可达到0.5ppt的检出限能力</w:t>
            </w:r>
            <w:r>
              <w:rPr>
                <w:rFonts w:hint="eastAsia" w:ascii="宋体" w:hAnsi="宋体" w:cs="宋体"/>
                <w:b/>
                <w:bCs/>
                <w:szCs w:val="21"/>
              </w:rPr>
              <w:t xml:space="preserve">（提供官方应用报告）</w:t>
            </w:r>
            <w:r>
              <w:rPr>
                <w:rFonts w:hint="eastAsia" w:ascii="宋体" w:hAnsi="宋体" w:cs="宋体"/>
                <w:szCs w:val="21"/>
              </w:rPr>
              <w:t xml:space="preserve">；</w:t>
            </w:r>
            <w:r/>
          </w:p>
          <w:p>
            <w:pPr>
              <w:spacing w:line="360" w:lineRule="auto"/>
              <w:rPr>
                <w:rFonts w:ascii="宋体" w:hAnsi="宋体" w:cs="宋体"/>
                <w:szCs w:val="21"/>
              </w:rPr>
            </w:pPr>
            <w:r>
              <w:rPr>
                <w:rFonts w:hint="eastAsia" w:ascii="宋体" w:hAnsi="宋体" w:cs="宋体"/>
                <w:szCs w:val="21"/>
              </w:rPr>
              <w:t xml:space="preserve">8.3.3 可实现一次进样完成砷、铬、溴、碘四种元素11种形态同时分离分析</w:t>
            </w:r>
            <w:r>
              <w:rPr>
                <w:rFonts w:hint="eastAsia" w:ascii="宋体" w:hAnsi="宋体" w:cs="宋体"/>
                <w:b/>
                <w:bCs/>
                <w:szCs w:val="21"/>
              </w:rPr>
              <w:t xml:space="preserve">（提供官方应用报告）</w:t>
            </w:r>
            <w:r>
              <w:rPr>
                <w:rFonts w:hint="eastAsia" w:ascii="宋体" w:hAnsi="宋体" w:cs="宋体"/>
                <w:szCs w:val="21"/>
              </w:rPr>
              <w:t xml:space="preserve">。</w:t>
            </w:r>
            <w:r/>
          </w:p>
          <w:p>
            <w:pPr>
              <w:spacing w:line="360" w:lineRule="auto"/>
              <w:rPr>
                <w:rFonts w:ascii="宋体" w:hAnsi="宋体" w:cs="宋体"/>
                <w:szCs w:val="21"/>
              </w:rPr>
            </w:pPr>
            <w:r>
              <w:rPr>
                <w:rFonts w:hint="eastAsia" w:ascii="宋体" w:hAnsi="宋体" w:cs="宋体"/>
                <w:bCs/>
                <w:szCs w:val="21"/>
              </w:rPr>
              <w:t xml:space="preserve">▲</w:t>
            </w:r>
            <w:r>
              <w:rPr>
                <w:rFonts w:hint="eastAsia" w:ascii="宋体" w:hAnsi="宋体" w:cs="宋体"/>
                <w:szCs w:val="21"/>
              </w:rPr>
              <w:t xml:space="preserve">8.4 </w:t>
            </w:r>
            <w:r>
              <w:rPr>
                <w:rFonts w:ascii="宋体" w:hAnsi="宋体" w:cs="宋体"/>
                <w:spacing w:val="1"/>
              </w:rPr>
              <w:t xml:space="preserve">一针进样可同时完成水样中ppm级别常规离子(氟离子、氯离子、亚硝酸根、溴离子、硝酸根、硫酸根、磷酸根)、ppb级别含氧消毒副产物(亚氯酸、溴酸盐、氯酸  盐)、卤代乙酸(二氯乙酸、三氯乙酸)、草甘膦、碘离子、高氯酸共15种阴离子分析</w:t>
            </w:r>
            <w:r>
              <w:rPr>
                <w:rFonts w:hint="eastAsia" w:ascii="宋体" w:hAnsi="宋体" w:cs="宋体"/>
                <w:spacing w:val="1"/>
              </w:rPr>
              <w:t xml:space="preserve">。</w:t>
            </w:r>
            <w:r>
              <w:rPr>
                <w:rFonts w:ascii="宋体" w:hAnsi="宋体" w:cs="宋体"/>
                <w:b/>
                <w:bCs/>
                <w:spacing w:val="1"/>
              </w:rPr>
              <w:t xml:space="preserve">(提供</w:t>
            </w:r>
            <w:r>
              <w:rPr>
                <w:rFonts w:hint="eastAsia" w:ascii="宋体" w:hAnsi="宋体" w:cs="宋体"/>
                <w:b/>
                <w:bCs/>
                <w:spacing w:val="1"/>
              </w:rPr>
              <w:t xml:space="preserve">原厂检测报告或</w:t>
            </w:r>
            <w:r>
              <w:rPr>
                <w:rFonts w:ascii="宋体" w:hAnsi="宋体" w:cs="宋体"/>
                <w:b/>
                <w:bCs/>
                <w:spacing w:val="1"/>
              </w:rPr>
              <w:t xml:space="preserve">应用文献)</w:t>
            </w:r>
            <w:r/>
          </w:p>
          <w:p>
            <w:pPr>
              <w:spacing w:line="360" w:lineRule="auto"/>
              <w:rPr>
                <w:rFonts w:ascii="宋体" w:hAnsi="宋体" w:cs="宋体"/>
                <w:b/>
                <w:bCs/>
                <w:szCs w:val="21"/>
              </w:rPr>
            </w:pPr>
            <w:r>
              <w:rPr>
                <w:rFonts w:hint="eastAsia" w:ascii="宋体" w:hAnsi="宋体" w:cs="宋体"/>
                <w:b/>
                <w:bCs/>
                <w:szCs w:val="21"/>
              </w:rPr>
              <w:t xml:space="preserve">9、配置要求</w:t>
            </w:r>
            <w:r/>
          </w:p>
          <w:p>
            <w:pPr>
              <w:spacing w:line="360" w:lineRule="auto"/>
              <w:rPr>
                <w:rFonts w:ascii="宋体" w:hAnsi="宋体" w:cs="宋体"/>
                <w:szCs w:val="21"/>
              </w:rPr>
            </w:pPr>
            <w:r>
              <w:rPr>
                <w:rFonts w:hint="eastAsia" w:ascii="宋体" w:hAnsi="宋体" w:cs="宋体"/>
                <w:szCs w:val="21"/>
              </w:rPr>
              <w:t xml:space="preserve">9.1、高压四元梯度泵-高压泵双系统离子色谱主机1套（PEEK高压双泵、柱温箱、检测器和色谱工作站等）；</w:t>
            </w:r>
            <w:r/>
          </w:p>
          <w:p>
            <w:pPr>
              <w:spacing w:line="360" w:lineRule="auto"/>
              <w:rPr>
                <w:rFonts w:ascii="宋体" w:hAnsi="宋体" w:cs="宋体"/>
                <w:szCs w:val="21"/>
              </w:rPr>
            </w:pPr>
            <w:r>
              <w:rPr>
                <w:rFonts w:hint="eastAsia" w:ascii="宋体" w:hAnsi="宋体" w:cs="宋体"/>
                <w:szCs w:val="21"/>
              </w:rPr>
              <w:t xml:space="preserve">9.2、全自动在线电解淋洗液发生器1套；</w:t>
            </w:r>
            <w:r/>
          </w:p>
          <w:p>
            <w:pPr>
              <w:spacing w:line="360" w:lineRule="auto"/>
              <w:rPr>
                <w:rFonts w:ascii="宋体" w:hAnsi="宋体" w:cs="宋体"/>
                <w:szCs w:val="21"/>
              </w:rPr>
            </w:pPr>
            <w:r>
              <w:rPr>
                <w:rFonts w:hint="eastAsia" w:ascii="宋体" w:hAnsi="宋体" w:cs="宋体"/>
                <w:szCs w:val="21"/>
              </w:rPr>
              <w:t xml:space="preserve">9.3、阴离子和阳离子分析柱、保护柱1套；</w:t>
            </w:r>
            <w:r/>
          </w:p>
          <w:p>
            <w:pPr>
              <w:spacing w:line="360" w:lineRule="auto"/>
              <w:rPr>
                <w:rFonts w:ascii="宋体" w:hAnsi="宋体" w:cs="宋体"/>
                <w:szCs w:val="21"/>
              </w:rPr>
            </w:pPr>
            <w:r>
              <w:rPr>
                <w:rFonts w:hint="eastAsia" w:ascii="宋体" w:hAnsi="宋体" w:cs="宋体"/>
                <w:szCs w:val="21"/>
              </w:rPr>
              <w:t xml:space="preserve">9.4、阴离子和阳离子电解再生抑制器1套；</w:t>
            </w:r>
            <w:r/>
          </w:p>
          <w:p>
            <w:pPr>
              <w:spacing w:line="360" w:lineRule="auto"/>
              <w:rPr>
                <w:rFonts w:ascii="宋体" w:hAnsi="宋体" w:cs="宋体"/>
                <w:szCs w:val="21"/>
              </w:rPr>
            </w:pPr>
            <w:r>
              <w:rPr>
                <w:rFonts w:hint="eastAsia" w:ascii="宋体" w:hAnsi="宋体" w:cs="宋体"/>
                <w:szCs w:val="21"/>
              </w:rPr>
              <w:t xml:space="preserve">9.5、双系统自动进样器1套；</w:t>
            </w:r>
            <w:r/>
          </w:p>
          <w:p>
            <w:pPr>
              <w:spacing w:line="360" w:lineRule="auto"/>
              <w:rPr>
                <w:rFonts w:ascii="宋体" w:hAnsi="宋体" w:cs="宋体"/>
                <w:szCs w:val="21"/>
              </w:rPr>
            </w:pPr>
            <w:r>
              <w:rPr>
                <w:rFonts w:hint="eastAsia" w:ascii="宋体" w:hAnsi="宋体" w:cs="宋体"/>
                <w:szCs w:val="21"/>
              </w:rPr>
              <w:t xml:space="preserve">9.6、自动进样瓶2包（100个/包）；</w:t>
            </w:r>
            <w:r/>
          </w:p>
          <w:p>
            <w:pPr>
              <w:spacing w:line="360" w:lineRule="auto"/>
              <w:rPr>
                <w:rFonts w:ascii="宋体" w:hAnsi="宋体" w:cs="宋体"/>
                <w:szCs w:val="21"/>
              </w:rPr>
            </w:pPr>
            <w:r>
              <w:rPr>
                <w:rFonts w:hint="eastAsia" w:ascii="宋体" w:hAnsi="宋体" w:cs="宋体"/>
                <w:szCs w:val="21"/>
              </w:rPr>
              <w:t xml:space="preserve">9.7、色谱控制软件1套；</w:t>
            </w:r>
            <w:r/>
          </w:p>
          <w:p>
            <w:pPr>
              <w:jc w:val="left"/>
              <w:spacing w:line="360" w:lineRule="auto"/>
              <w:rPr>
                <w:rFonts w:ascii="宋体" w:hAnsi="宋体" w:cs="宋体"/>
                <w:szCs w:val="21"/>
              </w:rPr>
            </w:pPr>
            <w:r>
              <w:rPr>
                <w:rFonts w:hint="eastAsia" w:ascii="宋体" w:hAnsi="宋体" w:cs="宋体"/>
                <w:szCs w:val="21"/>
              </w:rPr>
              <w:t xml:space="preserve">9.8、数据控制系统和输出系统各一套（主机：不低于i7六核4.1GHz处理器处理能力/不低于16GB (2x8GB)/不低于1TB硬盘/64位正版操作系统；不小于22寸液晶显示设备。输出设备一台，支持彩色自动双面输出，支持有线&amp;无线网络输出，A4纸输出速度（黑白或彩色）不低于27页/分钟。</w:t>
            </w:r>
            <w:r>
              <w:rPr>
                <w:rFonts w:ascii="宋体" w:hAnsi="宋体" w:cs="宋体"/>
                <w:b/>
                <w:i/>
                <w:iCs/>
                <w:szCs w:val="21"/>
                <w:u w:val="single"/>
              </w:rPr>
              <w:br/>
            </w:r>
            <w:r>
              <w:rPr>
                <w:rFonts w:hint="eastAsia" w:ascii="宋体" w:hAnsi="宋体" w:cs="宋体"/>
                <w:szCs w:val="21"/>
              </w:rPr>
              <w:t xml:space="preserve">9.9、</w:t>
            </w:r>
            <w:r>
              <w:rPr>
                <w:rFonts w:hint="eastAsia" w:ascii="宋体" w:hAnsi="宋体" w:cs="宋体"/>
                <w:bCs/>
                <w:szCs w:val="21"/>
              </w:rPr>
              <w:t xml:space="preserve">品牌除湿机2台， 低噪音；除湿量≥20L/D ；水箱软管双排水；自动除霜；智能恒湿；万向滚轮。</w:t>
            </w:r>
            <w:r/>
          </w:p>
        </w:tc>
      </w:tr>
      <w:tr>
        <w:trPr/>
        <w:tc>
          <w:tcPr>
            <w:shd w:val="clear" w:color="auto" w:fill="auto"/>
            <w:tcW w:w="355" w:type="pct"/>
            <w:vAlign w:val="center"/>
            <w:textDirection w:val="lrTb"/>
            <w:noWrap w:val="false"/>
          </w:tcPr>
          <w:p>
            <w:pPr>
              <w:jc w:val="center"/>
              <w:spacing w:line="360" w:lineRule="auto"/>
              <w:widowControl/>
              <w:rPr>
                <w:rFonts w:ascii="宋体" w:hAnsi="宋体" w:cs="宋体"/>
                <w:color w:val="000000"/>
                <w:szCs w:val="21"/>
              </w:rPr>
              <w:pBdr>
                <w:top w:val="none" w:color="auto" w:sz="0" w:space="1"/>
                <w:left w:val="none" w:color="auto" w:sz="0" w:space="4"/>
                <w:bottom w:val="none" w:color="auto" w:sz="0" w:space="1"/>
                <w:right w:val="none" w:color="auto" w:sz="0" w:space="4"/>
              </w:pBdr>
            </w:pPr>
            <w:r>
              <w:rPr>
                <w:rFonts w:hint="eastAsia" w:ascii="宋体" w:hAnsi="宋体" w:cs="宋体"/>
                <w:color w:val="000000"/>
                <w:szCs w:val="21"/>
              </w:rPr>
              <w:t xml:space="preserve">2</w:t>
            </w:r>
            <w:r/>
          </w:p>
        </w:tc>
        <w:tc>
          <w:tcPr>
            <w:shd w:val="clear" w:color="auto" w:fill="auto"/>
            <w:tcW w:w="773" w:type="pct"/>
            <w:vAlign w:val="center"/>
            <w:textDirection w:val="lrTb"/>
            <w:noWrap w:val="false"/>
          </w:tcPr>
          <w:p>
            <w:pPr>
              <w:jc w:val="center"/>
              <w:spacing w:line="360" w:lineRule="auto"/>
              <w:widowControl/>
              <w:rPr>
                <w:rFonts w:ascii="宋体" w:hAnsi="宋体" w:cs="宋体"/>
                <w:color w:val="000000"/>
                <w:szCs w:val="21"/>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Cs w:val="21"/>
                <w:lang w:bidi="ar"/>
              </w:rPr>
              <w:t xml:space="preserve">电子天平</w:t>
            </w:r>
            <w:r/>
          </w:p>
        </w:tc>
        <w:tc>
          <w:tcPr>
            <w:shd w:val="clear" w:color="auto" w:fill="auto"/>
            <w:tcW w:w="3871" w:type="pct"/>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一．仪器参数</w:t>
            </w:r>
            <w:r/>
          </w:p>
          <w:p>
            <w:pPr>
              <w:jc w:val="left"/>
              <w:spacing w:line="360" w:lineRule="auto"/>
              <w:rPr>
                <w:rFonts w:ascii="宋体" w:hAnsi="宋体" w:cs="宋体"/>
                <w:bCs/>
                <w:szCs w:val="21"/>
              </w:rPr>
            </w:pPr>
            <w:r>
              <w:rPr>
                <w:rFonts w:hint="eastAsia" w:ascii="宋体" w:hAnsi="宋体" w:cs="宋体"/>
                <w:bCs/>
                <w:szCs w:val="21"/>
              </w:rPr>
              <w:t xml:space="preserve">1、双量程：万分之一，十万分之一；</w:t>
            </w:r>
            <w:r/>
          </w:p>
          <w:p>
            <w:pPr>
              <w:jc w:val="left"/>
              <w:spacing w:line="360" w:lineRule="auto"/>
              <w:rPr>
                <w:rFonts w:ascii="宋体" w:hAnsi="宋体" w:cs="宋体"/>
                <w:b/>
                <w:i/>
                <w:iCs/>
                <w:szCs w:val="21"/>
                <w:u w:val="single"/>
              </w:rPr>
            </w:pPr>
            <w:r>
              <w:rPr>
                <w:rFonts w:hint="eastAsia" w:ascii="宋体" w:hAnsi="宋体" w:cs="宋体"/>
                <w:b/>
                <w:i/>
                <w:iCs/>
                <w:szCs w:val="21"/>
                <w:u w:val="single"/>
              </w:rPr>
              <w:t xml:space="preserve">2、最大秤量: 万分之一 ≥220g，十万分之一 ≥80g；</w:t>
            </w:r>
            <w:r/>
          </w:p>
          <w:p>
            <w:pPr>
              <w:jc w:val="left"/>
              <w:spacing w:line="360" w:lineRule="auto"/>
              <w:rPr>
                <w:rFonts w:ascii="宋体" w:hAnsi="宋体" w:cs="宋体"/>
                <w:bCs/>
                <w:szCs w:val="21"/>
              </w:rPr>
            </w:pPr>
            <w:r>
              <w:rPr>
                <w:rFonts w:hint="eastAsia" w:ascii="宋体" w:hAnsi="宋体" w:cs="宋体"/>
                <w:bCs/>
                <w:szCs w:val="21"/>
              </w:rPr>
              <w:t xml:space="preserve">3、最小可读性：≤0.01mg；</w:t>
            </w:r>
            <w:r/>
          </w:p>
          <w:p>
            <w:pPr>
              <w:jc w:val="left"/>
              <w:spacing w:line="360" w:lineRule="auto"/>
              <w:rPr>
                <w:rFonts w:ascii="宋体" w:hAnsi="宋体" w:cs="宋体"/>
                <w:bCs/>
                <w:szCs w:val="21"/>
              </w:rPr>
            </w:pPr>
            <w:r>
              <w:rPr>
                <w:rFonts w:hint="eastAsia" w:ascii="宋体" w:hAnsi="宋体" w:cs="宋体"/>
                <w:b/>
                <w:i/>
                <w:iCs/>
                <w:szCs w:val="21"/>
                <w:u w:val="single"/>
              </w:rPr>
              <w:t xml:space="preserve">4、重复性（5%载荷，典型值）：≤0.01mg；</w:t>
            </w:r>
            <w:r/>
          </w:p>
          <w:p>
            <w:pPr>
              <w:jc w:val="left"/>
              <w:spacing w:line="360" w:lineRule="auto"/>
              <w:rPr>
                <w:rFonts w:ascii="宋体" w:hAnsi="宋体" w:cs="宋体"/>
                <w:bCs/>
                <w:szCs w:val="21"/>
              </w:rPr>
            </w:pPr>
            <w:r>
              <w:rPr>
                <w:rFonts w:hint="eastAsia" w:ascii="宋体" w:hAnsi="宋体" w:cs="宋体"/>
                <w:bCs/>
                <w:szCs w:val="21"/>
              </w:rPr>
              <w:t xml:space="preserve">5、线性偏差：≤0.06mg；</w:t>
            </w:r>
            <w:r/>
          </w:p>
          <w:p>
            <w:pPr>
              <w:jc w:val="left"/>
              <w:spacing w:line="360" w:lineRule="auto"/>
              <w:rPr>
                <w:rFonts w:ascii="宋体" w:hAnsi="宋体" w:cs="宋体"/>
                <w:bCs/>
                <w:szCs w:val="21"/>
              </w:rPr>
            </w:pPr>
            <w:r>
              <w:rPr>
                <w:rFonts w:hint="eastAsia" w:ascii="宋体" w:hAnsi="宋体" w:cs="宋体"/>
                <w:bCs/>
                <w:szCs w:val="21"/>
              </w:rPr>
              <w:t xml:space="preserve">6、秤盘尺寸：≥70*70mm；</w:t>
            </w:r>
            <w:r/>
          </w:p>
          <w:p>
            <w:pPr>
              <w:jc w:val="left"/>
              <w:spacing w:line="360" w:lineRule="auto"/>
              <w:rPr>
                <w:rFonts w:ascii="宋体" w:hAnsi="宋体" w:cs="宋体"/>
                <w:b/>
                <w:i/>
                <w:iCs/>
                <w:szCs w:val="21"/>
                <w:u w:val="single"/>
              </w:rPr>
            </w:pPr>
            <w:r>
              <w:rPr>
                <w:rFonts w:hint="eastAsia" w:ascii="宋体" w:hAnsi="宋体" w:cs="宋体"/>
                <w:b/>
                <w:i/>
                <w:iCs/>
                <w:szCs w:val="21"/>
                <w:u w:val="single"/>
              </w:rPr>
              <w:t xml:space="preserve">7、防风罩有效高度：≥230mm；</w:t>
            </w:r>
            <w:r/>
          </w:p>
          <w:p>
            <w:pPr>
              <w:jc w:val="left"/>
              <w:spacing w:line="360" w:lineRule="auto"/>
              <w:rPr>
                <w:rFonts w:ascii="宋体" w:hAnsi="宋体" w:cs="宋体"/>
                <w:bCs/>
                <w:szCs w:val="21"/>
              </w:rPr>
            </w:pPr>
            <w:r>
              <w:rPr>
                <w:rFonts w:hint="eastAsia" w:ascii="宋体" w:hAnsi="宋体" w:cs="宋体"/>
                <w:bCs/>
                <w:szCs w:val="21"/>
              </w:rPr>
              <w:t xml:space="preserve">8、稳定时间：≤1.5s；</w:t>
            </w:r>
            <w:r/>
          </w:p>
          <w:p>
            <w:pPr>
              <w:jc w:val="left"/>
              <w:spacing w:line="360" w:lineRule="auto"/>
              <w:rPr>
                <w:rFonts w:ascii="宋体" w:hAnsi="宋体" w:cs="宋体"/>
                <w:bCs/>
                <w:szCs w:val="21"/>
              </w:rPr>
            </w:pPr>
            <w:r>
              <w:rPr>
                <w:rFonts w:hint="eastAsia" w:ascii="宋体" w:hAnsi="宋体" w:cs="宋体"/>
                <w:bCs/>
                <w:szCs w:val="21"/>
              </w:rPr>
              <w:t xml:space="preserve">9、后置式传感器；</w:t>
            </w:r>
            <w:r/>
          </w:p>
          <w:p>
            <w:pPr>
              <w:jc w:val="left"/>
              <w:spacing w:line="360" w:lineRule="auto"/>
              <w:rPr>
                <w:rFonts w:ascii="宋体" w:hAnsi="宋体" w:cs="宋体"/>
                <w:bCs/>
                <w:szCs w:val="21"/>
              </w:rPr>
            </w:pPr>
            <w:r>
              <w:rPr>
                <w:rFonts w:hint="eastAsia" w:ascii="宋体" w:hAnsi="宋体" w:cs="宋体"/>
                <w:bCs/>
                <w:szCs w:val="21"/>
              </w:rPr>
              <w:t xml:space="preserve">10、悬挂式网格秤盘；</w:t>
            </w:r>
            <w:r/>
          </w:p>
          <w:p>
            <w:pPr>
              <w:jc w:val="left"/>
              <w:spacing w:line="360" w:lineRule="auto"/>
              <w:rPr>
                <w:rFonts w:ascii="宋体" w:hAnsi="宋体" w:cs="宋体"/>
                <w:bCs/>
                <w:szCs w:val="21"/>
              </w:rPr>
            </w:pPr>
            <w:r>
              <w:rPr>
                <w:rFonts w:hint="eastAsia" w:ascii="宋体" w:hAnsi="宋体" w:cs="宋体"/>
                <w:bCs/>
                <w:szCs w:val="21"/>
              </w:rPr>
              <w:t xml:space="preserve">11、自动开关防风门；</w:t>
            </w:r>
            <w:r/>
          </w:p>
          <w:p>
            <w:pPr>
              <w:jc w:val="left"/>
              <w:spacing w:line="360" w:lineRule="auto"/>
              <w:rPr>
                <w:rFonts w:ascii="宋体" w:hAnsi="宋体" w:cs="宋体"/>
                <w:bCs/>
                <w:szCs w:val="21"/>
              </w:rPr>
            </w:pPr>
            <w:r>
              <w:rPr>
                <w:rFonts w:hint="eastAsia" w:ascii="宋体" w:hAnsi="宋体" w:cs="宋体"/>
                <w:bCs/>
                <w:szCs w:val="21"/>
              </w:rPr>
              <w:t xml:space="preserve">12、操作终端：≥7英寸彩色触摸屏；</w:t>
            </w:r>
            <w:r/>
          </w:p>
          <w:p>
            <w:pPr>
              <w:jc w:val="left"/>
              <w:spacing w:line="360" w:lineRule="auto"/>
              <w:rPr>
                <w:rFonts w:ascii="宋体" w:hAnsi="宋体" w:cs="宋体"/>
                <w:bCs/>
                <w:szCs w:val="21"/>
              </w:rPr>
            </w:pPr>
            <w:r>
              <w:rPr>
                <w:rFonts w:hint="eastAsia" w:ascii="宋体" w:hAnsi="宋体" w:cs="宋体"/>
                <w:bCs/>
                <w:szCs w:val="21"/>
              </w:rPr>
              <w:t xml:space="preserve">▲13、内置不少于三种颜色状态指示灯，可在操作触摸屏熄灭状态下通过指示灯颜色判断天平状态；</w:t>
            </w:r>
            <w:r>
              <w:rPr>
                <w:rFonts w:hint="eastAsia" w:ascii="宋体" w:hAnsi="宋体" w:cs="宋体"/>
                <w:b/>
                <w:bCs/>
                <w:szCs w:val="21"/>
              </w:rPr>
              <w:t xml:space="preserve">（提供实物图片等证明材料）</w:t>
            </w:r>
            <w:r/>
          </w:p>
          <w:p>
            <w:pPr>
              <w:jc w:val="left"/>
              <w:spacing w:line="360" w:lineRule="auto"/>
              <w:rPr>
                <w:rFonts w:ascii="宋体" w:hAnsi="宋体" w:cs="宋体"/>
                <w:bCs/>
                <w:szCs w:val="21"/>
              </w:rPr>
            </w:pPr>
            <w:r>
              <w:rPr>
                <w:rFonts w:hint="eastAsia" w:ascii="宋体" w:hAnsi="宋体" w:cs="宋体"/>
                <w:bCs/>
                <w:szCs w:val="21"/>
              </w:rPr>
              <w:t xml:space="preserve">14、不水平时发出声音警告并带有图形化水平调节向导；</w:t>
            </w:r>
            <w:r/>
          </w:p>
          <w:p>
            <w:pPr>
              <w:jc w:val="left"/>
              <w:spacing w:line="360" w:lineRule="auto"/>
              <w:rPr>
                <w:rFonts w:ascii="宋体" w:hAnsi="宋体" w:cs="宋体"/>
                <w:bCs/>
                <w:szCs w:val="21"/>
              </w:rPr>
            </w:pPr>
            <w:r>
              <w:rPr>
                <w:rFonts w:hint="eastAsia" w:ascii="宋体" w:hAnsi="宋体" w:cs="宋体"/>
                <w:bCs/>
                <w:szCs w:val="21"/>
              </w:rPr>
              <w:t xml:space="preserve">▲15、温度漂移和用户时间设置触发的全自动校正，每天可设置3个时间点，进行自动内校。</w:t>
            </w:r>
            <w:r>
              <w:rPr>
                <w:rFonts w:hint="eastAsia" w:ascii="宋体" w:hAnsi="宋体" w:cs="宋体"/>
                <w:b/>
                <w:bCs/>
                <w:szCs w:val="21"/>
              </w:rPr>
              <w:t xml:space="preserve">（提供仪器说明书或官方彩页或官网截图等 ）</w:t>
            </w:r>
            <w:r/>
          </w:p>
          <w:p>
            <w:pPr>
              <w:jc w:val="left"/>
              <w:spacing w:line="360" w:lineRule="auto"/>
              <w:rPr>
                <w:rFonts w:ascii="宋体" w:hAnsi="宋体" w:cs="宋体"/>
                <w:bCs/>
                <w:szCs w:val="21"/>
              </w:rPr>
            </w:pPr>
            <w:r>
              <w:rPr>
                <w:rFonts w:hint="eastAsia" w:ascii="宋体" w:hAnsi="宋体" w:cs="宋体"/>
                <w:bCs/>
                <w:szCs w:val="21"/>
              </w:rPr>
              <w:t xml:space="preserve">16、主机标配不少于4个USB接口和1个网络接口；</w:t>
            </w:r>
            <w:r/>
          </w:p>
          <w:p>
            <w:pPr>
              <w:jc w:val="left"/>
              <w:spacing w:line="360" w:lineRule="auto"/>
              <w:rPr>
                <w:rFonts w:ascii="宋体" w:hAnsi="宋体" w:cs="宋体"/>
                <w:bCs/>
                <w:szCs w:val="21"/>
              </w:rPr>
            </w:pPr>
            <w:r>
              <w:rPr>
                <w:rFonts w:hint="eastAsia" w:ascii="宋体" w:hAnsi="宋体" w:cs="宋体"/>
                <w:bCs/>
                <w:szCs w:val="21"/>
              </w:rPr>
              <w:t xml:space="preserve">17、可保存变更历史记录不少于5000条，日常测试记录不少于500条，服务记录不少于500条；</w:t>
            </w:r>
            <w:r/>
          </w:p>
          <w:p>
            <w:pPr>
              <w:jc w:val="left"/>
              <w:spacing w:line="360" w:lineRule="auto"/>
              <w:rPr>
                <w:rFonts w:ascii="宋体" w:hAnsi="宋体" w:cs="宋体"/>
                <w:bCs/>
                <w:szCs w:val="21"/>
              </w:rPr>
            </w:pPr>
            <w:r>
              <w:rPr>
                <w:rFonts w:hint="eastAsia" w:ascii="宋体" w:hAnsi="宋体" w:cs="宋体"/>
                <w:bCs/>
                <w:szCs w:val="21"/>
              </w:rPr>
              <w:t xml:space="preserve">18、内置结果记事本功能，可保存称量任务参数和结果。</w:t>
            </w:r>
            <w:r/>
          </w:p>
          <w:p>
            <w:pPr>
              <w:jc w:val="left"/>
              <w:spacing w:line="360" w:lineRule="auto"/>
              <w:rPr>
                <w:rFonts w:ascii="宋体" w:hAnsi="宋体" w:cs="宋体"/>
                <w:bCs/>
                <w:szCs w:val="21"/>
              </w:rPr>
            </w:pPr>
            <w:r>
              <w:rPr>
                <w:rFonts w:hint="eastAsia" w:ascii="宋体" w:hAnsi="宋体" w:cs="宋体"/>
                <w:bCs/>
                <w:szCs w:val="21"/>
              </w:rPr>
              <w:t xml:space="preserve">二．仪器配置</w:t>
            </w:r>
            <w:r/>
          </w:p>
          <w:p>
            <w:pPr>
              <w:jc w:val="left"/>
              <w:spacing w:line="360" w:lineRule="auto"/>
              <w:rPr>
                <w:rFonts w:ascii="宋体" w:hAnsi="宋体" w:cs="宋体"/>
                <w:bCs/>
                <w:szCs w:val="21"/>
              </w:rPr>
            </w:pPr>
            <w:r>
              <w:rPr>
                <w:rFonts w:hint="eastAsia" w:ascii="宋体" w:hAnsi="宋体" w:cs="宋体"/>
                <w:bCs/>
                <w:szCs w:val="21"/>
              </w:rPr>
              <w:t xml:space="preserve">1、电子天平主机 2台；</w:t>
            </w:r>
            <w:r/>
          </w:p>
          <w:p>
            <w:pPr>
              <w:jc w:val="left"/>
              <w:spacing w:line="360" w:lineRule="auto"/>
              <w:rPr>
                <w:rFonts w:ascii="宋体" w:hAnsi="宋体" w:cs="宋体"/>
                <w:bCs/>
                <w:szCs w:val="21"/>
              </w:rPr>
            </w:pPr>
            <w:r>
              <w:rPr>
                <w:rFonts w:hint="eastAsia" w:ascii="宋体" w:hAnsi="宋体" w:cs="宋体"/>
                <w:bCs/>
                <w:szCs w:val="21"/>
              </w:rPr>
              <w:t xml:space="preserve">2、配置同品牌微型打印机2台，及配套打印纸40卷；</w:t>
            </w:r>
            <w:r/>
          </w:p>
          <w:p>
            <w:pPr>
              <w:jc w:val="left"/>
              <w:spacing w:line="360" w:lineRule="auto"/>
              <w:rPr>
                <w:rFonts w:ascii="宋体" w:hAnsi="宋体" w:cs="宋体"/>
                <w:bCs/>
                <w:szCs w:val="21"/>
              </w:rPr>
            </w:pPr>
            <w:r>
              <w:rPr>
                <w:rFonts w:hint="eastAsia" w:ascii="宋体" w:hAnsi="宋体" w:cs="宋体"/>
                <w:bCs/>
                <w:szCs w:val="21"/>
              </w:rPr>
              <w:t xml:space="preserve">3、配置同品牌通用U型静电去除装置2台；</w:t>
            </w:r>
            <w:r/>
          </w:p>
          <w:p>
            <w:pPr>
              <w:jc w:val="left"/>
              <w:spacing w:line="360" w:lineRule="auto"/>
              <w:rPr>
                <w:rFonts w:ascii="宋体" w:hAnsi="宋体" w:cs="宋体"/>
                <w:bCs/>
                <w:szCs w:val="21"/>
              </w:rPr>
            </w:pPr>
            <w:r>
              <w:rPr>
                <w:rFonts w:hint="eastAsia" w:ascii="宋体" w:hAnsi="宋体" w:cs="宋体"/>
                <w:bCs/>
                <w:szCs w:val="21"/>
              </w:rPr>
              <w:t xml:space="preserve">4、品牌除湿机2台， 低噪音；</w:t>
            </w:r>
            <w:r/>
          </w:p>
          <w:p>
            <w:pPr>
              <w:jc w:val="left"/>
              <w:spacing w:line="360" w:lineRule="auto"/>
              <w:rPr>
                <w:rFonts w:ascii="宋体" w:hAnsi="宋体" w:cs="宋体"/>
                <w:bCs/>
                <w:szCs w:val="21"/>
              </w:rPr>
            </w:pPr>
            <w:r>
              <w:rPr>
                <w:rFonts w:hint="eastAsia" w:ascii="宋体" w:hAnsi="宋体" w:cs="宋体"/>
                <w:bCs/>
                <w:szCs w:val="21"/>
              </w:rPr>
              <w:t xml:space="preserve">除湿量≥20L/D ；</w:t>
            </w:r>
            <w:r/>
          </w:p>
          <w:p>
            <w:pPr>
              <w:jc w:val="left"/>
              <w:spacing w:line="360" w:lineRule="auto"/>
              <w:rPr>
                <w:rFonts w:ascii="宋体" w:hAnsi="宋体" w:cs="宋体"/>
                <w:bCs/>
                <w:szCs w:val="21"/>
              </w:rPr>
            </w:pPr>
            <w:r>
              <w:rPr>
                <w:rFonts w:hint="eastAsia" w:ascii="宋体" w:hAnsi="宋体" w:cs="宋体"/>
                <w:bCs/>
                <w:szCs w:val="21"/>
              </w:rPr>
              <w:t xml:space="preserve">水箱软管双排水；自动除霜；</w:t>
            </w:r>
            <w:r/>
          </w:p>
          <w:p>
            <w:pPr>
              <w:jc w:val="left"/>
              <w:spacing w:line="360" w:lineRule="auto"/>
              <w:rPr>
                <w:rFonts w:ascii="宋体" w:hAnsi="宋体" w:cs="宋体"/>
                <w:szCs w:val="21"/>
              </w:rPr>
            </w:pPr>
            <w:r>
              <w:rPr>
                <w:rFonts w:hint="eastAsia" w:ascii="宋体" w:hAnsi="宋体" w:cs="宋体"/>
                <w:bCs/>
                <w:szCs w:val="21"/>
              </w:rPr>
              <w:t xml:space="preserve">智能恒湿；万向滚轮。</w:t>
            </w:r>
            <w:r/>
          </w:p>
        </w:tc>
      </w:tr>
      <w:tr>
        <w:trPr/>
        <w:tc>
          <w:tcPr>
            <w:shd w:val="clear" w:color="auto" w:fill="auto"/>
            <w:tcW w:w="355" w:type="pct"/>
            <w:vAlign w:val="center"/>
            <w:textDirection w:val="lrTb"/>
            <w:noWrap w:val="false"/>
          </w:tcPr>
          <w:p>
            <w:pPr>
              <w:jc w:val="center"/>
              <w:spacing w:line="360" w:lineRule="auto"/>
              <w:widowControl/>
              <w:rPr>
                <w:rFonts w:ascii="宋体" w:hAnsi="宋体" w:cs="宋体"/>
                <w:color w:val="000000"/>
                <w:szCs w:val="21"/>
              </w:rPr>
              <w:pBdr>
                <w:top w:val="none" w:color="auto" w:sz="0" w:space="1"/>
                <w:left w:val="none" w:color="auto" w:sz="0" w:space="4"/>
                <w:bottom w:val="none" w:color="auto" w:sz="0" w:space="1"/>
                <w:right w:val="none" w:color="auto" w:sz="0" w:space="4"/>
              </w:pBdr>
            </w:pPr>
            <w:r>
              <w:rPr>
                <w:rFonts w:hint="eastAsia" w:ascii="宋体" w:hAnsi="宋体" w:cs="宋体"/>
                <w:color w:val="000000"/>
                <w:szCs w:val="21"/>
              </w:rPr>
              <w:t xml:space="preserve">3</w:t>
            </w:r>
            <w:r/>
          </w:p>
        </w:tc>
        <w:tc>
          <w:tcPr>
            <w:shd w:val="clear" w:color="auto" w:fill="auto"/>
            <w:tcW w:w="773" w:type="pct"/>
            <w:vAlign w:val="center"/>
            <w:textDirection w:val="lrTb"/>
            <w:noWrap w:val="false"/>
          </w:tcPr>
          <w:p>
            <w:pPr>
              <w:jc w:val="center"/>
              <w:spacing w:line="360" w:lineRule="auto"/>
              <w:widowControl/>
              <w:rPr>
                <w:rFonts w:ascii="宋体" w:hAnsi="宋体" w:cs="宋体"/>
                <w:color w:val="000000"/>
                <w:szCs w:val="21"/>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Cs w:val="21"/>
                <w:lang w:bidi="ar"/>
              </w:rPr>
              <w:t xml:space="preserve">刀式研磨仪1</w:t>
            </w:r>
            <w:r/>
          </w:p>
        </w:tc>
        <w:tc>
          <w:tcPr>
            <w:shd w:val="clear" w:color="auto" w:fill="auto"/>
            <w:tcW w:w="387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1.1性能要求：可对弹性、软性、中硬性、韧性、含水、含油等样品的常规粉碎和重金属粉碎；可加液氮或干冰进行低温粉碎或者样品液氮冷冻后放入粉碎腔中粉碎，达到均质化效果；</w:t>
            </w:r>
            <w:r/>
          </w:p>
          <w:p>
            <w:pPr>
              <w:spacing w:line="360" w:lineRule="auto"/>
              <w:rPr>
                <w:rFonts w:ascii="宋体" w:hAnsi="宋体" w:cs="宋体"/>
                <w:szCs w:val="21"/>
              </w:rPr>
            </w:pPr>
            <w:r>
              <w:rPr>
                <w:rFonts w:hint="eastAsia" w:ascii="宋体" w:hAnsi="宋体" w:cs="宋体"/>
                <w:szCs w:val="21"/>
              </w:rPr>
              <w:t xml:space="preserve">▲1.2 最大进样尺寸≥40毫米，出样尺寸≤300微米；</w:t>
            </w:r>
            <w:r>
              <w:rPr>
                <w:rFonts w:hint="eastAsia" w:ascii="宋体" w:hAnsi="宋体" w:cs="宋体"/>
                <w:b/>
                <w:bCs/>
                <w:szCs w:val="21"/>
              </w:rPr>
              <w:t xml:space="preserve">（提供仪器说明书或官方彩页或官网截图等 ）</w:t>
            </w:r>
            <w:r/>
          </w:p>
          <w:p>
            <w:pPr>
              <w:spacing w:line="360" w:lineRule="auto"/>
              <w:rPr>
                <w:rFonts w:ascii="宋体" w:hAnsi="宋体" w:cs="宋体"/>
                <w:szCs w:val="21"/>
              </w:rPr>
            </w:pPr>
            <w:r>
              <w:rPr>
                <w:rFonts w:hint="eastAsia" w:ascii="宋体" w:hAnsi="宋体" w:cs="宋体"/>
                <w:b/>
                <w:bCs/>
                <w:i/>
                <w:iCs/>
                <w:szCs w:val="21"/>
                <w:u w:val="single"/>
              </w:rPr>
              <w:t xml:space="preserve">1.3转刀的刀片数≥4片，转刀直径≥128 mm，刀具圆周速度≥67m/s，刀片上具有预切口，刀片不在一个水平面上；</w:t>
            </w:r>
            <w:r/>
          </w:p>
          <w:p>
            <w:pPr>
              <w:spacing w:line="360" w:lineRule="auto"/>
              <w:rPr>
                <w:rFonts w:ascii="宋体" w:hAnsi="宋体" w:cs="宋体"/>
                <w:szCs w:val="21"/>
              </w:rPr>
            </w:pPr>
            <w:r>
              <w:rPr>
                <w:rFonts w:hint="eastAsia" w:ascii="宋体" w:hAnsi="宋体" w:cs="宋体"/>
                <w:szCs w:val="21"/>
              </w:rPr>
              <w:t xml:space="preserve">1.4转速范围：2000~14000rpm；</w:t>
            </w:r>
            <w:r/>
          </w:p>
          <w:p>
            <w:pPr>
              <w:spacing w:line="360" w:lineRule="auto"/>
              <w:rPr>
                <w:rFonts w:ascii="宋体" w:hAnsi="宋体" w:cs="宋体"/>
                <w:szCs w:val="21"/>
              </w:rPr>
            </w:pPr>
            <w:r>
              <w:rPr>
                <w:rFonts w:hint="eastAsia" w:ascii="宋体" w:hAnsi="宋体" w:cs="宋体"/>
                <w:szCs w:val="21"/>
              </w:rPr>
              <w:t xml:space="preserve">1.5可设置存储20组粉碎程序；每个程序可以编辑15个研磨步骤，能实现变速研磨；</w:t>
            </w:r>
            <w:r/>
          </w:p>
          <w:p>
            <w:pPr>
              <w:spacing w:line="360" w:lineRule="auto"/>
              <w:rPr>
                <w:rFonts w:ascii="宋体" w:hAnsi="宋体" w:cs="宋体"/>
                <w:i/>
                <w:iCs/>
                <w:szCs w:val="21"/>
                <w:u w:val="single"/>
              </w:rPr>
            </w:pPr>
            <w:r>
              <w:rPr>
                <w:rFonts w:hint="eastAsia" w:ascii="宋体" w:hAnsi="宋体" w:cs="宋体"/>
                <w:b/>
                <w:bCs/>
                <w:i/>
                <w:iCs/>
                <w:szCs w:val="21"/>
                <w:u w:val="single"/>
              </w:rPr>
              <w:t xml:space="preserve">1.6配置容器≥1.4升，容器材质可采用伊士曼共聚酯容器（常规粉碎）、PC容器（可高温高压灭菌）、不锈钢容器（用于硬性、韧性样品粉碎）等等；</w:t>
            </w:r>
            <w:r/>
          </w:p>
          <w:p>
            <w:pPr>
              <w:spacing w:line="360" w:lineRule="auto"/>
              <w:rPr>
                <w:rFonts w:ascii="宋体" w:hAnsi="宋体" w:cs="宋体"/>
                <w:szCs w:val="21"/>
              </w:rPr>
            </w:pPr>
            <w:r>
              <w:rPr>
                <w:rFonts w:hint="eastAsia" w:ascii="宋体" w:hAnsi="宋体" w:cs="宋体"/>
                <w:szCs w:val="21"/>
              </w:rPr>
              <w:t xml:space="preserve">1.7最大样品处理量≥1100mL；</w:t>
            </w:r>
            <w:r/>
          </w:p>
          <w:p>
            <w:pPr>
              <w:spacing w:line="360" w:lineRule="auto"/>
              <w:rPr>
                <w:rFonts w:ascii="宋体" w:hAnsi="宋体" w:cs="宋体"/>
                <w:szCs w:val="21"/>
              </w:rPr>
            </w:pPr>
            <w:r>
              <w:rPr>
                <w:rFonts w:hint="eastAsia" w:ascii="宋体" w:hAnsi="宋体" w:cs="宋体"/>
                <w:szCs w:val="21"/>
              </w:rPr>
              <w:t xml:space="preserve">1.8设备可以实现每分高到≥56000次有效剪切；</w:t>
            </w:r>
            <w:r/>
          </w:p>
          <w:p>
            <w:pPr>
              <w:spacing w:line="360" w:lineRule="auto"/>
              <w:rPr>
                <w:rFonts w:ascii="宋体" w:hAnsi="宋体" w:cs="宋体"/>
                <w:szCs w:val="21"/>
              </w:rPr>
            </w:pPr>
            <w:r>
              <w:rPr>
                <w:rFonts w:hint="eastAsia" w:ascii="宋体" w:hAnsi="宋体" w:cs="宋体"/>
                <w:szCs w:val="21"/>
              </w:rPr>
              <w:t xml:space="preserve">1.9研磨时间1s~60min,液晶触摸屏数字显示设置，可设置正转模式、反转模式、间歇粉碎模式、快速粉碎模式；</w:t>
            </w:r>
            <w:r/>
          </w:p>
          <w:p>
            <w:pPr>
              <w:spacing w:line="360" w:lineRule="auto"/>
              <w:rPr>
                <w:rFonts w:ascii="宋体" w:hAnsi="宋体" w:cs="宋体"/>
                <w:szCs w:val="21"/>
              </w:rPr>
            </w:pPr>
            <w:r>
              <w:rPr>
                <w:rFonts w:hint="eastAsia" w:ascii="宋体" w:hAnsi="宋体" w:cs="宋体"/>
                <w:szCs w:val="21"/>
              </w:rPr>
              <w:t xml:space="preserve">1.10仪器具有电子锁，在控制面板上开启；样品粉碎结束后，电子锁自动开启；</w:t>
            </w:r>
            <w:r/>
          </w:p>
          <w:p>
            <w:pPr>
              <w:spacing w:line="360" w:lineRule="auto"/>
              <w:rPr>
                <w:rFonts w:ascii="宋体" w:hAnsi="宋体" w:cs="宋体"/>
                <w:szCs w:val="21"/>
              </w:rPr>
            </w:pPr>
            <w:r>
              <w:rPr>
                <w:rFonts w:hint="eastAsia" w:ascii="宋体" w:hAnsi="宋体" w:cs="宋体"/>
                <w:szCs w:val="21"/>
              </w:rPr>
              <w:t xml:space="preserve">1.11主机马达负载可显示，配备过温保护，过载保护装置；</w:t>
            </w:r>
            <w:r/>
          </w:p>
          <w:p>
            <w:pPr>
              <w:spacing w:line="360" w:lineRule="auto"/>
              <w:rPr>
                <w:rFonts w:ascii="宋体" w:hAnsi="宋体" w:cs="宋体"/>
                <w:szCs w:val="21"/>
              </w:rPr>
            </w:pPr>
            <w:r>
              <w:rPr>
                <w:rFonts w:hint="eastAsia" w:ascii="宋体" w:hAnsi="宋体" w:cs="宋体"/>
                <w:b/>
                <w:bCs/>
                <w:i/>
                <w:iCs/>
                <w:szCs w:val="21"/>
                <w:u w:val="single"/>
              </w:rPr>
              <w:t xml:space="preserve">1.12针对需要一次性工具处理的样品，可选配容积40mL和100mL的PP制一次性研磨套件；</w:t>
            </w:r>
            <w:r/>
          </w:p>
          <w:p>
            <w:pPr>
              <w:spacing w:line="360" w:lineRule="auto"/>
              <w:rPr>
                <w:rFonts w:ascii="宋体" w:hAnsi="宋体" w:cs="宋体"/>
                <w:szCs w:val="21"/>
              </w:rPr>
            </w:pPr>
            <w:r>
              <w:rPr>
                <w:rFonts w:hint="eastAsia" w:ascii="宋体" w:hAnsi="宋体" w:cs="宋体"/>
                <w:szCs w:val="21"/>
              </w:rPr>
              <w:t xml:space="preserve">1.13设备≥1250W工业电机，确保高效率持续研磨；</w:t>
            </w:r>
            <w:r/>
          </w:p>
          <w:p>
            <w:pPr>
              <w:spacing w:line="360" w:lineRule="auto"/>
              <w:rPr>
                <w:rFonts w:ascii="宋体" w:hAnsi="宋体" w:cs="宋体"/>
                <w:szCs w:val="21"/>
              </w:rPr>
            </w:pPr>
            <w:r>
              <w:rPr>
                <w:rFonts w:hint="eastAsia" w:ascii="宋体" w:hAnsi="宋体" w:cs="宋体"/>
                <w:szCs w:val="21"/>
              </w:rPr>
              <w:t xml:space="preserve">1.14设备可以配置全不锈钢材质刀头和不锈钢保护盖，用于冷冻研磨；</w:t>
            </w:r>
            <w:r/>
          </w:p>
          <w:p>
            <w:pPr>
              <w:spacing w:line="360" w:lineRule="auto"/>
              <w:rPr>
                <w:rFonts w:ascii="宋体" w:hAnsi="宋体" w:cs="宋体"/>
                <w:szCs w:val="21"/>
              </w:rPr>
            </w:pPr>
            <w:r>
              <w:rPr>
                <w:rFonts w:hint="eastAsia" w:ascii="宋体" w:hAnsi="宋体" w:cs="宋体"/>
                <w:szCs w:val="21"/>
              </w:rPr>
              <w:t xml:space="preserve">1.15控制方式：设备采用机械旋钮和彩色触摸屏双重控制设计，数字显示，能够输入参数和读取机器状态；</w:t>
            </w:r>
            <w:r/>
          </w:p>
          <w:p>
            <w:pPr>
              <w:spacing w:line="360" w:lineRule="auto"/>
              <w:rPr>
                <w:rFonts w:ascii="宋体" w:hAnsi="宋体" w:cs="宋体"/>
                <w:szCs w:val="21"/>
              </w:rPr>
            </w:pPr>
            <w:r>
              <w:rPr>
                <w:rFonts w:hint="eastAsia" w:ascii="宋体" w:hAnsi="宋体" w:cs="宋体"/>
                <w:szCs w:val="21"/>
              </w:rPr>
              <w:t xml:space="preserve">1.16设备可配置重力顶盖用于压缩研磨室空间，避免了样品由于高速旋转的刀头被甩滑而贴于容器的内壁，进而避免了样品粉碎不彻底的现象；</w:t>
            </w:r>
            <w:r/>
          </w:p>
          <w:p>
            <w:pPr>
              <w:spacing w:line="360" w:lineRule="auto"/>
              <w:rPr>
                <w:rFonts w:ascii="宋体" w:hAnsi="宋体" w:cs="宋体"/>
                <w:szCs w:val="21"/>
              </w:rPr>
            </w:pPr>
            <w:r>
              <w:rPr>
                <w:rFonts w:hint="eastAsia" w:ascii="宋体" w:hAnsi="宋体" w:cs="宋体"/>
                <w:szCs w:val="21"/>
              </w:rPr>
              <w:t xml:space="preserve">1.17设备可以配置带有溢流渠的重力顶盖，在处理液体含量极大的样品时使用这种顶盖，能保证液体通过溢流渠被导回研磨室的中心，这样样品即可反复的切割粉碎，也可避免样品流出；</w:t>
            </w:r>
            <w:r/>
          </w:p>
          <w:p>
            <w:pPr>
              <w:spacing w:line="360" w:lineRule="auto"/>
              <w:rPr>
                <w:rFonts w:ascii="宋体" w:hAnsi="宋体" w:cs="宋体"/>
                <w:szCs w:val="21"/>
              </w:rPr>
            </w:pPr>
            <w:r>
              <w:rPr>
                <w:rFonts w:hint="eastAsia" w:ascii="宋体" w:hAnsi="宋体" w:cs="宋体"/>
                <w:szCs w:val="21"/>
              </w:rPr>
              <w:t xml:space="preserve">1.18配置清单：刀式研磨仪主机 1台；</w:t>
            </w:r>
            <w:r/>
          </w:p>
          <w:p>
            <w:pPr>
              <w:spacing w:line="360" w:lineRule="auto"/>
              <w:rPr>
                <w:rFonts w:ascii="宋体" w:hAnsi="宋体" w:cs="宋体"/>
                <w:szCs w:val="21"/>
              </w:rPr>
            </w:pPr>
            <w:r>
              <w:rPr>
                <w:rFonts w:hint="eastAsia" w:ascii="宋体" w:hAnsi="宋体" w:cs="宋体"/>
                <w:szCs w:val="21"/>
              </w:rPr>
              <w:t xml:space="preserve">四叶不锈钢直刀1个；</w:t>
            </w:r>
            <w:r/>
          </w:p>
          <w:p>
            <w:pPr>
              <w:spacing w:line="360" w:lineRule="auto"/>
              <w:rPr>
                <w:rFonts w:ascii="宋体" w:hAnsi="宋体" w:cs="宋体"/>
                <w:szCs w:val="21"/>
              </w:rPr>
            </w:pPr>
            <w:r>
              <w:rPr>
                <w:rFonts w:hint="eastAsia" w:ascii="宋体" w:hAnsi="宋体" w:cs="宋体"/>
                <w:szCs w:val="21"/>
              </w:rPr>
              <w:t xml:space="preserve">四叶镰形不锈钢锯齿刀 1个；</w:t>
            </w:r>
            <w:r/>
          </w:p>
          <w:p>
            <w:pPr>
              <w:spacing w:line="360" w:lineRule="auto"/>
              <w:rPr>
                <w:rFonts w:ascii="宋体" w:hAnsi="宋体" w:cs="宋体"/>
                <w:szCs w:val="21"/>
              </w:rPr>
            </w:pPr>
            <w:r>
              <w:rPr>
                <w:rFonts w:hint="eastAsia" w:ascii="宋体" w:hAnsi="宋体" w:cs="宋体"/>
                <w:szCs w:val="21"/>
              </w:rPr>
              <w:t xml:space="preserve">氮化钛涂层四叶镰形转刀 1个；</w:t>
            </w:r>
            <w:r/>
          </w:p>
          <w:p>
            <w:pPr>
              <w:spacing w:line="360" w:lineRule="auto"/>
              <w:rPr>
                <w:rFonts w:ascii="宋体" w:hAnsi="宋体" w:cs="宋体"/>
                <w:szCs w:val="21"/>
              </w:rPr>
            </w:pPr>
            <w:r>
              <w:rPr>
                <w:rFonts w:hint="eastAsia" w:ascii="宋体" w:hAnsi="宋体" w:cs="宋体"/>
                <w:szCs w:val="21"/>
              </w:rPr>
              <w:t xml:space="preserve">PC制1.4L研磨杯2个；</w:t>
            </w:r>
            <w:r/>
          </w:p>
          <w:p>
            <w:pPr>
              <w:spacing w:line="360" w:lineRule="auto"/>
              <w:rPr>
                <w:rFonts w:ascii="宋体" w:hAnsi="宋体" w:cs="宋体"/>
                <w:szCs w:val="21"/>
              </w:rPr>
            </w:pPr>
            <w:r>
              <w:rPr>
                <w:rFonts w:hint="eastAsia" w:ascii="宋体" w:hAnsi="宋体" w:cs="宋体"/>
                <w:szCs w:val="21"/>
              </w:rPr>
              <w:t xml:space="preserve">伊士曼共聚酯制1.4L研磨杯  2个；</w:t>
            </w:r>
            <w:r/>
          </w:p>
          <w:p>
            <w:pPr>
              <w:spacing w:line="360" w:lineRule="auto"/>
              <w:rPr>
                <w:rFonts w:ascii="宋体" w:hAnsi="宋体" w:cs="宋体"/>
                <w:szCs w:val="21"/>
              </w:rPr>
            </w:pPr>
            <w:r>
              <w:rPr>
                <w:rFonts w:hint="eastAsia" w:ascii="宋体" w:hAnsi="宋体" w:cs="宋体"/>
                <w:szCs w:val="21"/>
              </w:rPr>
              <w:t xml:space="preserve">备用转刀联轴器2个；刮刀1个；</w:t>
            </w:r>
            <w:r/>
          </w:p>
          <w:p>
            <w:pPr>
              <w:spacing w:line="360" w:lineRule="auto"/>
              <w:rPr>
                <w:rFonts w:ascii="宋体" w:hAnsi="宋体" w:cs="宋体"/>
                <w:szCs w:val="21"/>
              </w:rPr>
            </w:pPr>
            <w:r>
              <w:rPr>
                <w:rFonts w:hint="eastAsia" w:ascii="宋体" w:hAnsi="宋体" w:cs="宋体"/>
                <w:szCs w:val="21"/>
              </w:rPr>
              <w:t xml:space="preserve">PP制可调压力顶盖干法1个；</w:t>
            </w:r>
            <w:r/>
          </w:p>
          <w:p>
            <w:pPr>
              <w:spacing w:line="360" w:lineRule="auto"/>
              <w:rPr>
                <w:rFonts w:ascii="宋体" w:hAnsi="宋体" w:cs="宋体"/>
                <w:szCs w:val="21"/>
              </w:rPr>
            </w:pPr>
            <w:r>
              <w:rPr>
                <w:rFonts w:hint="eastAsia" w:ascii="宋体" w:hAnsi="宋体" w:cs="宋体"/>
                <w:szCs w:val="21"/>
              </w:rPr>
              <w:t xml:space="preserve">PP制可调压力顶盖湿法  1个；</w:t>
            </w:r>
            <w:r/>
          </w:p>
          <w:p>
            <w:pPr>
              <w:spacing w:line="360" w:lineRule="auto"/>
              <w:rPr>
                <w:rFonts w:ascii="宋体" w:hAnsi="宋体" w:cs="宋体"/>
                <w:szCs w:val="21"/>
              </w:rPr>
            </w:pPr>
            <w:r>
              <w:rPr>
                <w:rFonts w:hint="eastAsia" w:ascii="宋体" w:hAnsi="宋体" w:cs="宋体"/>
                <w:szCs w:val="21"/>
              </w:rPr>
              <w:t xml:space="preserve">硅胶制标准顶盖4个；</w:t>
            </w:r>
            <w:r/>
          </w:p>
        </w:tc>
      </w:tr>
      <w:tr>
        <w:trPr/>
        <w:tc>
          <w:tcPr>
            <w:shd w:val="clear" w:color="auto" w:fill="auto"/>
            <w:tcW w:w="355" w:type="pct"/>
            <w:vAlign w:val="center"/>
            <w:textDirection w:val="lrTb"/>
            <w:noWrap w:val="false"/>
          </w:tcPr>
          <w:p>
            <w:pPr>
              <w:jc w:val="center"/>
              <w:spacing w:line="360" w:lineRule="auto"/>
              <w:widowControl/>
              <w:rPr>
                <w:rFonts w:ascii="宋体" w:hAnsi="宋体" w:cs="宋体"/>
                <w:color w:val="000000"/>
                <w:szCs w:val="21"/>
              </w:rPr>
              <w:pBdr>
                <w:top w:val="none" w:color="auto" w:sz="0" w:space="1"/>
                <w:left w:val="none" w:color="auto" w:sz="0" w:space="4"/>
                <w:bottom w:val="none" w:color="auto" w:sz="0" w:space="1"/>
                <w:right w:val="none" w:color="auto" w:sz="0" w:space="4"/>
              </w:pBdr>
            </w:pPr>
            <w:r>
              <w:rPr>
                <w:rFonts w:hint="eastAsia" w:ascii="宋体" w:hAnsi="宋体" w:cs="宋体"/>
                <w:color w:val="000000"/>
                <w:szCs w:val="21"/>
              </w:rPr>
              <w:t xml:space="preserve">4</w:t>
            </w:r>
            <w:r/>
          </w:p>
        </w:tc>
        <w:tc>
          <w:tcPr>
            <w:shd w:val="clear" w:color="auto" w:fill="auto"/>
            <w:tcW w:w="773" w:type="pct"/>
            <w:vAlign w:val="center"/>
            <w:textDirection w:val="lrTb"/>
            <w:noWrap w:val="false"/>
          </w:tcPr>
          <w:p>
            <w:pPr>
              <w:jc w:val="center"/>
              <w:spacing w:line="360" w:lineRule="auto"/>
              <w:widowControl/>
              <w:rPr>
                <w:rFonts w:ascii="宋体" w:hAnsi="宋体" w:cs="宋体"/>
                <w:color w:val="000000"/>
                <w:szCs w:val="21"/>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Cs w:val="21"/>
                <w:lang w:bidi="ar"/>
              </w:rPr>
              <w:t xml:space="preserve">刀式研磨仪2</w:t>
            </w:r>
            <w:r/>
          </w:p>
        </w:tc>
        <w:tc>
          <w:tcPr>
            <w:shd w:val="clear" w:color="auto" w:fill="auto"/>
            <w:tcW w:w="3871" w:type="pct"/>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1.1、进样尺寸：＜130mm，出样尺寸：＜300μm；</w:t>
            </w:r>
            <w:r/>
          </w:p>
          <w:p>
            <w:pPr>
              <w:spacing w:line="360" w:lineRule="auto"/>
              <w:rPr>
                <w:rFonts w:ascii="宋体" w:hAnsi="宋体" w:cs="宋体"/>
                <w:szCs w:val="21"/>
              </w:rPr>
            </w:pPr>
            <w:r>
              <w:rPr>
                <w:rFonts w:hint="eastAsia" w:ascii="宋体" w:hAnsi="宋体" w:cs="宋体"/>
                <w:szCs w:val="21"/>
              </w:rPr>
              <w:t xml:space="preserve">1.2、常规转速：500-4000rpm，数字显示，连续可调； </w:t>
            </w:r>
            <w:r/>
          </w:p>
          <w:p>
            <w:pPr>
              <w:spacing w:line="360" w:lineRule="auto"/>
              <w:rPr>
                <w:rFonts w:ascii="宋体" w:hAnsi="宋体" w:cs="宋体"/>
                <w:szCs w:val="21"/>
              </w:rPr>
            </w:pPr>
            <w:r>
              <w:rPr>
                <w:rFonts w:hint="eastAsia" w:ascii="宋体" w:hAnsi="宋体" w:cs="宋体"/>
                <w:szCs w:val="21"/>
              </w:rPr>
              <w:t xml:space="preserve">1.3、样品最大处理量：≥4升；            </w:t>
            </w:r>
            <w:r/>
          </w:p>
          <w:p>
            <w:pPr>
              <w:spacing w:line="360" w:lineRule="auto"/>
              <w:rPr>
                <w:rFonts w:ascii="宋体" w:hAnsi="宋体" w:cs="宋体"/>
                <w:szCs w:val="21"/>
              </w:rPr>
            </w:pPr>
            <w:r>
              <w:rPr>
                <w:rFonts w:hint="eastAsia" w:ascii="宋体" w:hAnsi="宋体" w:cs="宋体"/>
                <w:szCs w:val="21"/>
              </w:rPr>
              <w:t xml:space="preserve">1.4、触摸显示屏：≥5英寸；   </w:t>
            </w:r>
            <w:r/>
          </w:p>
          <w:p>
            <w:pPr>
              <w:spacing w:line="360" w:lineRule="auto"/>
              <w:rPr>
                <w:rFonts w:ascii="宋体" w:hAnsi="宋体" w:cs="宋体"/>
                <w:szCs w:val="21"/>
              </w:rPr>
            </w:pPr>
            <w:r>
              <w:rPr>
                <w:rFonts w:hint="eastAsia" w:ascii="宋体" w:hAnsi="宋体" w:cs="宋体"/>
                <w:b/>
                <w:bCs/>
                <w:i/>
                <w:iCs/>
                <w:szCs w:val="21"/>
                <w:u w:val="single"/>
              </w:rPr>
              <w:t xml:space="preserve">1.5、触摸显示屏的位置应高于研磨区域的上机盖，位于整机最上方，操作方便，也不会沾染样品水分，导致故障；（提供实物图片等证明材料）</w:t>
            </w:r>
            <w:r/>
          </w:p>
          <w:p>
            <w:pPr>
              <w:spacing w:line="360" w:lineRule="auto"/>
              <w:rPr>
                <w:rFonts w:ascii="宋体" w:hAnsi="宋体" w:cs="宋体"/>
                <w:szCs w:val="21"/>
              </w:rPr>
            </w:pPr>
            <w:r>
              <w:rPr>
                <w:rFonts w:hint="eastAsia" w:ascii="宋体" w:hAnsi="宋体" w:cs="宋体"/>
                <w:szCs w:val="21"/>
              </w:rPr>
              <w:t xml:space="preserve">1.6、存储模式：程序可存储10组常用参数，方便快速调取使用；</w:t>
            </w:r>
            <w:r/>
          </w:p>
          <w:p>
            <w:pPr>
              <w:spacing w:line="360" w:lineRule="auto"/>
              <w:rPr>
                <w:rFonts w:ascii="宋体" w:hAnsi="宋体" w:cs="宋体"/>
                <w:szCs w:val="21"/>
              </w:rPr>
            </w:pPr>
            <w:r>
              <w:rPr>
                <w:rFonts w:hint="eastAsia" w:ascii="宋体" w:hAnsi="宋体" w:cs="宋体"/>
                <w:szCs w:val="21"/>
              </w:rPr>
              <w:t xml:space="preserve">1.7、研磨套件类型及材质：转刀有4种可选，分别为不锈钢制、全不锈钢制、锯齿形不锈钢制、钛制；研磨容器有2种可选，分别为PC制、不锈钢制；顶盖有3种可选，分别为标准顶盖、重力顶盖、重力顶盖，带溢流渠；</w:t>
            </w:r>
            <w:r/>
          </w:p>
          <w:p>
            <w:pPr>
              <w:spacing w:line="360" w:lineRule="auto"/>
              <w:rPr>
                <w:rFonts w:ascii="宋体" w:hAnsi="宋体" w:cs="宋体"/>
                <w:szCs w:val="21"/>
              </w:rPr>
            </w:pPr>
            <w:r>
              <w:rPr>
                <w:rFonts w:hint="eastAsia" w:ascii="宋体" w:hAnsi="宋体" w:cs="宋体"/>
                <w:szCs w:val="21"/>
              </w:rPr>
              <w:t xml:space="preserve">1.8、仪器具有电磁锁，在研磨过程中机盖无法打开或者机盖正常锁紧前仪器无法开启，最大限度保证了操作的安全性；</w:t>
            </w:r>
            <w:r/>
          </w:p>
          <w:p>
            <w:pPr>
              <w:spacing w:line="360" w:lineRule="auto"/>
              <w:rPr>
                <w:rFonts w:ascii="宋体" w:hAnsi="宋体" w:cs="宋体"/>
                <w:b/>
                <w:bCs/>
                <w:i/>
                <w:iCs/>
                <w:szCs w:val="21"/>
                <w:u w:val="single"/>
              </w:rPr>
            </w:pPr>
            <w:r>
              <w:rPr>
                <w:rFonts w:hint="eastAsia" w:ascii="宋体" w:hAnsi="宋体" w:cs="宋体"/>
                <w:b/>
                <w:bCs/>
                <w:i/>
                <w:iCs/>
                <w:szCs w:val="21"/>
                <w:u w:val="single"/>
              </w:rPr>
              <w:t xml:space="preserve">1.9、研磨区域与机箱为前后式设计，研磨区域具有独立的空间，左右无任何机壳遮挡，便于研磨套件的安装、样品的添加及取样等；（提供实物图片等证明材料）</w:t>
            </w:r>
            <w:r/>
          </w:p>
          <w:p>
            <w:pPr>
              <w:spacing w:line="360" w:lineRule="auto"/>
              <w:rPr>
                <w:rFonts w:ascii="宋体" w:hAnsi="宋体" w:cs="宋体"/>
                <w:szCs w:val="21"/>
              </w:rPr>
            </w:pPr>
            <w:r>
              <w:rPr>
                <w:rFonts w:hint="eastAsia" w:ascii="宋体" w:hAnsi="宋体" w:cs="宋体"/>
                <w:szCs w:val="21"/>
              </w:rPr>
              <w:t xml:space="preserve">1.10、具有间歇、正转及反转模式, 均可在控制面板上直接操作；</w:t>
            </w:r>
            <w:r/>
          </w:p>
          <w:p>
            <w:pPr>
              <w:spacing w:line="360" w:lineRule="auto"/>
              <w:rPr>
                <w:rFonts w:ascii="宋体" w:hAnsi="宋体" w:cs="宋体"/>
                <w:szCs w:val="21"/>
              </w:rPr>
            </w:pPr>
            <w:r>
              <w:rPr>
                <w:rFonts w:hint="eastAsia" w:ascii="宋体" w:hAnsi="宋体" w:cs="宋体"/>
                <w:bCs/>
                <w:szCs w:val="21"/>
              </w:rPr>
              <w:t xml:space="preserve">▲</w:t>
            </w:r>
            <w:r>
              <w:rPr>
                <w:rFonts w:hint="eastAsia" w:ascii="宋体" w:hAnsi="宋体" w:cs="宋体"/>
                <w:szCs w:val="21"/>
              </w:rPr>
              <w:t xml:space="preserve">1.11、仪器采用电子锁，样品研磨结束后自动开盖，并在机器右侧设有手动快速开锁装置；</w:t>
            </w:r>
            <w:r>
              <w:rPr>
                <w:rFonts w:hint="eastAsia" w:ascii="宋体" w:hAnsi="宋体" w:cs="宋体"/>
                <w:b/>
                <w:bCs/>
                <w:szCs w:val="21"/>
              </w:rPr>
              <w:t xml:space="preserve">（提供手动快速开锁装置实物图片等证明材料</w:t>
            </w:r>
            <w:r>
              <w:rPr>
                <w:rFonts w:hint="eastAsia" w:ascii="Times New Roman"/>
                <w:b/>
                <w:bCs/>
              </w:rPr>
              <w:t xml:space="preserve">等</w:t>
            </w:r>
            <w:r>
              <w:rPr>
                <w:rFonts w:hint="eastAsia" w:ascii="宋体" w:hAnsi="宋体" w:cs="宋体"/>
                <w:b/>
                <w:bCs/>
                <w:szCs w:val="21"/>
              </w:rPr>
              <w:t xml:space="preserve">）</w:t>
            </w:r>
            <w:r/>
          </w:p>
          <w:p>
            <w:pPr>
              <w:spacing w:line="360" w:lineRule="auto"/>
              <w:rPr>
                <w:rFonts w:ascii="宋体" w:hAnsi="宋体" w:cs="宋体"/>
                <w:szCs w:val="21"/>
              </w:rPr>
            </w:pPr>
            <w:r>
              <w:rPr>
                <w:rFonts w:hint="eastAsia" w:ascii="宋体" w:hAnsi="宋体" w:cs="宋体"/>
                <w:szCs w:val="21"/>
              </w:rPr>
              <w:t xml:space="preserve">1.12、电机功率≥3000W，大功率无刷电机，最大峰值功率更大，动力强劲；</w:t>
            </w:r>
            <w:r/>
          </w:p>
          <w:p>
            <w:pPr>
              <w:spacing w:line="360" w:lineRule="auto"/>
              <w:rPr>
                <w:rFonts w:ascii="宋体" w:hAnsi="宋体" w:cs="宋体"/>
                <w:szCs w:val="21"/>
              </w:rPr>
            </w:pPr>
            <w:r>
              <w:rPr>
                <w:rFonts w:hint="eastAsia" w:ascii="宋体" w:hAnsi="宋体" w:cs="宋体"/>
                <w:szCs w:val="21"/>
              </w:rPr>
              <w:t xml:space="preserve">1.13配置要求：刀式研磨仪主机</w:t>
            </w:r>
            <w:r>
              <w:rPr>
                <w:rFonts w:hint="eastAsia" w:ascii="宋体" w:hAnsi="宋体" w:cs="宋体"/>
                <w:szCs w:val="21"/>
              </w:rPr>
              <w:tab/>
            </w:r>
            <w:r>
              <w:rPr>
                <w:rFonts w:hint="eastAsia" w:ascii="宋体" w:hAnsi="宋体" w:cs="宋体"/>
                <w:szCs w:val="21"/>
              </w:rPr>
              <w:t xml:space="preserve">1台；</w:t>
            </w:r>
            <w:r/>
          </w:p>
          <w:p>
            <w:pPr>
              <w:spacing w:line="360" w:lineRule="auto"/>
              <w:rPr>
                <w:rFonts w:ascii="宋体" w:hAnsi="宋体" w:cs="宋体"/>
                <w:szCs w:val="21"/>
              </w:rPr>
            </w:pPr>
            <w:r>
              <w:rPr>
                <w:rFonts w:hint="eastAsia" w:ascii="宋体" w:hAnsi="宋体" w:cs="宋体"/>
                <w:szCs w:val="21"/>
              </w:rPr>
              <w:t xml:space="preserve">不锈钢材质研磨容器</w:t>
            </w:r>
            <w:r>
              <w:rPr>
                <w:rFonts w:hint="eastAsia" w:ascii="宋体" w:hAnsi="宋体" w:cs="宋体"/>
                <w:szCs w:val="21"/>
              </w:rPr>
              <w:tab/>
            </w:r>
            <w:r>
              <w:rPr>
                <w:rFonts w:hint="eastAsia" w:ascii="宋体" w:hAnsi="宋体" w:cs="宋体"/>
                <w:szCs w:val="21"/>
              </w:rPr>
              <w:t xml:space="preserve">1个；</w:t>
            </w:r>
            <w:r/>
          </w:p>
          <w:p>
            <w:pPr>
              <w:spacing w:line="360" w:lineRule="auto"/>
              <w:rPr>
                <w:rFonts w:ascii="宋体" w:hAnsi="宋体" w:cs="宋体"/>
                <w:szCs w:val="21"/>
              </w:rPr>
            </w:pPr>
            <w:r>
              <w:rPr>
                <w:rFonts w:hint="eastAsia" w:ascii="宋体" w:hAnsi="宋体" w:cs="宋体"/>
                <w:szCs w:val="21"/>
              </w:rPr>
              <w:t xml:space="preserve">PC材质研磨容器</w:t>
            </w:r>
            <w:r>
              <w:rPr>
                <w:rFonts w:hint="eastAsia" w:ascii="宋体" w:hAnsi="宋体" w:cs="宋体"/>
                <w:szCs w:val="21"/>
              </w:rPr>
              <w:tab/>
            </w:r>
            <w:r>
              <w:rPr>
                <w:rFonts w:ascii="宋体" w:hAnsi="宋体" w:cs="宋体"/>
                <w:szCs w:val="21"/>
              </w:rPr>
              <w:t xml:space="preserve">3</w:t>
            </w:r>
            <w:r>
              <w:rPr>
                <w:rFonts w:hint="eastAsia" w:ascii="宋体" w:hAnsi="宋体" w:cs="宋体"/>
                <w:szCs w:val="21"/>
              </w:rPr>
              <w:t xml:space="preserve">个；</w:t>
            </w:r>
            <w:r/>
          </w:p>
          <w:p>
            <w:pPr>
              <w:spacing w:line="360" w:lineRule="auto"/>
              <w:rPr>
                <w:rFonts w:ascii="宋体" w:hAnsi="宋体" w:cs="宋体"/>
                <w:szCs w:val="21"/>
              </w:rPr>
            </w:pPr>
            <w:r>
              <w:rPr>
                <w:rFonts w:hint="eastAsia" w:ascii="宋体" w:hAnsi="宋体" w:cs="宋体"/>
                <w:szCs w:val="21"/>
              </w:rPr>
              <w:t xml:space="preserve">重力顶盖带溢流渠1个；</w:t>
            </w:r>
            <w:r/>
          </w:p>
          <w:p>
            <w:pPr>
              <w:spacing w:line="360" w:lineRule="auto"/>
              <w:rPr>
                <w:rFonts w:ascii="宋体" w:hAnsi="宋体" w:cs="宋体"/>
                <w:szCs w:val="21"/>
              </w:rPr>
            </w:pPr>
            <w:r>
              <w:rPr>
                <w:rFonts w:hint="eastAsia" w:ascii="宋体" w:hAnsi="宋体" w:cs="宋体"/>
                <w:szCs w:val="21"/>
              </w:rPr>
              <w:t xml:space="preserve">标准顶盖</w:t>
            </w:r>
            <w:r>
              <w:rPr>
                <w:rFonts w:ascii="宋体" w:hAnsi="宋体" w:cs="宋体"/>
                <w:szCs w:val="21"/>
              </w:rPr>
              <w:t xml:space="preserve">3</w:t>
            </w:r>
            <w:r>
              <w:rPr>
                <w:rFonts w:hint="eastAsia" w:ascii="宋体" w:hAnsi="宋体" w:cs="宋体"/>
                <w:szCs w:val="21"/>
              </w:rPr>
              <w:t xml:space="preserve">个；</w:t>
            </w:r>
            <w:r/>
          </w:p>
          <w:p>
            <w:pPr>
              <w:spacing w:line="360" w:lineRule="auto"/>
              <w:rPr>
                <w:rFonts w:ascii="宋体" w:hAnsi="宋体" w:cs="宋体"/>
                <w:szCs w:val="21"/>
              </w:rPr>
            </w:pPr>
            <w:r>
              <w:rPr>
                <w:rFonts w:hint="eastAsia" w:ascii="宋体" w:hAnsi="宋体" w:cs="宋体"/>
                <w:szCs w:val="21"/>
              </w:rPr>
              <w:t xml:space="preserve">不锈钢材质锯齿刀</w:t>
            </w:r>
            <w:r>
              <w:rPr>
                <w:rFonts w:ascii="宋体" w:hAnsi="宋体" w:cs="宋体"/>
                <w:szCs w:val="21"/>
              </w:rPr>
              <w:t xml:space="preserve">3</w:t>
            </w:r>
            <w:r>
              <w:rPr>
                <w:rFonts w:hint="eastAsia" w:ascii="宋体" w:hAnsi="宋体" w:cs="宋体"/>
                <w:szCs w:val="21"/>
              </w:rPr>
              <w:t xml:space="preserve">个，钛制锯齿刀1个</w:t>
            </w:r>
            <w:r/>
          </w:p>
        </w:tc>
      </w:tr>
    </w:tbl>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注：1、相关截图、检测内容与采购需求不完全一致的，经评审委员会一致认定实质性符合的，视为满足采购需求。</w:t>
      </w:r>
      <w:r/>
    </w:p>
    <w:p>
      <w:pPr>
        <w:ind w:firstLine="1024"/>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cs="宋体"/>
          <w:color w:val="000000"/>
          <w:sz w:val="24"/>
        </w:rPr>
        <w:t xml:space="preserve">2、“</w:t>
      </w:r>
      <w:r>
        <w:rPr>
          <w:rFonts w:hint="eastAsia" w:ascii="宋体" w:hAnsi="宋体" w:cs="宋体"/>
          <w:sz w:val="24"/>
        </w:rPr>
        <w:t xml:space="preserve">▲</w:t>
      </w:r>
      <w:r>
        <w:rPr>
          <w:rFonts w:hint="eastAsia" w:ascii="宋体" w:hAnsi="宋体" w:cs="宋体"/>
          <w:color w:val="000000"/>
          <w:sz w:val="24"/>
        </w:rPr>
        <w:t xml:space="preserve">”为</w:t>
      </w:r>
      <w:r>
        <w:rPr>
          <w:rFonts w:hint="eastAsia" w:ascii="宋体" w:hAnsi="宋体" w:cs="宋体"/>
          <w:color w:val="000000"/>
          <w:sz w:val="24"/>
          <w:szCs w:val="24"/>
        </w:rPr>
        <w:t xml:space="preserve">重要指标项，</w:t>
      </w:r>
      <w:r>
        <w:rPr>
          <w:rFonts w:hint="eastAsia" w:ascii="宋体" w:hAnsi="宋体" w:cs="宋体"/>
          <w:color w:val="000000"/>
          <w:sz w:val="24"/>
        </w:rPr>
        <w:t xml:space="preserve">不作为强制废标条款，但作为重要评分依据。</w:t>
      </w:r>
      <w:r/>
    </w:p>
    <w:p>
      <w:pPr>
        <w:ind w:firstLine="562"/>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四、</w:t>
      </w:r>
      <w:r>
        <w:rPr>
          <w:rFonts w:ascii="Times New Roman" w:hAnsi="Times New Roman"/>
          <w:b/>
          <w:sz w:val="28"/>
          <w:szCs w:val="28"/>
        </w:rPr>
        <w:t xml:space="preserve">供货要求</w:t>
      </w:r>
      <w:r/>
    </w:p>
    <w:p>
      <w:pPr>
        <w:ind w:firstLine="480"/>
        <w:jc w:val="left"/>
        <w:spacing w:line="5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b/>
          <w:bCs/>
          <w:i/>
          <w:iCs/>
          <w:sz w:val="24"/>
          <w:szCs w:val="24"/>
          <w:u w:val="single"/>
        </w:rPr>
        <w:t xml:space="preserve">1、</w:t>
      </w:r>
      <w:r>
        <w:rPr>
          <w:rFonts w:hint="eastAsia"/>
          <w:b/>
          <w:bCs/>
          <w:i/>
          <w:iCs/>
          <w:sz w:val="24"/>
          <w:szCs w:val="24"/>
          <w:u w:val="single"/>
        </w:rPr>
        <w:t xml:space="preserve">合同履行期限（交货期）：</w:t>
      </w:r>
      <w:r>
        <w:rPr>
          <w:rFonts w:hint="eastAsia" w:ascii="宋体" w:hAnsi="宋体"/>
          <w:b/>
          <w:bCs/>
          <w:i/>
          <w:iCs/>
          <w:sz w:val="24"/>
          <w:szCs w:val="24"/>
          <w:u w:val="single"/>
        </w:rPr>
        <w:t xml:space="preserve">合同签订后60天内完成安装调试，达到预期效果。</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2、交货方式：</w:t>
      </w:r>
      <w:r>
        <w:rPr>
          <w:rFonts w:hint="eastAsia" w:ascii="宋体" w:hAnsi="宋体"/>
          <w:color w:val="000000"/>
          <w:sz w:val="24"/>
        </w:rPr>
        <w:t xml:space="preserve">现场验收</w:t>
      </w:r>
      <w:r>
        <w:rPr>
          <w:rFonts w:hint="eastAsia" w:ascii="宋体" w:hAnsi="宋体"/>
          <w:sz w:val="24"/>
          <w:szCs w:val="24"/>
        </w:rPr>
        <w:t xml:space="preserve">。</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3、交货地点：</w:t>
      </w:r>
      <w:r>
        <w:rPr>
          <w:rFonts w:ascii="宋体" w:hAnsi="宋体"/>
          <w:sz w:val="24"/>
        </w:rPr>
        <w:t xml:space="preserve">采购人指定地点</w:t>
      </w:r>
      <w:r>
        <w:rPr>
          <w:rFonts w:hint="eastAsia" w:ascii="宋体" w:hAnsi="宋体"/>
          <w:sz w:val="24"/>
          <w:szCs w:val="24"/>
        </w:rPr>
        <w:t xml:space="preserve">。</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4、提供的货物（含配件）应是全新的、未使用过的合格正品，并保证所提供货物的开箱合格率为100%，外观和内在质量都不得有任何问题。提供的产品应根据国家标准和规范进行设计和制造，并遵循招标文件的要求，其产品的质量性能、技术指标和使用功能满足采购要求。</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5、货物经过按时、正确安装、合理操作和维护保养，在设备寿命期内运转良好。在规定的质保期内，应对由于设计、工艺或材料的缺陷或故障负责。货物运抵现场后应完好无损，如有缺漏、损坏，由中标人负责调换、补齐或赔偿。</w:t>
      </w:r>
      <w:r/>
    </w:p>
    <w:p>
      <w:pPr>
        <w:ind w:firstLine="562"/>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五</w:t>
      </w:r>
      <w:r>
        <w:rPr>
          <w:rFonts w:ascii="Times New Roman" w:hAnsi="Times New Roman"/>
          <w:b/>
          <w:sz w:val="28"/>
          <w:szCs w:val="28"/>
        </w:rPr>
        <w:t xml:space="preserve">、安装调试要求</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1、能够保证设备按时正确地安装、调试和验收，并能满足正常运行和维修保养的需要。在未验收前，货物保管、安全均由供应商负责，货物送到采购人指定地点，并负责办理运输和装卸，费用由供应商负责。</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2、提供完整的设备的同时，还必须为所有设备提供规范、达标的安装工作。安装所需的必要仪器和专用工具由供应商自备。</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3、项目进度计划</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（1）合同签订后60天内完成安装调试，达到预期效果；</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（2）设备运行稳定、无质量问题进行验收。</w:t>
      </w:r>
      <w:r/>
    </w:p>
    <w:p>
      <w:pPr>
        <w:ind w:firstLine="562"/>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六、人员配备要求</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1、本项目拟派项目组成员应至少具有项目负责人与培训师，其他项目组成员由供应商自行配备，满足本项目需求。</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2、货物到达现场后，应派有经验的安装人员到现场进行货物的安装以及处理货物质量和数量短缺等问题，并对质量全面负责。</w:t>
      </w:r>
      <w:r/>
    </w:p>
    <w:p>
      <w:pPr>
        <w:ind w:firstLine="562"/>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七、履约验收要求</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1、验收组织：成立由采购人、中标人组成的验收小组，负责对货物进行各项验收。</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2、验收通用要求：</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（1）验收前，中标人应提前5天通知采购人。中标人与采购人在验收过程中应密切合作。</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（2）采购人有权拒绝接收有缺陷的产品或要求进行更换，由此引起的费用应由中标人负责。经更换后的产品应重新进行验收。</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（3）所有验收结果和结论，都应详细记录并由中标人的当事人签字。验收报告一式四份，其中两份交采购人，两份交中标人。</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3、验收依据：招标文件、投标文件、合同及相关的国家标准、行业标准、规范等。</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4、到货开箱验收：验收内容主要包括依据招标文件、投标文件要求对全部硬件和软件的名称、版本、数量、外形、包装及资料、文件等进行验收。</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5、合同项目完成验收：所有货物试运行期满且符合合同要求，经中标人书面申请，采购人批准后进行项目终验，即合同项目完成验收，确保中标人承担的项目已符合有关标准，文档齐备、需修改项目已完成。在验收过程中，如发现质量、数量、种类、性能或功能不符合合同要求或存在剩余工作，中标人应按采购人规定的时间完成全部工作。</w:t>
      </w:r>
      <w:r/>
    </w:p>
    <w:p>
      <w:pPr>
        <w:ind w:firstLine="562"/>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八、培训要求</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1、培训对象与内容</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应对采购人的技术人员和管理人员进行现场培训。培训内容应包括所提供货物的原理和技术性能、操作方法、安装调测、排除故障及升级等方面。</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2、培训目标</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通过培训，使受培训人员能熟练、独立掌握设备的各种情况使用、故障诊断，使之能适应设备正常运行的需求。</w:t>
      </w:r>
      <w:r/>
    </w:p>
    <w:p>
      <w:pPr>
        <w:ind w:firstLine="562"/>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九、售后服务要求</w:t>
      </w:r>
      <w:r/>
    </w:p>
    <w:p>
      <w:pPr>
        <w:numPr>
          <w:ilvl w:val="0"/>
          <w:numId w:val="11"/>
        </w:num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b/>
          <w:bCs/>
          <w:i/>
          <w:iCs/>
          <w:sz w:val="24"/>
          <w:szCs w:val="24"/>
          <w:u w:val="single"/>
        </w:rPr>
        <w:t xml:space="preserve">整套设备（离子色谱仪、电子天平、刀式研磨仪）保修≥24个月，保修期外优惠收取零配件费用与上门维修服务费用（投标时提供承诺书，合同签订后7个工作日提供制造商加盖公章的质保承诺或协议，无法提供的，采购人有权单方面解除合同、扣除履约保证金、成交供应商清退出场，同时报政府采购监督管理部门）</w:t>
      </w:r>
      <w:r>
        <w:rPr>
          <w:rFonts w:hint="eastAsia" w:ascii="宋体" w:hAnsi="宋体"/>
          <w:sz w:val="24"/>
          <w:szCs w:val="24"/>
        </w:rPr>
        <w:t xml:space="preserve">。</w:t>
      </w:r>
      <w:r/>
    </w:p>
    <w:p>
      <w:pPr>
        <w:ind w:firstLine="480"/>
        <w:jc w:val="left"/>
        <w:spacing w:line="360" w:lineRule="auto"/>
        <w:rPr>
          <w:rFonts w:ascii="宋体" w:hAnsi="宋体" w:cs="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rPr>
        <w:t xml:space="preserve">2、接到维修通知后保证2小时内响应，专职的技术服务人员2天内到场维修，国内零配件供应时间不超过2天到达采购人现场、国外不超过2周到达采购人现场；</w:t>
      </w:r>
      <w:r/>
    </w:p>
    <w:p>
      <w:pPr>
        <w:ind w:firstLine="480"/>
        <w:jc w:val="left"/>
        <w:spacing w:line="360" w:lineRule="auto"/>
        <w:rPr>
          <w:rFonts w:ascii="宋体" w:hAnsi="宋体" w:cs="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rPr>
        <w:t xml:space="preserve">3、零配件应保证设备寿命周期内均能供应（不少于10年），更换维修时提供主要零配件的优惠价。</w:t>
      </w:r>
      <w:r/>
    </w:p>
    <w:p>
      <w:pPr>
        <w:ind w:firstLine="480"/>
        <w:jc w:val="left"/>
        <w:spacing w:line="360" w:lineRule="auto"/>
        <w:rPr>
          <w:rFonts w:ascii="宋体" w:hAnsi="宋体" w:cs="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rPr>
        <w:t xml:space="preserve">4、提供软件操作现场培训和应用培训（此费用包含在投标费用中，采购人不另行付费），协助用户建立相关检测方法。提供4个赴设备制造商的专业培训名额（此费用包含在投标费用中，采购人不另行付费），培训合格颁发相应证书，内容包括仪器的基本原理、操作应用及仪器的维护保养知识，直到用户能正常使用和维护仪器。</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5、质保期内每年提供一次原厂技术维护（供应商投标时提供承诺书加盖公章，成交后提供由制造商加盖公章的维护承诺或协议）。</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6、仪器出现故障后，一般问题维修响应时间不超过24小时，重大问题不超过48小时。</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7、提供中文操作、培训教材、保养、维修手册。</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8、质保期间，中标人承担维修、保养、安检、调换等，相关费用包含在预算内，采购方不再支付任何费用；对于采购方人为原因造成的故障，中标人只收取维保成本费用。</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9、质保期内，应确保设备的正常使用。在接到采购人服务要求后应立即做出回应，并在承诺的服务时间内实施服务。</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10、承担质保期内的全部技术责任。</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11、质保期内，定期对所供产品进行巡检，对巡检中发现的潜在隐患提出改正建议，及时通知采购人。</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12、质保期内，发现由于材料、设备或工艺不良造成设备故障时，应研究其故障原因，并迅速修复或免费进行更换。</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13、维修后，如果设备配置与初始状态不一致时(如升级或改版)，应附上相应的配置说明。</w:t>
      </w:r>
      <w:r/>
    </w:p>
    <w:p>
      <w:pPr>
        <w:ind w:firstLine="562"/>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十、商品包装及快递包装要求</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ascii="Times New Roman" w:hAnsi="Times New Roman"/>
          <w:bCs/>
          <w:sz w:val="24"/>
          <w:szCs w:val="24"/>
        </w:rPr>
        <w:t xml:space="preserve">1</w:t>
      </w:r>
      <w:r>
        <w:rPr>
          <w:rFonts w:hint="eastAsia" w:ascii="Times New Roman" w:hAnsi="Times New Roman"/>
          <w:bCs/>
          <w:sz w:val="24"/>
          <w:szCs w:val="24"/>
        </w:rPr>
        <w:t xml:space="preserve">、商品包装环保要求：应当按《关于印发〈商品包装政府采购需求标准（试行）〉、〈快递包装政府采购需求标准（试行）〉的通知》（财办库〔</w:t>
      </w:r>
      <w:r>
        <w:rPr>
          <w:rFonts w:ascii="Times New Roman" w:hAnsi="Times New Roman"/>
          <w:bCs/>
          <w:sz w:val="24"/>
          <w:szCs w:val="24"/>
        </w:rPr>
        <w:t xml:space="preserve">2020</w:t>
      </w:r>
      <w:r>
        <w:rPr>
          <w:rFonts w:hint="eastAsia" w:ascii="Times New Roman" w:hAnsi="Times New Roman"/>
          <w:bCs/>
          <w:sz w:val="24"/>
          <w:szCs w:val="24"/>
        </w:rPr>
        <w:t xml:space="preserve">〕</w:t>
      </w:r>
      <w:r>
        <w:rPr>
          <w:rFonts w:ascii="Times New Roman" w:hAnsi="Times New Roman"/>
          <w:bCs/>
          <w:sz w:val="24"/>
          <w:szCs w:val="24"/>
        </w:rPr>
        <w:t xml:space="preserve">123</w:t>
      </w:r>
      <w:r>
        <w:rPr>
          <w:rFonts w:hint="eastAsia" w:ascii="Times New Roman" w:hAnsi="Times New Roman"/>
          <w:bCs/>
          <w:sz w:val="24"/>
          <w:szCs w:val="24"/>
        </w:rPr>
        <w:t xml:space="preserve">号）文件执行。</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1</w:t>
      </w:r>
      <w:r>
        <w:rPr>
          <w:rFonts w:hint="eastAsia" w:ascii="Times New Roman" w:hAnsi="Times New Roman"/>
          <w:bCs/>
          <w:sz w:val="24"/>
          <w:szCs w:val="24"/>
        </w:rPr>
        <w:t xml:space="preserve">）商品包装层数不得超过</w:t>
      </w:r>
      <w:r>
        <w:rPr>
          <w:rFonts w:ascii="Times New Roman" w:hAnsi="Times New Roman"/>
          <w:bCs/>
          <w:sz w:val="24"/>
          <w:szCs w:val="24"/>
        </w:rPr>
        <w:t xml:space="preserve"> 3 </w:t>
      </w:r>
      <w:r>
        <w:rPr>
          <w:rFonts w:hint="eastAsia" w:ascii="Times New Roman" w:hAnsi="Times New Roman"/>
          <w:bCs/>
          <w:sz w:val="24"/>
          <w:szCs w:val="24"/>
        </w:rPr>
        <w:t xml:space="preserve">层，空隙率不大于</w:t>
      </w:r>
      <w:r>
        <w:rPr>
          <w:rFonts w:ascii="Times New Roman" w:hAnsi="Times New Roman"/>
          <w:bCs/>
          <w:sz w:val="24"/>
          <w:szCs w:val="24"/>
        </w:rPr>
        <w:t xml:space="preserve"> 40%</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2</w:t>
      </w:r>
      <w:r>
        <w:rPr>
          <w:rFonts w:hint="eastAsia" w:ascii="Times New Roman" w:hAnsi="Times New Roman"/>
          <w:bCs/>
          <w:sz w:val="24"/>
          <w:szCs w:val="24"/>
        </w:rPr>
        <w:t xml:space="preserve">）商品包装尽可能使用单一材质的包装材料，如因功能需求必需使用不同材质，不同材质间应便于分离；</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3</w:t>
      </w:r>
      <w:r>
        <w:rPr>
          <w:rFonts w:hint="eastAsia" w:ascii="Times New Roman" w:hAnsi="Times New Roman"/>
          <w:bCs/>
          <w:sz w:val="24"/>
          <w:szCs w:val="24"/>
        </w:rPr>
        <w:t xml:space="preserve">）商品包装中铅、汞、镉、六价铬的总含量应不大于</w:t>
      </w:r>
      <w:r>
        <w:rPr>
          <w:rFonts w:ascii="Times New Roman" w:hAnsi="Times New Roman"/>
          <w:bCs/>
          <w:sz w:val="24"/>
          <w:szCs w:val="24"/>
        </w:rPr>
        <w:t xml:space="preserve">100mg/kg</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4</w:t>
      </w:r>
      <w:r>
        <w:rPr>
          <w:rFonts w:hint="eastAsia" w:ascii="Times New Roman" w:hAnsi="Times New Roman"/>
          <w:bCs/>
          <w:sz w:val="24"/>
          <w:szCs w:val="24"/>
        </w:rPr>
        <w:t xml:space="preserve">）商品包装印刷使用的油墨中挥发性有机化合物</w:t>
      </w:r>
      <w:r>
        <w:rPr>
          <w:rFonts w:ascii="Times New Roman" w:hAnsi="Times New Roman"/>
          <w:bCs/>
          <w:sz w:val="24"/>
          <w:szCs w:val="24"/>
        </w:rPr>
        <w:t xml:space="preserve">(VOCs)</w:t>
      </w:r>
      <w:r>
        <w:rPr>
          <w:rFonts w:hint="eastAsia" w:ascii="Times New Roman" w:hAnsi="Times New Roman"/>
          <w:bCs/>
          <w:sz w:val="24"/>
          <w:szCs w:val="24"/>
        </w:rPr>
        <w:t xml:space="preserve">含量应不大于</w:t>
      </w:r>
      <w:r>
        <w:rPr>
          <w:rFonts w:ascii="Times New Roman" w:hAnsi="Times New Roman"/>
          <w:bCs/>
          <w:sz w:val="24"/>
          <w:szCs w:val="24"/>
        </w:rPr>
        <w:t xml:space="preserve"> 5%</w:t>
      </w:r>
      <w:r>
        <w:rPr>
          <w:rFonts w:hint="eastAsia" w:ascii="Times New Roman" w:hAnsi="Times New Roman"/>
          <w:bCs/>
          <w:sz w:val="24"/>
          <w:szCs w:val="24"/>
        </w:rPr>
        <w:t xml:space="preserve">（以重量计）；</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5</w:t>
      </w:r>
      <w:r>
        <w:rPr>
          <w:rFonts w:hint="eastAsia" w:ascii="Times New Roman" w:hAnsi="Times New Roman"/>
          <w:bCs/>
          <w:sz w:val="24"/>
          <w:szCs w:val="24"/>
        </w:rPr>
        <w:t xml:space="preserve">）塑料材质商品包装上呈现的印刷颜色不得超过</w:t>
      </w:r>
      <w:r>
        <w:rPr>
          <w:rFonts w:ascii="Times New Roman" w:hAnsi="Times New Roman"/>
          <w:bCs/>
          <w:sz w:val="24"/>
          <w:szCs w:val="24"/>
        </w:rPr>
        <w:t xml:space="preserve"> 6 </w:t>
      </w:r>
      <w:r>
        <w:rPr>
          <w:rFonts w:hint="eastAsia" w:ascii="Times New Roman" w:hAnsi="Times New Roman"/>
          <w:bCs/>
          <w:sz w:val="24"/>
          <w:szCs w:val="24"/>
        </w:rPr>
        <w:t xml:space="preserve">色；</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6</w:t>
      </w:r>
      <w:r>
        <w:rPr>
          <w:rFonts w:hint="eastAsia" w:ascii="Times New Roman" w:hAnsi="Times New Roman"/>
          <w:bCs/>
          <w:sz w:val="24"/>
          <w:szCs w:val="24"/>
        </w:rPr>
        <w:t xml:space="preserve">）纸质商品包装应使用</w:t>
      </w:r>
      <w:r>
        <w:rPr>
          <w:rFonts w:ascii="Times New Roman" w:hAnsi="Times New Roman"/>
          <w:bCs/>
          <w:sz w:val="24"/>
          <w:szCs w:val="24"/>
        </w:rPr>
        <w:t xml:space="preserve"> 75%</w:t>
      </w:r>
      <w:r>
        <w:rPr>
          <w:rFonts w:hint="eastAsia" w:ascii="Times New Roman" w:hAnsi="Times New Roman"/>
          <w:bCs/>
          <w:sz w:val="24"/>
          <w:szCs w:val="24"/>
        </w:rPr>
        <w:t xml:space="preserve">以上的可再生纤维原料生产；</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7</w:t>
      </w:r>
      <w:r>
        <w:rPr>
          <w:rFonts w:hint="eastAsia" w:ascii="Times New Roman" w:hAnsi="Times New Roman"/>
          <w:bCs/>
          <w:sz w:val="24"/>
          <w:szCs w:val="24"/>
        </w:rPr>
        <w:t xml:space="preserve">）木质商品包装的原料应来源于可持续性森林。</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ascii="Times New Roman" w:hAnsi="Times New Roman"/>
          <w:bCs/>
          <w:sz w:val="24"/>
          <w:szCs w:val="24"/>
        </w:rPr>
        <w:t xml:space="preserve">2</w:t>
      </w:r>
      <w:r>
        <w:rPr>
          <w:rFonts w:hint="eastAsia" w:ascii="Times New Roman" w:hAnsi="Times New Roman"/>
          <w:bCs/>
          <w:sz w:val="24"/>
          <w:szCs w:val="24"/>
        </w:rPr>
        <w:t xml:space="preserve">、快递包装环保要求：</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1</w:t>
      </w:r>
      <w:r>
        <w:rPr>
          <w:rFonts w:hint="eastAsia" w:ascii="Times New Roman" w:hAnsi="Times New Roman"/>
          <w:bCs/>
          <w:sz w:val="24"/>
          <w:szCs w:val="24"/>
        </w:rPr>
        <w:t xml:space="preserve">）快递包装中重金属（铅、汞、镉、六价铬）总量应不大于</w:t>
      </w:r>
      <w:r>
        <w:rPr>
          <w:rFonts w:ascii="Times New Roman" w:hAnsi="Times New Roman"/>
          <w:bCs/>
          <w:sz w:val="24"/>
          <w:szCs w:val="24"/>
        </w:rPr>
        <w:t xml:space="preserve"> 100mg/kg</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2</w:t>
      </w:r>
      <w:r>
        <w:rPr>
          <w:rFonts w:hint="eastAsia" w:ascii="Times New Roman" w:hAnsi="Times New Roman"/>
          <w:bCs/>
          <w:sz w:val="24"/>
          <w:szCs w:val="24"/>
        </w:rPr>
        <w:t xml:space="preserve">）快递包装印刷使用的油墨中不应添加邻苯二甲酸酯，其挥发性有机化合物</w:t>
      </w:r>
      <w:r>
        <w:rPr>
          <w:rFonts w:ascii="Times New Roman" w:hAnsi="Times New Roman"/>
          <w:bCs/>
          <w:sz w:val="24"/>
          <w:szCs w:val="24"/>
        </w:rPr>
        <w:t xml:space="preserve">(VOCs)</w:t>
      </w:r>
      <w:r>
        <w:rPr>
          <w:rFonts w:hint="eastAsia" w:ascii="Times New Roman" w:hAnsi="Times New Roman"/>
          <w:bCs/>
          <w:sz w:val="24"/>
          <w:szCs w:val="24"/>
        </w:rPr>
        <w:t xml:space="preserve">含量应不大于</w:t>
      </w:r>
      <w:r>
        <w:rPr>
          <w:rFonts w:ascii="Times New Roman" w:hAnsi="Times New Roman"/>
          <w:bCs/>
          <w:sz w:val="24"/>
          <w:szCs w:val="24"/>
        </w:rPr>
        <w:t xml:space="preserve">5%</w:t>
      </w:r>
      <w:r>
        <w:rPr>
          <w:rFonts w:hint="eastAsia" w:ascii="Times New Roman" w:hAnsi="Times New Roman"/>
          <w:bCs/>
          <w:sz w:val="24"/>
          <w:szCs w:val="24"/>
        </w:rPr>
        <w:t xml:space="preserve">（以重量计）；</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3</w:t>
      </w:r>
      <w:r>
        <w:rPr>
          <w:rFonts w:hint="eastAsia" w:ascii="Times New Roman" w:hAnsi="Times New Roman"/>
          <w:bCs/>
          <w:sz w:val="24"/>
          <w:szCs w:val="24"/>
        </w:rPr>
        <w:t xml:space="preserve">）快递包装中使用纸基材的包装材料，纸基材中的有机氯的含量应不大于</w:t>
      </w:r>
      <w:r>
        <w:rPr>
          <w:rFonts w:ascii="Times New Roman" w:hAnsi="Times New Roman"/>
          <w:bCs/>
          <w:sz w:val="24"/>
          <w:szCs w:val="24"/>
        </w:rPr>
        <w:t xml:space="preserve"> 150 mg/kg</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4</w:t>
      </w:r>
      <w:r>
        <w:rPr>
          <w:rFonts w:hint="eastAsia" w:ascii="Times New Roman" w:hAnsi="Times New Roman"/>
          <w:bCs/>
          <w:sz w:val="24"/>
          <w:szCs w:val="24"/>
        </w:rPr>
        <w:t xml:space="preserve">）快递包装中使用塑料基材的包装材料不得使用邻苯二甲酸二异壬酯、邻苯二甲酸二正辛酯、邻苯二甲酸二</w:t>
      </w:r>
      <w:r>
        <w:rPr>
          <w:rFonts w:ascii="Times New Roman" w:hAnsi="Times New Roman"/>
          <w:bCs/>
          <w:sz w:val="24"/>
          <w:szCs w:val="24"/>
        </w:rPr>
        <w:t xml:space="preserve">(2-</w:t>
      </w:r>
      <w:r>
        <w:rPr>
          <w:rFonts w:hint="eastAsia" w:ascii="Times New Roman" w:hAnsi="Times New Roman"/>
          <w:bCs/>
          <w:sz w:val="24"/>
          <w:szCs w:val="24"/>
        </w:rPr>
        <w:t xml:space="preserve">乙基</w:t>
      </w:r>
      <w:r>
        <w:rPr>
          <w:rFonts w:ascii="Times New Roman" w:hAnsi="Times New Roman"/>
          <w:bCs/>
          <w:sz w:val="24"/>
          <w:szCs w:val="24"/>
        </w:rPr>
        <w:t xml:space="preserve">)</w:t>
      </w:r>
      <w:r>
        <w:rPr>
          <w:rFonts w:hint="eastAsia" w:ascii="Times New Roman" w:hAnsi="Times New Roman"/>
          <w:bCs/>
          <w:sz w:val="24"/>
          <w:szCs w:val="24"/>
        </w:rPr>
        <w:t xml:space="preserve">己酯、邻苯二甲酸二异癸酯、邻苯二甲酸丁基苄基酯、邻苯二甲酸二丁酯等作为增塑剂；</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5</w:t>
      </w:r>
      <w:r>
        <w:rPr>
          <w:rFonts w:hint="eastAsia" w:ascii="Times New Roman" w:hAnsi="Times New Roman"/>
          <w:bCs/>
          <w:sz w:val="24"/>
          <w:szCs w:val="24"/>
        </w:rPr>
        <w:t xml:space="preserve">）快递中使用的塑料包装袋不得使用聚氯乙烯作为原料，且原料应为单一材质制成，生物分解率大于</w:t>
      </w:r>
      <w:r>
        <w:rPr>
          <w:rFonts w:ascii="Times New Roman" w:hAnsi="Times New Roman"/>
          <w:bCs/>
          <w:sz w:val="24"/>
          <w:szCs w:val="24"/>
        </w:rPr>
        <w:t xml:space="preserve">60%</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6</w:t>
      </w:r>
      <w:r>
        <w:rPr>
          <w:rFonts w:hint="eastAsia" w:ascii="Times New Roman" w:hAnsi="Times New Roman"/>
          <w:bCs/>
          <w:sz w:val="24"/>
          <w:szCs w:val="24"/>
        </w:rPr>
        <w:t xml:space="preserve">）快递中使用的充气类填充物不得使用聚氯乙烯作为原料，且原料为单一材质制成，生物分解率大于</w:t>
      </w:r>
      <w:r>
        <w:rPr>
          <w:rFonts w:ascii="Times New Roman" w:hAnsi="Times New Roman"/>
          <w:bCs/>
          <w:sz w:val="24"/>
          <w:szCs w:val="24"/>
        </w:rPr>
        <w:t xml:space="preserve">60%</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7</w:t>
      </w:r>
      <w:r>
        <w:rPr>
          <w:rFonts w:hint="eastAsia" w:ascii="Times New Roman" w:hAnsi="Times New Roman"/>
          <w:bCs/>
          <w:sz w:val="24"/>
          <w:szCs w:val="24"/>
        </w:rPr>
        <w:t xml:space="preserve">）快递中使用的集装袋应为单一材质制成，其重复使用次数应不小于</w:t>
      </w:r>
      <w:r>
        <w:rPr>
          <w:rFonts w:ascii="Times New Roman" w:hAnsi="Times New Roman"/>
          <w:bCs/>
          <w:sz w:val="24"/>
          <w:szCs w:val="24"/>
        </w:rPr>
        <w:t xml:space="preserve"> 80 </w:t>
      </w:r>
      <w:r>
        <w:rPr>
          <w:rFonts w:hint="eastAsia" w:ascii="Times New Roman" w:hAnsi="Times New Roman"/>
          <w:bCs/>
          <w:sz w:val="24"/>
          <w:szCs w:val="24"/>
        </w:rPr>
        <w:t xml:space="preserve">次；</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8</w:t>
      </w:r>
      <w:r>
        <w:rPr>
          <w:rFonts w:hint="eastAsia" w:ascii="Times New Roman" w:hAnsi="Times New Roman"/>
          <w:bCs/>
          <w:sz w:val="24"/>
          <w:szCs w:val="24"/>
        </w:rPr>
        <w:t xml:space="preserve">）快递中应使用幅宽不大于</w:t>
      </w:r>
      <w:r>
        <w:rPr>
          <w:rFonts w:ascii="Times New Roman" w:hAnsi="Times New Roman"/>
          <w:bCs/>
          <w:sz w:val="24"/>
          <w:szCs w:val="24"/>
        </w:rPr>
        <w:t xml:space="preserve">45mm </w:t>
      </w:r>
      <w:r>
        <w:rPr>
          <w:rFonts w:hint="eastAsia" w:ascii="Times New Roman" w:hAnsi="Times New Roman"/>
          <w:bCs/>
          <w:sz w:val="24"/>
          <w:szCs w:val="24"/>
        </w:rPr>
        <w:t xml:space="preserve">的生物降解胶带；</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9</w:t>
      </w:r>
      <w:r>
        <w:rPr>
          <w:rFonts w:hint="eastAsia" w:ascii="Times New Roman" w:hAnsi="Times New Roman"/>
          <w:bCs/>
          <w:sz w:val="24"/>
          <w:szCs w:val="24"/>
        </w:rPr>
        <w:t xml:space="preserve">）快递包装中不得使用溶剂型胶粘剂；</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10</w:t>
      </w:r>
      <w:r>
        <w:rPr>
          <w:rFonts w:hint="eastAsia" w:ascii="Times New Roman" w:hAnsi="Times New Roman"/>
          <w:bCs/>
          <w:sz w:val="24"/>
          <w:szCs w:val="24"/>
        </w:rPr>
        <w:t xml:space="preserve">）快递应使用电子面单；</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11</w:t>
      </w:r>
      <w:r>
        <w:rPr>
          <w:rFonts w:hint="eastAsia" w:ascii="Times New Roman" w:hAnsi="Times New Roman"/>
          <w:bCs/>
          <w:sz w:val="24"/>
          <w:szCs w:val="24"/>
        </w:rPr>
        <w:t xml:space="preserve">）直接使用商品包装作为快递包装的商品，其商品包装满足《商品包装政府采购需求标准（试行）》即可；</w:t>
      </w:r>
      <w:r/>
    </w:p>
    <w:p>
      <w:pPr>
        <w:ind w:firstLine="480"/>
        <w:jc w:val="left"/>
        <w:spacing w:line="360" w:lineRule="auto"/>
        <w:rPr>
          <w:rFonts w:ascii="Times New Roman" w:hAnsi="Times New Roman"/>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12</w:t>
      </w:r>
      <w:r>
        <w:rPr>
          <w:rFonts w:hint="eastAsia" w:ascii="Times New Roman" w:hAnsi="Times New Roman"/>
          <w:bCs/>
          <w:sz w:val="24"/>
          <w:szCs w:val="24"/>
        </w:rPr>
        <w:t xml:space="preserve">）快递包装产品质量和封装方式应符合相关国家或行业标准技术指标要求。</w:t>
      </w:r>
      <w:r/>
    </w:p>
    <w:p>
      <w:pPr>
        <w:ind w:firstLine="562"/>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十一、投标报价要求</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1、报价币种为人民币。</w:t>
      </w:r>
      <w:r/>
    </w:p>
    <w:p>
      <w:pPr>
        <w:ind w:firstLine="480"/>
        <w:jc w:val="left"/>
        <w:spacing w:line="360" w:lineRule="auto"/>
        <w:rPr>
          <w:rFonts w:ascii="Times New Roman" w:hAnsi="Times New Roman"/>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投标报价须包含但不限于设备价款、标准附件、备品备件、专用工具、包装、运输、装卸、货到就位以及安装（升级）、调试、管理、售后、培训、保险、利润、税金、政策性文件规定及合同包含的所有风险及责任等各项应有费用，直至交付至采购人使用时所需要的各种费用（包含所有隐含的内容）。</w:t>
      </w:r>
      <w:r/>
    </w:p>
    <w:p>
      <w:pPr>
        <w:ind w:firstLine="480"/>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3、投标报价须包含质保期内的质保费用，否则采购人有权自行委托设备制造商，所产生费用由成交供应商承担，在结算价款中扣除。</w:t>
      </w:r>
      <w:r/>
    </w:p>
    <w:p>
      <w:pPr>
        <w:ind w:firstLine="562"/>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十二、付款方式与履约保证金</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1、付款方式</w:t>
      </w:r>
      <w:r/>
    </w:p>
    <w:p>
      <w:pPr>
        <w:ind w:left="479" w:firstLine="65"/>
        <w:jc w:val="left"/>
        <w:spacing w:line="360" w:lineRule="auto"/>
        <w:rPr>
          <w:rFonts w:ascii="宋体" w:hAnsi="宋体"/>
          <w:b/>
          <w:bCs/>
          <w:i/>
          <w:iCs/>
          <w:sz w:val="24"/>
          <w:szCs w:val="24"/>
          <w:u w:val="single"/>
        </w:rPr>
        <w:pBdr>
          <w:top w:val="none" w:color="auto" w:sz="0" w:space="1"/>
          <w:left w:val="none" w:color="auto" w:sz="0" w:space="4"/>
          <w:bottom w:val="none" w:color="auto" w:sz="0" w:space="1"/>
          <w:right w:val="none" w:color="auto" w:sz="0" w:space="4"/>
        </w:pBdr>
      </w:pPr>
      <w:r>
        <w:rPr>
          <w:rFonts w:hint="eastAsia" w:ascii="宋体" w:hAnsi="宋体"/>
          <w:b/>
          <w:bCs/>
          <w:i/>
          <w:iCs/>
          <w:sz w:val="24"/>
          <w:szCs w:val="24"/>
          <w:u w:val="single"/>
        </w:rPr>
        <w:t xml:space="preserve">设备安装调试经验收合格后，经审计票据齐全后一次性支付至审计金额的100%。</w:t>
      </w:r>
      <w:r/>
    </w:p>
    <w:p>
      <w:pPr>
        <w:ind w:left="479" w:firstLine="64"/>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2、履约保证金</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本项目收取履约保证金，金额为合同金额的10%。</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（1）中标人应当以支票、汇票、本票或者金融机构、担保机构出具的保函等非现金形式在合同签订前提交。</w:t>
      </w:r>
      <w:r/>
    </w:p>
    <w:p>
      <w:pPr>
        <w:ind w:firstLine="482"/>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本项目支持和鼓励供应商使用江苏政府采购电子履约保函（保险）代替缴纳履约保证金。以履约保函（保险）形式向采购人缴纳的，供应商可登陆江苏政府采购网“资料下载”“江苏政府采购电子履约保函（保险）平台操作手册-中标或成交供应商”（网址：http://www.ccgp-jiangsu.gov.cn/jiangsu/zlxz/75/750b058ebefe4ed1b94f0c185e0af388.html)。</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3）履约保证金自合同生效之日起至合同约定的中标人主要义务履行完毕止，采购人按合同约定退还履约保证金。中标人违约的，采购人将按照合同约定执行履约赔偿。如中标人违约给采购人造成的损失超过履约保证金的，应当依法赔偿超过部分的损失。</w:t>
      </w:r>
      <w:r/>
    </w:p>
    <w:p>
      <w:pPr>
        <w:ind w:firstLine="562"/>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十三、其他</w:t>
      </w:r>
      <w:bookmarkEnd w:id="9"/>
      <w:r/>
      <w:bookmarkEnd w:id="10"/>
      <w:r/>
      <w:r/>
    </w:p>
    <w:p>
      <w:pPr>
        <w:ind w:firstLine="480"/>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1、本项目报价不得超过预算价（最高限价）。</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w:t>
      </w:r>
      <w:r>
        <w:rPr>
          <w:rFonts w:hint="eastAsia" w:ascii="宋体" w:hAnsi="宋体"/>
          <w:sz w:val="24"/>
          <w:szCs w:val="24"/>
        </w:rPr>
        <w:t xml:space="preserve">工作中涉及的敏感资料、电子数据等相关信息，中标人应严格执行保密的相关规定，不得以任何方式向任何第三人披露、泄露或许可第三人使用，否则追究其相应法律责任。</w:t>
      </w:r>
      <w:r>
        <w:rPr>
          <w:rFonts w:ascii="宋体" w:hAnsi="宋体"/>
          <w:sz w:val="24"/>
          <w:szCs w:val="24"/>
        </w:rPr>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sz w:val="24"/>
          <w:szCs w:val="24"/>
        </w:rPr>
        <w:br w:type="page" w:clear="all"/>
      </w:r>
      <w:r/>
    </w:p>
    <w:p>
      <w:pPr>
        <w:pStyle w:val="935"/>
        <w:jc w:val="center"/>
        <w:spacing w:line="360" w:lineRule="auto"/>
        <w:rPr>
          <w:rFonts w:ascii="黑体" w:hAnsi="黑体" w:eastAsia="黑体"/>
          <w:b w:val="0"/>
        </w:rPr>
        <w:pBdr>
          <w:top w:val="none" w:color="auto" w:sz="0" w:space="1"/>
          <w:left w:val="none" w:color="auto" w:sz="0" w:space="4"/>
          <w:bottom w:val="none" w:color="auto" w:sz="0" w:space="1"/>
          <w:right w:val="none" w:color="auto" w:sz="0" w:space="4"/>
        </w:pBdr>
      </w:pPr>
      <w:r/>
      <w:bookmarkStart w:id="11" w:name="_Toc165205798"/>
      <w:r>
        <w:rPr>
          <w:rFonts w:ascii="黑体" w:hAnsi="黑体" w:eastAsia="黑体"/>
          <w:b w:val="0"/>
        </w:rPr>
        <w:t xml:space="preserve">第五章</w:t>
      </w:r>
      <w:r>
        <w:rPr>
          <w:rFonts w:hint="eastAsia" w:ascii="黑体" w:hAnsi="黑体" w:eastAsia="黑体"/>
          <w:b w:val="0"/>
        </w:rPr>
        <w:t xml:space="preserve">  评标方法与评标标准</w:t>
      </w:r>
      <w:bookmarkEnd w:id="11"/>
      <w:r/>
      <w:r/>
    </w:p>
    <w:p>
      <w:pPr>
        <w:ind w:firstLine="480"/>
        <w:jc w:val="left"/>
        <w:spacing w:line="500" w:lineRule="exact"/>
        <w:rPr>
          <w:rFonts w:ascii="黑体" w:hAnsi="黑体" w:eastAsia="黑体"/>
          <w:sz w:val="24"/>
          <w:szCs w:val="24"/>
        </w:rPr>
        <w:pBdr>
          <w:top w:val="none" w:color="auto" w:sz="0" w:space="1"/>
          <w:left w:val="none" w:color="auto" w:sz="0" w:space="4"/>
          <w:bottom w:val="none" w:color="auto" w:sz="0" w:space="1"/>
          <w:right w:val="none" w:color="auto" w:sz="0" w:space="4"/>
        </w:pBdr>
      </w:pPr>
      <w:r>
        <w:rPr>
          <w:rFonts w:hint="eastAsia" w:ascii="黑体" w:hAnsi="黑体" w:eastAsia="黑体"/>
          <w:sz w:val="24"/>
          <w:szCs w:val="24"/>
        </w:rPr>
        <w:t xml:space="preserve">一、评标方法</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供应商为中标候选人。本项目选取1名中标候选人。</w:t>
      </w:r>
      <w:r/>
    </w:p>
    <w:p>
      <w:pPr>
        <w:ind w:firstLine="480"/>
        <w:jc w:val="left"/>
        <w:spacing w:line="500" w:lineRule="exact"/>
        <w:rPr>
          <w:rFonts w:ascii="黑体" w:hAnsi="黑体" w:eastAsia="黑体"/>
          <w:sz w:val="24"/>
          <w:szCs w:val="24"/>
        </w:rPr>
        <w:pBdr>
          <w:top w:val="none" w:color="auto" w:sz="0" w:space="1"/>
          <w:left w:val="none" w:color="auto" w:sz="0" w:space="4"/>
          <w:bottom w:val="none" w:color="auto" w:sz="0" w:space="1"/>
          <w:right w:val="none" w:color="auto" w:sz="0" w:space="4"/>
        </w:pBdr>
      </w:pPr>
      <w:r>
        <w:rPr>
          <w:rFonts w:ascii="黑体" w:hAnsi="黑体" w:eastAsia="黑体"/>
          <w:sz w:val="24"/>
          <w:szCs w:val="24"/>
        </w:rPr>
        <w:t xml:space="preserve">二、评标标准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（1）评标时，评委会以招标文件为评标依据，评委会各成员独立对每个供应商的投标文件进行评价，并汇总每个供应商的得分。评标过程中，不得去掉报价中的最高报价和最低报价。</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（2）本项目评分总分为100分，按四舍五入取至小数点后两位。</w:t>
      </w:r>
      <w:r/>
    </w:p>
    <w:p>
      <w:pPr>
        <w:ind w:firstLine="480"/>
        <w:jc w:val="left"/>
        <w:spacing w:line="500" w:lineRule="exact"/>
        <w:rPr>
          <w:rFonts w:ascii="黑体" w:hAnsi="黑体" w:eastAsia="黑体"/>
          <w:sz w:val="32"/>
          <w:szCs w:val="24"/>
        </w:rPr>
        <w:pBdr>
          <w:top w:val="none" w:color="auto" w:sz="0" w:space="1"/>
          <w:left w:val="none" w:color="auto" w:sz="0" w:space="4"/>
          <w:bottom w:val="none" w:color="auto" w:sz="0" w:space="1"/>
          <w:right w:val="none" w:color="auto" w:sz="0" w:space="4"/>
        </w:pBdr>
      </w:pPr>
      <w:r>
        <w:rPr>
          <w:rFonts w:hint="eastAsia"/>
          <w:sz w:val="24"/>
          <w:szCs w:val="24"/>
        </w:rPr>
        <w:t xml:space="preserve">（3）总得分=价格分+技术分+商务分。</w:t>
      </w:r>
      <w:r/>
    </w:p>
    <w:p>
      <w:pPr>
        <w:jc w:val="center"/>
        <w:spacing w:line="500" w:lineRule="exact"/>
        <w:rPr>
          <w:rFonts w:ascii="黑体" w:hAnsi="黑体" w:eastAsia="黑体"/>
          <w:sz w:val="32"/>
          <w:szCs w:val="24"/>
        </w:rPr>
        <w:pBdr>
          <w:top w:val="none" w:color="auto" w:sz="0" w:space="1"/>
          <w:left w:val="none" w:color="auto" w:sz="0" w:space="4"/>
          <w:bottom w:val="none" w:color="auto" w:sz="0" w:space="1"/>
          <w:right w:val="none" w:color="auto" w:sz="0" w:space="4"/>
        </w:pBdr>
      </w:pPr>
      <w:r>
        <w:rPr>
          <w:rFonts w:hint="eastAsia" w:ascii="黑体" w:hAnsi="黑体" w:eastAsia="黑体"/>
          <w:sz w:val="32"/>
          <w:szCs w:val="24"/>
        </w:rPr>
        <w:t xml:space="preserve">综合评分法</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（1）价格分（30分）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采用低价优先法计算，即满足招标文件要求且投标价格最低的投标报价为评标基准价，其价格分为满分。其他供应商的价格分统一按照下列公式计算：</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投标报价得分=（评标基准价／投标报价）×30分</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因落实政府采购政策进行价格扣除的，用扣除后的价格参加评审。</w:t>
      </w:r>
      <w:r/>
    </w:p>
    <w:p>
      <w:pPr>
        <w:ind w:firstLine="480"/>
        <w:spacing w:line="500" w:lineRule="exact"/>
        <w:rPr>
          <w:sz w:val="24"/>
        </w:rPr>
        <w:pBdr>
          <w:top w:val="none" w:color="auto" w:sz="0" w:space="1"/>
          <w:left w:val="none" w:color="auto" w:sz="0" w:space="4"/>
          <w:bottom w:val="none" w:color="auto" w:sz="0" w:space="1"/>
          <w:right w:val="none" w:color="auto" w:sz="0" w:space="4"/>
        </w:pBdr>
      </w:pPr>
      <w:r>
        <w:rPr>
          <w:sz w:val="24"/>
        </w:rPr>
        <w:t xml:space="preserve">（2）</w:t>
      </w:r>
      <w:r>
        <w:rPr>
          <w:rFonts w:hint="eastAsia"/>
          <w:sz w:val="24"/>
        </w:rPr>
        <w:t xml:space="preserve">技术</w:t>
      </w:r>
      <w:r>
        <w:rPr>
          <w:sz w:val="24"/>
        </w:rPr>
        <w:t xml:space="preserve">分（</w:t>
      </w:r>
      <w:r>
        <w:rPr>
          <w:rFonts w:hint="eastAsia"/>
          <w:sz w:val="24"/>
        </w:rPr>
        <w:t xml:space="preserve">22</w:t>
      </w:r>
      <w:r>
        <w:rPr>
          <w:sz w:val="24"/>
        </w:rPr>
        <w:t xml:space="preserve">分）</w:t>
      </w:r>
      <w:r/>
    </w:p>
    <w:tbl>
      <w:tblPr>
        <w:tblStyle w:val="736"/>
        <w:tblpPr w:horzAnchor="page" w:tblpX="1253" w:vertAnchor="text" w:tblpY="48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94"/>
        <w:gridCol w:w="8660"/>
      </w:tblGrid>
      <w:tr>
        <w:trPr>
          <w:trHeight w:val="1080"/>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jc w:val="center"/>
              <w:spacing w:line="360" w:lineRule="auto"/>
              <w:rPr>
                <w:rFonts w:ascii="宋体" w:hAnsi="宋体" w:cs="宋体"/>
                <w:b/>
                <w:bCs/>
                <w:sz w:val="24"/>
                <w:szCs w:val="24"/>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rPr>
              <w:t xml:space="preserve">评审细则</w:t>
            </w:r>
            <w:r/>
          </w:p>
          <w:p>
            <w:pPr>
              <w:jc w:val="cente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rPr>
              <w:t xml:space="preserve">及分值</w:t>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jc w:val="cente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rPr>
              <w:t xml:space="preserve">评审标准</w:t>
            </w:r>
            <w:r/>
          </w:p>
        </w:tc>
      </w:tr>
      <w:tr>
        <w:trPr>
          <w:trHeight w:val="1080"/>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jc w:val="cente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ascii="宋体" w:hAnsi="宋体" w:cs="宋体"/>
                <w:sz w:val="24"/>
                <w:szCs w:val="24"/>
              </w:rPr>
              <w:t xml:space="preserve">产品质量、性能整体方案</w:t>
            </w:r>
            <w:r>
              <w:rPr>
                <w:rFonts w:hint="eastAsia" w:ascii="宋体" w:hAnsi="宋体" w:cs="宋体"/>
                <w:sz w:val="24"/>
                <w:szCs w:val="24"/>
              </w:rPr>
              <w:t xml:space="preserve">（</w:t>
            </w:r>
            <w:r>
              <w:rPr>
                <w:rFonts w:ascii="宋体" w:hAnsi="宋体" w:cs="宋体"/>
                <w:sz w:val="24"/>
                <w:szCs w:val="24"/>
              </w:rPr>
              <w:t xml:space="preserve">8分</w:t>
            </w:r>
            <w:r>
              <w:rPr>
                <w:rFonts w:hint="eastAsia" w:ascii="宋体" w:hAnsi="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pStyle w:val="940"/>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ascii="宋体" w:hAnsi="宋体" w:cs="宋体"/>
                <w:color w:val="auto"/>
                <w:sz w:val="24"/>
              </w:rPr>
              <w:t xml:space="preserve">投标时投标人应提供产品质量性能说明，注明技术与疾病预防控制中心匹配度及选型依据、产品稳定性、产品性能（诸如既往用户满意度评价、在专业杂志发表的专业类文献、实际用户同品牌仪器使用</w:t>
            </w:r>
            <w:r>
              <w:rPr>
                <w:rFonts w:hint="eastAsia" w:ascii="宋体" w:hAnsi="宋体" w:cs="宋体"/>
                <w:color w:val="auto"/>
                <w:sz w:val="24"/>
              </w:rPr>
              <w:t xml:space="preserve">情况</w:t>
            </w:r>
            <w:r>
              <w:rPr>
                <w:rFonts w:ascii="宋体" w:hAnsi="宋体" w:cs="宋体"/>
                <w:color w:val="auto"/>
                <w:sz w:val="24"/>
              </w:rPr>
              <w:t xml:space="preserve">等）等产品质量性能参数。评委根据投标人所投产品的整体配置选型情况进行打分：</w:t>
            </w:r>
            <w:r/>
          </w:p>
          <w:p>
            <w:pPr>
              <w:pStyle w:val="940"/>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ascii="宋体" w:hAnsi="宋体" w:cs="宋体"/>
                <w:color w:val="auto"/>
                <w:sz w:val="24"/>
              </w:rPr>
              <w:t xml:space="preserve">1、配置选型方面，展现出高度的合理性，充分考虑了实际应用的需求与场景，确保所选配置能够充分发挥效用，不造成资源浪费。技术层面，具有检测应用研发能力，如在专业杂志发表的专业类文献、有成熟案例能为用户提供相关的检测方法开发及优化，产品具备较高的可扩展性。稳定性方面，产品经过严格的质量控制和测试验证且有实际用户使用</w:t>
            </w:r>
            <w:r>
              <w:rPr>
                <w:rFonts w:hint="eastAsia" w:ascii="宋体" w:hAnsi="宋体" w:cs="宋体"/>
                <w:color w:val="auto"/>
                <w:sz w:val="24"/>
              </w:rPr>
              <w:t xml:space="preserve">案例</w:t>
            </w:r>
            <w:r>
              <w:rPr>
                <w:rFonts w:ascii="宋体" w:hAnsi="宋体" w:cs="宋体"/>
                <w:color w:val="auto"/>
                <w:sz w:val="24"/>
              </w:rPr>
              <w:t xml:space="preserve">，确保能够保持稳定的运行状态。产品性能成熟度方面，该产品在市场上稳定性，其产品在性能、质量、可靠性等方面均得到了认可和好评，得8分。</w:t>
            </w:r>
            <w:r/>
          </w:p>
          <w:p>
            <w:pPr>
              <w:pStyle w:val="940"/>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ascii="宋体" w:hAnsi="宋体" w:cs="宋体"/>
                <w:color w:val="auto"/>
                <w:sz w:val="24"/>
              </w:rPr>
              <w:t xml:space="preserve">2、配置选型方面，表现出较好的合理性，较充分地考虑了实际应用的需求与场景，所选配置基本能够发挥效用，资源浪费较少。技术层面，具备一定的检测应用研发能力，或有相关专业文献、成熟案例支持，能为用户提供基本的检测方法开发及优化服务，产品具备较好的可扩展性。稳定性方面，产品经过较严格的质量控制和测试验证，且有实际用户使用案例，能够保持较长时间的稳定运行状态。产品性能成熟度方面，该产品在市场上表现较为稳定，其性能、质量、可靠性等方面获得了多数用户的认可，得</w:t>
            </w:r>
            <w:r>
              <w:rPr>
                <w:rFonts w:hint="eastAsia" w:ascii="宋体" w:hAnsi="宋体" w:cs="宋体"/>
                <w:color w:val="auto"/>
                <w:sz w:val="24"/>
              </w:rPr>
              <w:t xml:space="preserve">7</w:t>
            </w:r>
            <w:r>
              <w:rPr>
                <w:rFonts w:ascii="宋体" w:hAnsi="宋体" w:cs="宋体"/>
                <w:color w:val="auto"/>
                <w:sz w:val="24"/>
              </w:rPr>
              <w:t xml:space="preserve">分。</w:t>
            </w:r>
            <w:r/>
          </w:p>
          <w:p>
            <w:pPr>
              <w:pStyle w:val="940"/>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hint="eastAsia" w:ascii="宋体" w:hAnsi="宋体" w:cs="宋体"/>
                <w:color w:val="auto"/>
                <w:sz w:val="24"/>
              </w:rPr>
              <w:t xml:space="preserve">3、配置选型方面，具备基本的合理性，大致考虑了实际应用的需求与场景，所选配置能满足主要使用要求，但存在一定程度的资源冗余或不足。技术层面，检测应用研发能力一般，缺乏专业文献或成熟案例，能为用户提供有限的方法优化支持，产品可扩展性尚可。稳定性方面，产品经过常规质量控制和测试验证，但用户使用案例较少，在正常运行环境下能够保持基本的稳定运行状态。产品性能成熟度方面，该产品在市场上稳定性一般，其性能、质量、可靠性等方面尚未获得广泛认可，但无明显负面评价</w:t>
            </w:r>
            <w:r>
              <w:rPr>
                <w:rFonts w:ascii="宋体" w:hAnsi="宋体" w:cs="宋体"/>
                <w:color w:val="auto"/>
                <w:sz w:val="24"/>
              </w:rPr>
              <w:t xml:space="preserve">，得</w:t>
            </w:r>
            <w:r>
              <w:rPr>
                <w:rFonts w:hint="eastAsia" w:ascii="宋体" w:hAnsi="宋体" w:cs="宋体"/>
                <w:color w:val="auto"/>
                <w:sz w:val="24"/>
              </w:rPr>
              <w:t xml:space="preserve">6</w:t>
            </w:r>
            <w:r>
              <w:rPr>
                <w:rFonts w:ascii="宋体" w:hAnsi="宋体" w:cs="宋体"/>
                <w:color w:val="auto"/>
                <w:sz w:val="24"/>
              </w:rPr>
              <w:t xml:space="preserve">分。</w:t>
            </w:r>
            <w:r/>
          </w:p>
          <w:p>
            <w:pPr>
              <w:pStyle w:val="940"/>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hint="eastAsia" w:ascii="宋体" w:hAnsi="宋体" w:cs="宋体"/>
                <w:color w:val="auto"/>
                <w:sz w:val="24"/>
              </w:rPr>
              <w:t xml:space="preserve">4、配置选型方面，具有一定合理性，能够考虑到实际应用的部分需求与场景，但配置与使用需求之间存在一定偏差。技术层面，采用了较为成熟的技术架构和设计理念，但研发能力有限，无法提供检测方法开发服务，产品具备一定可扩展性。稳定性方面，产品经过质量控制和测试验证，保证在正常运行环境下能够保持稳定的运行状态，但缺乏长期用户使用数据。产品性能成熟度方面，该产品在市场上稳定性尚可，其性能、质量、可靠性等方面被部分用户认可，但认可度不高</w:t>
            </w:r>
            <w:r>
              <w:rPr>
                <w:rFonts w:ascii="宋体" w:hAnsi="宋体" w:cs="宋体"/>
                <w:color w:val="auto"/>
                <w:sz w:val="24"/>
              </w:rPr>
              <w:t xml:space="preserve">，得</w:t>
            </w:r>
            <w:r>
              <w:rPr>
                <w:rFonts w:hint="eastAsia" w:ascii="宋体" w:hAnsi="宋体" w:cs="宋体"/>
                <w:color w:val="auto"/>
                <w:sz w:val="24"/>
              </w:rPr>
              <w:t xml:space="preserve">5</w:t>
            </w:r>
            <w:r>
              <w:rPr>
                <w:rFonts w:ascii="宋体" w:hAnsi="宋体" w:cs="宋体"/>
                <w:color w:val="auto"/>
                <w:sz w:val="24"/>
              </w:rPr>
              <w:t xml:space="preserve">分</w:t>
            </w:r>
            <w:r>
              <w:rPr>
                <w:rFonts w:hint="eastAsia" w:ascii="宋体" w:hAnsi="宋体" w:cs="宋体"/>
                <w:color w:val="auto"/>
                <w:sz w:val="24"/>
              </w:rPr>
              <w:t xml:space="preserve">。</w:t>
            </w:r>
            <w:r/>
          </w:p>
          <w:p>
            <w:pPr>
              <w:pStyle w:val="940"/>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hint="eastAsia" w:ascii="宋体" w:hAnsi="宋体" w:cs="宋体"/>
                <w:color w:val="auto"/>
                <w:sz w:val="24"/>
              </w:rPr>
              <w:t xml:space="preserve">5、配置选型方面，合理性不足，未能充分结合实际应用的需求与场景，所选配置存在较明显的资源浪费或性能瓶颈。技术层面，采用的技术架构和设计理念相对落后，缺乏检测应用研发能力，无相关文献或案例支撑，产品可扩展性较差。稳定性方面，产品质量控制和测试验证不够充分，未能提供足够的运行稳定性证据，存在偶发性故障风险。产品性能成熟度方面，该产品在市场上表现不够稳定，其性能、质量、可靠性等方面的用户认可度较低</w:t>
            </w:r>
            <w:r>
              <w:rPr>
                <w:rFonts w:ascii="宋体" w:hAnsi="宋体" w:cs="宋体"/>
                <w:color w:val="auto"/>
                <w:sz w:val="24"/>
              </w:rPr>
              <w:t xml:space="preserve">，得</w:t>
            </w:r>
            <w:r>
              <w:rPr>
                <w:rFonts w:hint="eastAsia" w:ascii="宋体" w:hAnsi="宋体" w:cs="宋体"/>
                <w:color w:val="auto"/>
                <w:sz w:val="24"/>
              </w:rPr>
              <w:t xml:space="preserve">4</w:t>
            </w:r>
            <w:r>
              <w:rPr>
                <w:rFonts w:ascii="宋体" w:hAnsi="宋体" w:cs="宋体"/>
                <w:color w:val="auto"/>
                <w:sz w:val="24"/>
              </w:rPr>
              <w:t xml:space="preserve">分</w:t>
            </w:r>
            <w:r>
              <w:rPr>
                <w:rFonts w:hint="eastAsia" w:ascii="宋体" w:hAnsi="宋体" w:cs="宋体"/>
                <w:color w:val="auto"/>
                <w:sz w:val="24"/>
              </w:rPr>
              <w:t xml:space="preserve">。</w:t>
            </w:r>
            <w:r/>
          </w:p>
          <w:p>
            <w:pPr>
              <w:pStyle w:val="940"/>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hint="eastAsia" w:ascii="宋体" w:hAnsi="宋体" w:cs="宋体"/>
                <w:color w:val="auto"/>
                <w:sz w:val="24"/>
              </w:rPr>
              <w:t xml:space="preserve">6、配置选型方面，合理性较差，与实际应用的需求和场景不相匹配，所选配置难以满足基本使用要求，资源浪费严重。技术层面，采用了较为落后的技术架构和设计理念，不具备检测应用研发能力，产品几乎无可扩展性。稳定性方面，未能提供有效的质量控制和测试验证证明，在正常运行环境下难以保证稳定的运行状态，故障率较高。产品性能成熟度方面，该产品在市场上稳定性不足，其性能、质量、可靠性等方面认可度低，用户反馈多为负面</w:t>
            </w:r>
            <w:r>
              <w:rPr>
                <w:rFonts w:ascii="宋体" w:hAnsi="宋体" w:cs="宋体"/>
                <w:color w:val="auto"/>
                <w:sz w:val="24"/>
              </w:rPr>
              <w:t xml:space="preserve">，得</w:t>
            </w:r>
            <w:r>
              <w:rPr>
                <w:rFonts w:hint="eastAsia" w:ascii="宋体" w:hAnsi="宋体" w:cs="宋体"/>
                <w:color w:val="auto"/>
                <w:sz w:val="24"/>
              </w:rPr>
              <w:t xml:space="preserve">3</w:t>
            </w:r>
            <w:r>
              <w:rPr>
                <w:rFonts w:ascii="宋体" w:hAnsi="宋体" w:cs="宋体"/>
                <w:color w:val="auto"/>
                <w:sz w:val="24"/>
              </w:rPr>
              <w:t xml:space="preserve">分</w:t>
            </w:r>
            <w:r>
              <w:rPr>
                <w:rFonts w:hint="eastAsia" w:ascii="宋体" w:hAnsi="宋体" w:cs="宋体"/>
                <w:color w:val="auto"/>
                <w:sz w:val="24"/>
              </w:rPr>
              <w:t xml:space="preserve">。</w:t>
            </w:r>
            <w:r/>
          </w:p>
          <w:p>
            <w:pPr>
              <w:pStyle w:val="940"/>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hint="eastAsia" w:ascii="宋体" w:hAnsi="宋体" w:cs="宋体"/>
                <w:color w:val="auto"/>
                <w:sz w:val="24"/>
              </w:rPr>
              <w:t xml:space="preserve">7、配置选型方面，完全脱离实际应用的需求和场景，所选配置极不合理，造成严重的资源浪费或功能缺失。技术层面，采用了陈旧落后的技术架构和设计理念，无任何研发能力支撑，产品不具备可扩展性。稳定性方面，完全未能证明产品在正常运行环境下能够保持稳定的运行状态，缺乏基本的质量控制与测试。产品性能成熟度方面，该产品在市场上极不稳定，其性能、质量、可靠性等方面认可度极低，几乎未获得用户认可，</w:t>
            </w:r>
            <w:r>
              <w:rPr>
                <w:rFonts w:ascii="宋体" w:hAnsi="宋体" w:cs="宋体"/>
                <w:color w:val="auto"/>
                <w:sz w:val="24"/>
              </w:rPr>
              <w:t xml:space="preserve">得</w:t>
            </w:r>
            <w:r>
              <w:rPr>
                <w:rFonts w:hint="eastAsia" w:ascii="宋体" w:hAnsi="宋体" w:cs="宋体"/>
                <w:color w:val="auto"/>
                <w:sz w:val="24"/>
              </w:rPr>
              <w:t xml:space="preserve">2</w:t>
            </w:r>
            <w:r>
              <w:rPr>
                <w:rFonts w:ascii="宋体" w:hAnsi="宋体" w:cs="宋体"/>
                <w:color w:val="auto"/>
                <w:sz w:val="24"/>
              </w:rPr>
              <w:t xml:space="preserve">分</w:t>
            </w:r>
            <w:r>
              <w:rPr>
                <w:rFonts w:hint="eastAsia" w:ascii="宋体" w:hAnsi="宋体" w:cs="宋体"/>
                <w:color w:val="auto"/>
                <w:sz w:val="24"/>
              </w:rPr>
              <w:t xml:space="preserve">。</w:t>
            </w:r>
            <w:r/>
          </w:p>
          <w:p>
            <w:pPr>
              <w:pStyle w:val="940"/>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hint="eastAsia" w:ascii="宋体" w:hAnsi="宋体" w:cs="宋体"/>
                <w:b/>
                <w:bCs/>
                <w:color w:val="auto"/>
                <w:sz w:val="24"/>
              </w:rPr>
              <w:t xml:space="preserve">未提供不得分。</w:t>
            </w:r>
            <w:r/>
          </w:p>
        </w:tc>
      </w:tr>
      <w:tr>
        <w:trPr>
          <w:trHeight w:val="2768"/>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pStyle w:val="940"/>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hint="eastAsia" w:ascii="宋体" w:hAnsi="宋体" w:cs="宋体"/>
                <w:color w:val="auto"/>
                <w:sz w:val="24"/>
              </w:rPr>
              <w:t xml:space="preserve">售后服务方案（7分）</w:t>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pStyle w:val="940"/>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hint="eastAsia" w:ascii="宋体" w:hAnsi="宋体" w:cs="宋体"/>
                <w:color w:val="auto"/>
                <w:sz w:val="24"/>
              </w:rPr>
              <w:t xml:space="preserve">投标时投标人应对本项目提供完整、详细、可行的售后服务方案，内容包括但不限于：①保修时间响应、②服务响应速度、③日常维护和保养、④零配件和维修备品备件的供应保障、⑤售后服务人员专业素养、⑥客户反馈处理机制等。评委根据投标人提供的具体方案进行综合评定。</w:t>
            </w:r>
            <w:r/>
          </w:p>
          <w:p>
            <w:pPr>
              <w:pStyle w:val="940"/>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hint="eastAsia" w:ascii="宋体" w:hAnsi="宋体" w:cs="宋体"/>
                <w:color w:val="auto"/>
                <w:sz w:val="24"/>
              </w:rPr>
              <w:t xml:space="preserve">1、售后服务方案细致完整、针对性强、措施有力，方案的贯彻应能满足本项目各项服务要求，方案内容描述全面合理符合采购需求的得7分；</w:t>
            </w:r>
            <w:r/>
          </w:p>
          <w:p>
            <w:pPr>
              <w:pStyle w:val="940"/>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hint="eastAsia" w:ascii="宋体" w:hAnsi="宋体" w:cs="宋体"/>
                <w:color w:val="auto"/>
                <w:sz w:val="24"/>
              </w:rPr>
              <w:t xml:space="preserve">2、售后服务方案较细致完整，具有较强针对性，措施较为有力，方案的贯彻基本能满足本项目各项服务要求，方案内容描述较全面合理，基本符合采购需求的得6分；</w:t>
            </w:r>
            <w:r/>
          </w:p>
          <w:p>
            <w:pPr>
              <w:pStyle w:val="940"/>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hint="eastAsia" w:ascii="宋体" w:hAnsi="宋体" w:cs="宋体"/>
                <w:color w:val="auto"/>
                <w:sz w:val="24"/>
              </w:rPr>
              <w:t xml:space="preserve">3、售后服务方案基本完整，</w:t>
            </w:r>
            <w:r>
              <w:rPr>
                <w:rFonts w:hint="eastAsia" w:ascii="宋体" w:hAnsi="宋体" w:cs="宋体"/>
                <w:sz w:val="24"/>
              </w:rPr>
              <w:t xml:space="preserve">内容至少覆盖以上5项要素，</w:t>
            </w:r>
            <w:r>
              <w:rPr>
                <w:rFonts w:hint="eastAsia" w:ascii="宋体" w:hAnsi="宋体" w:cs="宋体"/>
                <w:color w:val="auto"/>
                <w:sz w:val="24"/>
              </w:rPr>
              <w:t xml:space="preserve">具有一定针对性，措施基本可行，方案的贯彻能基本满足主要服务要求，方案内容描述基本合理，但部分细节不够具体或略有欠缺的得5分；</w:t>
            </w:r>
            <w:r/>
          </w:p>
          <w:p>
            <w:pPr>
              <w:pStyle w:val="940"/>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hint="eastAsia" w:ascii="宋体" w:hAnsi="宋体" w:cs="宋体"/>
                <w:color w:val="auto"/>
                <w:sz w:val="24"/>
              </w:rPr>
              <w:t xml:space="preserve">4、售后服务方案完整性不足，</w:t>
            </w:r>
            <w:r>
              <w:rPr>
                <w:rFonts w:hint="eastAsia" w:ascii="宋体" w:hAnsi="宋体" w:cs="宋体"/>
                <w:sz w:val="24"/>
              </w:rPr>
              <w:t xml:space="preserve">内容至少覆盖以上4项要素</w:t>
            </w:r>
            <w:r>
              <w:rPr>
                <w:rFonts w:hint="eastAsia" w:ascii="宋体" w:hAnsi="宋体" w:cs="宋体"/>
                <w:color w:val="auto"/>
                <w:sz w:val="24"/>
              </w:rPr>
              <w:t xml:space="preserve">，针对性一般，措施不够得力，方案的贯彻不能完全满足各项服务要求，方案内容描述有较多疏漏，合理性较差的得4分；</w:t>
            </w:r>
            <w:r/>
          </w:p>
          <w:p>
            <w:pPr>
              <w:pStyle w:val="940"/>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hint="eastAsia" w:ascii="宋体" w:hAnsi="宋体" w:cs="宋体"/>
                <w:color w:val="auto"/>
                <w:sz w:val="24"/>
              </w:rPr>
              <w:t xml:space="preserve">5、售后服务方案较为粗略，</w:t>
            </w:r>
            <w:r>
              <w:rPr>
                <w:rFonts w:hint="eastAsia" w:ascii="宋体" w:hAnsi="宋体" w:cs="宋体"/>
                <w:sz w:val="24"/>
              </w:rPr>
              <w:t xml:space="preserve">内容至少覆盖以上3项要素，</w:t>
            </w:r>
            <w:r>
              <w:rPr>
                <w:rFonts w:hint="eastAsia" w:ascii="宋体" w:hAnsi="宋体" w:cs="宋体"/>
                <w:color w:val="auto"/>
                <w:sz w:val="24"/>
              </w:rPr>
              <w:t xml:space="preserve">缺乏针对性，措施乏力或流于形式，方案的贯彻难以有效满足服务要求，方案内容描述粗浅，多处关键内容缺失，不符合采购需求的得3分；</w:t>
            </w:r>
            <w:r/>
          </w:p>
          <w:p>
            <w:pPr>
              <w:pStyle w:val="940"/>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hint="eastAsia" w:ascii="宋体" w:hAnsi="宋体" w:cs="宋体"/>
                <w:color w:val="auto"/>
                <w:sz w:val="24"/>
              </w:rPr>
              <w:t xml:space="preserve">6、售后服务方案严重缺失，</w:t>
            </w:r>
            <w:r>
              <w:rPr>
                <w:rFonts w:hint="eastAsia" w:ascii="宋体" w:hAnsi="宋体" w:cs="宋体"/>
                <w:sz w:val="24"/>
              </w:rPr>
              <w:t xml:space="preserve">内容至少覆盖以上2项要素，</w:t>
            </w:r>
            <w:r>
              <w:rPr>
                <w:rFonts w:hint="eastAsia" w:ascii="宋体" w:hAnsi="宋体" w:cs="宋体"/>
                <w:color w:val="auto"/>
                <w:sz w:val="24"/>
              </w:rPr>
              <w:t xml:space="preserve">内容空泛或与项目无关，无具体针对性，无实质措施，方案的贯彻无法满足基本服务要求，方案内容描述混乱或基本未响应的得2分。</w:t>
            </w:r>
            <w:r/>
          </w:p>
          <w:p>
            <w:pPr>
              <w:pStyle w:val="940"/>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hint="eastAsia" w:ascii="宋体" w:hAnsi="宋体" w:cs="宋体"/>
                <w:b/>
                <w:bCs/>
                <w:sz w:val="24"/>
              </w:rPr>
              <w:t xml:space="preserve">未提供不得分。</w:t>
            </w:r>
            <w:r/>
          </w:p>
        </w:tc>
      </w:tr>
      <w:tr>
        <w:trPr>
          <w:trHeight w:val="449"/>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jc w:val="cente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培训方案（7分）</w:t>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jc w:val="left"/>
              <w:spacing w:line="360" w:lineRule="auto"/>
              <w:rPr>
                <w:rFonts w:ascii="宋体" w:hAnsi="宋体" w:cs="宋体"/>
                <w:sz w:val="24"/>
              </w:rPr>
              <w:pBdr>
                <w:top w:val="none" w:color="auto" w:sz="0" w:space="1"/>
                <w:left w:val="none" w:color="auto" w:sz="0" w:space="4"/>
                <w:bottom w:val="none" w:color="auto" w:sz="0" w:space="1"/>
                <w:right w:val="none" w:color="auto" w:sz="0" w:space="4"/>
              </w:pBdr>
            </w:pPr>
            <w:r>
              <w:rPr>
                <w:rFonts w:hint="eastAsia" w:ascii="宋体" w:hAnsi="宋体" w:cs="宋体"/>
                <w:sz w:val="24"/>
              </w:rPr>
              <w:t xml:space="preserve">投标时投标人应对本项目提供完整、详细、可行的培训方案，内容包括但不限于：①培训内容、②时间地点安排、③科研培训能力、④师资和人次、⑤管理和协调、⑥效果评价。评委根据投标人提供的具体方案进行综合评定。</w:t>
            </w:r>
            <w:r/>
          </w:p>
          <w:p>
            <w:pPr>
              <w:jc w:val="left"/>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rPr>
              <w:t xml:space="preserve">1、</w:t>
            </w:r>
            <w:r>
              <w:rPr>
                <w:rFonts w:hint="eastAsia" w:ascii="宋体" w:hAnsi="宋体" w:cs="宋体"/>
                <w:sz w:val="24"/>
                <w:szCs w:val="24"/>
              </w:rPr>
              <w:t xml:space="preserve">培训方案完整，详细，针对性强、贯彻各项服务要求、</w:t>
            </w:r>
            <w:r>
              <w:rPr>
                <w:rFonts w:hint="eastAsia" w:ascii="宋体" w:hAnsi="宋体" w:cs="宋体"/>
                <w:sz w:val="24"/>
              </w:rPr>
              <w:t xml:space="preserve">能够根据货物特点安排有针对性并符合业主要求的培训内容，由富有经验的师资力量开展培训活动，具有详细培训课程安排和个性化的培训效果评价计划</w:t>
            </w:r>
            <w:r>
              <w:rPr>
                <w:rFonts w:hint="eastAsia" w:ascii="宋体" w:hAnsi="宋体" w:cs="宋体"/>
                <w:sz w:val="24"/>
                <w:szCs w:val="24"/>
              </w:rPr>
              <w:t xml:space="preserve">的得7分；</w:t>
            </w:r>
            <w:r/>
          </w:p>
          <w:p>
            <w:pPr>
              <w:jc w:val="left"/>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2、培训方案较完整、较详细，具有一定针对性，基本贯彻各项服务要求，能够根据货物特点安排较为合理的培训内容，由具备一定经验的师资开展培训活动，有较具体的培训课程安排和较可行的效果评价计划的得6分；</w:t>
            </w:r>
            <w:r/>
          </w:p>
          <w:p>
            <w:pPr>
              <w:jc w:val="left"/>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3、培训方案基本完整，内容至少覆盖以上5项培训要素，针对性一般，能基本满足服务要求，培训内容安排基本符合货物特点，师资力量及经验尚可，有基本的课程时间安排和效果评价框架的得5分；</w:t>
            </w:r>
            <w:r/>
          </w:p>
          <w:p>
            <w:pPr>
              <w:jc w:val="left"/>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4、培训方案完整性不足，内容至少覆盖以上4项培训要素，针对性不强，对服务要求的贯彻不够全面，培训内容与货物特点关联不紧密，师资经验或配备不足，课程安排粗略，效果评价计划简单或可操作性较差的得4分；</w:t>
            </w:r>
            <w:r/>
          </w:p>
          <w:p>
            <w:pPr>
              <w:jc w:val="left"/>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5、培训方案较粗略，内容至少覆盖以上3项培训要素，缺乏针对性，未能有效响应服务要求，培训内容未体现货物特点，师资力量薄弱或未明确，课程安排混乱或缺失，效果评价计划不具可行性的得3分；</w:t>
            </w:r>
            <w:r/>
          </w:p>
          <w:p>
            <w:pPr>
              <w:jc w:val="left"/>
              <w:spacing w:line="360" w:lineRule="auto"/>
              <w:rPr>
                <w:rFonts w:ascii="宋体" w:hAnsi="宋体" w:cs="宋体"/>
                <w:sz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6、培训方案严重缺失，内容至少覆盖以上2项培训要素，几乎无针对性，未体现对服务要求的响应，培训内容与货物基本无关，无实质师资和人次说明，无明确课程安排，无效果评价计划的得2分。</w:t>
            </w:r>
            <w:r/>
          </w:p>
          <w:p>
            <w:pPr>
              <w:jc w:val="left"/>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b/>
                <w:bCs/>
                <w:sz w:val="24"/>
              </w:rPr>
              <w:t xml:space="preserve">未提供不得分。</w:t>
            </w:r>
            <w:r/>
          </w:p>
        </w:tc>
      </w:tr>
    </w:tbl>
    <w:p>
      <w:pPr>
        <w:ind w:firstLine="480"/>
        <w:spacing w:line="500" w:lineRule="exact"/>
        <w:rPr>
          <w:sz w:val="24"/>
        </w:rPr>
        <w:pBdr>
          <w:top w:val="none" w:color="auto" w:sz="0" w:space="1"/>
          <w:left w:val="none" w:color="auto" w:sz="0" w:space="4"/>
          <w:bottom w:val="none" w:color="auto" w:sz="0" w:space="1"/>
          <w:right w:val="none" w:color="auto" w:sz="0" w:space="4"/>
        </w:pBdr>
      </w:pPr>
      <w:r>
        <w:rPr>
          <w:sz w:val="24"/>
        </w:rPr>
      </w:r>
      <w:r/>
    </w:p>
    <w:p>
      <w:pPr>
        <w:ind w:firstLine="480"/>
        <w:spacing w:line="500" w:lineRule="exact"/>
        <w:rPr>
          <w:sz w:val="24"/>
        </w:rPr>
        <w:pBdr>
          <w:top w:val="none" w:color="auto" w:sz="0" w:space="1"/>
          <w:left w:val="none" w:color="auto" w:sz="0" w:space="4"/>
          <w:bottom w:val="none" w:color="auto" w:sz="0" w:space="1"/>
          <w:right w:val="none" w:color="auto" w:sz="0" w:space="4"/>
        </w:pBdr>
      </w:pPr>
      <w:r>
        <w:rPr>
          <w:sz w:val="24"/>
        </w:rPr>
        <w:t xml:space="preserve">（3）</w:t>
      </w:r>
      <w:r>
        <w:rPr>
          <w:rFonts w:hint="eastAsia"/>
          <w:sz w:val="24"/>
        </w:rPr>
        <w:t xml:space="preserve">商务</w:t>
      </w:r>
      <w:r>
        <w:rPr>
          <w:sz w:val="24"/>
        </w:rPr>
        <w:t xml:space="preserve">分（48分）</w:t>
      </w:r>
      <w:r/>
    </w:p>
    <w:tbl>
      <w:tblPr>
        <w:tblStyle w:val="736"/>
        <w:tblpPr w:horzAnchor="page" w:tblpX="1253" w:vertAnchor="text" w:tblpY="48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04"/>
        <w:gridCol w:w="7650"/>
      </w:tblGrid>
      <w:tr>
        <w:trPr>
          <w:trHeight w:val="882"/>
        </w:trPr>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jc w:val="center"/>
              <w:spacing w:line="360" w:lineRule="auto"/>
              <w:rPr>
                <w:rFonts w:ascii="宋体" w:hAnsi="宋体" w:cs="宋体"/>
                <w:b/>
                <w:bCs/>
                <w:sz w:val="24"/>
              </w:rPr>
              <w:pBdr>
                <w:top w:val="none" w:color="auto" w:sz="0" w:space="1"/>
                <w:left w:val="none" w:color="auto" w:sz="0" w:space="4"/>
                <w:bottom w:val="none" w:color="auto" w:sz="0" w:space="1"/>
                <w:right w:val="none" w:color="auto" w:sz="0" w:space="4"/>
              </w:pBdr>
            </w:pPr>
            <w:r>
              <w:rPr>
                <w:rFonts w:ascii="宋体" w:hAnsi="宋体" w:cs="宋体"/>
                <w:b/>
                <w:bCs/>
                <w:sz w:val="24"/>
              </w:rPr>
              <w:t xml:space="preserve">评审细则</w:t>
            </w:r>
            <w:r/>
          </w:p>
          <w:p>
            <w:pPr>
              <w:jc w:val="center"/>
              <w:spacing w:line="360" w:lineRule="auto"/>
              <w:rPr>
                <w:rFonts w:ascii="宋体" w:hAnsi="宋体" w:cs="宋体"/>
                <w:sz w:val="24"/>
              </w:rPr>
              <w:pBdr>
                <w:top w:val="none" w:color="auto" w:sz="0" w:space="1"/>
                <w:left w:val="none" w:color="auto" w:sz="0" w:space="4"/>
                <w:bottom w:val="none" w:color="auto" w:sz="0" w:space="1"/>
                <w:right w:val="none" w:color="auto" w:sz="0" w:space="4"/>
              </w:pBdr>
            </w:pPr>
            <w:r>
              <w:rPr>
                <w:rFonts w:ascii="宋体" w:hAnsi="宋体" w:cs="宋体"/>
                <w:b/>
                <w:bCs/>
                <w:sz w:val="24"/>
              </w:rPr>
              <w:t xml:space="preserve">及分值</w:t>
            </w:r>
            <w:r/>
          </w:p>
        </w:tc>
        <w:tc>
          <w:tcPr>
            <w:tcBorders>
              <w:top w:val="single" w:color="auto" w:sz="4" w:space="0"/>
              <w:left w:val="single" w:color="auto" w:sz="4" w:space="0"/>
              <w:bottom w:val="single" w:color="auto" w:sz="4" w:space="0"/>
              <w:right w:val="single" w:color="auto" w:sz="4" w:space="0"/>
            </w:tcBorders>
            <w:tcW w:w="8166" w:type="dxa"/>
            <w:vAlign w:val="center"/>
            <w:textDirection w:val="lrTb"/>
            <w:noWrap w:val="false"/>
          </w:tcPr>
          <w:p>
            <w:pPr>
              <w:jc w:val="center"/>
              <w:spacing w:line="360" w:lineRule="auto"/>
              <w:rPr>
                <w:rFonts w:ascii="宋体" w:hAnsi="宋体" w:cs="宋体"/>
                <w:bCs/>
                <w:sz w:val="24"/>
              </w:rPr>
              <w:pBdr>
                <w:top w:val="none" w:color="auto" w:sz="0" w:space="1"/>
                <w:left w:val="none" w:color="auto" w:sz="0" w:space="4"/>
                <w:bottom w:val="none" w:color="auto" w:sz="0" w:space="1"/>
                <w:right w:val="none" w:color="auto" w:sz="0" w:space="4"/>
              </w:pBdr>
            </w:pPr>
            <w:r>
              <w:rPr>
                <w:rFonts w:ascii="宋体" w:hAnsi="宋体" w:cs="宋体"/>
                <w:b/>
                <w:bCs/>
                <w:sz w:val="24"/>
              </w:rPr>
              <w:t xml:space="preserve">评审标准</w:t>
            </w:r>
            <w:r/>
          </w:p>
        </w:tc>
      </w:tr>
      <w:tr>
        <w:trPr>
          <w:trHeight w:val="2514"/>
        </w:trPr>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spacing w:line="360" w:lineRule="auto"/>
              <w:rPr>
                <w:rFonts w:ascii="宋体" w:hAnsi="宋体" w:cs="宋体"/>
                <w:sz w:val="24"/>
              </w:rPr>
              <w:pBdr>
                <w:top w:val="none" w:color="auto" w:sz="0" w:space="1"/>
                <w:left w:val="none" w:color="auto" w:sz="0" w:space="4"/>
                <w:bottom w:val="none" w:color="auto" w:sz="0" w:space="1"/>
                <w:right w:val="none" w:color="auto" w:sz="0" w:space="4"/>
              </w:pBdr>
            </w:pPr>
            <w:r>
              <w:rPr>
                <w:rFonts w:ascii="宋体" w:hAnsi="宋体" w:cs="宋体"/>
                <w:sz w:val="24"/>
              </w:rPr>
              <w:t xml:space="preserve">技术指标性能响应（</w:t>
            </w:r>
            <w:r>
              <w:rPr>
                <w:rFonts w:hint="eastAsia" w:ascii="宋体" w:hAnsi="宋体" w:cs="宋体"/>
                <w:sz w:val="24"/>
              </w:rPr>
              <w:t xml:space="preserve">45</w:t>
            </w:r>
            <w:r>
              <w:rPr>
                <w:rFonts w:ascii="宋体" w:hAnsi="宋体" w:cs="宋体"/>
                <w:sz w:val="24"/>
              </w:rPr>
              <w:t xml:space="preserve">分）</w:t>
            </w:r>
            <w:r/>
          </w:p>
        </w:tc>
        <w:tc>
          <w:tcPr>
            <w:tcBorders>
              <w:top w:val="single" w:color="auto" w:sz="4" w:space="0"/>
              <w:left w:val="single" w:color="auto" w:sz="4" w:space="0"/>
              <w:bottom w:val="single" w:color="auto" w:sz="4" w:space="0"/>
              <w:right w:val="single" w:color="auto" w:sz="4" w:space="0"/>
            </w:tcBorders>
            <w:tcW w:w="8166" w:type="dxa"/>
            <w:vAlign w:val="center"/>
            <w:textDirection w:val="lrTb"/>
            <w:noWrap w:val="false"/>
          </w:tcPr>
          <w:p>
            <w:pP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完全满足采购文件技术参数要求的得45分；采购文件中标注“▲”的为重要参数，对这些重要参数负偏离的，每项扣5分；其他非重要参数负偏离的，每项扣0.1分，扣完为止。缺项漏项视为负偏离。</w:t>
            </w:r>
            <w:r/>
          </w:p>
          <w:p>
            <w:pPr>
              <w:spacing w:line="360" w:lineRule="auto"/>
              <w:rPr>
                <w:rFonts w:ascii="宋体" w:hAnsi="宋体" w:cs="宋体"/>
                <w:sz w:val="24"/>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rPr>
              <w:t xml:space="preserve">注：招标文件要求提供技术内容支撑资料的应完整，完善，无遗漏地提供，否则视为未响应。</w:t>
            </w:r>
            <w:r/>
          </w:p>
        </w:tc>
      </w:tr>
      <w:tr>
        <w:trPr>
          <w:trHeight w:val="108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4"/>
              </w:rPr>
              <w:pBdr>
                <w:top w:val="none" w:color="auto" w:sz="0" w:space="1"/>
                <w:left w:val="none" w:color="auto" w:sz="0" w:space="4"/>
                <w:bottom w:val="none" w:color="auto" w:sz="0" w:space="1"/>
                <w:right w:val="none" w:color="auto" w:sz="0" w:space="4"/>
              </w:pBdr>
            </w:pPr>
            <w:r>
              <w:rPr>
                <w:rFonts w:ascii="宋体" w:hAnsi="宋体" w:cs="宋体"/>
                <w:sz w:val="24"/>
              </w:rPr>
              <w:t xml:space="preserve">类似项目业绩（</w:t>
            </w:r>
            <w:r>
              <w:rPr>
                <w:rFonts w:hint="eastAsia" w:ascii="宋体" w:hAnsi="宋体" w:cs="宋体"/>
                <w:sz w:val="24"/>
              </w:rPr>
              <w:t xml:space="preserve">3</w:t>
            </w:r>
            <w:r>
              <w:rPr>
                <w:rFonts w:ascii="宋体" w:hAnsi="宋体" w:cs="宋体"/>
                <w:sz w:val="24"/>
              </w:rPr>
              <w:t xml:space="preserve">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360" w:lineRule="auto"/>
              <w:rPr>
                <w:rFonts w:ascii="宋体" w:hAnsi="宋体" w:cs="宋体"/>
                <w:sz w:val="24"/>
              </w:rPr>
              <w:pBdr>
                <w:top w:val="none" w:color="auto" w:sz="0" w:space="1"/>
                <w:left w:val="none" w:color="auto" w:sz="0" w:space="4"/>
                <w:bottom w:val="none" w:color="auto" w:sz="0" w:space="1"/>
                <w:right w:val="none" w:color="auto" w:sz="0" w:space="4"/>
              </w:pBdr>
            </w:pPr>
            <w:r>
              <w:rPr>
                <w:rFonts w:ascii="宋体" w:hAnsi="宋体" w:cs="宋体"/>
                <w:sz w:val="24"/>
              </w:rPr>
              <w:t xml:space="preserve">所投同类型产品2023年1月1日以来的业绩，每提供一份业绩得1</w:t>
            </w:r>
            <w:r>
              <w:rPr>
                <w:rFonts w:hint="eastAsia" w:ascii="宋体" w:hAnsi="宋体" w:cs="宋体"/>
                <w:sz w:val="24"/>
              </w:rPr>
              <w:t xml:space="preserve">.5</w:t>
            </w:r>
            <w:r>
              <w:rPr>
                <w:rFonts w:ascii="宋体" w:hAnsi="宋体" w:cs="宋体"/>
                <w:sz w:val="24"/>
              </w:rPr>
              <w:t xml:space="preserve">分，最多得</w:t>
            </w:r>
            <w:r>
              <w:rPr>
                <w:rFonts w:hint="eastAsia" w:ascii="宋体" w:hAnsi="宋体" w:cs="宋体"/>
                <w:sz w:val="24"/>
              </w:rPr>
              <w:t xml:space="preserve">3</w:t>
            </w:r>
            <w:r>
              <w:rPr>
                <w:rFonts w:ascii="宋体" w:hAnsi="宋体" w:cs="宋体"/>
                <w:sz w:val="24"/>
              </w:rPr>
              <w:t xml:space="preserve">分</w:t>
            </w:r>
            <w:r>
              <w:rPr>
                <w:rFonts w:ascii="宋体" w:hAnsi="宋体" w:cs="宋体"/>
                <w:sz w:val="24"/>
              </w:rPr>
              <w:t xml:space="preserve">。</w:t>
            </w:r>
            <w:r/>
          </w:p>
          <w:p>
            <w:pPr>
              <w:spacing w:line="360" w:lineRule="auto"/>
              <w:rPr>
                <w:rFonts w:ascii="MS Mincho"/>
              </w:rPr>
              <w:pBdr>
                <w:top w:val="none" w:color="auto" w:sz="0" w:space="1"/>
                <w:left w:val="none" w:color="auto" w:sz="0" w:space="4"/>
                <w:bottom w:val="none" w:color="auto" w:sz="0" w:space="1"/>
                <w:right w:val="none" w:color="auto" w:sz="0" w:space="4"/>
              </w:pBdr>
            </w:pPr>
            <w:r>
              <w:rPr>
                <w:rFonts w:hint="eastAsia" w:ascii="宋体" w:hAnsi="宋体" w:cs="宋体"/>
                <w:sz w:val="24"/>
              </w:rPr>
              <w:t xml:space="preserve">注：</w:t>
            </w:r>
            <w:r>
              <w:rPr>
                <w:rFonts w:ascii="宋体" w:hAnsi="宋体" w:cs="宋体"/>
                <w:sz w:val="24"/>
              </w:rPr>
              <w:t xml:space="preserve">提供合同扫描件加盖供应商公章,时间以合同所示时间为准</w:t>
            </w:r>
            <w:r>
              <w:rPr>
                <w:rFonts w:hint="eastAsia" w:ascii="宋体" w:hAnsi="宋体" w:cs="宋体"/>
                <w:sz w:val="24"/>
              </w:rPr>
              <w:t xml:space="preserve">。</w:t>
            </w:r>
            <w:r/>
          </w:p>
        </w:tc>
      </w:tr>
    </w:tbl>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sz w:val="24"/>
          <w:szCs w:val="24"/>
        </w:rPr>
      </w:r>
      <w:r/>
    </w:p>
    <w:p>
      <w:pPr>
        <w:jc w:val="left"/>
        <w:widowControl/>
        <w:rPr>
          <w:sz w:val="24"/>
          <w:szCs w:val="24"/>
        </w:rPr>
        <w:pBdr>
          <w:top w:val="none" w:color="auto" w:sz="0" w:space="1"/>
          <w:left w:val="none" w:color="auto" w:sz="0" w:space="4"/>
          <w:bottom w:val="none" w:color="auto" w:sz="0" w:space="1"/>
          <w:right w:val="none" w:color="auto" w:sz="0" w:space="4"/>
        </w:pBdr>
      </w:pPr>
      <w:r>
        <w:rPr>
          <w:sz w:val="24"/>
          <w:szCs w:val="24"/>
        </w:rPr>
        <w:br w:type="page" w:clear="all"/>
      </w:r>
      <w:r/>
    </w:p>
    <w:p>
      <w:pPr>
        <w:pStyle w:val="935"/>
        <w:jc w:val="center"/>
        <w:spacing w:line="360" w:lineRule="auto"/>
        <w:rPr>
          <w:rFonts w:ascii="黑体" w:hAnsi="黑体" w:eastAsia="黑体"/>
          <w:b w:val="0"/>
        </w:rPr>
        <w:pBdr>
          <w:top w:val="none" w:color="auto" w:sz="0" w:space="1"/>
          <w:left w:val="none" w:color="auto" w:sz="0" w:space="4"/>
          <w:bottom w:val="none" w:color="auto" w:sz="0" w:space="1"/>
          <w:right w:val="none" w:color="auto" w:sz="0" w:space="4"/>
        </w:pBdr>
      </w:pPr>
      <w:r/>
      <w:bookmarkStart w:id="12" w:name="_Toc165205799"/>
      <w:r>
        <w:rPr>
          <w:rFonts w:hint="eastAsia" w:ascii="黑体" w:hAnsi="黑体" w:eastAsia="黑体"/>
          <w:b w:val="0"/>
        </w:rPr>
        <w:t xml:space="preserve">第六章  投标文件格式</w:t>
      </w:r>
      <w:bookmarkEnd w:id="12"/>
      <w:r/>
      <w:r/>
    </w:p>
    <w:p>
      <w:pPr>
        <w:jc w:val="left"/>
        <w:spacing w:line="500" w:lineRule="exact"/>
        <w:rPr>
          <w:sz w:val="24"/>
          <w:szCs w:val="24"/>
        </w:rPr>
        <w:pBdr>
          <w:top w:val="none" w:color="auto" w:sz="0" w:space="1"/>
          <w:left w:val="none" w:color="auto" w:sz="0" w:space="4"/>
          <w:bottom w:val="none" w:color="auto" w:sz="0" w:space="1"/>
          <w:right w:val="none" w:color="auto" w:sz="0" w:space="4"/>
        </w:pBdr>
      </w:pPr>
      <w:r>
        <w:rPr>
          <w:sz w:val="24"/>
          <w:szCs w:val="24"/>
        </w:rPr>
      </w:r>
      <w:r/>
    </w:p>
    <w:p>
      <w:pPr>
        <w:jc w:val="center"/>
        <w:rPr>
          <w:rFonts w:ascii="宋体" w:hAnsi="宋体"/>
          <w:b/>
          <w:color w:val="000000"/>
          <w:sz w:val="72"/>
          <w:szCs w:val="21"/>
        </w:rPr>
        <w:pBdr>
          <w:top w:val="none" w:color="auto" w:sz="0" w:space="1"/>
          <w:left w:val="none" w:color="auto" w:sz="0" w:space="4"/>
          <w:bottom w:val="none" w:color="auto" w:sz="0" w:space="1"/>
          <w:right w:val="none" w:color="auto" w:sz="0" w:space="4"/>
        </w:pBdr>
      </w:pPr>
      <w:r>
        <w:rPr>
          <w:rFonts w:ascii="宋体" w:hAnsi="宋体"/>
          <w:b/>
          <w:color w:val="000000"/>
          <w:sz w:val="72"/>
          <w:szCs w:val="21"/>
        </w:rPr>
      </w:r>
      <w:r/>
    </w:p>
    <w:p>
      <w:pPr>
        <w:jc w:val="center"/>
        <w:rPr>
          <w:rFonts w:ascii="宋体" w:hAnsi="宋体"/>
          <w:b/>
          <w:color w:val="000000"/>
          <w:sz w:val="72"/>
          <w:szCs w:val="21"/>
        </w:rPr>
        <w:pBdr>
          <w:top w:val="none" w:color="auto" w:sz="0" w:space="1"/>
          <w:left w:val="none" w:color="auto" w:sz="0" w:space="4"/>
          <w:bottom w:val="none" w:color="auto" w:sz="0" w:space="1"/>
          <w:right w:val="none" w:color="auto" w:sz="0" w:space="4"/>
        </w:pBdr>
      </w:pPr>
      <w:r>
        <w:rPr>
          <w:rFonts w:hint="eastAsia" w:ascii="宋体" w:hAnsi="宋体"/>
          <w:b/>
          <w:color w:val="000000"/>
          <w:sz w:val="72"/>
          <w:szCs w:val="21"/>
        </w:rPr>
        <w:t xml:space="preserve">投  标  文  件</w:t>
      </w:r>
      <w:r/>
    </w:p>
    <w:p>
      <w:pPr>
        <w:jc w:val="center"/>
        <w:rPr>
          <w:rFonts w:ascii="宋体" w:hAnsi="宋体"/>
          <w:b/>
          <w:color w:val="000000"/>
          <w:sz w:val="72"/>
          <w:szCs w:val="21"/>
        </w:rPr>
        <w:pBdr>
          <w:top w:val="none" w:color="auto" w:sz="0" w:space="1"/>
          <w:left w:val="none" w:color="auto" w:sz="0" w:space="4"/>
          <w:bottom w:val="none" w:color="auto" w:sz="0" w:space="1"/>
          <w:right w:val="none" w:color="auto" w:sz="0" w:space="4"/>
        </w:pBdr>
      </w:pPr>
      <w:r>
        <w:rPr>
          <w:rFonts w:ascii="宋体" w:hAnsi="宋体"/>
          <w:b/>
          <w:color w:val="000000"/>
          <w:sz w:val="72"/>
          <w:szCs w:val="21"/>
        </w:rPr>
      </w:r>
      <w:r/>
    </w:p>
    <w:p>
      <w:pPr>
        <w:jc w:val="center"/>
        <w:rPr>
          <w:rFonts w:ascii="宋体" w:hAnsi="宋体"/>
          <w:b/>
          <w:color w:val="000000"/>
          <w:sz w:val="72"/>
          <w:szCs w:val="21"/>
        </w:rPr>
        <w:pBdr>
          <w:top w:val="none" w:color="auto" w:sz="0" w:space="1"/>
          <w:left w:val="none" w:color="auto" w:sz="0" w:space="4"/>
          <w:bottom w:val="none" w:color="auto" w:sz="0" w:space="1"/>
          <w:right w:val="none" w:color="auto" w:sz="0" w:space="4"/>
        </w:pBdr>
      </w:pPr>
      <w:r>
        <w:rPr>
          <w:rFonts w:ascii="宋体" w:hAnsi="宋体"/>
          <w:b/>
          <w:color w:val="000000"/>
          <w:sz w:val="72"/>
          <w:szCs w:val="21"/>
        </w:rPr>
      </w:r>
      <w:r/>
    </w:p>
    <w:p>
      <w:pPr>
        <w:jc w:val="center"/>
        <w:rPr>
          <w:rFonts w:ascii="宋体" w:hAnsi="宋体"/>
          <w:b/>
          <w:color w:val="000000"/>
          <w:sz w:val="36"/>
          <w:szCs w:val="21"/>
        </w:rPr>
        <w:pBdr>
          <w:top w:val="none" w:color="auto" w:sz="0" w:space="1"/>
          <w:left w:val="none" w:color="auto" w:sz="0" w:space="4"/>
          <w:bottom w:val="none" w:color="auto" w:sz="0" w:space="1"/>
          <w:right w:val="none" w:color="auto" w:sz="0" w:space="4"/>
        </w:pBdr>
      </w:pPr>
      <w:r>
        <w:rPr>
          <w:rFonts w:ascii="宋体" w:hAnsi="宋体"/>
          <w:b/>
          <w:color w:val="000000"/>
          <w:sz w:val="36"/>
          <w:szCs w:val="21"/>
        </w:rPr>
      </w:r>
      <w:r/>
    </w:p>
    <w:p>
      <w:pPr>
        <w:jc w:val="center"/>
        <w:rPr>
          <w:rFonts w:ascii="宋体" w:hAnsi="宋体"/>
          <w:b/>
          <w:color w:val="000000"/>
          <w:sz w:val="36"/>
          <w:szCs w:val="21"/>
        </w:rPr>
        <w:pBdr>
          <w:top w:val="none" w:color="auto" w:sz="0" w:space="1"/>
          <w:left w:val="none" w:color="auto" w:sz="0" w:space="4"/>
          <w:bottom w:val="none" w:color="auto" w:sz="0" w:space="1"/>
          <w:right w:val="none" w:color="auto" w:sz="0" w:space="4"/>
        </w:pBdr>
      </w:pPr>
      <w:r>
        <w:rPr>
          <w:rFonts w:ascii="宋体" w:hAnsi="宋体"/>
          <w:b/>
          <w:color w:val="000000"/>
          <w:sz w:val="36"/>
          <w:szCs w:val="21"/>
        </w:rPr>
      </w:r>
      <w:r/>
    </w:p>
    <w:p>
      <w:pPr>
        <w:jc w:val="center"/>
        <w:rPr>
          <w:rFonts w:ascii="宋体" w:hAnsi="宋体"/>
          <w:b/>
          <w:color w:val="000000"/>
          <w:sz w:val="36"/>
          <w:szCs w:val="21"/>
        </w:rPr>
        <w:pBdr>
          <w:top w:val="none" w:color="auto" w:sz="0" w:space="1"/>
          <w:left w:val="none" w:color="auto" w:sz="0" w:space="4"/>
          <w:bottom w:val="none" w:color="auto" w:sz="0" w:space="1"/>
          <w:right w:val="none" w:color="auto" w:sz="0" w:space="4"/>
        </w:pBdr>
      </w:pPr>
      <w:r>
        <w:rPr>
          <w:rFonts w:ascii="宋体" w:hAnsi="宋体"/>
          <w:b/>
          <w:color w:val="000000"/>
          <w:sz w:val="36"/>
          <w:szCs w:val="21"/>
        </w:rPr>
      </w:r>
      <w:r/>
    </w:p>
    <w:p>
      <w:pPr>
        <w:ind w:firstLine="1084"/>
        <w:rPr>
          <w:rFonts w:ascii="宋体" w:hAnsi="宋体"/>
          <w:b/>
          <w:color w:val="000000"/>
          <w:sz w:val="36"/>
          <w:szCs w:val="21"/>
        </w:rPr>
        <w:pBdr>
          <w:top w:val="none" w:color="auto" w:sz="0" w:space="1"/>
          <w:left w:val="none" w:color="auto" w:sz="0" w:space="4"/>
          <w:bottom w:val="none" w:color="auto" w:sz="0" w:space="1"/>
          <w:right w:val="none" w:color="auto" w:sz="0" w:space="4"/>
        </w:pBdr>
      </w:pPr>
      <w:r>
        <w:rPr>
          <w:rFonts w:hint="eastAsia" w:ascii="宋体" w:hAnsi="宋体"/>
          <w:b/>
          <w:color w:val="000000"/>
          <w:sz w:val="36"/>
          <w:szCs w:val="21"/>
        </w:rPr>
        <w:t xml:space="preserve">项 目 名 称：</w:t>
      </w:r>
      <w:r/>
    </w:p>
    <w:p>
      <w:pPr>
        <w:ind w:firstLine="1084"/>
        <w:rPr>
          <w:rFonts w:ascii="宋体" w:hAnsi="宋体"/>
          <w:b/>
          <w:color w:val="000000"/>
          <w:sz w:val="36"/>
          <w:szCs w:val="21"/>
          <w:u w:val="single"/>
        </w:rPr>
        <w:pBdr>
          <w:top w:val="none" w:color="auto" w:sz="0" w:space="1"/>
          <w:left w:val="none" w:color="auto" w:sz="0" w:space="4"/>
          <w:bottom w:val="none" w:color="auto" w:sz="0" w:space="1"/>
          <w:right w:val="none" w:color="auto" w:sz="0" w:space="4"/>
        </w:pBdr>
      </w:pPr>
      <w:r>
        <w:rPr>
          <w:rFonts w:hint="eastAsia" w:ascii="宋体" w:hAnsi="宋体"/>
          <w:b/>
          <w:color w:val="000000"/>
          <w:sz w:val="36"/>
          <w:szCs w:val="21"/>
        </w:rPr>
        <w:t xml:space="preserve">项 目 编 号：</w:t>
      </w:r>
      <w:r/>
    </w:p>
    <w:p>
      <w:pPr>
        <w:rPr>
          <w:rFonts w:ascii="宋体" w:hAnsi="宋体"/>
          <w:b/>
          <w:color w:val="000000"/>
          <w:sz w:val="36"/>
          <w:szCs w:val="21"/>
          <w:u w:val="single"/>
        </w:rPr>
        <w:pBdr>
          <w:top w:val="none" w:color="auto" w:sz="0" w:space="1"/>
          <w:left w:val="none" w:color="auto" w:sz="0" w:space="4"/>
          <w:bottom w:val="none" w:color="auto" w:sz="0" w:space="1"/>
          <w:right w:val="none" w:color="auto" w:sz="0" w:space="4"/>
        </w:pBdr>
      </w:pPr>
      <w:r>
        <w:rPr>
          <w:rFonts w:hint="eastAsia" w:ascii="宋体" w:hAnsi="宋体"/>
          <w:b/>
          <w:color w:val="000000"/>
          <w:sz w:val="36"/>
          <w:szCs w:val="21"/>
        </w:rPr>
        <w:t xml:space="preserve">      供应商名称 ：</w:t>
      </w:r>
      <w:r>
        <w:rPr>
          <w:rFonts w:hint="eastAsia" w:ascii="宋体" w:hAnsi="宋体"/>
          <w:b/>
          <w:color w:val="000000"/>
          <w:sz w:val="36"/>
          <w:szCs w:val="21"/>
          <w:u w:val="single"/>
        </w:rPr>
        <w:t xml:space="preserve">（加盖CA电子公章）</w:t>
      </w:r>
      <w:r/>
    </w:p>
    <w:p>
      <w:pPr>
        <w:rPr>
          <w:rFonts w:ascii="宋体" w:hAnsi="宋体"/>
          <w:b/>
          <w:color w:val="000000"/>
          <w:sz w:val="36"/>
          <w:szCs w:val="21"/>
          <w:u w:val="single"/>
        </w:rPr>
        <w:pBdr>
          <w:top w:val="none" w:color="auto" w:sz="0" w:space="1"/>
          <w:left w:val="none" w:color="auto" w:sz="0" w:space="4"/>
          <w:bottom w:val="none" w:color="auto" w:sz="0" w:space="1"/>
          <w:right w:val="none" w:color="auto" w:sz="0" w:space="4"/>
        </w:pBdr>
      </w:pPr>
      <w:r>
        <w:rPr>
          <w:rFonts w:hint="eastAsia" w:ascii="宋体" w:hAnsi="宋体"/>
          <w:b/>
          <w:color w:val="000000"/>
          <w:sz w:val="36"/>
          <w:szCs w:val="21"/>
        </w:rPr>
        <w:t xml:space="preserve">      日      期 ：</w:t>
      </w:r>
      <w:r/>
    </w:p>
    <w:p>
      <w:pPr>
        <w:jc w:val="center"/>
        <w:spacing w:line="440" w:lineRule="exact"/>
        <w:rPr>
          <w:rFonts w:ascii="宋体" w:hAnsi="宋体"/>
          <w:b/>
          <w:bCs/>
          <w:color w:val="000000"/>
          <w:sz w:val="32"/>
          <w:szCs w:val="32"/>
        </w:rPr>
        <w:pBdr>
          <w:top w:val="none" w:color="auto" w:sz="0" w:space="1"/>
          <w:left w:val="none" w:color="auto" w:sz="0" w:space="4"/>
          <w:bottom w:val="none" w:color="auto" w:sz="0" w:space="1"/>
          <w:right w:val="none" w:color="auto" w:sz="0" w:space="4"/>
        </w:pBdr>
      </w:pPr>
      <w:r>
        <w:rPr>
          <w:rFonts w:ascii="宋体" w:hAnsi="宋体"/>
          <w:b/>
          <w:bCs/>
          <w:color w:val="000000"/>
          <w:sz w:val="32"/>
          <w:szCs w:val="32"/>
        </w:rPr>
      </w:r>
      <w:r/>
    </w:p>
    <w:p>
      <w:pPr>
        <w:spacing w:line="440" w:lineRule="exact"/>
        <w:rPr>
          <w:rFonts w:ascii="宋体" w:hAnsi="宋体"/>
          <w:color w:val="000000"/>
          <w:szCs w:val="21"/>
        </w:rPr>
        <w:pBdr>
          <w:top w:val="none" w:color="auto" w:sz="0" w:space="1"/>
          <w:left w:val="none" w:color="auto" w:sz="0" w:space="4"/>
          <w:bottom w:val="none" w:color="auto" w:sz="0" w:space="1"/>
          <w:right w:val="none" w:color="auto" w:sz="0" w:space="4"/>
        </w:pBdr>
      </w:pPr>
      <w:r>
        <w:rPr>
          <w:rFonts w:ascii="宋体" w:hAnsi="宋体"/>
          <w:color w:val="000000"/>
          <w:szCs w:val="21"/>
        </w:rPr>
      </w:r>
      <w:r/>
    </w:p>
    <w:p>
      <w:pPr>
        <w:jc w:val="left"/>
        <w:spacing w:line="500" w:lineRule="exact"/>
        <w:rPr>
          <w:sz w:val="24"/>
          <w:szCs w:val="24"/>
        </w:rPr>
        <w:pBdr>
          <w:top w:val="none" w:color="auto" w:sz="0" w:space="1"/>
          <w:left w:val="none" w:color="auto" w:sz="0" w:space="4"/>
          <w:bottom w:val="none" w:color="auto" w:sz="0" w:space="1"/>
          <w:right w:val="none" w:color="auto" w:sz="0" w:space="4"/>
        </w:pBdr>
      </w:pPr>
      <w:r>
        <w:rPr>
          <w:sz w:val="24"/>
          <w:szCs w:val="24"/>
        </w:rPr>
      </w:r>
      <w:r/>
    </w:p>
    <w:p>
      <w:pPr>
        <w:jc w:val="left"/>
        <w:spacing w:line="500" w:lineRule="exact"/>
        <w:rPr>
          <w:sz w:val="24"/>
          <w:szCs w:val="24"/>
        </w:rPr>
        <w:pBdr>
          <w:top w:val="none" w:color="auto" w:sz="0" w:space="1"/>
          <w:left w:val="none" w:color="auto" w:sz="0" w:space="4"/>
          <w:bottom w:val="none" w:color="auto" w:sz="0" w:space="1"/>
          <w:right w:val="none" w:color="auto" w:sz="0" w:space="4"/>
        </w:pBdr>
      </w:pPr>
      <w:r>
        <w:rPr>
          <w:sz w:val="24"/>
          <w:szCs w:val="24"/>
        </w:rPr>
      </w:r>
      <w:r/>
    </w:p>
    <w:p>
      <w:pPr>
        <w:jc w:val="left"/>
        <w:spacing w:line="500" w:lineRule="exact"/>
        <w:rPr>
          <w:sz w:val="24"/>
          <w:szCs w:val="24"/>
        </w:rPr>
        <w:pBdr>
          <w:top w:val="none" w:color="auto" w:sz="0" w:space="1"/>
          <w:left w:val="none" w:color="auto" w:sz="0" w:space="4"/>
          <w:bottom w:val="none" w:color="auto" w:sz="0" w:space="1"/>
          <w:right w:val="none" w:color="auto" w:sz="0" w:space="4"/>
        </w:pBdr>
      </w:pPr>
      <w:r>
        <w:rPr>
          <w:sz w:val="24"/>
          <w:szCs w:val="24"/>
        </w:rPr>
      </w:r>
      <w:r/>
    </w:p>
    <w:p>
      <w:pPr>
        <w:jc w:val="left"/>
        <w:widowControl/>
        <w:rPr>
          <w:sz w:val="24"/>
          <w:szCs w:val="24"/>
        </w:rPr>
        <w:pBdr>
          <w:top w:val="none" w:color="auto" w:sz="0" w:space="1"/>
          <w:left w:val="none" w:color="auto" w:sz="0" w:space="4"/>
          <w:bottom w:val="none" w:color="auto" w:sz="0" w:space="1"/>
          <w:right w:val="none" w:color="auto" w:sz="0" w:space="4"/>
        </w:pBdr>
      </w:pPr>
      <w:r>
        <w:rPr>
          <w:sz w:val="24"/>
          <w:szCs w:val="24"/>
        </w:rPr>
        <w:br w:type="page" w:clear="all"/>
      </w:r>
      <w:r/>
    </w:p>
    <w:p>
      <w:pPr>
        <w:jc w:val="left"/>
        <w:keepLines/>
        <w:keepNext/>
        <w:spacing w:before="360" w:after="200" w:line="360" w:lineRule="auto"/>
        <w:rPr>
          <w:rFonts w:ascii="宋体" w:hAnsi="宋体" w:cs="宋体"/>
          <w:i/>
          <w:sz w:val="36"/>
          <w:szCs w:val="36"/>
          <w:u w:val="single"/>
        </w:rPr>
        <w:pBdr>
          <w:top w:val="none" w:color="auto" w:sz="0" w:space="1"/>
          <w:left w:val="none" w:color="auto" w:sz="0" w:space="4"/>
          <w:bottom w:val="none" w:color="auto" w:sz="0" w:space="1"/>
          <w:right w:val="none" w:color="auto" w:sz="0" w:space="4"/>
        </w:pBdr>
        <w:outlineLvl w:val="1"/>
      </w:pPr>
      <w:r>
        <w:rPr>
          <w:rFonts w:hint="eastAsia" w:ascii="宋体" w:hAnsi="宋体" w:cs="宋体"/>
          <w:i/>
          <w:sz w:val="36"/>
          <w:szCs w:val="36"/>
          <w:u w:val="single"/>
        </w:rPr>
        <w:t xml:space="preserve">一、法人或者其他组织的营业执照等证明文件，自然人的身份证明</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jc w:val="left"/>
        <w:keepLines/>
        <w:keepNext/>
        <w:spacing w:before="360" w:after="200" w:line="360" w:lineRule="auto"/>
        <w:rPr>
          <w:rFonts w:ascii="Arial" w:hAnsi="Arial" w:cs="Arial"/>
          <w:i/>
          <w:sz w:val="36"/>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sz w:val="36"/>
          <w:u w:val="single"/>
        </w:rPr>
        <w:t xml:space="preserve">二、2024或2025年度的财务状况报告</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（成立不满一年无需提供）</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jc w:val="left"/>
        <w:keepLines/>
        <w:keepNext/>
        <w:spacing w:before="360" w:after="200" w:line="360" w:lineRule="auto"/>
        <w:rPr>
          <w:rFonts w:ascii="Arial" w:hAnsi="Arial" w:cs="Arial"/>
          <w:i/>
          <w:iCs/>
          <w:sz w:val="36"/>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u w:val="single"/>
        </w:rPr>
        <w:t xml:space="preserve">三、依法缴纳税收和社会保障资金的相关材料</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（提供提交投标文件截止时间前一年内至少一个月依法缴纳税收及缴纳社会保障资金的证明材料，供应商依法享受缓缴、免缴税收、社会保障资金的提供证明材料）</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jc w:val="center"/>
        <w:spacing w:line="360" w:lineRule="auto"/>
        <w:rPr>
          <w:rFonts w:ascii="黑体" w:hAnsi="黑体" w:eastAsia="黑体" w:cs="宋体"/>
          <w:bCs/>
          <w:sz w:val="36"/>
          <w:szCs w:val="28"/>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rPr>
        <w:t xml:space="preserve">财务状况报告及税收、社会保障资金缴纳情况承诺函</w:t>
      </w:r>
      <w:r/>
    </w:p>
    <w:p>
      <w:pPr>
        <w:jc w:val="left"/>
        <w:rPr>
          <w:rFonts w:ascii="MS Mincho"/>
          <w:color w:val="000000"/>
          <w:szCs w:val="24"/>
        </w:rPr>
        <w:pBdr>
          <w:top w:val="none" w:color="auto" w:sz="0" w:space="1"/>
          <w:left w:val="none" w:color="auto" w:sz="0" w:space="4"/>
          <w:bottom w:val="none" w:color="auto" w:sz="0" w:space="1"/>
          <w:right w:val="none" w:color="auto" w:sz="0" w:space="4"/>
        </w:pBdr>
      </w:pPr>
      <w:r>
        <w:rPr>
          <w:rFonts w:ascii="MS Mincho"/>
          <w:color w:val="000000"/>
          <w:szCs w:val="24"/>
        </w:rPr>
      </w:r>
      <w:r/>
    </w:p>
    <w:p>
      <w:pPr>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致：</w:t>
      </w:r>
      <w:r>
        <w:rPr>
          <w:rFonts w:hint="eastAsia"/>
          <w:i/>
          <w:sz w:val="24"/>
          <w:szCs w:val="24"/>
          <w:u w:val="single"/>
        </w:rPr>
        <w:t xml:space="preserve">采购人名称</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（1）具有良好的商业信誉和健全的财务会计制度（财务状况报告）；</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（2）有依法缴纳税收和社会保障资金的良好记录。</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特此承诺</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sz w:val="24"/>
          <w:szCs w:val="24"/>
        </w:rPr>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供应商（公章）：</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日期：    年     月     日</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jc w:val="left"/>
        <w:keepLines/>
        <w:keepNext/>
        <w:spacing w:before="360" w:after="200" w:line="360" w:lineRule="auto"/>
        <w:rPr>
          <w:rFonts w:ascii="Arial" w:hAnsi="Arial" w:cs="Arial"/>
          <w:i/>
          <w:iCs/>
          <w:sz w:val="36"/>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u w:val="single"/>
        </w:rPr>
        <w:t xml:space="preserve">四、具备履行合同所必需的设备和专业技术能力的声明及证明材料</w:t>
      </w:r>
      <w:r/>
    </w:p>
    <w:p>
      <w:pPr>
        <w:jc w:val="center"/>
        <w:spacing w:line="460" w:lineRule="exact"/>
        <w:rPr>
          <w:sz w:val="24"/>
          <w:szCs w:val="24"/>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。（须附证明材料）</w:t>
      </w:r>
      <w:r/>
    </w:p>
    <w:p>
      <w:pPr>
        <w:jc w:val="left"/>
        <w:rPr>
          <w:sz w:val="24"/>
          <w:szCs w:val="24"/>
        </w:rPr>
        <w:pBdr>
          <w:top w:val="none" w:color="auto" w:sz="0" w:space="1"/>
          <w:left w:val="none" w:color="auto" w:sz="0" w:space="4"/>
          <w:bottom w:val="none" w:color="auto" w:sz="0" w:space="1"/>
          <w:right w:val="none" w:color="auto" w:sz="0" w:space="4"/>
        </w:pBdr>
      </w:pPr>
      <w:r>
        <w:rPr>
          <w:sz w:val="24"/>
          <w:szCs w:val="24"/>
        </w:rPr>
      </w:r>
      <w:r/>
    </w:p>
    <w:p>
      <w:pPr>
        <w:ind w:firstLine="480"/>
        <w:spacing w:line="360" w:lineRule="auto"/>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。（须附证明材料）</w:t>
      </w:r>
      <w:r/>
    </w:p>
    <w:p>
      <w:pPr>
        <w:ind w:firstLine="480"/>
        <w:spacing w:line="360" w:lineRule="auto"/>
        <w:rPr>
          <w:sz w:val="24"/>
          <w:szCs w:val="24"/>
        </w:rPr>
        <w:pBdr>
          <w:top w:val="none" w:color="auto" w:sz="0" w:space="1"/>
          <w:left w:val="none" w:color="auto" w:sz="0" w:space="4"/>
          <w:bottom w:val="none" w:color="auto" w:sz="0" w:space="1"/>
          <w:right w:val="none" w:color="auto" w:sz="0" w:space="4"/>
        </w:pBdr>
      </w:pPr>
      <w:r>
        <w:rPr>
          <w:sz w:val="24"/>
          <w:szCs w:val="24"/>
        </w:rPr>
      </w:r>
      <w:r/>
    </w:p>
    <w:p>
      <w:pPr>
        <w:ind w:firstLine="480"/>
        <w:spacing w:line="360" w:lineRule="auto"/>
        <w:rPr>
          <w:sz w:val="24"/>
          <w:szCs w:val="24"/>
        </w:rPr>
        <w:pBdr>
          <w:top w:val="none" w:color="auto" w:sz="0" w:space="1"/>
          <w:left w:val="none" w:color="auto" w:sz="0" w:space="4"/>
          <w:bottom w:val="none" w:color="auto" w:sz="0" w:space="1"/>
          <w:right w:val="none" w:color="auto" w:sz="0" w:space="4"/>
        </w:pBdr>
      </w:pPr>
      <w:r>
        <w:rPr>
          <w:sz w:val="24"/>
          <w:szCs w:val="24"/>
        </w:rPr>
      </w:r>
      <w:r/>
    </w:p>
    <w:p>
      <w:pPr>
        <w:ind w:firstLine="480"/>
        <w:spacing w:line="360" w:lineRule="auto"/>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供应商（盖章）：</w:t>
      </w:r>
      <w:r/>
    </w:p>
    <w:p>
      <w:pPr>
        <w:ind w:firstLine="480"/>
        <w:spacing w:line="360" w:lineRule="auto"/>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spacing w:line="360" w:lineRule="auto"/>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日期：    年     月     日</w:t>
      </w:r>
      <w:r/>
    </w:p>
    <w:p>
      <w:pPr>
        <w:jc w:val="left"/>
        <w:rPr>
          <w:rFonts w:ascii="MS Mincho"/>
          <w:color w:val="000000"/>
          <w:szCs w:val="24"/>
        </w:rPr>
        <w:pBdr>
          <w:top w:val="none" w:color="auto" w:sz="0" w:space="1"/>
          <w:left w:val="none" w:color="auto" w:sz="0" w:space="4"/>
          <w:bottom w:val="none" w:color="auto" w:sz="0" w:space="1"/>
          <w:right w:val="none" w:color="auto" w:sz="0" w:space="4"/>
        </w:pBdr>
      </w:pPr>
      <w:r>
        <w:rPr>
          <w:rFonts w:ascii="MS Mincho"/>
          <w:color w:val="000000"/>
          <w:szCs w:val="24"/>
        </w:rPr>
      </w:r>
      <w:r/>
    </w:p>
    <w:p>
      <w:pPr>
        <w:ind w:firstLine="480"/>
        <w:spacing w:line="360" w:lineRule="auto"/>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rPr>
        <w:t xml:space="preserve">附主要设备和主要专业技术能力的证明材料如下：</w:t>
      </w:r>
      <w:r/>
    </w:p>
    <w:p>
      <w:pPr>
        <w:jc w:val="left"/>
        <w:spacing w:line="360" w:lineRule="auto"/>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ascii="Times New Roman" w:hAnsi="Times New Roman"/>
          <w:color w:val="000000"/>
          <w:sz w:val="24"/>
          <w:szCs w:val="24"/>
        </w:rPr>
      </w:r>
      <w:r/>
    </w:p>
    <w:p>
      <w:pPr>
        <w:jc w:val="left"/>
        <w:spacing w:line="360" w:lineRule="auto"/>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ascii="Times New Roman" w:hAnsi="Times New Roman"/>
          <w:color w:val="000000"/>
          <w:sz w:val="24"/>
          <w:szCs w:val="24"/>
        </w:rPr>
      </w:r>
      <w:r/>
    </w:p>
    <w:p>
      <w:pPr>
        <w:jc w:val="left"/>
        <w:keepLines/>
        <w:keepNext/>
        <w:spacing w:before="360" w:after="200" w:line="360" w:lineRule="auto"/>
        <w:rPr>
          <w:rFonts w:ascii="Arial" w:hAnsi="Arial" w:cs="Arial"/>
          <w:i/>
          <w:iCs/>
          <w:sz w:val="36"/>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u w:val="single"/>
        </w:rPr>
        <w:t xml:space="preserve">五、参加政府采购活动前3年内在经营活动中没有重大违法记录的书面声明</w:t>
      </w:r>
      <w:r/>
    </w:p>
    <w:p>
      <w:pPr>
        <w:jc w:val="center"/>
        <w:spacing w:line="460" w:lineRule="exact"/>
        <w:rPr>
          <w:rFonts w:ascii="宋体" w:hAnsi="宋体"/>
          <w:b/>
          <w:bCs/>
          <w:color w:val="000000"/>
          <w:sz w:val="44"/>
          <w:szCs w:val="44"/>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rPr>
        <w:t xml:space="preserve">声  明</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sz w:val="24"/>
          <w:szCs w:val="24"/>
        </w:rPr>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供应商（盖章）：</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日期：    年     月     日</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jc w:val="left"/>
        <w:keepLines/>
        <w:keepNext/>
        <w:spacing w:before="360" w:after="200" w:line="360" w:lineRule="auto"/>
        <w:rPr>
          <w:rFonts w:ascii="Arial" w:hAnsi="Arial" w:cs="Arial"/>
          <w:i/>
          <w:iCs/>
          <w:sz w:val="36"/>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u w:val="single"/>
        </w:rPr>
        <w:t xml:space="preserve">六、法律、行政法规规定的其他条件的证明文件</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（如有，请按要求提供）</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jc w:val="left"/>
        <w:keepLines/>
        <w:keepNext/>
        <w:spacing w:before="360" w:after="200" w:line="360" w:lineRule="auto"/>
        <w:rPr>
          <w:rFonts w:ascii="Arial" w:hAnsi="Arial" w:cs="Arial"/>
          <w:i/>
          <w:iCs/>
          <w:sz w:val="36"/>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u w:val="single"/>
        </w:rPr>
        <w:t xml:space="preserve">七、落实政府采购政策需满足的资格要求的证明文件</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（如有，请按要求提供）</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jc w:val="left"/>
        <w:keepLines/>
        <w:keepNext/>
        <w:spacing w:before="360" w:after="200" w:line="360" w:lineRule="auto"/>
        <w:rPr>
          <w:rFonts w:ascii="Arial" w:hAnsi="Arial" w:cs="Arial"/>
          <w:i/>
          <w:iCs/>
          <w:sz w:val="36"/>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u w:val="single"/>
        </w:rPr>
        <w:t xml:space="preserve">八、特定资格要求的证明文件</w:t>
      </w:r>
      <w:r/>
    </w:p>
    <w:p>
      <w:pPr>
        <w:ind w:firstLine="480"/>
        <w:jc w:val="left"/>
        <w:spacing w:line="500" w:lineRule="exact"/>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（如有，请按要求提供）</w:t>
      </w:r>
      <w:r/>
    </w:p>
    <w:p>
      <w:pPr>
        <w:pBdr>
          <w:top w:val="none" w:color="auto" w:sz="0" w:space="1"/>
          <w:left w:val="none" w:color="auto" w:sz="0" w:space="4"/>
          <w:bottom w:val="none" w:color="auto" w:sz="0" w:space="1"/>
          <w:right w:val="none" w:color="auto" w:sz="0" w:space="4"/>
        </w:pBdr>
      </w:pPr>
      <w:r/>
      <w:r/>
    </w:p>
    <w:p>
      <w:pPr>
        <w:jc w:val="left"/>
        <w:keepLines/>
        <w:keepNext/>
        <w:spacing w:before="360" w:after="200" w:line="360" w:lineRule="auto"/>
        <w:rPr>
          <w:rFonts w:ascii="Arial" w:hAnsi="Arial" w:cs="Arial"/>
          <w:i/>
          <w:iCs/>
          <w:sz w:val="36"/>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u w:val="single"/>
        </w:rPr>
        <w:t xml:space="preserve">九、授权委托书与法定代表人（单位负责人）身份证明</w:t>
      </w:r>
      <w:r/>
    </w:p>
    <w:p>
      <w:pPr>
        <w:jc w:val="center"/>
        <w:spacing w:line="360" w:lineRule="exact"/>
        <w:rPr>
          <w:rFonts w:ascii="宋体" w:hAnsi="宋体"/>
          <w:b/>
          <w:color w:val="000000"/>
          <w:sz w:val="36"/>
          <w:szCs w:val="36"/>
        </w:rPr>
        <w:pBdr>
          <w:top w:val="none" w:color="auto" w:sz="0" w:space="1"/>
          <w:left w:val="none" w:color="auto" w:sz="0" w:space="4"/>
          <w:bottom w:val="none" w:color="auto" w:sz="0" w:space="1"/>
          <w:right w:val="none" w:color="auto" w:sz="0" w:space="4"/>
        </w:pBdr>
      </w:pPr>
      <w:r>
        <w:rPr>
          <w:rFonts w:hint="eastAsia" w:ascii="宋体" w:hAnsi="宋体"/>
          <w:b/>
          <w:color w:val="000000"/>
          <w:sz w:val="36"/>
          <w:szCs w:val="36"/>
        </w:rPr>
        <w:t xml:space="preserve">授权委托书</w:t>
      </w:r>
      <w:r/>
    </w:p>
    <w:p>
      <w:pPr>
        <w:spacing w:line="360" w:lineRule="auto"/>
        <w:rPr>
          <w:sz w:val="24"/>
          <w:szCs w:val="24"/>
        </w:rPr>
        <w:pBdr>
          <w:top w:val="none" w:color="auto" w:sz="0" w:space="1"/>
          <w:left w:val="none" w:color="auto" w:sz="0" w:space="4"/>
          <w:bottom w:val="none" w:color="auto" w:sz="0" w:space="1"/>
          <w:right w:val="none" w:color="auto" w:sz="0" w:space="4"/>
        </w:pBdr>
      </w:pPr>
      <w:r>
        <w:rPr>
          <w:sz w:val="24"/>
          <w:szCs w:val="24"/>
        </w:rPr>
        <w:t xml:space="preserve">致：</w:t>
      </w:r>
      <w:r>
        <w:rPr>
          <w:rFonts w:hint="eastAsia"/>
          <w:sz w:val="24"/>
          <w:szCs w:val="24"/>
          <w:u w:val="single"/>
        </w:rPr>
        <w:t xml:space="preserve">采购单位</w:t>
      </w:r>
      <w:r/>
    </w:p>
    <w:p>
      <w:pPr>
        <w:ind w:firstLine="420"/>
        <w:jc w:val="left"/>
        <w:spacing w:line="360" w:lineRule="auto"/>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本人</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rPr>
        <w:t xml:space="preserve">系</w:t>
      </w:r>
      <w:r>
        <w:rPr>
          <w:sz w:val="24"/>
          <w:szCs w:val="24"/>
          <w:u w:val="single"/>
        </w:rPr>
        <w:t xml:space="preserve">（</w:t>
      </w:r>
      <w:r>
        <w:rPr>
          <w:rFonts w:hint="eastAsia"/>
          <w:sz w:val="24"/>
          <w:szCs w:val="24"/>
          <w:u w:val="single"/>
        </w:rPr>
        <w:t xml:space="preserve">供应商</w:t>
      </w:r>
      <w:r>
        <w:rPr>
          <w:sz w:val="24"/>
          <w:szCs w:val="24"/>
          <w:u w:val="single"/>
        </w:rPr>
        <w:t xml:space="preserve">名称）</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p>
    <w:p>
      <w:pPr>
        <w:ind w:firstLine="420"/>
        <w:jc w:val="left"/>
        <w:spacing w:line="360" w:lineRule="auto"/>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ind w:firstLine="420"/>
        <w:jc w:val="left"/>
        <w:spacing w:line="360" w:lineRule="auto"/>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代理人</w:t>
      </w:r>
      <w:r>
        <w:rPr>
          <w:sz w:val="24"/>
          <w:szCs w:val="24"/>
        </w:rPr>
        <w:t xml:space="preserve">无转委托权。</w:t>
      </w:r>
      <w:r/>
    </w:p>
    <w:p>
      <w:pPr>
        <w:ind w:firstLine="420"/>
        <w:jc w:val="left"/>
        <w:spacing w:line="360" w:lineRule="auto"/>
        <w:rPr>
          <w:sz w:val="24"/>
          <w:szCs w:val="24"/>
        </w:rPr>
        <w:pBdr>
          <w:top w:val="none" w:color="auto" w:sz="0" w:space="1"/>
          <w:left w:val="none" w:color="auto" w:sz="0" w:space="4"/>
          <w:bottom w:val="none" w:color="auto" w:sz="0" w:space="1"/>
          <w:right w:val="none" w:color="auto" w:sz="0" w:space="4"/>
        </w:pBdr>
      </w:pPr>
      <w:r>
        <w:rPr>
          <w:sz w:val="24"/>
          <w:szCs w:val="24"/>
        </w:rPr>
      </w:r>
      <w:r/>
    </w:p>
    <w:p>
      <w:pPr>
        <w:spacing w:line="360" w:lineRule="auto"/>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供应商</w:t>
      </w:r>
      <w:r>
        <w:rPr>
          <w:sz w:val="24"/>
          <w:szCs w:val="24"/>
        </w:rPr>
        <w:t xml:space="preserve">名称（加盖公章）：</w:t>
      </w:r>
      <w:r/>
    </w:p>
    <w:p>
      <w:pPr>
        <w:spacing w:line="360" w:lineRule="auto"/>
        <w:rPr>
          <w:sz w:val="24"/>
          <w:szCs w:val="24"/>
        </w:rPr>
        <w:pBdr>
          <w:top w:val="none" w:color="auto" w:sz="0" w:space="1"/>
          <w:left w:val="none" w:color="auto" w:sz="0" w:space="4"/>
          <w:bottom w:val="none" w:color="auto" w:sz="0" w:space="1"/>
          <w:right w:val="none" w:color="auto" w:sz="0" w:space="4"/>
        </w:pBd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p>
    <w:p>
      <w:pPr>
        <w:spacing w:line="360" w:lineRule="auto"/>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p>
    <w:p>
      <w:pPr>
        <w:spacing w:line="360" w:lineRule="auto"/>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日期：    年     月     日</w:t>
      </w:r>
      <w:r/>
    </w:p>
    <w:p>
      <w:pPr>
        <w:ind w:firstLine="480"/>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736"/>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tc>
      </w:tr>
    </w:tbl>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736"/>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tc>
      </w:tr>
    </w:tbl>
    <w:p>
      <w:pPr>
        <w:jc w:val="left"/>
        <w:spacing w:line="360" w:lineRule="auto"/>
        <w:tabs>
          <w:tab w:val="left" w:pos="5580" w:leader="none"/>
        </w:tabs>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填报说明</w:t>
      </w:r>
      <w:r>
        <w:rPr>
          <w:sz w:val="24"/>
          <w:szCs w:val="24"/>
        </w:rPr>
        <w:t xml:space="preserve">：</w:t>
      </w:r>
      <w:r/>
    </w:p>
    <w:p>
      <w:pPr>
        <w:ind w:firstLine="480"/>
        <w:jc w:val="left"/>
        <w:spacing w:line="360" w:lineRule="auto"/>
        <w:tabs>
          <w:tab w:val="left" w:pos="5580" w:leader="none"/>
        </w:tabs>
        <w:rPr>
          <w:sz w:val="24"/>
          <w:szCs w:val="24"/>
        </w:rPr>
        <w:pBdr>
          <w:top w:val="none" w:color="auto" w:sz="0" w:space="1"/>
          <w:left w:val="none" w:color="auto" w:sz="0" w:space="4"/>
          <w:bottom w:val="none" w:color="auto" w:sz="0" w:space="1"/>
          <w:right w:val="none" w:color="auto" w:sz="0" w:space="4"/>
        </w:pBd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p>
    <w:p>
      <w:pPr>
        <w:ind w:firstLine="480"/>
        <w:jc w:val="left"/>
        <w:spacing w:line="360" w:lineRule="auto"/>
        <w:tabs>
          <w:tab w:val="left" w:pos="5580" w:leader="none"/>
        </w:tabs>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ind w:firstLine="480"/>
        <w:jc w:val="left"/>
        <w:spacing w:line="360" w:lineRule="auto"/>
        <w:tabs>
          <w:tab w:val="left" w:pos="5580" w:leader="none"/>
        </w:tabs>
        <w:rPr>
          <w:sz w:val="24"/>
          <w:szCs w:val="24"/>
        </w:rPr>
        <w:pBdr>
          <w:top w:val="none" w:color="auto" w:sz="0" w:space="1"/>
          <w:left w:val="none" w:color="auto" w:sz="0" w:space="4"/>
          <w:bottom w:val="none" w:color="auto" w:sz="0" w:space="1"/>
          <w:right w:val="none" w:color="auto" w:sz="0" w:space="4"/>
        </w:pBd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jc w:val="center"/>
        <w:spacing w:line="360" w:lineRule="exact"/>
        <w:rPr>
          <w:rFonts w:ascii="宋体" w:hAnsi="宋体"/>
          <w:b/>
          <w:color w:val="000000"/>
          <w:sz w:val="36"/>
          <w:szCs w:val="36"/>
        </w:rPr>
        <w:pBdr>
          <w:top w:val="none" w:color="auto" w:sz="0" w:space="1"/>
          <w:left w:val="none" w:color="auto" w:sz="0" w:space="4"/>
          <w:bottom w:val="none" w:color="auto" w:sz="0" w:space="1"/>
          <w:right w:val="none" w:color="auto" w:sz="0" w:space="4"/>
        </w:pBdr>
      </w:pPr>
      <w:r>
        <w:rPr>
          <w:rFonts w:ascii="宋体" w:hAnsi="宋体"/>
          <w:b/>
          <w:color w:val="000000"/>
          <w:sz w:val="36"/>
          <w:szCs w:val="36"/>
        </w:rPr>
        <w:t xml:space="preserve">法定代表人（单位负责人）身份证明</w:t>
      </w:r>
      <w:r/>
    </w:p>
    <w:p>
      <w:pPr>
        <w:spacing w:line="200" w:lineRule="exact"/>
        <w:rPr>
          <w:rFonts w:ascii="宋体" w:hAnsi="宋体"/>
          <w:sz w:val="20"/>
          <w:szCs w:val="20"/>
        </w:rPr>
        <w:pBdr>
          <w:top w:val="none" w:color="auto" w:sz="0" w:space="1"/>
          <w:left w:val="none" w:color="auto" w:sz="0" w:space="4"/>
          <w:bottom w:val="none" w:color="auto" w:sz="0" w:space="1"/>
          <w:right w:val="none" w:color="auto" w:sz="0" w:space="4"/>
        </w:pBdr>
      </w:pPr>
      <w:r>
        <w:rPr>
          <w:rFonts w:ascii="宋体" w:hAnsi="宋体"/>
          <w:sz w:val="20"/>
          <w:szCs w:val="20"/>
        </w:rPr>
      </w:r>
      <w:r/>
    </w:p>
    <w:p>
      <w:pPr>
        <w:spacing w:line="360" w:lineRule="auto"/>
        <w:tabs>
          <w:tab w:val="left" w:pos="5580" w:leader="none"/>
        </w:tabs>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t xml:space="preserve">姓名</w:t>
      </w:r>
      <w:r>
        <w:rPr>
          <w:rFonts w:hint="eastAsia" w:ascii="宋体" w:hAnsi="宋体"/>
          <w:sz w:val="24"/>
          <w:szCs w:val="24"/>
        </w:rPr>
        <w:t xml:space="preserve">：</w:t>
      </w:r>
      <w:r>
        <w:rPr>
          <w:rFonts w:ascii="宋体" w:hAnsi="宋体"/>
          <w:sz w:val="24"/>
          <w:szCs w:val="24"/>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t xml:space="preserve">系</w:t>
      </w:r>
      <w:r>
        <w:rPr>
          <w:sz w:val="24"/>
          <w:szCs w:val="24"/>
          <w:u w:val="single"/>
        </w:rPr>
        <w:t xml:space="preserve">（</w:t>
      </w:r>
      <w:r>
        <w:rPr>
          <w:rFonts w:hint="eastAsia"/>
          <w:sz w:val="24"/>
          <w:szCs w:val="24"/>
          <w:u w:val="single"/>
        </w:rPr>
        <w:t xml:space="preserve">供应商</w:t>
      </w:r>
      <w:r>
        <w:rPr>
          <w:sz w:val="24"/>
          <w:szCs w:val="24"/>
          <w:u w:val="single"/>
        </w:rPr>
        <w:t xml:space="preserve">名称）</w:t>
      </w:r>
      <w:r>
        <w:rPr>
          <w:rFonts w:ascii="宋体" w:hAnsi="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ind w:right="-46"/>
        <w:spacing w:before="120" w:line="583" w:lineRule="auto"/>
        <w:tabs>
          <w:tab w:val="left" w:pos="567" w:leader="none"/>
        </w:tabs>
        <w:rPr>
          <w:rFonts w:ascii="宋体" w:hAnsi="宋体"/>
          <w:spacing w:val="-3"/>
          <w:sz w:val="24"/>
          <w:szCs w:val="24"/>
        </w:rPr>
        <w:pBdr>
          <w:top w:val="none" w:color="auto" w:sz="0" w:space="1"/>
          <w:left w:val="none" w:color="auto" w:sz="0" w:space="4"/>
          <w:bottom w:val="none" w:color="auto" w:sz="0" w:space="1"/>
          <w:right w:val="none" w:color="auto" w:sz="0" w:space="4"/>
        </w:pBd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p>
    <w:tbl>
      <w:tblPr>
        <w:tblStyle w:val="736"/>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Bdr>
                <w:top w:val="none" w:color="auto" w:sz="0" w:space="1"/>
                <w:left w:val="none" w:color="auto" w:sz="0" w:space="4"/>
                <w:bottom w:val="none" w:color="auto" w:sz="0" w:space="1"/>
                <w:right w:val="none" w:color="auto" w:sz="0" w:space="4"/>
              </w:pBdr>
            </w:pPr>
            <w:r>
              <w:rPr>
                <w:rFonts w:ascii="宋体" w:hAnsi="宋体"/>
                <w:color w:val="000000"/>
                <w:sz w:val="24"/>
                <w:szCs w:val="20"/>
              </w:rPr>
            </w:r>
            <w:r/>
          </w:p>
        </w:tc>
      </w:tr>
    </w:tbl>
    <w:p>
      <w:pPr>
        <w:ind w:right="4305"/>
        <w:spacing w:before="120" w:line="583" w:lineRule="auto"/>
        <w:tabs>
          <w:tab w:val="left" w:pos="567" w:leader="none"/>
        </w:tabs>
        <w:rPr>
          <w:rFonts w:ascii="宋体" w:hAnsi="宋体"/>
          <w:spacing w:val="-3"/>
          <w:sz w:val="24"/>
          <w:szCs w:val="24"/>
        </w:rPr>
        <w:pBdr>
          <w:top w:val="none" w:color="auto" w:sz="0" w:space="1"/>
          <w:left w:val="none" w:color="auto" w:sz="0" w:space="4"/>
          <w:bottom w:val="none" w:color="auto" w:sz="0" w:space="1"/>
          <w:right w:val="none" w:color="auto" w:sz="0" w:space="4"/>
        </w:pBdr>
      </w:pPr>
      <w:r>
        <w:rPr>
          <w:rFonts w:ascii="宋体" w:hAnsi="宋体"/>
          <w:spacing w:val="-3"/>
          <w:sz w:val="24"/>
          <w:szCs w:val="24"/>
        </w:rPr>
      </w:r>
      <w:r/>
    </w:p>
    <w:p>
      <w:pPr>
        <w:spacing w:line="360" w:lineRule="auto"/>
        <w:rPr>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供应商</w:t>
      </w:r>
      <w:r>
        <w:rPr>
          <w:rFonts w:ascii="宋体" w:hAnsi="宋体"/>
          <w:color w:val="000000"/>
          <w:sz w:val="24"/>
          <w:szCs w:val="24"/>
        </w:rPr>
        <w:t xml:space="preserve">名称（加盖公章）</w:t>
      </w:r>
      <w:r>
        <w:rPr>
          <w:rFonts w:ascii="宋体" w:hAnsi="宋体"/>
          <w:color w:val="000000"/>
          <w:sz w:val="24"/>
          <w:szCs w:val="24"/>
          <w:lang w:val="zh-CN"/>
        </w:rPr>
        <w:t xml:space="preserve">：</w:t>
      </w:r>
      <w:r/>
    </w:p>
    <w:p>
      <w:pPr>
        <w:spacing w:line="360" w:lineRule="auto"/>
        <w:rPr>
          <w:sz w:val="24"/>
          <w:szCs w:val="24"/>
        </w:rPr>
        <w:pBdr>
          <w:top w:val="none" w:color="auto" w:sz="0" w:space="1"/>
          <w:left w:val="none" w:color="auto" w:sz="0" w:space="4"/>
          <w:bottom w:val="none" w:color="auto" w:sz="0" w:space="1"/>
          <w:right w:val="none" w:color="auto" w:sz="0" w:space="4"/>
        </w:pBd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p>
    <w:p>
      <w:pPr>
        <w:spacing w:line="360" w:lineRule="auto"/>
        <w:rPr>
          <w:sz w:val="24"/>
          <w:szCs w:val="24"/>
        </w:rPr>
        <w:pBdr>
          <w:top w:val="none" w:color="auto" w:sz="0" w:space="1"/>
          <w:left w:val="none" w:color="auto" w:sz="0" w:space="4"/>
          <w:bottom w:val="none" w:color="auto" w:sz="0" w:space="1"/>
          <w:right w:val="none" w:color="auto" w:sz="0" w:space="4"/>
        </w:pBdr>
      </w:pPr>
      <w:r>
        <w:rPr>
          <w:sz w:val="24"/>
          <w:szCs w:val="24"/>
        </w:rPr>
      </w:r>
      <w:r/>
    </w:p>
    <w:p>
      <w:pPr>
        <w:spacing w:line="360" w:lineRule="auto"/>
        <w:rPr>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日期：    年     月     日</w:t>
      </w:r>
      <w:r/>
    </w:p>
    <w:p>
      <w:pPr>
        <w:spacing w:line="360" w:lineRule="auto"/>
        <w:rPr>
          <w:sz w:val="24"/>
          <w:szCs w:val="24"/>
        </w:rPr>
        <w:pBdr>
          <w:top w:val="none" w:color="auto" w:sz="0" w:space="1"/>
          <w:left w:val="none" w:color="auto" w:sz="0" w:space="4"/>
          <w:bottom w:val="none" w:color="auto" w:sz="0" w:space="1"/>
          <w:right w:val="none" w:color="auto" w:sz="0" w:space="4"/>
        </w:pBdr>
      </w:pPr>
      <w:r>
        <w:rPr>
          <w:sz w:val="24"/>
          <w:szCs w:val="24"/>
        </w:rPr>
      </w:r>
      <w:r/>
    </w:p>
    <w:p>
      <w:pPr>
        <w:pBdr>
          <w:top w:val="none" w:color="auto" w:sz="0" w:space="1"/>
          <w:left w:val="none" w:color="auto" w:sz="0" w:space="4"/>
          <w:bottom w:val="none" w:color="auto" w:sz="0" w:space="1"/>
          <w:right w:val="none" w:color="auto" w:sz="0" w:space="4"/>
        </w:pBdr>
      </w:pPr>
      <w:r/>
      <w:r/>
    </w:p>
    <w:p>
      <w:pPr>
        <w:jc w:val="left"/>
        <w:keepLines/>
        <w:keepNext/>
        <w:spacing w:before="260" w:after="260" w:line="416" w:lineRule="auto"/>
        <w:rPr>
          <w:rFonts w:ascii="黑体" w:hAnsi="黑体" w:eastAsia="黑体"/>
          <w:b/>
          <w:i/>
          <w:color w:val="000000"/>
          <w:sz w:val="32"/>
          <w:szCs w:val="32"/>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u w:val="single"/>
        </w:rPr>
        <w:t xml:space="preserve">十、投标函</w:t>
      </w:r>
      <w:r/>
    </w:p>
    <w:p>
      <w:pPr>
        <w:jc w:val="center"/>
        <w:spacing w:line="360" w:lineRule="auto"/>
        <w:tabs>
          <w:tab w:val="left" w:pos="360" w:leader="none"/>
        </w:tabs>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rPr>
        <w:t xml:space="preserve">投标函</w:t>
      </w:r>
      <w:r/>
    </w:p>
    <w:p>
      <w:pPr>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致：采购人</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根据贵方的JSZC-_________________号招标文件，正式授权下述签字人_________________(姓名)代表我方______________（供应商的名称），全权处理本次项目投标的有关事宜。</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据此函，__________签字人兹宣布同意如下：</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1.按招标文件规定的各项要求，向买方提供所需货物（包含与货物相关的工程、服务）。</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2.我们完全理解贵方不一定将合同授予最低报价的供应商。</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地        址：</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邮        编：</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电        话：</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传        真：</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供应商开户行：</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账        号： </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ind w:firstLine="480"/>
        <w:spacing w:line="360" w:lineRule="auto"/>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rPr>
        <w:t xml:space="preserve">供应商（盖章）：</w:t>
      </w:r>
      <w:r/>
    </w:p>
    <w:p>
      <w:pPr>
        <w:ind w:firstLine="480"/>
        <w:spacing w:line="360" w:lineRule="auto"/>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rPr>
        <w:t xml:space="preserve">日期：    年     月     日</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jc w:val="left"/>
        <w:keepLines/>
        <w:keepNext/>
        <w:spacing w:before="360" w:after="200" w:line="360" w:lineRule="auto"/>
        <w:rPr>
          <w:rFonts w:ascii="Arial" w:hAnsi="Arial" w:cs="Arial"/>
          <w:sz w:val="36"/>
        </w:rPr>
        <w:pBdr>
          <w:top w:val="none" w:color="auto" w:sz="0" w:space="1"/>
          <w:left w:val="none" w:color="auto" w:sz="0" w:space="4"/>
          <w:bottom w:val="none" w:color="auto" w:sz="0" w:space="1"/>
          <w:right w:val="none" w:color="auto" w:sz="0" w:space="4"/>
        </w:pBdr>
        <w:outlineLvl w:val="1"/>
      </w:pPr>
      <w:r>
        <w:rPr>
          <w:rFonts w:hint="eastAsia" w:ascii="Arial" w:hAnsi="Arial" w:cs="Arial"/>
          <w:sz w:val="36"/>
        </w:rPr>
        <w:t xml:space="preserve">十一、中小企业声明函（货物）（分包号：**）</w:t>
      </w:r>
      <w:r/>
    </w:p>
    <w:p>
      <w:pPr>
        <w:jc w:val="center"/>
        <w:spacing w:line="360" w:lineRule="auto"/>
        <w:tabs>
          <w:tab w:val="left" w:pos="360" w:leader="none"/>
        </w:tabs>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rPr>
        <w:t xml:space="preserve">中小企业声明函</w:t>
      </w:r>
      <w:r/>
    </w:p>
    <w:p>
      <w:pPr>
        <w:ind w:firstLine="480"/>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i/>
          <w:color w:val="000000"/>
          <w:sz w:val="24"/>
          <w:szCs w:val="24"/>
          <w:u w:val="singl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ascii="宋体" w:hAnsi="宋体"/>
          <w:i/>
          <w:color w:val="000000"/>
          <w:sz w:val="24"/>
          <w:szCs w:val="24"/>
          <w:u w:val="singl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2.</w:t>
      </w:r>
      <w:r>
        <w:rPr>
          <w:rFonts w:hint="eastAsia" w:ascii="宋体" w:hAnsi="宋体"/>
          <w:color w:val="000000"/>
          <w:sz w:val="24"/>
          <w:szCs w:val="24"/>
          <w:u w:val="single"/>
        </w:rPr>
        <w:t xml:space="preserve"> （标的名称）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w:t>
      </w:r>
      <w:r/>
    </w:p>
    <w:p>
      <w:pPr>
        <w:ind w:firstLine="480"/>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本企业对上述声明内容的真实性负责。如有虚假，将依法承担相应责任。</w:t>
      </w:r>
      <w:r/>
    </w:p>
    <w:p>
      <w:pPr>
        <w:ind w:right="1620"/>
        <w:spacing w:line="56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ind w:right="1620" w:firstLine="2880"/>
        <w:spacing w:line="56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企业名称（盖章）：</w:t>
      </w:r>
      <w:r/>
    </w:p>
    <w:p>
      <w:pPr>
        <w:ind w:right="1140" w:firstLine="2880"/>
        <w:spacing w:line="56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日   期：</w:t>
      </w:r>
      <w:r/>
    </w:p>
    <w:p>
      <w:pPr>
        <w:ind w:right="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ind w:right="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ind w:right="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填报说明：</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2、请供应商如实填写，所填内容须与投标分项报价表一致，如填写不完整或不一致或填写有误，将承担一切不利后果。</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3、中标人的《中小企业声明函》随中标结果公开，接受社会监督。</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jc w:val="left"/>
        <w:keepLines/>
        <w:keepNext/>
        <w:spacing w:before="360" w:after="200" w:line="360" w:lineRule="auto"/>
        <w:rPr>
          <w:rFonts w:ascii="Arial" w:hAnsi="Arial" w:cs="Arial"/>
          <w:sz w:val="36"/>
        </w:rPr>
        <w:pBdr>
          <w:top w:val="none" w:color="auto" w:sz="0" w:space="1"/>
          <w:left w:val="none" w:color="auto" w:sz="0" w:space="4"/>
          <w:bottom w:val="none" w:color="auto" w:sz="0" w:space="1"/>
          <w:right w:val="none" w:color="auto" w:sz="0" w:space="4"/>
        </w:pBdr>
        <w:outlineLvl w:val="1"/>
      </w:pPr>
      <w:r>
        <w:rPr>
          <w:rFonts w:hint="eastAsia" w:ascii="Arial" w:hAnsi="Arial" w:cs="Arial"/>
          <w:sz w:val="36"/>
        </w:rPr>
        <w:t xml:space="preserve">十二、残疾人福利性单位声明函（分包号：**）</w:t>
      </w:r>
      <w:r/>
    </w:p>
    <w:p>
      <w:pPr>
        <w:jc w:val="center"/>
        <w:spacing w:line="360" w:lineRule="auto"/>
        <w:tabs>
          <w:tab w:val="left" w:pos="360" w:leader="none"/>
        </w:tabs>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141号）的规定，本单位为符合条件的残疾人福利性单位，且本单位参加单位的项目（</w:t>
      </w:r>
      <w:r>
        <w:rPr>
          <w:rFonts w:hint="eastAsia" w:ascii="宋体" w:hAnsi="宋体"/>
          <w:color w:val="000000"/>
          <w:sz w:val="24"/>
          <w:szCs w:val="24"/>
        </w:rPr>
        <w:t xml:space="preserve">项目编号：，分包号：</w:t>
      </w:r>
      <w:r>
        <w:rPr>
          <w:rFonts w:hint="eastAsia" w:ascii="宋体" w:hAnsi="宋体"/>
          <w:color w:val="000000"/>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1.</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 </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2.</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w:t>
      </w:r>
      <w:r/>
    </w:p>
    <w:p>
      <w:pPr>
        <w:ind w:firstLine="480"/>
        <w:jc w:val="left"/>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w:t>
      </w:r>
      <w:r/>
    </w:p>
    <w:p>
      <w:pPr>
        <w:ind w:firstLine="480"/>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本单位对上述声明的真实性负责。如有虚假，将依法承担相应责任。</w:t>
      </w:r>
      <w:r/>
    </w:p>
    <w:p>
      <w:pPr>
        <w:ind w:firstLine="480"/>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ascii="宋体" w:hAnsi="宋体"/>
          <w:color w:val="000000"/>
          <w:sz w:val="24"/>
          <w:szCs w:val="21"/>
        </w:rPr>
      </w:r>
      <w:r/>
    </w:p>
    <w:p>
      <w:pPr>
        <w:ind w:right="1620" w:firstLine="2880"/>
        <w:spacing w:line="56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单位名称（盖章）：</w:t>
      </w:r>
      <w:r/>
    </w:p>
    <w:p>
      <w:pPr>
        <w:ind w:right="1140" w:firstLine="2880"/>
        <w:spacing w:line="56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日   期：</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spacing w:line="360" w:lineRule="auto"/>
        <w:rPr>
          <w:rFonts w:ascii="宋体" w:hAnsi="宋体"/>
          <w:bCs/>
          <w:sz w:val="24"/>
          <w:szCs w:val="24"/>
        </w:rPr>
        <w:pBdr>
          <w:top w:val="none" w:color="auto" w:sz="0" w:space="1"/>
          <w:left w:val="none" w:color="auto" w:sz="0" w:space="4"/>
          <w:bottom w:val="none" w:color="auto" w:sz="0" w:space="1"/>
          <w:right w:val="none" w:color="auto" w:sz="0" w:space="4"/>
        </w:pBdr>
      </w:pPr>
      <w:r>
        <w:rPr>
          <w:rFonts w:hint="eastAsia" w:ascii="宋体" w:hAnsi="宋体"/>
          <w:bCs/>
          <w:sz w:val="24"/>
          <w:szCs w:val="24"/>
        </w:rPr>
        <w:t xml:space="preserve">填报说明：</w:t>
      </w:r>
      <w:r/>
    </w:p>
    <w:p>
      <w:pPr>
        <w:ind w:firstLine="480"/>
        <w:jc w:val="left"/>
        <w:spacing w:line="360" w:lineRule="auto"/>
        <w:rPr>
          <w:rFonts w:ascii="宋体" w:hAnsi="宋体"/>
          <w:bCs/>
          <w:sz w:val="24"/>
          <w:szCs w:val="24"/>
        </w:rPr>
        <w:pBdr>
          <w:top w:val="none" w:color="auto" w:sz="0" w:space="1"/>
          <w:left w:val="none" w:color="auto" w:sz="0" w:space="4"/>
          <w:bottom w:val="none" w:color="auto" w:sz="0" w:space="1"/>
          <w:right w:val="none" w:color="auto" w:sz="0" w:space="4"/>
        </w:pBdr>
      </w:pPr>
      <w:r>
        <w:rPr>
          <w:rFonts w:hint="eastAsia" w:ascii="宋体" w:hAnsi="宋体"/>
          <w:bCs/>
          <w:sz w:val="24"/>
          <w:szCs w:val="24"/>
        </w:rPr>
        <w:t xml:space="preserve">1、</w:t>
      </w:r>
      <w:r>
        <w:rPr>
          <w:rFonts w:hint="eastAsia" w:ascii="宋体" w:hAnsi="宋体"/>
          <w:sz w:val="24"/>
          <w:szCs w:val="24"/>
        </w:rPr>
        <w:t xml:space="preserve">请供应商如实填写，所填内容须与投标分项报价表一致，如填写不完整或不一致或填写有误，将承担一切不利后果。</w:t>
      </w:r>
      <w:r/>
    </w:p>
    <w:p>
      <w:pPr>
        <w:ind w:firstLine="480"/>
        <w:jc w:val="left"/>
        <w:spacing w:line="360" w:lineRule="auto"/>
        <w:rPr>
          <w:rFonts w:ascii="Times New Roman" w:hAnsi="Times New Roman"/>
          <w:sz w:val="24"/>
          <w:szCs w:val="24"/>
        </w:rPr>
        <w:pBdr>
          <w:top w:val="none" w:color="auto" w:sz="0" w:space="1"/>
          <w:left w:val="none" w:color="auto" w:sz="0" w:space="4"/>
          <w:bottom w:val="none" w:color="auto" w:sz="0" w:space="1"/>
          <w:right w:val="none" w:color="auto" w:sz="0" w:space="4"/>
        </w:pBd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jc w:val="left"/>
        <w:keepLines/>
        <w:keepNext/>
        <w:spacing w:before="360" w:after="200" w:line="360" w:lineRule="auto"/>
        <w:rPr>
          <w:rFonts w:ascii="Arial" w:hAnsi="Arial" w:cs="Arial"/>
          <w:sz w:val="36"/>
        </w:rPr>
        <w:pBdr>
          <w:top w:val="none" w:color="auto" w:sz="0" w:space="1"/>
          <w:left w:val="none" w:color="auto" w:sz="0" w:space="4"/>
          <w:bottom w:val="none" w:color="auto" w:sz="0" w:space="1"/>
          <w:right w:val="none" w:color="auto" w:sz="0" w:space="4"/>
        </w:pBdr>
        <w:outlineLvl w:val="1"/>
      </w:pPr>
      <w:r>
        <w:rPr>
          <w:rFonts w:hint="eastAsia" w:ascii="Arial" w:hAnsi="Arial" w:cs="Arial"/>
          <w:sz w:val="36"/>
        </w:rPr>
        <w:t xml:space="preserve">十三、联合体协议（参考格式）（分包号：**）</w:t>
      </w:r>
      <w:r/>
    </w:p>
    <w:p>
      <w:pPr>
        <w:jc w:val="center"/>
        <w:spacing w:line="360" w:lineRule="auto"/>
        <w:tabs>
          <w:tab w:val="left" w:pos="360" w:leader="none"/>
        </w:tabs>
        <w:rPr>
          <w:rFonts w:ascii="宋体" w:hAnsi="宋体"/>
          <w:color w:val="000000"/>
          <w:sz w:val="24"/>
          <w:szCs w:val="21"/>
          <w:u w:val="singl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rPr>
        <w:t xml:space="preserve">联合体协议</w:t>
      </w:r>
      <w:r/>
    </w:p>
    <w:p>
      <w:pPr>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u w:val="single"/>
        </w:rPr>
        <w:t xml:space="preserve">（联合体中各供应商全称）</w:t>
      </w:r>
      <w:r>
        <w:rPr>
          <w:rFonts w:hint="eastAsia" w:ascii="宋体" w:hAnsi="宋体"/>
          <w:color w:val="000000"/>
          <w:sz w:val="24"/>
          <w:szCs w:val="21"/>
        </w:rPr>
        <w:t xml:space="preserve">在此达成以下协议：</w:t>
      </w:r>
      <w:r/>
    </w:p>
    <w:p>
      <w:pPr>
        <w:ind w:firstLine="480"/>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自愿组成联合体，参加连云港市疾病预防控制中心组织的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w:t>
      </w:r>
      <w:r>
        <w:rPr>
          <w:rFonts w:hint="eastAsia" w:ascii="宋体" w:hAnsi="宋体"/>
          <w:color w:val="000000"/>
          <w:sz w:val="24"/>
          <w:szCs w:val="21"/>
        </w:rPr>
        <w:t xml:space="preserve">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p>
    <w:p>
      <w:pPr>
        <w:ind w:firstLine="480"/>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ascii="宋体" w:hAnsi="宋体"/>
          <w:color w:val="000000"/>
          <w:sz w:val="24"/>
          <w:szCs w:val="21"/>
        </w:rPr>
        <w:t xml:space="preserve">2</w:t>
      </w:r>
      <w:r>
        <w:rPr>
          <w:rFonts w:hint="eastAsia" w:ascii="宋体" w:hAnsi="宋体"/>
          <w:color w:val="000000"/>
          <w:sz w:val="24"/>
          <w:szCs w:val="21"/>
        </w:rPr>
        <w:t xml:space="preserve">、若我们联合中标、成交，</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1</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2</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ascii="宋体" w:hAnsi="宋体"/>
          <w:color w:val="000000"/>
          <w:sz w:val="24"/>
          <w:szCs w:val="21"/>
        </w:rPr>
        <w:t xml:space="preserve">3</w:t>
      </w:r>
      <w:r>
        <w:rPr>
          <w:rFonts w:hint="eastAsia" w:ascii="宋体" w:hAnsi="宋体"/>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color w:val="000000"/>
          <w:sz w:val="24"/>
          <w:szCs w:val="21"/>
        </w:rPr>
        <w:t xml:space="preserve">%</w:t>
      </w:r>
      <w:r>
        <w:rPr>
          <w:rFonts w:hint="eastAsia" w:ascii="宋体" w:hAnsi="宋体"/>
          <w:color w:val="000000"/>
          <w:sz w:val="24"/>
          <w:szCs w:val="21"/>
        </w:rPr>
        <w:t xml:space="preserve">。（可选）</w:t>
      </w:r>
      <w:r/>
    </w:p>
    <w:p>
      <w:pPr>
        <w:ind w:firstLine="480"/>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ascii="宋体" w:hAnsi="宋体"/>
          <w:color w:val="000000"/>
          <w:sz w:val="24"/>
          <w:szCs w:val="21"/>
        </w:rPr>
      </w:r>
      <w:r/>
    </w:p>
    <w:p>
      <w:pPr>
        <w:ind w:firstLine="480"/>
        <w:spacing w:line="500" w:lineRule="exact"/>
        <w:rPr>
          <w:rFonts w:ascii="宋体" w:hAnsi="宋体"/>
          <w:color w:val="000000"/>
          <w:sz w:val="24"/>
          <w:szCs w:val="21"/>
        </w:rPr>
        <w:pBdr>
          <w:top w:val="none" w:color="auto" w:sz="0" w:space="1"/>
          <w:left w:val="none" w:color="auto" w:sz="0" w:space="4"/>
          <w:bottom w:val="none" w:color="auto" w:sz="0" w:space="1"/>
          <w:right w:val="none" w:color="auto" w:sz="0" w:space="4"/>
        </w:pBdr>
      </w:pPr>
      <w:r>
        <w:rPr>
          <w:rFonts w:ascii="宋体" w:hAnsi="宋体"/>
          <w:color w:val="000000"/>
          <w:sz w:val="24"/>
          <w:szCs w:val="21"/>
        </w:rPr>
      </w:r>
      <w:r/>
    </w:p>
    <w:p>
      <w:pPr>
        <w:ind w:firstLine="480"/>
        <w:spacing w:line="360" w:lineRule="auto"/>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供应商1全称（公章）：</w:t>
      </w:r>
      <w:r/>
    </w:p>
    <w:p>
      <w:pPr>
        <w:ind w:firstLine="480"/>
        <w:spacing w:line="360" w:lineRule="auto"/>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p>
    <w:p>
      <w:pPr>
        <w:ind w:firstLine="480"/>
        <w:spacing w:line="360" w:lineRule="auto"/>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日期：     年   月   日</w:t>
      </w:r>
      <w:r/>
    </w:p>
    <w:p>
      <w:pPr>
        <w:ind w:firstLine="480"/>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ind w:firstLine="480"/>
        <w:spacing w:line="360" w:lineRule="auto"/>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供应商2全称（公章）：</w:t>
      </w:r>
      <w:r/>
    </w:p>
    <w:p>
      <w:pPr>
        <w:ind w:firstLine="480"/>
        <w:spacing w:line="360" w:lineRule="auto"/>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p>
    <w:p>
      <w:pPr>
        <w:ind w:firstLine="480"/>
        <w:spacing w:line="360" w:lineRule="auto"/>
        <w:rPr>
          <w:rFonts w:ascii="宋体" w:hAnsi="宋体"/>
          <w:color w:val="000000"/>
          <w:sz w:val="24"/>
          <w:szCs w:val="21"/>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日期：     年   月   日</w:t>
      </w:r>
      <w:r/>
    </w:p>
    <w:p>
      <w:pPr>
        <w:ind w:firstLine="480"/>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ind w:firstLine="480"/>
        <w:spacing w:line="5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w:t>
      </w:r>
      <w:r/>
    </w:p>
    <w:p>
      <w:pPr>
        <w:ind w:firstLine="480"/>
        <w:spacing w:line="500" w:lineRule="exact"/>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ind w:firstLine="480"/>
        <w:spacing w:line="500" w:lineRule="exact"/>
        <w:pBdr>
          <w:top w:val="none" w:color="auto" w:sz="0" w:space="1"/>
          <w:left w:val="none" w:color="auto" w:sz="0" w:space="4"/>
          <w:bottom w:val="none" w:color="auto" w:sz="0" w:space="1"/>
          <w:right w:val="none" w:color="auto" w:sz="0" w:space="4"/>
        </w:pBdr>
      </w:pPr>
      <w:r>
        <w:rPr>
          <w:rFonts w:hint="eastAsia" w:ascii="宋体" w:hAnsi="宋体"/>
          <w:color w:val="000000"/>
          <w:sz w:val="24"/>
          <w:szCs w:val="21"/>
        </w:rPr>
        <w:t xml:space="preserve">备注：本招标文件中要求加盖公章的内容，仅需加盖牵头单位的公章。</w:t>
      </w:r>
      <w:r/>
    </w:p>
    <w:p>
      <w:pPr>
        <w:jc w:val="left"/>
        <w:keepLines/>
        <w:keepNext/>
        <w:spacing w:before="360" w:after="200" w:line="360" w:lineRule="auto"/>
        <w:rPr>
          <w:rFonts w:ascii="Arial" w:hAnsi="Arial" w:cs="Arial"/>
          <w:i/>
          <w:iCs/>
          <w:sz w:val="36"/>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u w:val="single"/>
        </w:rPr>
        <w:t xml:space="preserve">十四、投标分项报价表（分包号：**）</w:t>
      </w:r>
      <w:r/>
    </w:p>
    <w:p>
      <w:pPr>
        <w:jc w:val="center"/>
        <w:spacing w:line="360" w:lineRule="auto"/>
        <w:tabs>
          <w:tab w:val="left" w:pos="360" w:leader="none"/>
        </w:tabs>
        <w:rPr>
          <w:rFonts w:ascii="黑体" w:hAnsi="黑体" w:eastAsia="黑体" w:cs="宋体"/>
          <w:bCs/>
          <w:sz w:val="36"/>
          <w:szCs w:val="28"/>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rPr>
        <w:t xml:space="preserve">投标分项报价表</w:t>
      </w:r>
      <w:r/>
    </w:p>
    <w:p>
      <w:pPr>
        <w:jc w:val="left"/>
        <w:spacing w:line="360" w:lineRule="auto"/>
        <w:rPr>
          <w:rFonts w:ascii="宋体" w:hAnsi="宋体"/>
          <w:bCs/>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rPr>
        <w:t xml:space="preserve">项目名称：      项目编号：      分包号：</w:t>
      </w:r>
      <w:r/>
    </w:p>
    <w:p>
      <w:pPr>
        <w:jc w:val="right"/>
        <w:spacing w:line="360" w:lineRule="auto"/>
        <w:rPr>
          <w:rFonts w:ascii="宋体" w:hAnsi="宋体"/>
          <w:color w:val="000000"/>
          <w:szCs w:val="24"/>
        </w:rPr>
        <w:pBdr>
          <w:top w:val="none" w:color="auto" w:sz="0" w:space="1"/>
          <w:left w:val="none" w:color="auto" w:sz="0" w:space="4"/>
          <w:bottom w:val="none" w:color="auto" w:sz="0" w:space="1"/>
          <w:right w:val="none" w:color="auto" w:sz="0" w:space="4"/>
        </w:pBdr>
      </w:pPr>
      <w:r>
        <w:rPr>
          <w:rFonts w:hint="eastAsia" w:ascii="宋体" w:hAnsi="宋体"/>
          <w:color w:val="000000"/>
          <w:szCs w:val="24"/>
        </w:rPr>
        <w:t xml:space="preserve">单位：元</w:t>
      </w:r>
      <w:r/>
    </w:p>
    <w:tbl>
      <w:tblPr>
        <w:tblStyle w:val="73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4"/>
        <w:gridCol w:w="663"/>
        <w:gridCol w:w="794"/>
        <w:gridCol w:w="701"/>
        <w:gridCol w:w="607"/>
        <w:gridCol w:w="513"/>
        <w:gridCol w:w="701"/>
        <w:gridCol w:w="701"/>
        <w:gridCol w:w="1120"/>
        <w:gridCol w:w="980"/>
      </w:tblGrid>
      <w:tr>
        <w:trPr>
          <w:jc w:val="center"/>
          <w:trHeight w:val="663"/>
        </w:trPr>
        <w:tc>
          <w:tcPr>
            <w:tcW w:w="521" w:type="dxa"/>
            <w:vAlign w:val="center"/>
            <w:textDirection w:val="lrTb"/>
            <w:noWrap/>
          </w:tcPr>
          <w:p>
            <w:pPr>
              <w:jc w:val="center"/>
              <w:spacing w:line="360" w:lineRule="auto"/>
              <w:widowControl/>
              <w:rPr>
                <w:rFonts w:ascii="Times New Roman" w:hAnsi="Times New Roman"/>
                <w:bCs/>
                <w:color w:val="000000"/>
                <w:szCs w:val="24"/>
              </w:rPr>
              <w:pBdr>
                <w:top w:val="none" w:color="auto" w:sz="0" w:space="1"/>
                <w:left w:val="none" w:color="auto" w:sz="0" w:space="4"/>
                <w:bottom w:val="none" w:color="auto" w:sz="0" w:space="1"/>
                <w:right w:val="none" w:color="auto" w:sz="0" w:space="4"/>
              </w:pBdr>
            </w:pPr>
            <w:r>
              <w:rPr>
                <w:rFonts w:ascii="Times New Roman" w:hAnsi="Times New Roman"/>
                <w:bCs/>
                <w:color w:val="000000"/>
                <w:szCs w:val="24"/>
              </w:rPr>
              <w:t xml:space="preserve">序号</w:t>
            </w:r>
            <w:r/>
          </w:p>
        </w:tc>
        <w:tc>
          <w:tcPr>
            <w:tcW w:w="1204" w:type="dxa"/>
            <w:vAlign w:val="center"/>
            <w:textDirection w:val="lrTb"/>
            <w:noWrap w:val="false"/>
          </w:tcPr>
          <w:p>
            <w:pPr>
              <w:jc w:val="center"/>
              <w:spacing w:line="360" w:lineRule="auto"/>
              <w:widowControl/>
              <w:rPr>
                <w:rFonts w:ascii="Times New Roman" w:hAnsi="Times New Roman"/>
                <w:bCs/>
                <w:color w:val="000000"/>
                <w:szCs w:val="24"/>
              </w:rPr>
              <w:pBdr>
                <w:top w:val="none" w:color="auto" w:sz="0" w:space="1"/>
                <w:left w:val="none" w:color="auto" w:sz="0" w:space="4"/>
                <w:bottom w:val="none" w:color="auto" w:sz="0" w:space="1"/>
                <w:right w:val="none" w:color="auto" w:sz="0" w:space="4"/>
              </w:pBdr>
            </w:pPr>
            <w:r>
              <w:rPr>
                <w:rFonts w:ascii="Times New Roman" w:hAnsi="Times New Roman"/>
                <w:bCs/>
                <w:color w:val="000000"/>
                <w:szCs w:val="24"/>
              </w:rPr>
              <w:t xml:space="preserve">货物（标的）名称</w:t>
            </w:r>
            <w:r/>
          </w:p>
        </w:tc>
        <w:tc>
          <w:tcPr>
            <w:tcW w:w="663" w:type="dxa"/>
            <w:vAlign w:val="center"/>
            <w:textDirection w:val="lrTb"/>
            <w:noWrap w:val="false"/>
          </w:tcPr>
          <w:p>
            <w:pPr>
              <w:jc w:val="center"/>
              <w:spacing w:line="360" w:lineRule="auto"/>
              <w:widowControl/>
              <w:rPr>
                <w:rFonts w:ascii="Times New Roman" w:hAnsi="Times New Roman"/>
                <w:bCs/>
                <w:color w:val="000000"/>
                <w:szCs w:val="24"/>
              </w:rPr>
              <w:pBdr>
                <w:top w:val="none" w:color="auto" w:sz="0" w:space="1"/>
                <w:left w:val="none" w:color="auto" w:sz="0" w:space="4"/>
                <w:bottom w:val="none" w:color="auto" w:sz="0" w:space="1"/>
                <w:right w:val="none" w:color="auto" w:sz="0" w:space="4"/>
              </w:pBdr>
            </w:pPr>
            <w:r>
              <w:rPr>
                <w:rFonts w:ascii="Times New Roman" w:hAnsi="Times New Roman"/>
                <w:bCs/>
                <w:color w:val="000000"/>
                <w:szCs w:val="24"/>
              </w:rPr>
              <w:t xml:space="preserve">品牌</w:t>
            </w:r>
            <w:r/>
          </w:p>
        </w:tc>
        <w:tc>
          <w:tcPr>
            <w:tcW w:w="794" w:type="dxa"/>
            <w:vAlign w:val="center"/>
            <w:textDirection w:val="lrTb"/>
            <w:noWrap w:val="false"/>
          </w:tcPr>
          <w:p>
            <w:pPr>
              <w:jc w:val="center"/>
              <w:spacing w:line="360" w:lineRule="auto"/>
              <w:widowControl/>
              <w:rPr>
                <w:rFonts w:ascii="Times New Roman" w:hAnsi="Times New Roman"/>
                <w:bCs/>
                <w:color w:val="000000"/>
                <w:szCs w:val="24"/>
              </w:rPr>
              <w:pBdr>
                <w:top w:val="none" w:color="auto" w:sz="0" w:space="1"/>
                <w:left w:val="none" w:color="auto" w:sz="0" w:space="4"/>
                <w:bottom w:val="none" w:color="auto" w:sz="0" w:space="1"/>
                <w:right w:val="none" w:color="auto" w:sz="0" w:space="4"/>
              </w:pBdr>
            </w:pPr>
            <w:r>
              <w:rPr>
                <w:rFonts w:ascii="Times New Roman" w:hAnsi="Times New Roman"/>
                <w:bCs/>
                <w:color w:val="000000"/>
                <w:szCs w:val="24"/>
              </w:rPr>
              <w:t xml:space="preserve">规格型号</w:t>
            </w:r>
            <w:r/>
          </w:p>
        </w:tc>
        <w:tc>
          <w:tcPr>
            <w:tcW w:w="701" w:type="dxa"/>
            <w:vAlign w:val="center"/>
            <w:textDirection w:val="lrTb"/>
            <w:noWrap w:val="false"/>
          </w:tcPr>
          <w:p>
            <w:pPr>
              <w:jc w:val="center"/>
              <w:spacing w:line="360" w:lineRule="auto"/>
              <w:widowControl/>
              <w:rPr>
                <w:rFonts w:ascii="Times New Roman" w:hAnsi="Times New Roman"/>
                <w:bCs/>
                <w:color w:val="000000"/>
                <w:szCs w:val="24"/>
              </w:rPr>
              <w:pBdr>
                <w:top w:val="none" w:color="auto" w:sz="0" w:space="1"/>
                <w:left w:val="none" w:color="auto" w:sz="0" w:space="4"/>
                <w:bottom w:val="none" w:color="auto" w:sz="0" w:space="1"/>
                <w:right w:val="none" w:color="auto" w:sz="0" w:space="4"/>
              </w:pBdr>
            </w:pPr>
            <w:r>
              <w:rPr>
                <w:rFonts w:ascii="Times New Roman" w:hAnsi="Times New Roman"/>
                <w:bCs/>
                <w:color w:val="000000"/>
                <w:szCs w:val="24"/>
              </w:rPr>
              <w:t xml:space="preserve">制造商</w:t>
            </w:r>
            <w:r/>
          </w:p>
        </w:tc>
        <w:tc>
          <w:tcPr>
            <w:gridSpan w:val="2"/>
            <w:tcW w:w="1120" w:type="dxa"/>
            <w:vAlign w:val="center"/>
            <w:textDirection w:val="lrTb"/>
            <w:noWrap w:val="false"/>
          </w:tcPr>
          <w:p>
            <w:pPr>
              <w:jc w:val="center"/>
              <w:spacing w:line="360" w:lineRule="auto"/>
              <w:widowControl/>
              <w:rPr>
                <w:rFonts w:ascii="Times New Roman" w:hAnsi="Times New Roman"/>
                <w:bCs/>
                <w:color w:val="000000"/>
                <w:szCs w:val="24"/>
              </w:rPr>
              <w:pBdr>
                <w:top w:val="none" w:color="auto" w:sz="0" w:space="1"/>
                <w:left w:val="none" w:color="auto" w:sz="0" w:space="4"/>
                <w:bottom w:val="none" w:color="auto" w:sz="0" w:space="1"/>
                <w:right w:val="none" w:color="auto" w:sz="0" w:space="4"/>
              </w:pBdr>
            </w:pPr>
            <w:r>
              <w:rPr>
                <w:rFonts w:ascii="Times New Roman" w:hAnsi="Times New Roman"/>
                <w:bCs/>
                <w:color w:val="000000"/>
                <w:szCs w:val="24"/>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bCs/>
                <w:color w:val="000000"/>
                <w:szCs w:val="24"/>
              </w:rPr>
              <w:pBdr>
                <w:top w:val="none" w:color="auto" w:sz="0" w:space="1"/>
                <w:left w:val="none" w:color="auto" w:sz="0" w:space="4"/>
                <w:bottom w:val="none" w:color="auto" w:sz="0" w:space="1"/>
                <w:right w:val="none" w:color="auto" w:sz="0" w:space="4"/>
              </w:pBdr>
            </w:pPr>
            <w:r>
              <w:rPr>
                <w:rFonts w:ascii="Times New Roman" w:hAnsi="Times New Roman"/>
                <w:bCs/>
                <w:color w:val="000000"/>
                <w:szCs w:val="24"/>
              </w:rPr>
              <w:t xml:space="preserve">单价</w:t>
            </w:r>
            <w:r/>
          </w:p>
        </w:tc>
        <w:tc>
          <w:tcPr>
            <w:tcW w:w="701" w:type="dxa"/>
            <w:vAlign w:val="center"/>
            <w:textDirection w:val="lrTb"/>
            <w:noWrap w:val="false"/>
          </w:tcPr>
          <w:p>
            <w:pPr>
              <w:jc w:val="center"/>
              <w:spacing w:line="360" w:lineRule="auto"/>
              <w:widowControl/>
              <w:rPr>
                <w:rFonts w:ascii="Times New Roman" w:hAnsi="Times New Roman"/>
                <w:bCs/>
                <w:color w:val="000000"/>
                <w:szCs w:val="24"/>
              </w:rPr>
              <w:pBdr>
                <w:top w:val="none" w:color="auto" w:sz="0" w:space="1"/>
                <w:left w:val="none" w:color="auto" w:sz="0" w:space="4"/>
                <w:bottom w:val="none" w:color="auto" w:sz="0" w:space="1"/>
                <w:right w:val="none" w:color="auto" w:sz="0" w:space="4"/>
              </w:pBdr>
            </w:pPr>
            <w:r>
              <w:rPr>
                <w:rFonts w:ascii="Times New Roman" w:hAnsi="Times New Roman"/>
                <w:bCs/>
                <w:color w:val="000000"/>
                <w:szCs w:val="24"/>
              </w:rPr>
              <w:t xml:space="preserve">数量</w:t>
            </w:r>
            <w:r/>
          </w:p>
        </w:tc>
        <w:tc>
          <w:tcPr>
            <w:tcW w:w="1120" w:type="dxa"/>
            <w:vAlign w:val="center"/>
            <w:textDirection w:val="lrTb"/>
            <w:noWrap w:val="false"/>
          </w:tcPr>
          <w:p>
            <w:pPr>
              <w:jc w:val="center"/>
              <w:spacing w:line="360" w:lineRule="auto"/>
              <w:widowControl/>
              <w:rPr>
                <w:rFonts w:ascii="Times New Roman" w:hAnsi="Times New Roman"/>
                <w:bCs/>
                <w:color w:val="000000"/>
                <w:szCs w:val="24"/>
              </w:rPr>
              <w:pBdr>
                <w:top w:val="none" w:color="auto" w:sz="0" w:space="1"/>
                <w:left w:val="none" w:color="auto" w:sz="0" w:space="4"/>
                <w:bottom w:val="none" w:color="auto" w:sz="0" w:space="1"/>
                <w:right w:val="none" w:color="auto" w:sz="0" w:space="4"/>
              </w:pBdr>
            </w:pPr>
            <w:r>
              <w:rPr>
                <w:rFonts w:ascii="Times New Roman" w:hAnsi="Times New Roman"/>
                <w:bCs/>
                <w:color w:val="000000"/>
                <w:szCs w:val="24"/>
              </w:rPr>
              <w:t xml:space="preserve">计量单位</w:t>
            </w:r>
            <w:r/>
          </w:p>
        </w:tc>
        <w:tc>
          <w:tcPr>
            <w:tcW w:w="980" w:type="dxa"/>
            <w:vAlign w:val="center"/>
            <w:textDirection w:val="lrTb"/>
            <w:noWrap w:val="false"/>
          </w:tcPr>
          <w:p>
            <w:pPr>
              <w:jc w:val="center"/>
              <w:spacing w:line="360" w:lineRule="auto"/>
              <w:widowControl/>
              <w:rPr>
                <w:rFonts w:ascii="Times New Roman" w:hAnsi="Times New Roman"/>
                <w:bCs/>
                <w:color w:val="000000"/>
                <w:szCs w:val="24"/>
              </w:rPr>
              <w:pBdr>
                <w:top w:val="none" w:color="auto" w:sz="0" w:space="1"/>
                <w:left w:val="none" w:color="auto" w:sz="0" w:space="4"/>
                <w:bottom w:val="none" w:color="auto" w:sz="0" w:space="1"/>
                <w:right w:val="none" w:color="auto" w:sz="0" w:space="4"/>
              </w:pBdr>
            </w:pPr>
            <w:r>
              <w:rPr>
                <w:rFonts w:ascii="Times New Roman" w:hAnsi="Times New Roman"/>
                <w:bCs/>
                <w:color w:val="000000"/>
                <w:szCs w:val="24"/>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rPr>
              <w:t xml:space="preserve">1</w:t>
            </w:r>
            <w:r/>
          </w:p>
        </w:tc>
        <w:tc>
          <w:tcPr>
            <w:tcW w:w="1204"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794"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1120"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980"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rPr>
              <w:t xml:space="preserve">2</w:t>
            </w:r>
            <w:r/>
          </w:p>
        </w:tc>
        <w:tc>
          <w:tcPr>
            <w:tcW w:w="1204"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794"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1120"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980"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rPr>
              <w:t xml:space="preserve">3</w:t>
            </w:r>
            <w:r/>
          </w:p>
        </w:tc>
        <w:tc>
          <w:tcPr>
            <w:tcW w:w="1204"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794"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1120"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980"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t xml:space="preserve">…</w:t>
            </w:r>
            <w:r/>
          </w:p>
        </w:tc>
        <w:tc>
          <w:tcPr>
            <w:tcW w:w="1204"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794"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gridSpan w:val="2"/>
            <w:tcW w:w="1120"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1120"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c>
          <w:tcPr>
            <w:tcW w:w="980" w:type="dxa"/>
            <w:vAlign w:val="center"/>
            <w:textDirection w:val="lrTb"/>
            <w:noWrap/>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rPr>
              <w:t xml:space="preserve">总计（元）</w:t>
            </w:r>
            <w:r/>
          </w:p>
        </w:tc>
        <w:tc>
          <w:tcPr>
            <w:gridSpan w:val="5"/>
            <w:tcW w:w="4015" w:type="dxa"/>
            <w:vAlign w:val="center"/>
            <w:textDirection w:val="lrTb"/>
            <w:noWrap w:val="false"/>
          </w:tcPr>
          <w:p>
            <w:pPr>
              <w:spacing w:line="360" w:lineRule="auto"/>
              <w:widowControl/>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tc>
      </w:tr>
      <w:tr>
        <w:trPr>
          <w:jc w:val="center"/>
          <w:trHeight w:val="567"/>
        </w:trPr>
        <w:tc>
          <w:tcPr>
            <w:gridSpan w:val="11"/>
            <w:shd w:val="clear" w:color="auto" w:fill="auto"/>
            <w:tcW w:w="8505" w:type="dxa"/>
            <w:vAlign w:val="center"/>
            <w:textDirection w:val="lrTb"/>
            <w:noWrap/>
          </w:tcPr>
          <w:p>
            <w:pPr>
              <w:spacing w:line="360" w:lineRule="auto"/>
              <w:widowControl/>
              <w:rPr>
                <w:rFonts w:ascii="Times New Roman" w:hAnsi="Times New Roman"/>
                <w:color w:val="000000"/>
                <w:szCs w:val="24"/>
              </w:rPr>
              <w:pBdr>
                <w:top w:val="none" w:color="000000" w:sz="0" w:space="0"/>
                <w:left w:val="none" w:color="000000" w:sz="0" w:space="3"/>
                <w:bottom w:val="none" w:color="000000" w:sz="0" w:space="0"/>
                <w:right w:val="none" w:color="000000" w:sz="0" w:space="3"/>
              </w:pBdr>
            </w:pPr>
            <w:r>
              <w:rPr>
                <w:rFonts w:ascii="宋体" w:hAnsi="宋体" w:cs="宋体"/>
                <w:color w:val="000000"/>
              </w:rPr>
              <w:t xml:space="preserve">本采购包中提供的符合本国产品标准的产品成本之和占该采购包提供的全部产品成本之和的比例为</w:t>
            </w:r>
            <w:r>
              <w:rPr>
                <w:rFonts w:ascii="宋体" w:hAnsi="宋体" w:cs="宋体"/>
                <w:color w:val="000000"/>
                <w:u w:val="single"/>
              </w:rPr>
              <w:t xml:space="preserve">    </w:t>
            </w:r>
            <w:r>
              <w:rPr>
                <w:rFonts w:ascii="Times New Roman" w:hAnsi="Times New Roman" w:eastAsia="Times New Roman"/>
                <w:color w:val="000000"/>
              </w:rPr>
              <w:t xml:space="preserve">%</w:t>
            </w:r>
            <w:r>
              <w:rPr>
                <w:rFonts w:ascii="宋体" w:hAnsi="宋体" w:cs="宋体"/>
                <w:color w:val="000000"/>
              </w:rPr>
              <w:t xml:space="preserve">。</w:t>
            </w:r>
            <w:r/>
          </w:p>
        </w:tc>
      </w:tr>
    </w:tbl>
    <w:p>
      <w:pPr>
        <w:ind w:firstLine="420"/>
        <w:spacing w:line="360" w:lineRule="auto"/>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ascii="Times New Roman" w:hAnsi="Times New Roman"/>
          <w:color w:val="000000"/>
          <w:szCs w:val="24"/>
        </w:rPr>
      </w:r>
      <w:r/>
    </w:p>
    <w:p>
      <w:pPr>
        <w:ind w:firstLine="420"/>
        <w:spacing w:line="360" w:lineRule="auto"/>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rPr>
        <w:t xml:space="preserve">供应商（盖章）：</w:t>
      </w:r>
      <w:r/>
    </w:p>
    <w:p>
      <w:pPr>
        <w:ind w:firstLine="420"/>
        <w:spacing w:line="360" w:lineRule="auto"/>
        <w:rPr>
          <w:rFonts w:ascii="Times New Roman" w:hAnsi="Times New Roman"/>
          <w:color w:val="000000"/>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p>
    <w:p>
      <w:pPr>
        <w:ind w:firstLine="420"/>
        <w:spacing w:line="360" w:lineRule="auto"/>
        <w:rPr>
          <w:rFonts w:ascii="宋体" w:hAnsi="宋体"/>
          <w:color w:val="000000"/>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rPr>
        <w:t xml:space="preserve">日期：    年     月     日</w:t>
      </w:r>
      <w:r/>
    </w:p>
    <w:p>
      <w:pPr>
        <w:spacing w:line="360" w:lineRule="auto"/>
        <w:rPr>
          <w:rFonts w:ascii="宋体" w:hAnsi="宋体"/>
          <w:color w:val="000000"/>
          <w:szCs w:val="20"/>
        </w:rPr>
        <w:pBdr>
          <w:top w:val="none" w:color="auto" w:sz="0" w:space="1"/>
          <w:left w:val="none" w:color="auto" w:sz="0" w:space="4"/>
          <w:bottom w:val="none" w:color="auto" w:sz="0" w:space="1"/>
          <w:right w:val="none" w:color="auto" w:sz="0" w:space="4"/>
        </w:pBdr>
      </w:pPr>
      <w:r>
        <w:rPr>
          <w:rFonts w:ascii="宋体" w:hAnsi="宋体"/>
          <w:color w:val="000000"/>
          <w:szCs w:val="20"/>
        </w:rPr>
      </w:r>
      <w:r/>
    </w:p>
    <w:p>
      <w:pPr>
        <w:spacing w:line="360" w:lineRule="auto"/>
        <w:rPr>
          <w:rFonts w:ascii="宋体" w:hAnsi="宋体"/>
          <w:color w:val="000000"/>
          <w:szCs w:val="24"/>
        </w:rPr>
        <w:pBdr>
          <w:top w:val="none" w:color="auto" w:sz="0" w:space="1"/>
          <w:left w:val="none" w:color="auto" w:sz="0" w:space="4"/>
          <w:bottom w:val="none" w:color="auto" w:sz="0" w:space="1"/>
          <w:right w:val="none" w:color="auto" w:sz="0" w:space="4"/>
        </w:pBdr>
      </w:pPr>
      <w:r>
        <w:rPr>
          <w:rFonts w:hint="eastAsia" w:ascii="宋体" w:hAnsi="宋体"/>
          <w:color w:val="000000"/>
          <w:szCs w:val="24"/>
        </w:rPr>
        <w:t xml:space="preserve">填报说明：</w:t>
      </w:r>
      <w:r/>
    </w:p>
    <w:p>
      <w:pPr>
        <w:ind w:firstLine="420"/>
        <w:spacing w:line="360" w:lineRule="auto"/>
        <w:rPr>
          <w:rFonts w:ascii="宋体" w:hAnsi="宋体"/>
          <w:color w:val="000000"/>
          <w:szCs w:val="24"/>
        </w:rPr>
        <w:pBdr>
          <w:top w:val="none" w:color="auto" w:sz="0" w:space="1"/>
          <w:left w:val="none" w:color="auto" w:sz="0" w:space="4"/>
          <w:bottom w:val="none" w:color="auto" w:sz="0" w:space="1"/>
          <w:right w:val="none" w:color="auto" w:sz="0" w:space="4"/>
        </w:pBdr>
      </w:pPr>
      <w:r>
        <w:rPr>
          <w:rFonts w:hint="eastAsia" w:ascii="宋体" w:hAnsi="宋体"/>
          <w:color w:val="000000"/>
          <w:szCs w:val="24"/>
        </w:rPr>
        <w:t xml:space="preserve">1、“制造商企业类型”栏填写内容为“大型”“中型”“小型”“微型”“监狱企业”或“残疾人福利性单位”。</w:t>
      </w:r>
      <w:r/>
    </w:p>
    <w:p>
      <w:pPr>
        <w:ind w:firstLine="420"/>
        <w:spacing w:line="360" w:lineRule="auto"/>
        <w:rPr>
          <w:rFonts w:ascii="宋体" w:hAnsi="宋体"/>
          <w:color w:val="000000"/>
          <w:szCs w:val="24"/>
        </w:rPr>
        <w:pBdr>
          <w:top w:val="none" w:color="auto" w:sz="0" w:space="1"/>
          <w:left w:val="none" w:color="auto" w:sz="0" w:space="4"/>
          <w:bottom w:val="none" w:color="auto" w:sz="0" w:space="1"/>
          <w:right w:val="none" w:color="auto" w:sz="0" w:space="4"/>
        </w:pBdr>
      </w:pPr>
      <w:r>
        <w:rPr>
          <w:rFonts w:hint="eastAsia" w:ascii="宋体" w:hAnsi="宋体"/>
          <w:color w:val="000000"/>
          <w:szCs w:val="24"/>
        </w:rPr>
        <w:t xml:space="preserve">2、以上报价包含货物费用、运杂费、安装施工费、集成费、税金、制造商保修费用和其他费用。</w:t>
      </w:r>
      <w:r/>
    </w:p>
    <w:p>
      <w:pPr>
        <w:ind w:firstLine="420"/>
        <w:spacing w:line="360" w:lineRule="auto"/>
        <w:rPr>
          <w:rFonts w:ascii="宋体" w:hAnsi="宋体"/>
          <w:color w:val="000000"/>
          <w:szCs w:val="24"/>
        </w:rPr>
        <w:pBdr>
          <w:top w:val="none" w:color="auto" w:sz="0" w:space="1"/>
          <w:left w:val="none" w:color="auto" w:sz="0" w:space="4"/>
          <w:bottom w:val="none" w:color="auto" w:sz="0" w:space="1"/>
          <w:right w:val="none" w:color="auto" w:sz="0" w:space="4"/>
        </w:pBdr>
      </w:pPr>
      <w:r>
        <w:rPr>
          <w:rFonts w:hint="eastAsia" w:ascii="宋体" w:hAnsi="宋体"/>
          <w:color w:val="000000"/>
          <w:szCs w:val="24"/>
        </w:rPr>
        <w:t xml:space="preserve">3、请供应商如实、正确填写本表，所填内容将作为评审的依据，其内容应与对应的证明资料相符</w:t>
      </w:r>
      <w:r/>
    </w:p>
    <w:p>
      <w:pPr>
        <w:ind w:firstLine="420"/>
        <w:spacing w:line="360" w:lineRule="auto"/>
        <w:rPr>
          <w:rFonts w:ascii="Times New Roman" w:hAnsi="宋体"/>
          <w:color w:val="000000"/>
          <w:szCs w:val="24"/>
        </w:rPr>
        <w:pBdr>
          <w:top w:val="none" w:color="auto" w:sz="0" w:space="1"/>
          <w:left w:val="none" w:color="auto" w:sz="0" w:space="4"/>
          <w:bottom w:val="none" w:color="auto" w:sz="0" w:space="1"/>
          <w:right w:val="none" w:color="auto" w:sz="0" w:space="4"/>
        </w:pBdr>
      </w:pPr>
      <w:r>
        <w:rPr>
          <w:rFonts w:hint="eastAsia" w:ascii="宋体" w:hAnsi="宋体"/>
          <w:color w:val="000000"/>
          <w:szCs w:val="24"/>
        </w:rPr>
        <w:t xml:space="preserve">4、行数或事项不够，可自行增加</w:t>
      </w:r>
      <w:r>
        <w:rPr>
          <w:rFonts w:hint="eastAsia" w:ascii="Times New Roman" w:hAnsi="宋体"/>
          <w:color w:val="000000"/>
          <w:szCs w:val="24"/>
        </w:rPr>
        <w:t xml:space="preserve">。</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jc w:val="left"/>
        <w:keepLines/>
        <w:keepNext/>
        <w:spacing w:before="360" w:after="200" w:line="360" w:lineRule="auto"/>
        <w:rPr>
          <w:rFonts w:ascii="Arial" w:hAnsi="Arial" w:cs="Arial"/>
          <w:i/>
          <w:iCs/>
          <w:sz w:val="36"/>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u w:val="single"/>
        </w:rPr>
        <w:t xml:space="preserve">十五、技术要求响应及偏离表（分包号：**）</w:t>
      </w:r>
      <w:r/>
    </w:p>
    <w:p>
      <w:pPr>
        <w:jc w:val="center"/>
        <w:spacing w:line="360" w:lineRule="auto"/>
        <w:tabs>
          <w:tab w:val="left" w:pos="360" w:leader="none"/>
        </w:tabs>
        <w:rPr>
          <w:rFonts w:ascii="黑体" w:hAnsi="黑体" w:eastAsia="黑体" w:cs="宋体"/>
          <w:bCs/>
          <w:sz w:val="36"/>
          <w:szCs w:val="28"/>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rPr>
        <w:t xml:space="preserve">技术要求响应及偏离表</w:t>
      </w:r>
      <w:r/>
    </w:p>
    <w:p>
      <w:pPr>
        <w:jc w:val="left"/>
        <w:spacing w:line="360" w:lineRule="auto"/>
        <w:rPr>
          <w:rFonts w:ascii="Arial" w:hAnsi="Arial" w:cs="Arial"/>
          <w:sz w:val="36"/>
        </w:rPr>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rPr>
        <w:t xml:space="preserve">项目名称：      项目编号：      分包号：</w:t>
      </w:r>
      <w:r/>
    </w:p>
    <w:tbl>
      <w:tblPr>
        <w:tblStyle w:val="73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序号</w:t>
            </w:r>
            <w:r/>
          </w:p>
        </w:tc>
        <w:tc>
          <w:tcPr>
            <w:tcW w:w="3273"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招标文件要求</w:t>
            </w:r>
            <w:r/>
          </w:p>
        </w:tc>
        <w:tc>
          <w:tcPr>
            <w:tcW w:w="3024"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投标响应情况</w:t>
            </w:r>
            <w:r/>
          </w:p>
        </w:tc>
        <w:tc>
          <w:tcPr>
            <w:tcW w:w="1399"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1</w:t>
            </w:r>
            <w:r/>
          </w:p>
        </w:tc>
        <w:tc>
          <w:tcPr>
            <w:tcW w:w="3273"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2</w:t>
            </w:r>
            <w:r/>
          </w:p>
        </w:tc>
        <w:tc>
          <w:tcPr>
            <w:tcW w:w="3273"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3</w:t>
            </w:r>
            <w:r/>
          </w:p>
        </w:tc>
        <w:tc>
          <w:tcPr>
            <w:tcW w:w="3273"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t xml:space="preserve">…</w:t>
            </w:r>
            <w:r/>
          </w:p>
        </w:tc>
        <w:tc>
          <w:tcPr>
            <w:tcW w:w="3273"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r>
    </w:tbl>
    <w:p>
      <w:pPr>
        <w:ind w:firstLine="480"/>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ind w:firstLine="480"/>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ind w:firstLine="480"/>
        <w:spacing w:line="360" w:lineRule="auto"/>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rPr>
        <w:t xml:space="preserve">供应商（盖章）：</w:t>
      </w:r>
      <w:r/>
    </w:p>
    <w:p>
      <w:pPr>
        <w:ind w:firstLine="480"/>
        <w:spacing w:line="360" w:lineRule="auto"/>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rPr>
        <w:t xml:space="preserve">日期：    年     月     日</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jc w:val="left"/>
        <w:keepLines/>
        <w:keepNext/>
        <w:spacing w:before="360" w:after="200" w:line="360" w:lineRule="auto"/>
        <w:rPr>
          <w:rFonts w:ascii="Arial" w:hAnsi="Arial" w:cs="Arial"/>
          <w:i/>
          <w:iCs/>
          <w:sz w:val="36"/>
          <w:u w:val="single"/>
        </w:rPr>
        <w:pBdr>
          <w:top w:val="none" w:color="auto" w:sz="0" w:space="1"/>
          <w:left w:val="none" w:color="auto" w:sz="0" w:space="4"/>
          <w:bottom w:val="none" w:color="auto" w:sz="0" w:space="1"/>
          <w:right w:val="none" w:color="auto" w:sz="0" w:space="4"/>
        </w:pBdr>
        <w:outlineLvl w:val="1"/>
      </w:pPr>
      <w:r/>
      <w:bookmarkStart w:id="13" w:name="_Hlt26955054"/>
      <w:r/>
      <w:bookmarkEnd w:id="13"/>
      <w:r>
        <w:rPr>
          <w:rFonts w:hint="eastAsia" w:ascii="Arial" w:hAnsi="Arial" w:cs="Arial"/>
          <w:i/>
          <w:iCs/>
          <w:sz w:val="36"/>
          <w:u w:val="single"/>
        </w:rPr>
        <w:t xml:space="preserve">十六、商务要求响应及偏离表（分包号：**）</w:t>
      </w:r>
      <w:r/>
    </w:p>
    <w:p>
      <w:pPr>
        <w:jc w:val="center"/>
        <w:spacing w:line="360" w:lineRule="auto"/>
        <w:tabs>
          <w:tab w:val="left" w:pos="360" w:leader="none"/>
        </w:tabs>
        <w:rPr>
          <w:rFonts w:ascii="黑体" w:hAnsi="黑体" w:eastAsia="黑体" w:cs="宋体"/>
          <w:bCs/>
          <w:sz w:val="36"/>
          <w:szCs w:val="28"/>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rPr>
        <w:t xml:space="preserve">商务要求响应及偏离表</w:t>
      </w:r>
      <w:r/>
    </w:p>
    <w:p>
      <w:pPr>
        <w:jc w:val="left"/>
        <w:spacing w:line="360" w:lineRule="auto"/>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rPr>
        <w:t xml:space="preserve">项目名称：      项目编号：      分包号：</w:t>
      </w:r>
      <w:r/>
    </w:p>
    <w:tbl>
      <w:tblPr>
        <w:tblStyle w:val="736"/>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bookmarkStart w:id="14" w:name="_Hlt26955064"/>
            <w:r/>
            <w:bookmarkEnd w:id="14"/>
            <w:r/>
            <w:bookmarkStart w:id="15" w:name="_Hlt26580838"/>
            <w:r/>
            <w:bookmarkEnd w:id="15"/>
            <w:r/>
            <w:bookmarkStart w:id="16" w:name="_Hlt26782999"/>
            <w:r/>
            <w:bookmarkEnd w:id="16"/>
            <w:r/>
            <w:bookmarkStart w:id="17" w:name="_Hlt26955056"/>
            <w:r/>
            <w:bookmarkEnd w:id="17"/>
            <w:r/>
            <w:bookmarkStart w:id="18" w:name="_Hlt24879081"/>
            <w:r/>
            <w:bookmarkEnd w:id="18"/>
            <w:r/>
            <w:bookmarkStart w:id="19" w:name="_Hlt26671372"/>
            <w:r/>
            <w:bookmarkEnd w:id="19"/>
            <w:r/>
            <w:bookmarkStart w:id="20" w:name="_Hlt26671343"/>
            <w:r/>
            <w:bookmarkEnd w:id="20"/>
            <w:r/>
            <w:bookmarkStart w:id="21" w:name="_Hlt26609391"/>
            <w:r/>
            <w:bookmarkEnd w:id="21"/>
            <w:r>
              <w:rPr>
                <w:rFonts w:hint="eastAsia" w:ascii="宋体" w:hAnsi="宋体"/>
                <w:color w:val="000000"/>
                <w:sz w:val="24"/>
                <w:szCs w:val="24"/>
              </w:rPr>
              <w:t xml:space="preserve">序号</w:t>
            </w:r>
            <w:r/>
          </w:p>
        </w:tc>
        <w:tc>
          <w:tcPr>
            <w:tcW w:w="3263"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招标文件要求</w:t>
            </w:r>
            <w:r/>
          </w:p>
        </w:tc>
        <w:tc>
          <w:tcPr>
            <w:tcW w:w="3034"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投标响应情况</w:t>
            </w:r>
            <w:r/>
          </w:p>
        </w:tc>
        <w:tc>
          <w:tcPr>
            <w:tcW w:w="1391"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1</w:t>
            </w:r>
            <w:r/>
          </w:p>
        </w:tc>
        <w:tc>
          <w:tcPr>
            <w:tcW w:w="3263"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2</w:t>
            </w:r>
            <w:r/>
          </w:p>
        </w:tc>
        <w:tc>
          <w:tcPr>
            <w:tcW w:w="3263"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3</w:t>
            </w:r>
            <w:r/>
          </w:p>
        </w:tc>
        <w:tc>
          <w:tcPr>
            <w:tcW w:w="3263"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t xml:space="preserve">…</w:t>
            </w:r>
            <w:r/>
          </w:p>
        </w:tc>
        <w:tc>
          <w:tcPr>
            <w:tcW w:w="3263"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r>
    </w:tbl>
    <w:p>
      <w:pPr>
        <w:ind w:firstLine="480"/>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ind w:firstLine="480"/>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ind w:firstLine="480"/>
        <w:spacing w:line="360" w:lineRule="auto"/>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rPr>
        <w:t xml:space="preserve">供应商（盖章）：</w:t>
      </w:r>
      <w:r/>
    </w:p>
    <w:p>
      <w:pPr>
        <w:ind w:firstLine="480"/>
        <w:spacing w:line="360" w:lineRule="auto"/>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rPr>
        <w:t xml:space="preserve">日期：    年     月     日</w:t>
      </w:r>
      <w:r/>
    </w:p>
    <w:p>
      <w:pPr>
        <w:pBdr>
          <w:top w:val="none" w:color="auto" w:sz="0" w:space="1"/>
          <w:left w:val="none" w:color="auto" w:sz="0" w:space="4"/>
          <w:bottom w:val="none" w:color="auto" w:sz="0" w:space="1"/>
          <w:right w:val="none" w:color="auto" w:sz="0" w:space="4"/>
        </w:pBdr>
      </w:pPr>
      <w:r/>
      <w:bookmarkStart w:id="22" w:name="_Hlt26671374"/>
      <w:r/>
      <w:bookmarkEnd w:id="22"/>
      <w:r/>
      <w:bookmarkStart w:id="23" w:name="_格式2__法定代表人授权书"/>
      <w:r/>
      <w:bookmarkEnd w:id="23"/>
      <w:r/>
      <w:bookmarkStart w:id="24" w:name="_Hlt26955066"/>
      <w:r/>
      <w:bookmarkEnd w:id="24"/>
      <w:r/>
      <w:bookmarkStart w:id="25" w:name="_Hlt26609389"/>
      <w:r/>
      <w:bookmarkEnd w:id="25"/>
      <w:r/>
      <w:r/>
    </w:p>
    <w:p>
      <w:pPr>
        <w:pBdr>
          <w:top w:val="none" w:color="auto" w:sz="0" w:space="1"/>
          <w:left w:val="none" w:color="auto" w:sz="0" w:space="4"/>
          <w:bottom w:val="none" w:color="auto" w:sz="0" w:space="1"/>
          <w:right w:val="none" w:color="auto" w:sz="0" w:space="4"/>
        </w:pBdr>
      </w:pPr>
      <w:r/>
      <w:r/>
    </w:p>
    <w:p>
      <w:pPr>
        <w:jc w:val="left"/>
        <w:keepLines/>
        <w:keepNext/>
        <w:spacing w:before="360" w:after="200" w:line="360" w:lineRule="auto"/>
        <w:rPr>
          <w:rFonts w:ascii="Arial" w:hAnsi="Arial" w:cs="Arial"/>
          <w:iCs/>
          <w:sz w:val="36"/>
        </w:rPr>
        <w:pBdr>
          <w:top w:val="none" w:color="auto" w:sz="0" w:space="1"/>
          <w:left w:val="none" w:color="auto" w:sz="0" w:space="4"/>
          <w:bottom w:val="none" w:color="auto" w:sz="0" w:space="1"/>
          <w:right w:val="none" w:color="auto" w:sz="0" w:space="4"/>
        </w:pBdr>
        <w:outlineLvl w:val="1"/>
      </w:pPr>
      <w:r>
        <w:rPr>
          <w:rFonts w:hint="eastAsia" w:ascii="Arial" w:hAnsi="Arial" w:cs="Arial"/>
          <w:iCs/>
          <w:sz w:val="36"/>
        </w:rPr>
        <w:t xml:space="preserve">十七、类似项目业绩一览表（分包号：**）</w:t>
      </w:r>
      <w:r/>
    </w:p>
    <w:p>
      <w:pPr>
        <w:jc w:val="center"/>
        <w:spacing w:line="360" w:lineRule="auto"/>
        <w:tabs>
          <w:tab w:val="left" w:pos="360" w:leader="none"/>
        </w:tabs>
        <w:rPr>
          <w:rFonts w:ascii="黑体" w:hAnsi="黑体" w:eastAsia="黑体" w:cs="宋体"/>
          <w:bCs/>
          <w:sz w:val="36"/>
          <w:szCs w:val="28"/>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rPr>
        <w:t xml:space="preserve">类似项目业绩一览表</w:t>
      </w:r>
      <w:r/>
    </w:p>
    <w:p>
      <w:pPr>
        <w:jc w:val="left"/>
        <w:spacing w:line="360" w:lineRule="auto"/>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rPr>
        <w:t xml:space="preserve">项目名称：      项目编号：      分包号：</w:t>
      </w:r>
      <w:r/>
    </w:p>
    <w:tbl>
      <w:tblPr>
        <w:tblStyle w:val="73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序号</w:t>
            </w:r>
            <w:r/>
          </w:p>
        </w:tc>
        <w:tc>
          <w:tcPr>
            <w:tcW w:w="2686"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项目名称</w:t>
            </w:r>
            <w:r/>
          </w:p>
        </w:tc>
        <w:tc>
          <w:tcPr>
            <w:tcW w:w="1850"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签订时间</w:t>
            </w:r>
            <w:r/>
          </w:p>
        </w:tc>
        <w:tc>
          <w:tcPr>
            <w:tcW w:w="1985"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采购单位</w:t>
            </w:r>
            <w:r/>
          </w:p>
        </w:tc>
        <w:tc>
          <w:tcPr>
            <w:tcW w:w="1309"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1</w:t>
            </w:r>
            <w:r/>
          </w:p>
        </w:tc>
        <w:tc>
          <w:tcPr>
            <w:tcW w:w="2686"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850" w:type="dxa"/>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2</w:t>
            </w:r>
            <w:r/>
          </w:p>
        </w:tc>
        <w:tc>
          <w:tcPr>
            <w:tcW w:w="2686"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850" w:type="dxa"/>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3</w:t>
            </w:r>
            <w:r/>
          </w:p>
        </w:tc>
        <w:tc>
          <w:tcPr>
            <w:tcW w:w="2686"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850" w:type="dxa"/>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t xml:space="preserve">…</w:t>
            </w:r>
            <w:r/>
          </w:p>
        </w:tc>
        <w:tc>
          <w:tcPr>
            <w:tcW w:w="2686"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850" w:type="dxa"/>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r>
    </w:tbl>
    <w:p>
      <w:pPr>
        <w:ind w:firstLine="480"/>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ind w:firstLine="480"/>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ind w:firstLine="480"/>
        <w:spacing w:line="360" w:lineRule="auto"/>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rPr>
        <w:t xml:space="preserve">供应商（盖章）：</w:t>
      </w:r>
      <w:r/>
    </w:p>
    <w:p>
      <w:pPr>
        <w:ind w:firstLine="480"/>
        <w:spacing w:line="360" w:lineRule="auto"/>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rPr>
        <w:t xml:space="preserve">日期：    年     月     日</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jc w:val="left"/>
        <w:keepLines/>
        <w:keepNext/>
        <w:spacing w:before="360" w:after="200" w:line="360" w:lineRule="auto"/>
        <w:rPr>
          <w:rFonts w:ascii="Arial" w:hAnsi="Arial" w:cs="Arial"/>
          <w:iCs/>
          <w:sz w:val="36"/>
        </w:rPr>
        <w:pBdr>
          <w:top w:val="none" w:color="auto" w:sz="0" w:space="1"/>
          <w:left w:val="none" w:color="auto" w:sz="0" w:space="4"/>
          <w:bottom w:val="none" w:color="auto" w:sz="0" w:space="1"/>
          <w:right w:val="none" w:color="auto" w:sz="0" w:space="4"/>
        </w:pBdr>
        <w:outlineLvl w:val="1"/>
      </w:pPr>
      <w:r>
        <w:rPr>
          <w:rFonts w:hint="eastAsia" w:ascii="Arial" w:hAnsi="Arial" w:cs="Arial"/>
          <w:iCs/>
          <w:sz w:val="36"/>
        </w:rPr>
        <w:t xml:space="preserve">十八、项目团队人员一览表（分包号：**）</w:t>
      </w:r>
      <w:r/>
    </w:p>
    <w:p>
      <w:pPr>
        <w:jc w:val="center"/>
        <w:spacing w:line="360" w:lineRule="auto"/>
        <w:tabs>
          <w:tab w:val="left" w:pos="360" w:leader="none"/>
        </w:tabs>
        <w:rPr>
          <w:rFonts w:ascii="黑体" w:hAnsi="黑体" w:eastAsia="黑体" w:cs="宋体"/>
          <w:bCs/>
          <w:sz w:val="36"/>
          <w:szCs w:val="28"/>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rPr>
        <w:t xml:space="preserve">项目团队人员一览表</w:t>
      </w:r>
      <w:r/>
    </w:p>
    <w:p>
      <w:pPr>
        <w:jc w:val="left"/>
        <w:spacing w:line="360" w:lineRule="auto"/>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rPr>
        <w:t xml:space="preserve">项目名称：      项目编号：      分包号：</w:t>
      </w:r>
      <w:r/>
    </w:p>
    <w:tbl>
      <w:tblPr>
        <w:tblStyle w:val="73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姓名</w:t>
            </w:r>
            <w:r/>
          </w:p>
        </w:tc>
        <w:tc>
          <w:tcPr>
            <w:tcW w:w="1446"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本项目拟担任职务</w:t>
            </w:r>
            <w:r/>
          </w:p>
        </w:tc>
        <w:tc>
          <w:tcPr>
            <w:tcW w:w="2239"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技术职称、专业资质</w:t>
            </w:r>
            <w:r/>
          </w:p>
        </w:tc>
        <w:tc>
          <w:tcPr>
            <w:tcW w:w="1134"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学历</w:t>
            </w:r>
            <w:r/>
          </w:p>
        </w:tc>
        <w:tc>
          <w:tcPr>
            <w:tcW w:w="1134"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年龄</w:t>
            </w:r>
            <w:r/>
          </w:p>
        </w:tc>
        <w:tc>
          <w:tcPr>
            <w:tcW w:w="1601"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2239" w:type="dxa"/>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134" w:type="dxa"/>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2239" w:type="dxa"/>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134" w:type="dxa"/>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2239" w:type="dxa"/>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134" w:type="dxa"/>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2239" w:type="dxa"/>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134" w:type="dxa"/>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r>
    </w:tbl>
    <w:p>
      <w:pPr>
        <w:ind w:firstLine="480"/>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ind w:firstLine="480"/>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ind w:firstLine="480"/>
        <w:spacing w:line="360" w:lineRule="auto"/>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rPr>
        <w:t xml:space="preserve">供应商（盖章）：</w:t>
      </w:r>
      <w:r/>
    </w:p>
    <w:p>
      <w:pPr>
        <w:ind w:firstLine="480"/>
        <w:spacing w:line="360" w:lineRule="auto"/>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rPr>
        <w:t xml:space="preserve">日期：    年     月     日</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jc w:val="left"/>
        <w:rPr>
          <w:rFonts w:ascii="Times New Roman" w:hAnsi="Times New Roman" w:eastAsia="仿宋_GB2312"/>
          <w:iCs/>
          <w:color w:val="000000"/>
          <w:sz w:val="24"/>
          <w:szCs w:val="20"/>
        </w:rPr>
        <w:pBdr>
          <w:top w:val="none" w:color="auto" w:sz="0" w:space="1"/>
          <w:left w:val="none" w:color="auto" w:sz="0" w:space="4"/>
          <w:bottom w:val="none" w:color="auto" w:sz="0" w:space="1"/>
          <w:right w:val="none" w:color="auto" w:sz="0" w:space="4"/>
        </w:pBdr>
      </w:pPr>
      <w:r>
        <w:rPr>
          <w:rFonts w:hint="eastAsia" w:ascii="宋体" w:hAnsi="宋体" w:cs="宋体"/>
          <w:bCs/>
          <w:iCs/>
          <w:color w:val="000000"/>
          <w:sz w:val="36"/>
          <w:szCs w:val="36"/>
        </w:rPr>
        <w:t xml:space="preserve">十九、开标一览表</w:t>
      </w:r>
      <w:r/>
    </w:p>
    <w:p>
      <w:pPr>
        <w:ind w:firstLine="480"/>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供应商全称（CA公章）：</w:t>
      </w:r>
      <w:r/>
    </w:p>
    <w:p>
      <w:pPr>
        <w:ind w:firstLine="480"/>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项目名称：</w:t>
      </w:r>
      <w:r/>
    </w:p>
    <w:p>
      <w:pPr>
        <w:ind w:firstLine="480"/>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项目编号：                                   分包号：</w:t>
      </w:r>
      <w:r/>
    </w:p>
    <w:tbl>
      <w:tblPr>
        <w:tblStyle w:val="736"/>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textDirection w:val="lrTb"/>
            <w:noWrap w:val="false"/>
          </w:tcPr>
          <w:p>
            <w:pPr>
              <w:jc w:val="center"/>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投标货物名称</w:t>
            </w:r>
            <w:r/>
          </w:p>
        </w:tc>
        <w:tc>
          <w:tcPr>
            <w:tcW w:w="5703" w:type="dxa"/>
            <w:textDirection w:val="lrTb"/>
            <w:noWrap w:val="false"/>
          </w:tcPr>
          <w:p>
            <w:pPr>
              <w:jc w:val="center"/>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总价（小写）</w:t>
            </w:r>
            <w:r/>
          </w:p>
        </w:tc>
      </w:tr>
      <w:tr>
        <w:trPr/>
        <w:tc>
          <w:tcPr>
            <w:tcW w:w="2802" w:type="dxa"/>
            <w:textDirection w:val="lrTb"/>
            <w:noWrap w:val="false"/>
          </w:tcPr>
          <w:p>
            <w:pPr>
              <w:jc w:val="center"/>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c>
          <w:tcPr>
            <w:tcW w:w="5703" w:type="dxa"/>
            <w:textDirection w:val="lrTb"/>
            <w:noWrap w:val="false"/>
          </w:tcPr>
          <w:p>
            <w:pPr>
              <w:jc w:val="center"/>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元</w:t>
            </w:r>
            <w:r/>
          </w:p>
        </w:tc>
      </w:tr>
      <w:tr>
        <w:trPr/>
        <w:tc>
          <w:tcPr>
            <w:tcW w:w="2802" w:type="dxa"/>
            <w:textDirection w:val="lrTb"/>
            <w:noWrap w:val="false"/>
          </w:tcPr>
          <w:p>
            <w:pPr>
              <w:jc w:val="center"/>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核心产品</w:t>
            </w:r>
            <w:r/>
          </w:p>
        </w:tc>
        <w:tc>
          <w:tcPr>
            <w:tcW w:w="5703" w:type="dxa"/>
            <w:textDirection w:val="lrTb"/>
            <w:noWrap w:val="false"/>
          </w:tcPr>
          <w:p>
            <w:pPr>
              <w:jc w:val="center"/>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tc>
      </w:tr>
    </w:tbl>
    <w:p>
      <w:pPr>
        <w:ind w:firstLine="480"/>
        <w:jc w:val="center"/>
        <w:spacing w:line="500" w:lineRule="exact"/>
        <w:rPr>
          <w:rFonts w:ascii="Times New Roman" w:hAnsi="Times New Roman"/>
          <w:color w:val="000000"/>
          <w:sz w:val="24"/>
          <w:szCs w:val="24"/>
        </w:rPr>
        <w:pBdr>
          <w:top w:val="none" w:color="auto" w:sz="0" w:space="1"/>
          <w:left w:val="none" w:color="auto" w:sz="0" w:space="4"/>
          <w:bottom w:val="none" w:color="auto" w:sz="0" w:space="1"/>
          <w:right w:val="none" w:color="auto" w:sz="0" w:space="4"/>
        </w:pBdr>
        <w:sectPr>
          <w:footerReference w:type="default" r:id="rId10"/>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Times New Roman" w:hAnsi="Times New Roman"/>
          <w:color w:val="000000"/>
          <w:sz w:val="24"/>
          <w:szCs w:val="24"/>
        </w:rPr>
        <w:t xml:space="preserve">          年     月     日</w:t>
      </w:r>
      <w:r/>
    </w:p>
    <w:p>
      <w:pPr>
        <w:jc w:val="left"/>
        <w:rPr>
          <w:rFonts w:ascii="宋体" w:hAnsi="宋体" w:cs="宋体"/>
          <w:bCs/>
          <w:iCs/>
          <w:color w:val="000000"/>
          <w:sz w:val="36"/>
          <w:szCs w:val="36"/>
        </w:rPr>
        <w:pBdr>
          <w:top w:val="none" w:color="auto" w:sz="0" w:space="1"/>
          <w:left w:val="none" w:color="auto" w:sz="0" w:space="4"/>
          <w:bottom w:val="none" w:color="auto" w:sz="0" w:space="1"/>
          <w:right w:val="none" w:color="auto" w:sz="0" w:space="4"/>
        </w:pBdr>
      </w:pPr>
      <w:r>
        <w:rPr>
          <w:rFonts w:hint="eastAsia" w:ascii="宋体" w:hAnsi="宋体" w:cs="宋体"/>
          <w:bCs/>
          <w:iCs/>
          <w:color w:val="000000"/>
          <w:sz w:val="36"/>
          <w:szCs w:val="36"/>
        </w:rPr>
        <w:t xml:space="preserve">二十、关于符合本国产品标准的声明函</w:t>
      </w:r>
      <w:r>
        <w:rPr>
          <w:rFonts w:hint="eastAsia" w:ascii="宋体" w:hAnsi="宋体" w:cs="宋体"/>
          <w:bCs/>
          <w:iCs/>
          <w:color w:val="000000"/>
          <w:sz w:val="36"/>
          <w:szCs w:val="36"/>
        </w:rPr>
        <w:tab/>
      </w:r>
      <w:r/>
    </w:p>
    <w:p>
      <w:pPr>
        <w:jc w:val="left"/>
        <w:rPr>
          <w:rFonts w:ascii="宋体" w:hAnsi="宋体" w:cs="宋体"/>
          <w:bCs/>
          <w:i/>
          <w:color w:val="000000"/>
          <w:sz w:val="36"/>
          <w:szCs w:val="36"/>
          <w:u w:val="single"/>
        </w:rPr>
        <w:pBdr>
          <w:top w:val="none" w:color="auto" w:sz="0" w:space="1"/>
          <w:left w:val="none" w:color="auto" w:sz="0" w:space="4"/>
          <w:bottom w:val="none" w:color="auto" w:sz="0" w:space="1"/>
          <w:right w:val="none" w:color="auto" w:sz="0" w:space="4"/>
        </w:pBdr>
      </w:pPr>
      <w:r>
        <w:rPr>
          <w:rFonts w:ascii="宋体" w:hAnsi="宋体" w:cs="宋体"/>
          <w:bCs/>
          <w:i/>
          <w:color w:val="000000"/>
          <w:sz w:val="36"/>
          <w:szCs w:val="36"/>
          <w:u w:val="single"/>
        </w:rPr>
      </w:r>
      <w:r/>
    </w:p>
    <w:p>
      <w:pPr>
        <w:jc w:val="center"/>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b/>
          <w:bCs/>
          <w:color w:val="000000"/>
          <w:sz w:val="24"/>
          <w:szCs w:val="24"/>
        </w:rPr>
        <w:t xml:space="preserve">关于符合本国产品标准的声明函</w:t>
      </w:r>
      <w:r/>
    </w:p>
    <w:p>
      <w:pPr>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ind w:firstLine="480"/>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ind w:firstLine="480"/>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1.</w:t>
      </w:r>
      <w:r>
        <w:rPr>
          <w:rFonts w:hint="eastAsia" w:ascii="宋体" w:hAnsi="宋体"/>
          <w:color w:val="000000"/>
          <w:sz w:val="24"/>
          <w:szCs w:val="24"/>
          <w:u w:val="single"/>
        </w:rPr>
        <w:t xml:space="preserve">（产品名称1）</w:t>
      </w:r>
      <w:r>
        <w:rPr>
          <w:rFonts w:hint="eastAsia" w:ascii="宋体" w:hAnsi="宋体"/>
          <w:color w:val="000000"/>
          <w:sz w:val="24"/>
          <w:szCs w:val="24"/>
        </w:rPr>
        <w:t xml:space="preserve">1，生产厂为</w:t>
      </w:r>
      <w:r>
        <w:rPr>
          <w:rFonts w:hint="eastAsia" w:ascii="宋体" w:hAnsi="宋体"/>
          <w:color w:val="000000"/>
          <w:sz w:val="24"/>
          <w:szCs w:val="24"/>
          <w:u w:val="single"/>
        </w:rPr>
        <w:t xml:space="preserve">（厂名）</w:t>
      </w:r>
      <w:r>
        <w:rPr>
          <w:rFonts w:hint="eastAsia" w:ascii="宋体" w:hAnsi="宋体"/>
          <w:color w:val="000000"/>
          <w:sz w:val="24"/>
          <w:szCs w:val="24"/>
        </w:rPr>
        <w:t xml:space="preserve">2，厂址为</w:t>
      </w:r>
      <w:r>
        <w:rPr>
          <w:rFonts w:hint="eastAsia" w:ascii="宋体" w:hAnsi="宋体"/>
          <w:color w:val="000000"/>
          <w:sz w:val="24"/>
          <w:szCs w:val="24"/>
          <w:u w:val="single"/>
        </w:rPr>
        <w:t xml:space="preserve">（生产厂址）</w:t>
      </w:r>
      <w:r>
        <w:rPr>
          <w:rFonts w:hint="eastAsia" w:ascii="宋体" w:hAnsi="宋体"/>
          <w:color w:val="000000"/>
          <w:sz w:val="24"/>
          <w:szCs w:val="24"/>
        </w:rPr>
        <w:t xml:space="preserve">。</w:t>
      </w:r>
      <w:r>
        <w:rPr>
          <w:rFonts w:hint="eastAsia" w:ascii="宋体" w:hAnsi="宋体"/>
          <w:strike/>
          <w:color w:val="000000"/>
          <w:sz w:val="24"/>
          <w:szCs w:val="24"/>
          <w:u w:val="single"/>
        </w:rPr>
        <w:t xml:space="preserve">（产品名称1）</w:t>
      </w:r>
      <w:r>
        <w:rPr>
          <w:rFonts w:hint="eastAsia" w:ascii="宋体" w:hAnsi="宋体"/>
          <w:color w:val="000000"/>
          <w:sz w:val="24"/>
          <w:szCs w:val="24"/>
        </w:rPr>
        <w:t xml:space="preserve">的中国境内生产的组件成本占比≥</w:t>
      </w:r>
      <w:r>
        <w:rPr>
          <w:rFonts w:hint="eastAsia" w:ascii="宋体" w:hAnsi="宋体"/>
          <w:strike/>
          <w:color w:val="000000"/>
          <w:sz w:val="24"/>
          <w:szCs w:val="24"/>
          <w:u w:val="single"/>
        </w:rPr>
        <w:t xml:space="preserve">（规定比例）</w:t>
      </w:r>
      <w:r>
        <w:rPr>
          <w:rFonts w:hint="eastAsia" w:ascii="宋体" w:hAnsi="宋体"/>
          <w:color w:val="000000"/>
          <w:sz w:val="24"/>
          <w:szCs w:val="24"/>
        </w:rPr>
        <w:t xml:space="preserve">3。</w:t>
      </w:r>
      <w:r>
        <w:rPr>
          <w:rFonts w:hint="eastAsia" w:ascii="宋体" w:hAnsi="宋体"/>
          <w:strike/>
          <w:color w:val="000000"/>
          <w:sz w:val="24"/>
          <w:szCs w:val="24"/>
          <w:u w:val="single"/>
        </w:rPr>
        <w:t xml:space="preserve">（产品名称1）</w:t>
      </w:r>
      <w:r>
        <w:rPr>
          <w:rFonts w:hint="eastAsia" w:ascii="宋体" w:hAnsi="宋体"/>
          <w:color w:val="000000"/>
          <w:sz w:val="24"/>
          <w:szCs w:val="24"/>
        </w:rPr>
        <w:t xml:space="preserve">的</w:t>
      </w:r>
      <w:r>
        <w:rPr>
          <w:rFonts w:hint="eastAsia" w:ascii="宋体" w:hAnsi="宋体"/>
          <w:strike/>
          <w:color w:val="000000"/>
          <w:sz w:val="24"/>
          <w:szCs w:val="24"/>
          <w:u w:val="single"/>
        </w:rPr>
        <w:t xml:space="preserve">（关键组件）</w:t>
      </w:r>
      <w:r>
        <w:rPr>
          <w:rFonts w:hint="eastAsia" w:ascii="宋体" w:hAnsi="宋体"/>
          <w:color w:val="000000"/>
          <w:sz w:val="24"/>
          <w:szCs w:val="24"/>
        </w:rPr>
        <w:t xml:space="preserve">4在中国境内生产。</w:t>
      </w:r>
      <w:r>
        <w:rPr>
          <w:rFonts w:hint="eastAsia" w:ascii="宋体" w:hAnsi="宋体"/>
          <w:strike/>
          <w:color w:val="000000"/>
          <w:sz w:val="24"/>
          <w:szCs w:val="24"/>
          <w:u w:val="single"/>
        </w:rPr>
        <w:t xml:space="preserve">（产品名称1）</w:t>
      </w:r>
      <w:r>
        <w:rPr>
          <w:rFonts w:hint="eastAsia" w:ascii="宋体" w:hAnsi="宋体"/>
          <w:color w:val="000000"/>
          <w:sz w:val="24"/>
          <w:szCs w:val="24"/>
        </w:rPr>
        <w:t xml:space="preserve">的</w:t>
      </w:r>
      <w:r>
        <w:rPr>
          <w:rFonts w:hint="eastAsia" w:ascii="宋体" w:hAnsi="宋体"/>
          <w:strike/>
          <w:color w:val="000000"/>
          <w:sz w:val="24"/>
          <w:szCs w:val="24"/>
          <w:u w:val="single"/>
        </w:rPr>
        <w:t xml:space="preserve">（关键工序）</w:t>
      </w:r>
      <w:r>
        <w:rPr>
          <w:rFonts w:hint="eastAsia" w:ascii="宋体" w:hAnsi="宋体"/>
          <w:color w:val="000000"/>
          <w:sz w:val="24"/>
          <w:szCs w:val="24"/>
        </w:rPr>
        <w:t xml:space="preserve">5在中国境内完成。</w:t>
      </w:r>
      <w:r/>
    </w:p>
    <w:p>
      <w:pPr>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ind w:firstLine="480"/>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2.</w:t>
      </w:r>
      <w:r>
        <w:rPr>
          <w:rFonts w:hint="eastAsia" w:ascii="宋体" w:hAnsi="宋体"/>
          <w:color w:val="000000"/>
          <w:sz w:val="24"/>
          <w:szCs w:val="24"/>
          <w:u w:val="single"/>
        </w:rPr>
        <w:t xml:space="preserve">（产品名称2）</w:t>
      </w:r>
      <w:r>
        <w:rPr>
          <w:rFonts w:hint="eastAsia" w:ascii="宋体" w:hAnsi="宋体"/>
          <w:color w:val="000000"/>
          <w:sz w:val="24"/>
          <w:szCs w:val="24"/>
        </w:rPr>
        <w:t xml:space="preserve">，生产厂为</w:t>
      </w:r>
      <w:r>
        <w:rPr>
          <w:rFonts w:hint="eastAsia" w:ascii="宋体" w:hAnsi="宋体"/>
          <w:color w:val="000000"/>
          <w:sz w:val="24"/>
          <w:szCs w:val="24"/>
          <w:u w:val="single"/>
        </w:rPr>
        <w:t xml:space="preserve">（厂名）</w:t>
      </w:r>
      <w:r>
        <w:rPr>
          <w:rFonts w:hint="eastAsia" w:ascii="宋体" w:hAnsi="宋体"/>
          <w:color w:val="000000"/>
          <w:sz w:val="24"/>
          <w:szCs w:val="24"/>
        </w:rPr>
        <w:t xml:space="preserve">，厂址为</w:t>
      </w:r>
      <w:r>
        <w:rPr>
          <w:rFonts w:hint="eastAsia" w:ascii="宋体" w:hAnsi="宋体"/>
          <w:color w:val="000000"/>
          <w:sz w:val="24"/>
          <w:szCs w:val="24"/>
          <w:u w:val="single"/>
        </w:rPr>
        <w:t xml:space="preserve">（生产厂址）</w:t>
      </w:r>
      <w:r>
        <w:rPr>
          <w:rFonts w:hint="eastAsia" w:ascii="宋体" w:hAnsi="宋体"/>
          <w:color w:val="000000"/>
          <w:sz w:val="24"/>
          <w:szCs w:val="24"/>
        </w:rPr>
        <w:t xml:space="preserve">。</w:t>
      </w:r>
      <w:r>
        <w:rPr>
          <w:rFonts w:hint="eastAsia" w:ascii="宋体" w:hAnsi="宋体"/>
          <w:strike/>
          <w:color w:val="000000"/>
          <w:sz w:val="24"/>
          <w:szCs w:val="24"/>
          <w:u w:val="single"/>
        </w:rPr>
        <w:t xml:space="preserve">（产品名称2）</w:t>
      </w:r>
      <w:r>
        <w:rPr>
          <w:rFonts w:hint="eastAsia" w:ascii="宋体" w:hAnsi="宋体"/>
          <w:color w:val="000000"/>
          <w:sz w:val="24"/>
          <w:szCs w:val="24"/>
        </w:rPr>
        <w:t xml:space="preserve">的中国境内生产的组件成本占比≥</w:t>
      </w:r>
      <w:r>
        <w:rPr>
          <w:rFonts w:hint="eastAsia" w:ascii="宋体" w:hAnsi="宋体"/>
          <w:strike/>
          <w:color w:val="000000"/>
          <w:sz w:val="24"/>
          <w:szCs w:val="24"/>
          <w:u w:val="single"/>
        </w:rPr>
        <w:t xml:space="preserve">（规定比例）</w:t>
      </w:r>
      <w:r>
        <w:rPr>
          <w:rFonts w:hint="eastAsia" w:ascii="宋体" w:hAnsi="宋体"/>
          <w:color w:val="000000"/>
          <w:sz w:val="24"/>
          <w:szCs w:val="24"/>
        </w:rPr>
        <w:t xml:space="preserve">。</w:t>
      </w:r>
      <w:r>
        <w:rPr>
          <w:rFonts w:hint="eastAsia" w:ascii="宋体" w:hAnsi="宋体"/>
          <w:color w:val="000000"/>
          <w:sz w:val="24"/>
          <w:szCs w:val="24"/>
          <w:u w:val="single"/>
        </w:rPr>
        <w:t xml:space="preserve">（</w:t>
      </w:r>
      <w:r>
        <w:rPr>
          <w:rFonts w:hint="eastAsia" w:ascii="宋体" w:hAnsi="宋体"/>
          <w:strike/>
          <w:color w:val="000000"/>
          <w:sz w:val="24"/>
          <w:szCs w:val="24"/>
          <w:u w:val="single"/>
        </w:rPr>
        <w:t xml:space="preserve">产品名称2）</w:t>
      </w:r>
      <w:r>
        <w:rPr>
          <w:rFonts w:hint="eastAsia" w:ascii="宋体" w:hAnsi="宋体"/>
          <w:color w:val="000000"/>
          <w:sz w:val="24"/>
          <w:szCs w:val="24"/>
        </w:rPr>
        <w:t xml:space="preserve">的</w:t>
      </w:r>
      <w:r>
        <w:rPr>
          <w:rFonts w:hint="eastAsia" w:ascii="宋体" w:hAnsi="宋体"/>
          <w:strike/>
          <w:color w:val="000000"/>
          <w:sz w:val="24"/>
          <w:szCs w:val="24"/>
          <w:u w:val="single"/>
        </w:rPr>
        <w:t xml:space="preserve">（关键组件）</w:t>
      </w:r>
      <w:r>
        <w:rPr>
          <w:rFonts w:hint="eastAsia" w:ascii="宋体" w:hAnsi="宋体"/>
          <w:color w:val="000000"/>
          <w:sz w:val="24"/>
          <w:szCs w:val="24"/>
        </w:rPr>
        <w:t xml:space="preserve">在中国境内生产。</w:t>
      </w:r>
      <w:r>
        <w:rPr>
          <w:rFonts w:hint="eastAsia" w:ascii="宋体" w:hAnsi="宋体"/>
          <w:strike/>
          <w:color w:val="000000"/>
          <w:sz w:val="24"/>
          <w:szCs w:val="24"/>
          <w:u w:val="single"/>
        </w:rPr>
        <w:t xml:space="preserve">（产品名称2）</w:t>
      </w:r>
      <w:r>
        <w:rPr>
          <w:rFonts w:hint="eastAsia" w:ascii="宋体" w:hAnsi="宋体"/>
          <w:color w:val="000000"/>
          <w:sz w:val="24"/>
          <w:szCs w:val="24"/>
        </w:rPr>
        <w:t xml:space="preserve">的</w:t>
      </w:r>
      <w:r>
        <w:rPr>
          <w:rFonts w:hint="eastAsia" w:ascii="宋体" w:hAnsi="宋体"/>
          <w:strike/>
          <w:color w:val="000000"/>
          <w:sz w:val="24"/>
          <w:szCs w:val="24"/>
          <w:u w:val="single"/>
        </w:rPr>
        <w:t xml:space="preserve">（关键工序）</w:t>
      </w:r>
      <w:r>
        <w:rPr>
          <w:rFonts w:hint="eastAsia" w:ascii="宋体" w:hAnsi="宋体"/>
          <w:color w:val="000000"/>
          <w:sz w:val="24"/>
          <w:szCs w:val="24"/>
        </w:rPr>
        <w:t xml:space="preserve">在中国境内完成。</w:t>
      </w:r>
      <w:r/>
    </w:p>
    <w:p>
      <w:pPr>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ind w:firstLine="480"/>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w:t>
      </w:r>
      <w:r/>
    </w:p>
    <w:p>
      <w:pPr>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ind w:firstLine="480"/>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本公司（单位）对上述声明内容的真实性负责。如有虚假，愿承担相应法律责任。</w:t>
      </w:r>
      <w:r/>
    </w:p>
    <w:p>
      <w:pPr>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 </w:t>
      </w:r>
      <w:r/>
    </w:p>
    <w:p>
      <w:pPr>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ind w:firstLine="5040"/>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公司（单位）名称（盖章）：　        </w:t>
      </w:r>
      <w:r/>
    </w:p>
    <w:p>
      <w:pPr>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ind w:firstLine="5040"/>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日期：　     年　  月　  日</w:t>
      </w:r>
      <w:r/>
    </w:p>
    <w:p>
      <w:pPr>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ascii="宋体" w:hAnsi="宋体"/>
          <w:color w:val="000000"/>
          <w:sz w:val="24"/>
          <w:szCs w:val="24"/>
        </w:rPr>
      </w:r>
      <w:r/>
    </w:p>
    <w:p>
      <w:pPr>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1、产品如有型号，请在“产品名称”栏一并填写。</w:t>
      </w:r>
      <w:r/>
    </w:p>
    <w:p>
      <w:pPr>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2、生产厂名与厂址应与生产厂营业执照载明的相关信息保持一致。</w:t>
      </w:r>
      <w:r/>
    </w:p>
    <w:p>
      <w:pPr>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3、该产品的中国境内生产的组件成本占比相关要求实施前，“规定比例”栏可不填，下同。</w:t>
      </w:r>
      <w:r/>
    </w:p>
    <w:p>
      <w:pPr>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4、该产品的关键组件要求实施前，“关键组件”栏可不填。</w:t>
      </w:r>
      <w:r/>
    </w:p>
    <w:p>
      <w:pPr>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5、该产品的关键工序要求实施前，“关键工序”栏可不填。</w:t>
      </w:r>
      <w:r/>
    </w:p>
    <w:p>
      <w:pPr>
        <w:jc w:val="lef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6、划除栏无需填写。</w:t>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pBdr>
          <w:top w:val="none" w:color="auto" w:sz="0" w:space="1"/>
          <w:left w:val="none" w:color="auto" w:sz="0" w:space="4"/>
          <w:bottom w:val="none" w:color="auto" w:sz="0" w:space="1"/>
          <w:right w:val="none" w:color="auto" w:sz="0" w:space="4"/>
        </w:pBdr>
      </w:pPr>
      <w:r/>
      <w:r/>
    </w:p>
    <w:p>
      <w:pPr>
        <w:jc w:val="left"/>
        <w:tabs>
          <w:tab w:val="left" w:pos="1562" w:leader="none"/>
        </w:tabs>
        <w:pBdr>
          <w:top w:val="none" w:color="auto" w:sz="0" w:space="1"/>
          <w:left w:val="none" w:color="auto" w:sz="0" w:space="4"/>
          <w:bottom w:val="none" w:color="auto" w:sz="0" w:space="1"/>
          <w:right w:val="none" w:color="auto" w:sz="0" w:space="4"/>
        </w:pBdr>
        <w:sectPr>
          <w:footnotePr/>
          <w:endnotePr/>
          <w:type w:val="nextPage"/>
          <w:pgSz w:w="11906" w:h="16838" w:orient="portrait"/>
          <w:pgMar w:top="1134" w:right="1134" w:bottom="1134" w:left="1134" w:header="851" w:footer="992" w:gutter="0"/>
          <w:cols w:num="1" w:sep="0" w:space="1701" w:equalWidth="1"/>
          <w:docGrid w:linePitch="360"/>
        </w:sectPr>
      </w:pPr>
      <w:r>
        <w:rPr>
          <w:rFonts w:hint="eastAsia"/>
        </w:rPr>
        <w:tab/>
      </w:r>
      <w:r/>
    </w:p>
    <w:p>
      <w:pPr>
        <w:jc w:val="left"/>
        <w:widowControl/>
        <w:rPr>
          <w:rFonts w:ascii="黑体" w:hAnsi="黑体" w:eastAsia="黑体" w:cs="仿宋"/>
          <w:bCs/>
          <w:color w:val="000000"/>
          <w:sz w:val="40"/>
          <w:szCs w:val="32"/>
        </w:rPr>
        <w:pBdr>
          <w:top w:val="none" w:color="auto" w:sz="0" w:space="1"/>
          <w:left w:val="none" w:color="auto" w:sz="0" w:space="4"/>
          <w:bottom w:val="none" w:color="auto" w:sz="0" w:space="1"/>
          <w:right w:val="none" w:color="auto" w:sz="0" w:space="4"/>
        </w:pBdr>
      </w:pPr>
      <w:r>
        <w:rPr>
          <w:rFonts w:ascii="黑体" w:hAnsi="黑体" w:eastAsia="黑体" w:cs="仿宋"/>
          <w:bCs/>
          <w:color w:val="000000"/>
          <w:sz w:val="40"/>
          <w:szCs w:val="32"/>
        </w:rPr>
      </w:r>
      <w:r/>
    </w:p>
    <w:p>
      <w:pPr>
        <w:jc w:val="center"/>
        <w:rPr>
          <w:rFonts w:ascii="黑体" w:hAnsi="黑体" w:eastAsia="黑体" w:cs="仿宋"/>
          <w:bCs/>
          <w:color w:val="000000"/>
          <w:sz w:val="40"/>
          <w:szCs w:val="32"/>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40"/>
          <w:szCs w:val="32"/>
        </w:rPr>
        <w:t xml:space="preserve">质疑函范本</w:t>
      </w:r>
      <w:r/>
    </w:p>
    <w:p>
      <w:pPr>
        <w:spacing w:line="500" w:lineRule="exact"/>
        <w:rPr>
          <w:rFonts w:ascii="黑体" w:hAnsi="黑体" w:eastAsia="黑体" w:cs="仿宋"/>
          <w:bCs/>
          <w:color w:val="000000"/>
          <w:sz w:val="24"/>
          <w:szCs w:val="24"/>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cs="仿宋"/>
          <w:color w:val="000000"/>
          <w:sz w:val="24"/>
          <w:szCs w:val="24"/>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rPr>
        <w:t xml:space="preserve">质疑供应商：</w:t>
      </w:r>
      <w:r/>
    </w:p>
    <w:p>
      <w:pPr>
        <w:spacing w:line="500" w:lineRule="exact"/>
        <w:rPr>
          <w:rFonts w:ascii="宋体" w:hAnsi="宋体" w:cs="仿宋"/>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rPr>
        <w:t xml:space="preserve">地址：邮编：</w:t>
      </w:r>
      <w:r/>
    </w:p>
    <w:p>
      <w:pPr>
        <w:spacing w:line="500" w:lineRule="exact"/>
        <w:rPr>
          <w:rFonts w:ascii="宋体" w:hAnsi="宋体" w:cs="仿宋"/>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rPr>
        <w:t xml:space="preserve">联系人：联系电话：</w:t>
      </w:r>
      <w:r/>
    </w:p>
    <w:p>
      <w:pPr>
        <w:spacing w:line="500" w:lineRule="exact"/>
        <w:rPr>
          <w:rFonts w:ascii="宋体" w:hAnsi="宋体" w:cs="仿宋"/>
          <w:color w:val="000000"/>
          <w:sz w:val="24"/>
          <w:szCs w:val="24"/>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rPr>
        <w:t xml:space="preserve">授权代表：</w:t>
      </w:r>
      <w:r/>
    </w:p>
    <w:p>
      <w:pPr>
        <w:spacing w:line="500" w:lineRule="exact"/>
        <w:rPr>
          <w:rFonts w:ascii="宋体" w:hAnsi="宋体" w:cs="仿宋"/>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rPr>
        <w:t xml:space="preserve">联系电话：</w:t>
      </w:r>
      <w:r/>
    </w:p>
    <w:p>
      <w:pPr>
        <w:spacing w:line="500" w:lineRule="exact"/>
        <w:rPr>
          <w:rFonts w:ascii="宋体" w:hAnsi="宋体" w:cs="仿宋"/>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rPr>
        <w:t xml:space="preserve">地址：邮编：</w:t>
      </w:r>
      <w:r/>
    </w:p>
    <w:p>
      <w:pPr>
        <w:spacing w:line="500" w:lineRule="exact"/>
        <w:rPr>
          <w:rFonts w:ascii="黑体" w:hAnsi="黑体" w:eastAsia="黑体" w:cs="仿宋"/>
          <w:bCs/>
          <w:color w:val="000000"/>
          <w:sz w:val="24"/>
          <w:szCs w:val="24"/>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cs="仿宋"/>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rPr>
        <w:t xml:space="preserve">质疑项目的名称：</w:t>
      </w:r>
      <w:r/>
    </w:p>
    <w:p>
      <w:pPr>
        <w:spacing w:line="500" w:lineRule="exact"/>
        <w:rPr>
          <w:rFonts w:ascii="宋体" w:hAnsi="宋体" w:cs="仿宋"/>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rPr>
        <w:t xml:space="preserve">质疑项目的编号：包号：</w:t>
      </w:r>
      <w:r/>
    </w:p>
    <w:p>
      <w:pPr>
        <w:spacing w:line="500" w:lineRule="exact"/>
        <w:rPr>
          <w:rFonts w:ascii="宋体" w:hAnsi="宋体" w:cs="仿宋"/>
          <w:color w:val="000000"/>
          <w:sz w:val="24"/>
          <w:szCs w:val="24"/>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rPr>
        <w:t xml:space="preserve">采购人名称：</w:t>
      </w:r>
      <w:r/>
    </w:p>
    <w:p>
      <w:pPr>
        <w:spacing w:line="500" w:lineRule="exact"/>
        <w:rPr>
          <w:rFonts w:ascii="宋体" w:hAnsi="宋体" w:cs="仿宋"/>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rPr>
        <w:t xml:space="preserve">采购文件获取日期：</w:t>
      </w:r>
      <w:r/>
    </w:p>
    <w:p>
      <w:pPr>
        <w:spacing w:line="500" w:lineRule="exact"/>
        <w:rPr>
          <w:rFonts w:ascii="黑体" w:hAnsi="黑体" w:eastAsia="黑体" w:cs="仿宋"/>
          <w:bCs/>
          <w:color w:val="000000"/>
          <w:sz w:val="24"/>
          <w:szCs w:val="24"/>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cs="仿宋"/>
          <w:color w:val="000000"/>
          <w:sz w:val="24"/>
          <w:szCs w:val="24"/>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rPr>
        <w:t xml:space="preserve">质疑事项1：</w:t>
      </w:r>
      <w:r/>
    </w:p>
    <w:p>
      <w:pPr>
        <w:spacing w:line="500" w:lineRule="exact"/>
        <w:rPr>
          <w:rFonts w:ascii="宋体" w:hAnsi="宋体" w:cs="仿宋"/>
          <w:color w:val="000000"/>
          <w:sz w:val="24"/>
          <w:szCs w:val="24"/>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rPr>
        <w:t xml:space="preserve">事实依据：</w:t>
      </w:r>
      <w:r/>
    </w:p>
    <w:p>
      <w:pPr>
        <w:spacing w:line="500" w:lineRule="exact"/>
        <w:rPr>
          <w:rFonts w:ascii="宋体" w:hAnsi="宋体" w:cs="仿宋"/>
          <w:color w:val="000000"/>
          <w:sz w:val="24"/>
          <w:szCs w:val="24"/>
        </w:rPr>
        <w:pBdr>
          <w:top w:val="none" w:color="auto" w:sz="0" w:space="1"/>
          <w:left w:val="none" w:color="auto" w:sz="0" w:space="4"/>
          <w:bottom w:val="none" w:color="auto" w:sz="0" w:space="1"/>
          <w:right w:val="none" w:color="auto" w:sz="0" w:space="4"/>
        </w:pBdr>
      </w:pPr>
      <w:r>
        <w:rPr>
          <w:rFonts w:ascii="宋体" w:hAnsi="宋体" w:cs="仿宋"/>
          <w:color w:val="000000"/>
          <w:sz w:val="24"/>
          <w:szCs w:val="24"/>
        </w:rPr>
      </w:r>
      <w:r/>
    </w:p>
    <w:p>
      <w:pPr>
        <w:spacing w:line="500" w:lineRule="exact"/>
        <w:rPr>
          <w:rFonts w:ascii="宋体" w:hAnsi="宋体" w:cs="仿宋"/>
          <w:color w:val="000000"/>
          <w:sz w:val="24"/>
          <w:szCs w:val="24"/>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rPr>
        <w:t xml:space="preserve">法律依据：</w:t>
      </w:r>
      <w:r/>
    </w:p>
    <w:p>
      <w:pPr>
        <w:spacing w:line="500" w:lineRule="exact"/>
        <w:rPr>
          <w:rFonts w:ascii="宋体" w:hAnsi="宋体" w:cs="仿宋"/>
          <w:color w:val="000000"/>
          <w:sz w:val="24"/>
          <w:szCs w:val="24"/>
          <w:u w:val="single"/>
        </w:rPr>
        <w:pBdr>
          <w:top w:val="none" w:color="auto" w:sz="0" w:space="1"/>
          <w:left w:val="none" w:color="auto" w:sz="0" w:space="4"/>
          <w:bottom w:val="none" w:color="auto" w:sz="0" w:space="1"/>
          <w:right w:val="none" w:color="auto" w:sz="0" w:space="4"/>
        </w:pBdr>
      </w:pPr>
      <w:r>
        <w:rPr>
          <w:rFonts w:ascii="宋体" w:hAnsi="宋体" w:cs="仿宋"/>
          <w:color w:val="000000"/>
          <w:sz w:val="24"/>
          <w:szCs w:val="24"/>
          <w:u w:val="single"/>
        </w:rPr>
      </w:r>
      <w:r/>
    </w:p>
    <w:p>
      <w:pPr>
        <w:spacing w:line="500" w:lineRule="exact"/>
        <w:rPr>
          <w:rFonts w:ascii="宋体" w:hAnsi="宋体" w:cs="仿宋"/>
          <w:color w:val="000000"/>
          <w:sz w:val="24"/>
          <w:szCs w:val="24"/>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rPr>
        <w:t xml:space="preserve">质疑事项2</w:t>
      </w:r>
      <w:r/>
    </w:p>
    <w:p>
      <w:pPr>
        <w:spacing w:line="500" w:lineRule="exact"/>
        <w:rPr>
          <w:rFonts w:ascii="宋体" w:hAnsi="宋体" w:cs="仿宋"/>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rPr>
        <w:t xml:space="preserve">……</w:t>
      </w:r>
      <w:r/>
    </w:p>
    <w:p>
      <w:pPr>
        <w:spacing w:line="500" w:lineRule="exact"/>
        <w:rPr>
          <w:rFonts w:ascii="黑体" w:hAnsi="黑体" w:eastAsia="黑体" w:cs="仿宋"/>
          <w:bCs/>
          <w:color w:val="000000"/>
          <w:sz w:val="24"/>
          <w:szCs w:val="24"/>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cs="仿宋"/>
          <w:color w:val="000000"/>
          <w:sz w:val="24"/>
          <w:szCs w:val="24"/>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rPr>
        <w:t xml:space="preserve">请求：</w:t>
      </w:r>
      <w:r/>
    </w:p>
    <w:p>
      <w:pPr>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签字（签章）：                   公章：                      </w:t>
      </w:r>
      <w:r/>
    </w:p>
    <w:p>
      <w:pPr>
        <w:spacing w:line="500" w:lineRule="exact"/>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日期：    </w:t>
      </w:r>
      <w:r/>
    </w:p>
    <w:p>
      <w:pPr>
        <w:spacing w:line="500" w:lineRule="exact"/>
        <w:rPr>
          <w:rFonts w:ascii="宋体" w:hAnsi="宋体"/>
          <w:b/>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b/>
          <w:color w:val="000000"/>
          <w:sz w:val="24"/>
          <w:szCs w:val="24"/>
        </w:rPr>
        <w:t xml:space="preserve">质疑函制作说明：</w:t>
      </w:r>
      <w:r/>
    </w:p>
    <w:p>
      <w:pPr>
        <w:ind w:firstLine="480"/>
        <w:jc w:val="left"/>
        <w:spacing w:line="500" w:lineRule="exact"/>
        <w:widowControl/>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1.供应商提出质疑时，应提交质疑函和必要的证明材料。</w:t>
      </w:r>
      <w:r/>
    </w:p>
    <w:p>
      <w:pPr>
        <w:ind w:firstLine="480"/>
        <w:jc w:val="left"/>
        <w:spacing w:line="500" w:lineRule="exact"/>
        <w:widowControl/>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color w:val="000000"/>
          <w:sz w:val="24"/>
          <w:szCs w:val="24"/>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rPr>
        <w:t xml:space="preserve">5.质疑函的质疑请求应与质疑事项相关。</w:t>
      </w:r>
      <w:r/>
    </w:p>
    <w:p>
      <w:pPr>
        <w:ind w:firstLine="480"/>
        <w:jc w:val="left"/>
        <w:spacing w:line="500" w:lineRule="exact"/>
        <w:widowControl/>
        <w:rPr>
          <w:rFonts w:ascii="宋体" w:hAnsi="宋体"/>
          <w:b/>
          <w:color w:val="ff0000"/>
          <w:sz w:val="24"/>
          <w:szCs w:val="24"/>
        </w:rPr>
        <w:pBdr>
          <w:top w:val="none" w:color="auto" w:sz="0" w:space="1"/>
          <w:left w:val="none" w:color="auto" w:sz="0" w:space="4"/>
          <w:bottom w:val="none" w:color="auto" w:sz="0" w:space="1"/>
          <w:right w:val="none" w:color="auto" w:sz="0" w:space="4"/>
        </w:pBdr>
      </w:pPr>
      <w:r>
        <w:rPr>
          <w:rFonts w:hint="eastAsia" w:ascii="宋体" w:hAnsi="宋体"/>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Helvetica">
    <w:panose1 w:val="020B0604020202020204"/>
  </w:font>
  <w:font w:name="汉仪书宋二S">
    <w:panose1 w:val="020B0503020202020204"/>
  </w:font>
  <w:font w:name="Symbol">
    <w:panose1 w:val="05050102010706020507"/>
  </w:font>
  <w:font w:name="楷体_GB2312">
    <w:panose1 w:val="02010609060101010101"/>
  </w:font>
  <w:font w:name="Wingdings">
    <w:panose1 w:val="05000000000000000000"/>
  </w:font>
  <w:font w:name="华文楷体">
    <w:panose1 w:val="02010600040101010101"/>
  </w:font>
  <w:font w:name="华文中宋">
    <w:panose1 w:val="02010600040101010101"/>
  </w:font>
  <w:font w:name="仿宋_GB2312">
    <w:panose1 w:val="02010609060101010101"/>
  </w:font>
  <w:font w:name="黑体">
    <w:panose1 w:val="02010609060101010101"/>
  </w:font>
  <w:font w:name="MS Mincho">
    <w:panose1 w:val="02020603050405090304"/>
  </w:font>
  <w:font w:name="Tahoma">
    <w:panose1 w:val="020B0604030504040204"/>
  </w:font>
  <w:font w:name="Cambria">
    <w:panose1 w:val="02040503050406030204"/>
  </w:font>
  <w:font w:name="仿宋">
    <w:panose1 w:val="02010609060101010101"/>
  </w:font>
  <w:font w:name="等线 Light">
    <w:panose1 w:val="02010600030101010101"/>
  </w:font>
  <w:font w:name="Cambria Math">
    <w:panose1 w:val="02040503050406030204"/>
  </w:font>
  <w:font w:name="Courier New">
    <w:panose1 w:val="02070309020205020404"/>
  </w:font>
  <w:font w:name="金山简黑体">
    <w:panose1 w:val="020B0503020202020204"/>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center"/>
    </w:pPr>
    <w:r/>
    <w:r/>
  </w:p>
  <w:p>
    <w:pPr>
      <w:pStyle w:val="95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6850" cy="243840"/>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97018" cy="2439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5.5pt;height:19.2pt;mso-wrap-distance-left:9.0pt;mso-wrap-distance-top:0.0pt;mso-wrap-distance-right:9.0pt;mso-wrap-distance-bottom:0.0pt;v-text-anchor:top;visibility:visible;" filled="f" stroked="f" strokeweight="0.50pt">
              <v:textbox inset="0,0,0,0">
                <w:txbxContent>
                  <w:p>
                    <w:pPr>
                      <w:pStyle w:val="74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rPr>
        <w:rFonts w:hint="default"/>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decimal"/>
      <w:isLgl w:val="false"/>
      <w:suff w:val="tab"/>
      <w:lvlText w:val="%1"/>
      <w:lvlJc w:val="left"/>
      <w:pPr>
        <w:ind w:left="360" w:hanging="360"/>
      </w:pPr>
      <w:rPr>
        <w:rFonts w:hint="default"/>
      </w:rPr>
    </w:lvl>
    <w:lvl w:ilvl="1">
      <w:start w:val="1"/>
      <w:numFmt w:val="decimal"/>
      <w:pStyle w:val="972"/>
      <w:isLgl w:val="false"/>
      <w:suff w:val="tab"/>
      <w:lvlText w:val="%1.%2"/>
      <w:lvlJc w:val="left"/>
      <w:pPr>
        <w:ind w:left="644" w:hanging="360"/>
      </w:pPr>
      <w:rPr>
        <w:rFonts w:hint="default" w:ascii="Times New Roman" w:hAnsi="Times New Roman" w:cs="Times New Roman"/>
        <w:b w:val="0"/>
      </w:rPr>
    </w:lvl>
    <w:lvl w:ilvl="2">
      <w:start w:val="1"/>
      <w:numFmt w:val="decimal"/>
      <w:pStyle w:val="974"/>
      <w:isLgl w:val="false"/>
      <w:suff w:val="tab"/>
      <w:lvlText w:val="%1.%2.%3"/>
      <w:lvlJc w:val="left"/>
      <w:pPr>
        <w:ind w:left="720" w:hanging="720"/>
      </w:pPr>
      <w:rPr>
        <w:rFonts w:hint="default"/>
        <w:b w:val="0"/>
      </w:rPr>
    </w:lvl>
    <w:lvl w:ilvl="3">
      <w:start w:val="1"/>
      <w:numFmt w:val="decimal"/>
      <w:isLgl w:val="false"/>
      <w:suff w:val="tab"/>
      <w:lvlText w:val="%1.%2.%3.%4"/>
      <w:lvlJc w:val="left"/>
      <w:pPr>
        <w:ind w:left="720" w:hanging="720"/>
      </w:pPr>
      <w:rPr>
        <w:rFonts w:hint="default"/>
      </w:rPr>
    </w:lvl>
    <w:lvl w:ilvl="4">
      <w:start w:val="1"/>
      <w:numFmt w:val="decimal"/>
      <w:isLgl w:val="false"/>
      <w:suff w:val="tab"/>
      <w:lvlText w:val="%1.%2.%3.%4.%5"/>
      <w:lvlJc w:val="left"/>
      <w:pPr>
        <w:ind w:left="1080" w:hanging="1080"/>
      </w:pPr>
      <w:rPr>
        <w:rFonts w:hint="default"/>
      </w:rPr>
    </w:lvl>
    <w:lvl w:ilvl="5">
      <w:start w:val="1"/>
      <w:numFmt w:val="decimal"/>
      <w:isLgl w:val="false"/>
      <w:suff w:val="tab"/>
      <w:lvlText w:val="%1.%2.%3.%4.%5.%6"/>
      <w:lvlJc w:val="left"/>
      <w:pPr>
        <w:ind w:left="1080" w:hanging="1080"/>
      </w:pPr>
      <w:rPr>
        <w:rFonts w:hint="default"/>
      </w:rPr>
    </w:lvl>
    <w:lvl w:ilvl="6">
      <w:start w:val="1"/>
      <w:numFmt w:val="decimal"/>
      <w:isLgl w:val="false"/>
      <w:suff w:val="tab"/>
      <w:lvlText w:val="%1.%2.%3.%4.%5.%6.%7"/>
      <w:lvlJc w:val="left"/>
      <w:pPr>
        <w:ind w:left="1080" w:hanging="1080"/>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440" w:hanging="1440"/>
      </w:pPr>
      <w:rPr>
        <w:rFonts w:hint="default"/>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3"/>
  </w:num>
  <w:num w:numId="3">
    <w:abstractNumId w:val="2"/>
  </w:num>
  <w:num w:numId="4">
    <w:abstractNumId w:val="9"/>
  </w:num>
  <w:num w:numId="5">
    <w:abstractNumId w:val="1"/>
  </w:num>
  <w:num w:numId="6">
    <w:abstractNumId w:val="0"/>
  </w:num>
  <w:num w:numId="7">
    <w:abstractNumId w:val="5"/>
  </w:num>
  <w:num w:numId="8">
    <w:abstractNumId w:val="6"/>
  </w:num>
  <w:num w:numId="9">
    <w:abstractNumId w:val="10"/>
  </w:num>
  <w:num w:numId="10">
    <w:abstractNumId w:val="4"/>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05">
    <w:name w:val="Plain Table 1"/>
    <w:basedOn w:val="7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6">
    <w:name w:val="Plain Table 2"/>
    <w:basedOn w:val="7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3"/>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8">
    <w:name w:val="Plain Table 4"/>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9">
    <w:name w:val="Plain Table 5"/>
    <w:basedOn w:val="7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0">
    <w:name w:val="Grid Table 1 Light"/>
    <w:basedOn w:val="7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1">
    <w:name w:val="Grid Table 2"/>
    <w:basedOn w:val="7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2">
    <w:name w:val="Grid Table 3"/>
    <w:basedOn w:val="7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4"/>
    <w:basedOn w:val="7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4">
    <w:name w:val="Grid Table 5 Dark"/>
    <w:basedOn w:val="7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5">
    <w:name w:val="Grid Table 6 Colorful"/>
    <w:basedOn w:val="7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6">
    <w:name w:val="Grid Table 7 Colorful"/>
    <w:basedOn w:val="7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7">
    <w:name w:val="List Table 1 Light"/>
    <w:basedOn w:val="7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8">
    <w:name w:val="List Table 2"/>
    <w:basedOn w:val="7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9">
    <w:name w:val="List Table 3"/>
    <w:basedOn w:val="7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0">
    <w:name w:val="List Table 4"/>
    <w:basedOn w:val="7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1">
    <w:name w:val="List Table 5 Dark"/>
    <w:basedOn w:val="7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2">
    <w:name w:val="List Table 6 Colorful"/>
    <w:basedOn w:val="7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3">
    <w:name w:val="List Table 7 Colorful"/>
    <w:basedOn w:val="7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4">
    <w:name w:val="TOC Heading"/>
    <w:uiPriority w:val="39"/>
    <w:unhideWhenUsed/>
  </w:style>
  <w:style w:type="paragraph" w:styleId="725"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26">
    <w:name w:val="Heading 1"/>
    <w:basedOn w:val="725"/>
    <w:next w:val="725"/>
    <w:link w:val="806"/>
    <w:uiPriority w:val="9"/>
    <w:qFormat/>
    <w:pPr>
      <w:keepLines/>
      <w:keepNext/>
      <w:spacing w:before="480" w:after="200"/>
      <w:outlineLvl w:val="0"/>
    </w:pPr>
    <w:rPr>
      <w:rFonts w:ascii="Arial" w:hAnsi="Arial" w:eastAsia="Arial" w:cs="Arial"/>
      <w:sz w:val="40"/>
      <w:szCs w:val="40"/>
    </w:rPr>
  </w:style>
  <w:style w:type="paragraph" w:styleId="727">
    <w:name w:val="Heading 2"/>
    <w:basedOn w:val="725"/>
    <w:next w:val="725"/>
    <w:link w:val="807"/>
    <w:uiPriority w:val="9"/>
    <w:unhideWhenUsed/>
    <w:qFormat/>
    <w:pPr>
      <w:keepLines/>
      <w:keepNext/>
      <w:spacing w:before="360" w:after="200"/>
      <w:outlineLvl w:val="1"/>
    </w:pPr>
    <w:rPr>
      <w:rFonts w:ascii="Arial" w:hAnsi="Arial" w:eastAsia="Arial" w:cs="Arial"/>
      <w:sz w:val="34"/>
    </w:rPr>
  </w:style>
  <w:style w:type="paragraph" w:styleId="728">
    <w:name w:val="Heading 3"/>
    <w:basedOn w:val="725"/>
    <w:next w:val="737"/>
    <w:link w:val="808"/>
    <w:uiPriority w:val="9"/>
    <w:unhideWhenUsed/>
    <w:qFormat/>
    <w:pPr>
      <w:keepLines/>
      <w:keepNext/>
      <w:spacing w:before="320" w:after="200"/>
      <w:outlineLvl w:val="2"/>
    </w:pPr>
    <w:rPr>
      <w:rFonts w:ascii="Arial" w:hAnsi="Arial" w:eastAsia="Arial" w:cs="Arial"/>
      <w:sz w:val="30"/>
      <w:szCs w:val="30"/>
    </w:rPr>
  </w:style>
  <w:style w:type="paragraph" w:styleId="729">
    <w:name w:val="Heading 4"/>
    <w:basedOn w:val="725"/>
    <w:next w:val="725"/>
    <w:link w:val="809"/>
    <w:uiPriority w:val="9"/>
    <w:unhideWhenUsed/>
    <w:qFormat/>
    <w:pPr>
      <w:keepLines/>
      <w:keepNext/>
      <w:spacing w:before="320" w:after="200"/>
      <w:outlineLvl w:val="3"/>
    </w:pPr>
    <w:rPr>
      <w:rFonts w:ascii="Arial" w:hAnsi="Arial" w:eastAsia="Arial" w:cs="Arial"/>
      <w:b/>
      <w:bCs/>
      <w:sz w:val="26"/>
      <w:szCs w:val="26"/>
    </w:rPr>
  </w:style>
  <w:style w:type="paragraph" w:styleId="730">
    <w:name w:val="Heading 5"/>
    <w:basedOn w:val="725"/>
    <w:next w:val="725"/>
    <w:link w:val="810"/>
    <w:uiPriority w:val="9"/>
    <w:unhideWhenUsed/>
    <w:qFormat/>
    <w:pPr>
      <w:keepLines/>
      <w:keepNext/>
      <w:spacing w:before="320" w:after="200"/>
      <w:outlineLvl w:val="4"/>
    </w:pPr>
    <w:rPr>
      <w:rFonts w:ascii="Arial" w:hAnsi="Arial" w:eastAsia="Arial" w:cs="Arial"/>
      <w:b/>
      <w:bCs/>
      <w:sz w:val="24"/>
      <w:szCs w:val="24"/>
    </w:rPr>
  </w:style>
  <w:style w:type="paragraph" w:styleId="731">
    <w:name w:val="Heading 6"/>
    <w:basedOn w:val="725"/>
    <w:next w:val="725"/>
    <w:link w:val="811"/>
    <w:uiPriority w:val="9"/>
    <w:unhideWhenUsed/>
    <w:qFormat/>
    <w:pPr>
      <w:keepLines/>
      <w:keepNext/>
      <w:spacing w:before="320" w:after="200"/>
      <w:outlineLvl w:val="5"/>
    </w:pPr>
    <w:rPr>
      <w:rFonts w:ascii="Arial" w:hAnsi="Arial" w:eastAsia="Arial" w:cs="Arial"/>
      <w:b/>
      <w:bCs/>
      <w:sz w:val="22"/>
    </w:rPr>
  </w:style>
  <w:style w:type="paragraph" w:styleId="732">
    <w:name w:val="Heading 7"/>
    <w:basedOn w:val="725"/>
    <w:next w:val="725"/>
    <w:link w:val="812"/>
    <w:uiPriority w:val="9"/>
    <w:unhideWhenUsed/>
    <w:qFormat/>
    <w:pPr>
      <w:keepLines/>
      <w:keepNext/>
      <w:spacing w:before="320" w:after="200"/>
      <w:outlineLvl w:val="6"/>
    </w:pPr>
    <w:rPr>
      <w:rFonts w:ascii="Arial" w:hAnsi="Arial" w:eastAsia="Arial" w:cs="Arial"/>
      <w:b/>
      <w:bCs/>
      <w:i/>
      <w:iCs/>
      <w:sz w:val="22"/>
    </w:rPr>
  </w:style>
  <w:style w:type="paragraph" w:styleId="733">
    <w:name w:val="Heading 8"/>
    <w:basedOn w:val="725"/>
    <w:next w:val="725"/>
    <w:link w:val="813"/>
    <w:uiPriority w:val="9"/>
    <w:unhideWhenUsed/>
    <w:qFormat/>
    <w:pPr>
      <w:keepLines/>
      <w:keepNext/>
      <w:spacing w:before="320" w:after="200"/>
      <w:outlineLvl w:val="7"/>
    </w:pPr>
    <w:rPr>
      <w:rFonts w:ascii="Arial" w:hAnsi="Arial" w:eastAsia="Arial" w:cs="Arial"/>
      <w:i/>
      <w:iCs/>
      <w:sz w:val="22"/>
    </w:rPr>
  </w:style>
  <w:style w:type="paragraph" w:styleId="734">
    <w:name w:val="Heading 9"/>
    <w:basedOn w:val="725"/>
    <w:next w:val="725"/>
    <w:link w:val="814"/>
    <w:uiPriority w:val="9"/>
    <w:unhideWhenUsed/>
    <w:qFormat/>
    <w:pPr>
      <w:keepLines/>
      <w:keepNext/>
      <w:spacing w:before="320" w:after="200"/>
      <w:outlineLvl w:val="8"/>
    </w:pPr>
    <w:rPr>
      <w:rFonts w:ascii="Arial" w:hAnsi="Arial" w:eastAsia="Arial" w:cs="Arial"/>
      <w:i/>
      <w:iCs/>
      <w:szCs w:val="21"/>
    </w:rPr>
  </w:style>
  <w:style w:type="character" w:styleId="735" w:default="1">
    <w:name w:val="Default Paragraph Font"/>
    <w:uiPriority w:val="1"/>
    <w:unhideWhenUsed/>
    <w:qFormat/>
  </w:style>
  <w:style w:type="table" w:styleId="736" w:default="1">
    <w:name w:val="Normal Table"/>
    <w:uiPriority w:val="99"/>
    <w:semiHidden/>
    <w:unhideWhenUsed/>
    <w:qFormat/>
    <w:tblPr>
      <w:tblCellMar>
        <w:left w:w="108" w:type="dxa"/>
        <w:top w:w="0" w:type="dxa"/>
        <w:right w:w="108" w:type="dxa"/>
        <w:bottom w:w="0" w:type="dxa"/>
      </w:tblCellMar>
    </w:tblPr>
  </w:style>
  <w:style w:type="paragraph" w:styleId="737">
    <w:name w:val="Normal Indent"/>
    <w:basedOn w:val="725"/>
    <w:uiPriority w:val="99"/>
    <w:unhideWhenUsed/>
    <w:qFormat/>
    <w:pPr>
      <w:ind w:firstLine="420"/>
    </w:pPr>
  </w:style>
  <w:style w:type="paragraph" w:styleId="738">
    <w:name w:val="toc 7"/>
    <w:basedOn w:val="725"/>
    <w:next w:val="725"/>
    <w:uiPriority w:val="39"/>
    <w:unhideWhenUsed/>
    <w:qFormat/>
    <w:pPr>
      <w:ind w:left="1701"/>
      <w:spacing w:after="57"/>
    </w:pPr>
  </w:style>
  <w:style w:type="paragraph" w:styleId="739">
    <w:name w:val="Caption"/>
    <w:basedOn w:val="725"/>
    <w:next w:val="72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0">
    <w:name w:val="annotation text"/>
    <w:basedOn w:val="725"/>
    <w:link w:val="976"/>
    <w:uiPriority w:val="99"/>
    <w:semiHidden/>
    <w:unhideWhenUsed/>
    <w:qFormat/>
    <w:pPr>
      <w:jc w:val="left"/>
    </w:pPr>
  </w:style>
  <w:style w:type="paragraph" w:styleId="741">
    <w:name w:val="Body Text"/>
    <w:basedOn w:val="725"/>
    <w:next w:val="725"/>
    <w:uiPriority w:val="0"/>
    <w:qFormat/>
    <w:rPr>
      <w:rFonts w:ascii="金山简黑体" w:hAnsi="Courier New" w:eastAsia="金山简黑体"/>
      <w:b/>
      <w:spacing w:val="-8"/>
      <w:sz w:val="44"/>
      <w:szCs w:val="20"/>
    </w:rPr>
  </w:style>
  <w:style w:type="paragraph" w:styleId="742">
    <w:name w:val="Body Text Indent"/>
    <w:basedOn w:val="725"/>
    <w:uiPriority w:val="0"/>
    <w:qFormat/>
    <w:pPr>
      <w:ind w:left="420"/>
      <w:spacing w:after="120"/>
    </w:pPr>
  </w:style>
  <w:style w:type="paragraph" w:styleId="743">
    <w:name w:val="toc 5"/>
    <w:basedOn w:val="725"/>
    <w:next w:val="725"/>
    <w:uiPriority w:val="39"/>
    <w:unhideWhenUsed/>
    <w:qFormat/>
    <w:pPr>
      <w:ind w:left="1134"/>
      <w:spacing w:after="57"/>
    </w:pPr>
  </w:style>
  <w:style w:type="paragraph" w:styleId="744">
    <w:name w:val="toc 3"/>
    <w:basedOn w:val="725"/>
    <w:next w:val="725"/>
    <w:uiPriority w:val="39"/>
    <w:unhideWhenUsed/>
    <w:qFormat/>
    <w:pPr>
      <w:ind w:left="567"/>
      <w:spacing w:after="57"/>
    </w:pPr>
  </w:style>
  <w:style w:type="paragraph" w:styleId="745">
    <w:name w:val="toc 8"/>
    <w:basedOn w:val="725"/>
    <w:next w:val="725"/>
    <w:uiPriority w:val="39"/>
    <w:unhideWhenUsed/>
    <w:qFormat/>
    <w:pPr>
      <w:ind w:left="1984"/>
      <w:spacing w:after="57"/>
    </w:pPr>
  </w:style>
  <w:style w:type="paragraph" w:styleId="746">
    <w:name w:val="Date"/>
    <w:basedOn w:val="725"/>
    <w:next w:val="725"/>
    <w:uiPriority w:val="0"/>
    <w:qFormat/>
    <w:rPr>
      <w:sz w:val="24"/>
      <w:szCs w:val="20"/>
    </w:rPr>
  </w:style>
  <w:style w:type="paragraph" w:styleId="747">
    <w:name w:val="endnote text"/>
    <w:basedOn w:val="725"/>
    <w:link w:val="933"/>
    <w:uiPriority w:val="99"/>
    <w:semiHidden/>
    <w:unhideWhenUsed/>
    <w:qFormat/>
    <w:rPr>
      <w:sz w:val="20"/>
    </w:rPr>
  </w:style>
  <w:style w:type="paragraph" w:styleId="748">
    <w:name w:val="Balloon Text"/>
    <w:basedOn w:val="725"/>
    <w:link w:val="975"/>
    <w:uiPriority w:val="99"/>
    <w:semiHidden/>
    <w:unhideWhenUsed/>
    <w:qFormat/>
    <w:rPr>
      <w:sz w:val="18"/>
      <w:szCs w:val="18"/>
    </w:rPr>
  </w:style>
  <w:style w:type="paragraph" w:styleId="749">
    <w:name w:val="Footer"/>
    <w:basedOn w:val="725"/>
    <w:link w:val="825"/>
    <w:uiPriority w:val="99"/>
    <w:unhideWhenUsed/>
    <w:qFormat/>
    <w:pPr>
      <w:tabs>
        <w:tab w:val="center" w:pos="7143" w:leader="none"/>
        <w:tab w:val="right" w:pos="14287" w:leader="none"/>
      </w:tabs>
    </w:pPr>
  </w:style>
  <w:style w:type="paragraph" w:styleId="750">
    <w:name w:val="Header"/>
    <w:basedOn w:val="725"/>
    <w:link w:val="823"/>
    <w:uiPriority w:val="99"/>
    <w:unhideWhenUsed/>
    <w:qFormat/>
    <w:pPr>
      <w:tabs>
        <w:tab w:val="center" w:pos="7143" w:leader="none"/>
        <w:tab w:val="right" w:pos="14287" w:leader="none"/>
      </w:tabs>
    </w:pPr>
  </w:style>
  <w:style w:type="paragraph" w:styleId="751">
    <w:name w:val="toc 1"/>
    <w:basedOn w:val="725"/>
    <w:next w:val="725"/>
    <w:uiPriority w:val="39"/>
    <w:unhideWhenUsed/>
    <w:qFormat/>
    <w:pPr>
      <w:spacing w:after="57"/>
    </w:pPr>
  </w:style>
  <w:style w:type="paragraph" w:styleId="752">
    <w:name w:val="toc 4"/>
    <w:basedOn w:val="725"/>
    <w:next w:val="725"/>
    <w:uiPriority w:val="39"/>
    <w:unhideWhenUsed/>
    <w:qFormat/>
    <w:pPr>
      <w:ind w:left="850"/>
      <w:spacing w:after="57"/>
    </w:pPr>
  </w:style>
  <w:style w:type="paragraph" w:styleId="753">
    <w:name w:val="Subtitle"/>
    <w:basedOn w:val="725"/>
    <w:next w:val="725"/>
    <w:link w:val="818"/>
    <w:uiPriority w:val="11"/>
    <w:qFormat/>
    <w:pPr>
      <w:spacing w:before="200" w:after="200"/>
    </w:pPr>
    <w:rPr>
      <w:sz w:val="24"/>
      <w:szCs w:val="24"/>
    </w:rPr>
  </w:style>
  <w:style w:type="paragraph" w:styleId="754">
    <w:name w:val="footnote text"/>
    <w:basedOn w:val="725"/>
    <w:link w:val="932"/>
    <w:uiPriority w:val="99"/>
    <w:semiHidden/>
    <w:unhideWhenUsed/>
    <w:qFormat/>
    <w:pPr>
      <w:spacing w:after="40"/>
    </w:pPr>
    <w:rPr>
      <w:sz w:val="18"/>
    </w:rPr>
  </w:style>
  <w:style w:type="paragraph" w:styleId="755">
    <w:name w:val="toc 6"/>
    <w:basedOn w:val="725"/>
    <w:next w:val="725"/>
    <w:uiPriority w:val="39"/>
    <w:unhideWhenUsed/>
    <w:qFormat/>
    <w:pPr>
      <w:ind w:left="1417"/>
      <w:spacing w:after="57"/>
    </w:pPr>
  </w:style>
  <w:style w:type="paragraph" w:styleId="756">
    <w:name w:val="table of figures"/>
    <w:basedOn w:val="725"/>
    <w:next w:val="725"/>
    <w:uiPriority w:val="99"/>
    <w:unhideWhenUsed/>
    <w:qFormat/>
  </w:style>
  <w:style w:type="paragraph" w:styleId="757">
    <w:name w:val="toc 2"/>
    <w:basedOn w:val="725"/>
    <w:next w:val="725"/>
    <w:uiPriority w:val="39"/>
    <w:unhideWhenUsed/>
    <w:qFormat/>
    <w:pPr>
      <w:ind w:left="283"/>
      <w:spacing w:after="57"/>
    </w:pPr>
  </w:style>
  <w:style w:type="paragraph" w:styleId="758">
    <w:name w:val="toc 9"/>
    <w:basedOn w:val="725"/>
    <w:next w:val="725"/>
    <w:uiPriority w:val="39"/>
    <w:unhideWhenUsed/>
    <w:qFormat/>
    <w:pPr>
      <w:ind w:left="2268"/>
      <w:spacing w:after="57"/>
    </w:pPr>
  </w:style>
  <w:style w:type="paragraph" w:styleId="759">
    <w:name w:val="Title"/>
    <w:basedOn w:val="725"/>
    <w:next w:val="725"/>
    <w:link w:val="817"/>
    <w:uiPriority w:val="10"/>
    <w:qFormat/>
    <w:pPr>
      <w:contextualSpacing/>
      <w:spacing w:before="300" w:after="200"/>
    </w:pPr>
    <w:rPr>
      <w:sz w:val="48"/>
      <w:szCs w:val="48"/>
    </w:rPr>
  </w:style>
  <w:style w:type="paragraph" w:styleId="760">
    <w:name w:val="annotation subject"/>
    <w:basedOn w:val="740"/>
    <w:next w:val="740"/>
    <w:link w:val="977"/>
    <w:uiPriority w:val="99"/>
    <w:semiHidden/>
    <w:unhideWhenUsed/>
    <w:qFormat/>
    <w:rPr>
      <w:b/>
      <w:bCs/>
    </w:rPr>
  </w:style>
  <w:style w:type="table" w:styleId="76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2">
    <w:name w:val="Strong"/>
    <w:basedOn w:val="735"/>
    <w:uiPriority w:val="22"/>
    <w:qFormat/>
    <w:rPr>
      <w:b/>
    </w:rPr>
  </w:style>
  <w:style w:type="character" w:styleId="763">
    <w:name w:val="endnote reference"/>
    <w:uiPriority w:val="99"/>
    <w:semiHidden/>
    <w:unhideWhenUsed/>
    <w:qFormat/>
    <w:rPr>
      <w:vertAlign w:val="superscript"/>
    </w:rPr>
  </w:style>
  <w:style w:type="character" w:styleId="764">
    <w:name w:val="Emphasis"/>
    <w:basedOn w:val="735"/>
    <w:uiPriority w:val="20"/>
    <w:qFormat/>
    <w:rPr>
      <w:i/>
    </w:rPr>
  </w:style>
  <w:style w:type="character" w:styleId="765">
    <w:name w:val="Hyperlink"/>
    <w:uiPriority w:val="99"/>
    <w:unhideWhenUsed/>
    <w:qFormat/>
    <w:rPr>
      <w:color w:val="0000ff" w:themeColor="hyperlink"/>
      <w:u w:val="single"/>
      <w14:textFill>
        <w14:solidFill>
          <w14:schemeClr w14:val="hlink"/>
        </w14:solidFill>
      </w14:textFill>
    </w:rPr>
  </w:style>
  <w:style w:type="character" w:styleId="766">
    <w:name w:val="annotation reference"/>
    <w:uiPriority w:val="0"/>
    <w:qFormat/>
    <w:rPr>
      <w:rFonts w:ascii="Cambria Math" w:hAnsi="Cambria Math" w:eastAsia="等线 Light" w:cs="Cambria Math"/>
      <w:sz w:val="21"/>
      <w:szCs w:val="21"/>
    </w:rPr>
  </w:style>
  <w:style w:type="character" w:styleId="767">
    <w:name w:val="footnote reference"/>
    <w:uiPriority w:val="99"/>
    <w:unhideWhenUsed/>
    <w:qFormat/>
    <w:rPr>
      <w:vertAlign w:val="superscript"/>
    </w:rPr>
  </w:style>
  <w:style w:type="table" w:styleId="768" w:customStyle="1">
    <w:name w:val="无格式表格 11"/>
    <w:basedOn w:val="73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无格式表格 21"/>
    <w:basedOn w:val="73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无格式表格 31"/>
    <w:basedOn w:val="73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无格式表格 41"/>
    <w:basedOn w:val="73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无格式表格 51"/>
    <w:basedOn w:val="73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网格表 1 浅色1"/>
    <w:basedOn w:val="73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4" w:customStyle="1">
    <w:name w:val="网格表 21"/>
    <w:basedOn w:val="73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5" w:customStyle="1">
    <w:name w:val="网格表 31"/>
    <w:basedOn w:val="73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网格表 41"/>
    <w:basedOn w:val="73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customStyle="1">
    <w:name w:val="网格表 5 深色1"/>
    <w:basedOn w:val="7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网格表 6 彩色1"/>
    <w:basedOn w:val="73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9" w:customStyle="1">
    <w:name w:val="网格表 7 彩色1"/>
    <w:basedOn w:val="73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0" w:customStyle="1">
    <w:name w:val="清单表 1 浅色1"/>
    <w:basedOn w:val="736"/>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customStyle="1">
    <w:name w:val="清单表 21"/>
    <w:basedOn w:val="73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2" w:customStyle="1">
    <w:name w:val="清单表 31"/>
    <w:basedOn w:val="7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清单表 41"/>
    <w:basedOn w:val="7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清单表 5 深色1"/>
    <w:basedOn w:val="73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清单表 6 彩色1"/>
    <w:basedOn w:val="736"/>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6" w:customStyle="1">
    <w:name w:val="清单表 7 彩色1"/>
    <w:basedOn w:val="736"/>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7" w:customStyle="1">
    <w:name w:val="TOC 标题1"/>
    <w:uiPriority w:val="39"/>
    <w:unhideWhenUsed/>
    <w:qFormat/>
    <w:rPr>
      <w:rFonts w:ascii="Times New Roman" w:hAnsi="Times New Roman" w:eastAsia="宋体" w:cs="Times New Roman"/>
      <w:lang w:val="en-US" w:eastAsia="zh-CN" w:bidi="ar-SA"/>
    </w:rPr>
  </w:style>
  <w:style w:type="character" w:styleId="788" w:customStyle="1">
    <w:name w:val="Heading 1 Char"/>
    <w:basedOn w:val="735"/>
    <w:uiPriority w:val="9"/>
    <w:qFormat/>
    <w:rPr>
      <w:rFonts w:ascii="Arial" w:hAnsi="Arial" w:eastAsia="Arial" w:cs="Arial"/>
      <w:sz w:val="40"/>
      <w:szCs w:val="40"/>
    </w:rPr>
  </w:style>
  <w:style w:type="character" w:styleId="789" w:customStyle="1">
    <w:name w:val="Heading 2 Char"/>
    <w:basedOn w:val="735"/>
    <w:uiPriority w:val="9"/>
    <w:qFormat/>
    <w:rPr>
      <w:rFonts w:ascii="Arial" w:hAnsi="Arial" w:eastAsia="Arial" w:cs="Arial"/>
      <w:sz w:val="34"/>
    </w:rPr>
  </w:style>
  <w:style w:type="character" w:styleId="790" w:customStyle="1">
    <w:name w:val="Heading 3 Char"/>
    <w:basedOn w:val="735"/>
    <w:uiPriority w:val="9"/>
    <w:qFormat/>
    <w:rPr>
      <w:rFonts w:ascii="Arial" w:hAnsi="Arial" w:eastAsia="Arial" w:cs="Arial"/>
      <w:sz w:val="30"/>
      <w:szCs w:val="30"/>
    </w:rPr>
  </w:style>
  <w:style w:type="character" w:styleId="791" w:customStyle="1">
    <w:name w:val="Heading 4 Char"/>
    <w:basedOn w:val="735"/>
    <w:uiPriority w:val="9"/>
    <w:qFormat/>
    <w:rPr>
      <w:rFonts w:ascii="Arial" w:hAnsi="Arial" w:eastAsia="Arial" w:cs="Arial"/>
      <w:b/>
      <w:bCs/>
      <w:sz w:val="26"/>
      <w:szCs w:val="26"/>
    </w:rPr>
  </w:style>
  <w:style w:type="character" w:styleId="792" w:customStyle="1">
    <w:name w:val="Heading 5 Char"/>
    <w:basedOn w:val="735"/>
    <w:uiPriority w:val="9"/>
    <w:qFormat/>
    <w:rPr>
      <w:rFonts w:ascii="Arial" w:hAnsi="Arial" w:eastAsia="Arial" w:cs="Arial"/>
      <w:b/>
      <w:bCs/>
      <w:sz w:val="24"/>
      <w:szCs w:val="24"/>
    </w:rPr>
  </w:style>
  <w:style w:type="character" w:styleId="793" w:customStyle="1">
    <w:name w:val="Heading 6 Char"/>
    <w:basedOn w:val="735"/>
    <w:uiPriority w:val="9"/>
    <w:qFormat/>
    <w:rPr>
      <w:rFonts w:ascii="Arial" w:hAnsi="Arial" w:eastAsia="Arial" w:cs="Arial"/>
      <w:b/>
      <w:bCs/>
      <w:sz w:val="22"/>
      <w:szCs w:val="22"/>
    </w:rPr>
  </w:style>
  <w:style w:type="character" w:styleId="794" w:customStyle="1">
    <w:name w:val="Heading 7 Char"/>
    <w:basedOn w:val="735"/>
    <w:uiPriority w:val="9"/>
    <w:qFormat/>
    <w:rPr>
      <w:rFonts w:ascii="Arial" w:hAnsi="Arial" w:eastAsia="Arial" w:cs="Arial"/>
      <w:b/>
      <w:bCs/>
      <w:i/>
      <w:iCs/>
      <w:sz w:val="22"/>
      <w:szCs w:val="22"/>
    </w:rPr>
  </w:style>
  <w:style w:type="character" w:styleId="795" w:customStyle="1">
    <w:name w:val="Heading 8 Char"/>
    <w:basedOn w:val="735"/>
    <w:uiPriority w:val="9"/>
    <w:qFormat/>
    <w:rPr>
      <w:rFonts w:ascii="Arial" w:hAnsi="Arial" w:eastAsia="Arial" w:cs="Arial"/>
      <w:i/>
      <w:iCs/>
      <w:sz w:val="22"/>
      <w:szCs w:val="22"/>
    </w:rPr>
  </w:style>
  <w:style w:type="character" w:styleId="796" w:customStyle="1">
    <w:name w:val="Heading 9 Char"/>
    <w:basedOn w:val="735"/>
    <w:uiPriority w:val="9"/>
    <w:qFormat/>
    <w:rPr>
      <w:rFonts w:ascii="Arial" w:hAnsi="Arial" w:eastAsia="Arial" w:cs="Arial"/>
      <w:i/>
      <w:iCs/>
      <w:sz w:val="21"/>
      <w:szCs w:val="21"/>
    </w:rPr>
  </w:style>
  <w:style w:type="character" w:styleId="797" w:customStyle="1">
    <w:name w:val="Title Char"/>
    <w:basedOn w:val="735"/>
    <w:uiPriority w:val="10"/>
    <w:qFormat/>
    <w:rPr>
      <w:sz w:val="48"/>
      <w:szCs w:val="48"/>
    </w:rPr>
  </w:style>
  <w:style w:type="character" w:styleId="798" w:customStyle="1">
    <w:name w:val="Subtitle Char"/>
    <w:basedOn w:val="735"/>
    <w:uiPriority w:val="11"/>
    <w:qFormat/>
    <w:rPr>
      <w:sz w:val="24"/>
      <w:szCs w:val="24"/>
    </w:rPr>
  </w:style>
  <w:style w:type="character" w:styleId="799" w:customStyle="1">
    <w:name w:val="Quote Char"/>
    <w:uiPriority w:val="29"/>
    <w:qFormat/>
    <w:rPr>
      <w:i/>
    </w:rPr>
  </w:style>
  <w:style w:type="character" w:styleId="800" w:customStyle="1">
    <w:name w:val="Intense Quote Char"/>
    <w:uiPriority w:val="30"/>
    <w:qFormat/>
    <w:rPr>
      <w:i/>
    </w:rPr>
  </w:style>
  <w:style w:type="character" w:styleId="801" w:customStyle="1">
    <w:name w:val="Header Char"/>
    <w:basedOn w:val="735"/>
    <w:uiPriority w:val="99"/>
    <w:qFormat/>
  </w:style>
  <w:style w:type="character" w:styleId="802" w:customStyle="1">
    <w:name w:val="Caption Char"/>
    <w:uiPriority w:val="99"/>
    <w:qFormat/>
  </w:style>
  <w:style w:type="character" w:styleId="803" w:customStyle="1">
    <w:name w:val="Footnote Text Char"/>
    <w:uiPriority w:val="99"/>
    <w:qFormat/>
    <w:rPr>
      <w:sz w:val="18"/>
    </w:rPr>
  </w:style>
  <w:style w:type="character" w:styleId="804" w:customStyle="1">
    <w:name w:val="Endnote Text Char"/>
    <w:uiPriority w:val="99"/>
    <w:qFormat/>
    <w:rPr>
      <w:sz w:val="20"/>
    </w:rPr>
  </w:style>
  <w:style w:type="paragraph" w:styleId="805" w:customStyle="1">
    <w:name w:val="TOC 标题111"/>
    <w:uiPriority w:val="39"/>
    <w:unhideWhenUsed/>
    <w:qFormat/>
    <w:rPr>
      <w:rFonts w:ascii="Times New Roman" w:hAnsi="Times New Roman" w:eastAsia="宋体" w:cs="Times New Roman"/>
      <w:lang w:val="en-US" w:eastAsia="zh-CN" w:bidi="ar-SA"/>
    </w:rPr>
  </w:style>
  <w:style w:type="character" w:styleId="806" w:customStyle="1">
    <w:name w:val="标题 1 字符"/>
    <w:link w:val="726"/>
    <w:uiPriority w:val="9"/>
    <w:qFormat/>
    <w:rPr>
      <w:rFonts w:ascii="Arial" w:hAnsi="Arial" w:eastAsia="Arial" w:cs="Arial"/>
      <w:sz w:val="40"/>
      <w:szCs w:val="40"/>
    </w:rPr>
  </w:style>
  <w:style w:type="character" w:styleId="807" w:customStyle="1">
    <w:name w:val="标题 2 字符"/>
    <w:link w:val="727"/>
    <w:uiPriority w:val="9"/>
    <w:qFormat/>
    <w:rPr>
      <w:rFonts w:ascii="Arial" w:hAnsi="Arial" w:eastAsia="Arial" w:cs="Arial"/>
      <w:sz w:val="34"/>
    </w:rPr>
  </w:style>
  <w:style w:type="character" w:styleId="808" w:customStyle="1">
    <w:name w:val="标题 3 字符"/>
    <w:link w:val="728"/>
    <w:uiPriority w:val="9"/>
    <w:qFormat/>
    <w:rPr>
      <w:rFonts w:ascii="Arial" w:hAnsi="Arial" w:eastAsia="Arial" w:cs="Arial"/>
      <w:sz w:val="30"/>
      <w:szCs w:val="30"/>
    </w:rPr>
  </w:style>
  <w:style w:type="character" w:styleId="809" w:customStyle="1">
    <w:name w:val="标题 4 字符"/>
    <w:link w:val="729"/>
    <w:uiPriority w:val="9"/>
    <w:qFormat/>
    <w:rPr>
      <w:rFonts w:ascii="Arial" w:hAnsi="Arial" w:eastAsia="Arial" w:cs="Arial"/>
      <w:b/>
      <w:bCs/>
      <w:sz w:val="26"/>
      <w:szCs w:val="26"/>
    </w:rPr>
  </w:style>
  <w:style w:type="character" w:styleId="810" w:customStyle="1">
    <w:name w:val="标题 5 字符"/>
    <w:link w:val="730"/>
    <w:uiPriority w:val="9"/>
    <w:qFormat/>
    <w:rPr>
      <w:rFonts w:ascii="Arial" w:hAnsi="Arial" w:eastAsia="Arial" w:cs="Arial"/>
      <w:b/>
      <w:bCs/>
      <w:sz w:val="24"/>
      <w:szCs w:val="24"/>
    </w:rPr>
  </w:style>
  <w:style w:type="character" w:styleId="811" w:customStyle="1">
    <w:name w:val="标题 6 字符"/>
    <w:link w:val="731"/>
    <w:uiPriority w:val="9"/>
    <w:qFormat/>
    <w:rPr>
      <w:rFonts w:ascii="Arial" w:hAnsi="Arial" w:eastAsia="Arial" w:cs="Arial"/>
      <w:b/>
      <w:bCs/>
      <w:sz w:val="22"/>
      <w:szCs w:val="22"/>
    </w:rPr>
  </w:style>
  <w:style w:type="character" w:styleId="812" w:customStyle="1">
    <w:name w:val="标题 7 字符"/>
    <w:link w:val="732"/>
    <w:uiPriority w:val="9"/>
    <w:qFormat/>
    <w:rPr>
      <w:rFonts w:ascii="Arial" w:hAnsi="Arial" w:eastAsia="Arial" w:cs="Arial"/>
      <w:b/>
      <w:bCs/>
      <w:i/>
      <w:iCs/>
      <w:sz w:val="22"/>
      <w:szCs w:val="22"/>
    </w:rPr>
  </w:style>
  <w:style w:type="character" w:styleId="813" w:customStyle="1">
    <w:name w:val="标题 8 字符"/>
    <w:link w:val="733"/>
    <w:uiPriority w:val="9"/>
    <w:qFormat/>
    <w:rPr>
      <w:rFonts w:ascii="Arial" w:hAnsi="Arial" w:eastAsia="Arial" w:cs="Arial"/>
      <w:i/>
      <w:iCs/>
      <w:sz w:val="22"/>
      <w:szCs w:val="22"/>
    </w:rPr>
  </w:style>
  <w:style w:type="character" w:styleId="814" w:customStyle="1">
    <w:name w:val="标题 9 字符"/>
    <w:link w:val="734"/>
    <w:uiPriority w:val="9"/>
    <w:qFormat/>
    <w:rPr>
      <w:rFonts w:ascii="Arial" w:hAnsi="Arial" w:eastAsia="Arial" w:cs="Arial"/>
      <w:i/>
      <w:iCs/>
      <w:sz w:val="21"/>
      <w:szCs w:val="21"/>
    </w:rPr>
  </w:style>
  <w:style w:type="paragraph" w:styleId="815">
    <w:name w:val="List Paragraph"/>
    <w:basedOn w:val="725"/>
    <w:uiPriority w:val="34"/>
    <w:qFormat/>
    <w:pPr>
      <w:contextualSpacing/>
      <w:ind w:left="720"/>
    </w:pPr>
  </w:style>
  <w:style w:type="paragraph" w:styleId="816">
    <w:name w:val="No Spacing"/>
    <w:uiPriority w:val="1"/>
    <w:qFormat/>
    <w:rPr>
      <w:rFonts w:ascii="Times New Roman" w:hAnsi="Times New Roman" w:eastAsia="宋体" w:cs="Times New Roman"/>
      <w:lang w:val="en-US" w:eastAsia="zh-CN" w:bidi="ar-SA"/>
    </w:rPr>
  </w:style>
  <w:style w:type="character" w:styleId="817" w:customStyle="1">
    <w:name w:val="标题 字符"/>
    <w:link w:val="759"/>
    <w:uiPriority w:val="10"/>
    <w:qFormat/>
    <w:rPr>
      <w:sz w:val="48"/>
      <w:szCs w:val="48"/>
    </w:rPr>
  </w:style>
  <w:style w:type="character" w:styleId="818" w:customStyle="1">
    <w:name w:val="副标题 字符"/>
    <w:link w:val="753"/>
    <w:uiPriority w:val="11"/>
    <w:qFormat/>
    <w:rPr>
      <w:sz w:val="24"/>
      <w:szCs w:val="24"/>
    </w:rPr>
  </w:style>
  <w:style w:type="paragraph" w:styleId="819">
    <w:name w:val="Quote"/>
    <w:basedOn w:val="725"/>
    <w:next w:val="725"/>
    <w:link w:val="820"/>
    <w:uiPriority w:val="29"/>
    <w:qFormat/>
    <w:pPr>
      <w:ind w:left="720" w:right="720"/>
    </w:pPr>
    <w:rPr>
      <w:i/>
    </w:rPr>
  </w:style>
  <w:style w:type="character" w:styleId="820" w:customStyle="1">
    <w:name w:val="引用 字符"/>
    <w:link w:val="819"/>
    <w:uiPriority w:val="29"/>
    <w:qFormat/>
    <w:rPr>
      <w:i/>
    </w:rPr>
  </w:style>
  <w:style w:type="paragraph" w:styleId="821">
    <w:name w:val="Intense Quote"/>
    <w:basedOn w:val="725"/>
    <w:next w:val="725"/>
    <w:link w:val="8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2" w:customStyle="1">
    <w:name w:val="明显引用 字符"/>
    <w:link w:val="821"/>
    <w:uiPriority w:val="30"/>
    <w:qFormat/>
    <w:rPr>
      <w:i/>
    </w:rPr>
  </w:style>
  <w:style w:type="character" w:styleId="823" w:customStyle="1">
    <w:name w:val="页眉 字符"/>
    <w:link w:val="750"/>
    <w:uiPriority w:val="99"/>
    <w:qFormat/>
  </w:style>
  <w:style w:type="character" w:styleId="824" w:customStyle="1">
    <w:name w:val="Footer Char"/>
    <w:uiPriority w:val="99"/>
    <w:qFormat/>
  </w:style>
  <w:style w:type="character" w:styleId="825" w:customStyle="1">
    <w:name w:val="页脚 字符"/>
    <w:link w:val="749"/>
    <w:uiPriority w:val="99"/>
    <w:qFormat/>
  </w:style>
  <w:style w:type="table" w:styleId="82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2" w:customStyle="1">
    <w:name w:val="脚注文本 字符"/>
    <w:link w:val="754"/>
    <w:uiPriority w:val="99"/>
    <w:qFormat/>
    <w:rPr>
      <w:sz w:val="18"/>
    </w:rPr>
  </w:style>
  <w:style w:type="character" w:styleId="933" w:customStyle="1">
    <w:name w:val="尾注文本 字符"/>
    <w:link w:val="747"/>
    <w:uiPriority w:val="99"/>
    <w:qFormat/>
    <w:rPr>
      <w:sz w:val="20"/>
    </w:rPr>
  </w:style>
  <w:style w:type="paragraph" w:styleId="934" w:customStyle="1">
    <w:name w:val="TOC 标题11"/>
    <w:uiPriority w:val="39"/>
    <w:unhideWhenUsed/>
    <w:qFormat/>
    <w:rPr>
      <w:rFonts w:ascii="Times New Roman" w:hAnsi="Times New Roman" w:eastAsia="宋体" w:cs="Times New Roman"/>
      <w:lang w:val="en-US" w:eastAsia="zh-CN" w:bidi="ar-SA"/>
    </w:rPr>
  </w:style>
  <w:style w:type="paragraph" w:styleId="935" w:customStyle="1">
    <w:name w:val="标题 11"/>
    <w:basedOn w:val="725"/>
    <w:next w:val="725"/>
    <w:link w:val="941"/>
    <w:uiPriority w:val="0"/>
    <w:qFormat/>
    <w:pPr>
      <w:keepLines/>
      <w:keepNext/>
      <w:spacing w:before="340" w:after="330" w:line="578" w:lineRule="auto"/>
      <w:outlineLvl w:val="0"/>
    </w:pPr>
    <w:rPr>
      <w:rFonts w:ascii="Times New Roman" w:hAnsi="Times New Roman"/>
      <w:b/>
      <w:bCs/>
      <w:sz w:val="44"/>
      <w:szCs w:val="44"/>
    </w:rPr>
  </w:style>
  <w:style w:type="paragraph" w:styleId="936" w:customStyle="1">
    <w:name w:val="标题 21"/>
    <w:basedOn w:val="725"/>
    <w:next w:val="725"/>
    <w:link w:val="942"/>
    <w:uiPriority w:val="0"/>
    <w:qFormat/>
    <w:pPr>
      <w:keepLines/>
      <w:keepNext/>
      <w:spacing w:before="260" w:after="260" w:line="416" w:lineRule="auto"/>
      <w:outlineLvl w:val="1"/>
    </w:pPr>
    <w:rPr>
      <w:rFonts w:ascii="Cambria" w:hAnsi="Cambria"/>
      <w:b/>
      <w:bCs/>
      <w:sz w:val="32"/>
      <w:szCs w:val="32"/>
    </w:rPr>
  </w:style>
  <w:style w:type="paragraph" w:styleId="937" w:customStyle="1">
    <w:name w:val="标题 31"/>
    <w:basedOn w:val="725"/>
    <w:next w:val="725"/>
    <w:link w:val="943"/>
    <w:uiPriority w:val="0"/>
    <w:qFormat/>
    <w:pPr>
      <w:keepLines/>
      <w:keepNext/>
      <w:spacing w:before="260" w:after="260" w:line="416" w:lineRule="auto"/>
      <w:outlineLvl w:val="2"/>
    </w:pPr>
    <w:rPr>
      <w:rFonts w:ascii="Times New Roman" w:hAnsi="Times New Roman"/>
      <w:b/>
      <w:bCs/>
      <w:sz w:val="32"/>
      <w:szCs w:val="32"/>
    </w:rPr>
  </w:style>
  <w:style w:type="character" w:styleId="938" w:customStyle="1">
    <w:name w:val="默认段落字体1"/>
    <w:uiPriority w:val="0"/>
    <w:qFormat/>
    <w:rPr>
      <w:rFonts w:ascii="Times New Roman" w:hAnsi="Times New Roman" w:eastAsia="宋体" w:cs="Times New Roman"/>
    </w:rPr>
  </w:style>
  <w:style w:type="table" w:styleId="939" w:customStyle="1">
    <w:name w:val="普通表格1"/>
    <w:uiPriority w:val="0"/>
    <w:qFormat/>
    <w:tblPr>
      <w:tblCellMar>
        <w:left w:w="0" w:type="dxa"/>
        <w:top w:w="0" w:type="dxa"/>
        <w:right w:w="0" w:type="dxa"/>
        <w:bottom w:w="0" w:type="dxa"/>
      </w:tblCellMar>
    </w:tblPr>
  </w:style>
  <w:style w:type="paragraph" w:styleId="940" w:customStyle="1">
    <w:name w:val="Default"/>
    <w:uiPriority w:val="0"/>
    <w:qFormat/>
    <w:pPr>
      <w:widowControl w:val="off"/>
    </w:pPr>
    <w:rPr>
      <w:rFonts w:ascii="MS Mincho" w:hAnsi="Calibri" w:eastAsia="宋体" w:cs="Times New Roman"/>
      <w:color w:val="000000"/>
      <w:sz w:val="21"/>
      <w:szCs w:val="24"/>
      <w:lang w:val="en-US" w:eastAsia="zh-CN" w:bidi="ar-SA"/>
    </w:rPr>
  </w:style>
  <w:style w:type="character" w:styleId="941" w:customStyle="1">
    <w:name w:val="标题 1 Char"/>
    <w:basedOn w:val="938"/>
    <w:link w:val="935"/>
    <w:uiPriority w:val="0"/>
    <w:qFormat/>
    <w:rPr>
      <w:rFonts w:ascii="Times New Roman" w:hAnsi="Times New Roman" w:eastAsia="宋体" w:cs="Times New Roman"/>
      <w:b/>
      <w:bCs/>
      <w:sz w:val="44"/>
      <w:szCs w:val="44"/>
    </w:rPr>
  </w:style>
  <w:style w:type="character" w:styleId="942" w:customStyle="1">
    <w:name w:val="标题 2 Char"/>
    <w:basedOn w:val="938"/>
    <w:link w:val="936"/>
    <w:uiPriority w:val="0"/>
    <w:qFormat/>
    <w:rPr>
      <w:rFonts w:ascii="Cambria" w:hAnsi="Cambria" w:eastAsia="宋体" w:cs="Times New Roman"/>
      <w:b/>
      <w:bCs/>
      <w:sz w:val="32"/>
      <w:szCs w:val="32"/>
    </w:rPr>
  </w:style>
  <w:style w:type="character" w:styleId="943" w:customStyle="1">
    <w:name w:val="标题 3 Char"/>
    <w:basedOn w:val="938"/>
    <w:link w:val="937"/>
    <w:uiPriority w:val="0"/>
    <w:qFormat/>
    <w:rPr>
      <w:rFonts w:ascii="Times New Roman" w:hAnsi="Times New Roman" w:eastAsia="宋体" w:cs="Times New Roman"/>
      <w:b/>
      <w:bCs/>
      <w:sz w:val="32"/>
      <w:szCs w:val="32"/>
    </w:rPr>
  </w:style>
  <w:style w:type="paragraph" w:styleId="944" w:customStyle="1">
    <w:name w:val="文档结构图1"/>
    <w:basedOn w:val="725"/>
    <w:link w:val="945"/>
    <w:uiPriority w:val="0"/>
    <w:qFormat/>
    <w:rPr>
      <w:rFonts w:ascii="宋体" w:hAnsi="Times New Roman"/>
      <w:sz w:val="18"/>
      <w:szCs w:val="18"/>
    </w:rPr>
  </w:style>
  <w:style w:type="character" w:styleId="945" w:customStyle="1">
    <w:name w:val="文档结构图 Char"/>
    <w:basedOn w:val="938"/>
    <w:link w:val="944"/>
    <w:uiPriority w:val="0"/>
    <w:qFormat/>
    <w:rPr>
      <w:rFonts w:ascii="宋体" w:hAnsi="Times New Roman" w:eastAsia="宋体" w:cs="Times New Roman"/>
      <w:sz w:val="18"/>
      <w:szCs w:val="18"/>
    </w:rPr>
  </w:style>
  <w:style w:type="paragraph" w:styleId="946" w:customStyle="1">
    <w:name w:val="批注文字1"/>
    <w:basedOn w:val="725"/>
    <w:link w:val="947"/>
    <w:uiPriority w:val="0"/>
    <w:qFormat/>
    <w:pPr>
      <w:ind w:firstLine="922"/>
      <w:jc w:val="left"/>
      <w:spacing w:line="360" w:lineRule="auto"/>
    </w:pPr>
    <w:rPr>
      <w:rFonts w:ascii="Times New Roman" w:hAnsi="Times New Roman"/>
      <w:szCs w:val="24"/>
    </w:rPr>
  </w:style>
  <w:style w:type="character" w:styleId="947" w:customStyle="1">
    <w:name w:val="批注文字 Char"/>
    <w:basedOn w:val="938"/>
    <w:link w:val="946"/>
    <w:uiPriority w:val="0"/>
    <w:qFormat/>
    <w:rPr>
      <w:rFonts w:ascii="Times New Roman" w:hAnsi="Times New Roman" w:eastAsia="宋体" w:cs="Times New Roman"/>
      <w:szCs w:val="24"/>
    </w:rPr>
  </w:style>
  <w:style w:type="paragraph" w:styleId="948" w:customStyle="1">
    <w:name w:val="正文文本1"/>
    <w:basedOn w:val="725"/>
    <w:next w:val="725"/>
    <w:link w:val="949"/>
    <w:uiPriority w:val="0"/>
    <w:qFormat/>
    <w:pPr>
      <w:spacing w:after="120"/>
    </w:pPr>
  </w:style>
  <w:style w:type="character" w:styleId="949" w:customStyle="1">
    <w:name w:val="正文文本 Char"/>
    <w:basedOn w:val="938"/>
    <w:link w:val="948"/>
    <w:uiPriority w:val="0"/>
    <w:qFormat/>
    <w:rPr>
      <w:rFonts w:ascii="Calibri" w:hAnsi="Calibri" w:eastAsia="宋体" w:cs="Times New Roman"/>
    </w:rPr>
  </w:style>
  <w:style w:type="paragraph" w:styleId="950" w:customStyle="1">
    <w:name w:val="正文文本缩进1"/>
    <w:basedOn w:val="725"/>
    <w:link w:val="951"/>
    <w:uiPriority w:val="0"/>
    <w:qFormat/>
    <w:pPr>
      <w:ind w:left="420"/>
      <w:spacing w:after="120"/>
    </w:pPr>
    <w:rPr>
      <w:rFonts w:ascii="Times New Roman" w:hAnsi="Times New Roman"/>
      <w:szCs w:val="24"/>
    </w:rPr>
  </w:style>
  <w:style w:type="character" w:styleId="951" w:customStyle="1">
    <w:name w:val="正文文本缩进 Char"/>
    <w:basedOn w:val="938"/>
    <w:link w:val="950"/>
    <w:uiPriority w:val="0"/>
    <w:qFormat/>
    <w:rPr>
      <w:rFonts w:ascii="Times New Roman" w:hAnsi="Times New Roman" w:eastAsia="宋体" w:cs="Times New Roman"/>
      <w:szCs w:val="24"/>
    </w:rPr>
  </w:style>
  <w:style w:type="paragraph" w:styleId="952" w:customStyle="1">
    <w:name w:val="纯文本1"/>
    <w:basedOn w:val="725"/>
    <w:link w:val="953"/>
    <w:uiPriority w:val="0"/>
    <w:qFormat/>
    <w:rPr>
      <w:rFonts w:ascii="宋体" w:hAnsi="Courier New" w:cs="Courier New"/>
      <w:szCs w:val="21"/>
    </w:rPr>
  </w:style>
  <w:style w:type="character" w:styleId="953" w:customStyle="1">
    <w:name w:val="纯文本 Char"/>
    <w:basedOn w:val="938"/>
    <w:link w:val="952"/>
    <w:uiPriority w:val="0"/>
    <w:qFormat/>
    <w:rPr>
      <w:rFonts w:ascii="宋体" w:hAnsi="Courier New" w:eastAsia="宋体" w:cs="Courier New"/>
      <w:szCs w:val="21"/>
    </w:rPr>
  </w:style>
  <w:style w:type="paragraph" w:styleId="954" w:customStyle="1">
    <w:name w:val="日期1"/>
    <w:basedOn w:val="725"/>
    <w:next w:val="725"/>
    <w:link w:val="955"/>
    <w:uiPriority w:val="0"/>
    <w:qFormat/>
    <w:pPr>
      <w:ind w:left="100"/>
    </w:pPr>
    <w:rPr>
      <w:rFonts w:ascii="Times New Roman" w:hAnsi="Times New Roman"/>
    </w:rPr>
  </w:style>
  <w:style w:type="character" w:styleId="955" w:customStyle="1">
    <w:name w:val="日期 Char"/>
    <w:basedOn w:val="938"/>
    <w:link w:val="954"/>
    <w:uiPriority w:val="0"/>
    <w:qFormat/>
    <w:rPr>
      <w:rFonts w:ascii="Times New Roman" w:hAnsi="Times New Roman" w:eastAsia="宋体" w:cs="Times New Roman"/>
    </w:rPr>
  </w:style>
  <w:style w:type="paragraph" w:styleId="956" w:customStyle="1">
    <w:name w:val="批注框文本1"/>
    <w:basedOn w:val="725"/>
    <w:link w:val="957"/>
    <w:uiPriority w:val="0"/>
    <w:qFormat/>
    <w:rPr>
      <w:rFonts w:ascii="Times New Roman" w:hAnsi="Times New Roman"/>
      <w:sz w:val="18"/>
      <w:szCs w:val="18"/>
    </w:rPr>
  </w:style>
  <w:style w:type="character" w:styleId="957" w:customStyle="1">
    <w:name w:val="批注框文本 Char"/>
    <w:basedOn w:val="938"/>
    <w:link w:val="956"/>
    <w:uiPriority w:val="0"/>
    <w:qFormat/>
    <w:rPr>
      <w:rFonts w:ascii="Times New Roman" w:hAnsi="Times New Roman" w:eastAsia="宋体" w:cs="Times New Roman"/>
      <w:sz w:val="18"/>
      <w:szCs w:val="18"/>
    </w:rPr>
  </w:style>
  <w:style w:type="paragraph" w:styleId="958" w:customStyle="1">
    <w:name w:val="页脚1"/>
    <w:basedOn w:val="725"/>
    <w:link w:val="959"/>
    <w:uiPriority w:val="0"/>
    <w:qFormat/>
    <w:pPr>
      <w:jc w:val="left"/>
      <w:tabs>
        <w:tab w:val="center" w:pos="4153" w:leader="none"/>
        <w:tab w:val="right" w:pos="8306" w:leader="none"/>
      </w:tabs>
    </w:pPr>
    <w:rPr>
      <w:rFonts w:ascii="Times New Roman" w:hAnsi="Times New Roman"/>
      <w:sz w:val="18"/>
      <w:szCs w:val="18"/>
    </w:rPr>
  </w:style>
  <w:style w:type="character" w:styleId="959" w:customStyle="1">
    <w:name w:val="页脚 Char"/>
    <w:basedOn w:val="938"/>
    <w:link w:val="958"/>
    <w:uiPriority w:val="0"/>
    <w:qFormat/>
    <w:rPr>
      <w:rFonts w:ascii="Times New Roman" w:hAnsi="Times New Roman" w:eastAsia="宋体" w:cs="Times New Roman"/>
      <w:sz w:val="18"/>
      <w:szCs w:val="18"/>
    </w:rPr>
  </w:style>
  <w:style w:type="paragraph" w:styleId="960" w:customStyle="1">
    <w:name w:val="页眉1"/>
    <w:basedOn w:val="725"/>
    <w:link w:val="961"/>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61" w:customStyle="1">
    <w:name w:val="页眉 Char"/>
    <w:basedOn w:val="938"/>
    <w:link w:val="960"/>
    <w:uiPriority w:val="0"/>
    <w:qFormat/>
    <w:rPr>
      <w:rFonts w:ascii="Times New Roman" w:hAnsi="Times New Roman" w:eastAsia="宋体" w:cs="Times New Roman"/>
      <w:sz w:val="18"/>
      <w:szCs w:val="18"/>
    </w:rPr>
  </w:style>
  <w:style w:type="paragraph" w:styleId="962" w:customStyle="1">
    <w:name w:val="目录 11"/>
    <w:basedOn w:val="725"/>
    <w:next w:val="725"/>
    <w:uiPriority w:val="0"/>
    <w:qFormat/>
    <w:pPr>
      <w:jc w:val="center"/>
      <w:tabs>
        <w:tab w:val="right" w:pos="8296" w:leader="dot"/>
      </w:tabs>
    </w:pPr>
    <w:rPr>
      <w:rFonts w:ascii="黑体" w:hAnsi="黑体" w:eastAsia="黑体"/>
      <w:sz w:val="44"/>
      <w:szCs w:val="44"/>
    </w:rPr>
  </w:style>
  <w:style w:type="paragraph" w:styleId="963" w:customStyle="1">
    <w:name w:val="普通(网站)1"/>
    <w:basedOn w:val="725"/>
    <w:uiPriority w:val="0"/>
    <w:qFormat/>
    <w:rPr>
      <w:rFonts w:ascii="Times New Roman" w:hAnsi="Times New Roman"/>
      <w:sz w:val="24"/>
    </w:rPr>
  </w:style>
  <w:style w:type="table" w:styleId="964" w:customStyle="1">
    <w:name w:val="网格型1"/>
    <w:basedOn w:val="939"/>
    <w:uiPriority w:val="0"/>
    <w:qFormat/>
    <w:tblPr/>
  </w:style>
  <w:style w:type="character" w:styleId="965" w:customStyle="1">
    <w:name w:val="超链接1"/>
    <w:uiPriority w:val="0"/>
    <w:qFormat/>
    <w:rPr>
      <w:rFonts w:ascii="Times New Roman" w:hAnsi="Times New Roman" w:eastAsia="宋体" w:cs="Times New Roman"/>
      <w:color w:val="0000ff"/>
      <w:u w:val="none"/>
    </w:rPr>
  </w:style>
  <w:style w:type="character" w:styleId="966" w:customStyle="1">
    <w:name w:val="批注引用1"/>
    <w:uiPriority w:val="0"/>
    <w:qFormat/>
    <w:rPr>
      <w:rFonts w:ascii="Times New Roman" w:hAnsi="Times New Roman" w:eastAsia="宋体" w:cs="Times New Roman"/>
      <w:sz w:val="21"/>
      <w:szCs w:val="21"/>
    </w:rPr>
  </w:style>
  <w:style w:type="paragraph" w:styleId="96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68" w:customStyle="1">
    <w:name w:val="列出段落1"/>
    <w:basedOn w:val="725"/>
    <w:uiPriority w:val="0"/>
    <w:qFormat/>
    <w:pPr>
      <w:ind w:firstLine="420"/>
    </w:pPr>
    <w:rPr>
      <w:rFonts w:ascii="Times New Roman" w:hAnsi="Times New Roman"/>
      <w:szCs w:val="21"/>
    </w:rPr>
  </w:style>
  <w:style w:type="paragraph" w:styleId="969" w:customStyle="1">
    <w:name w:val="无间隔1"/>
    <w:basedOn w:val="725"/>
    <w:uiPriority w:val="0"/>
    <w:qFormat/>
    <w:rPr>
      <w:rFonts w:ascii="Times New Roman" w:hAnsi="Times New Roman"/>
    </w:rPr>
  </w:style>
  <w:style w:type="paragraph" w:styleId="970" w:customStyle="1">
    <w:name w:val="正文文本11"/>
    <w:basedOn w:val="725"/>
    <w:next w:val="725"/>
    <w:uiPriority w:val="0"/>
    <w:qFormat/>
    <w:rPr>
      <w:rFonts w:ascii="楷体_GB2312" w:hAnsi="Arial" w:eastAsia="楷体_GB2312"/>
      <w:sz w:val="28"/>
      <w:szCs w:val="28"/>
      <w:lang w:eastAsia="en-US"/>
    </w:rPr>
  </w:style>
  <w:style w:type="paragraph" w:styleId="971" w:customStyle="1">
    <w:name w:val="正文首行缩进11"/>
    <w:basedOn w:val="970"/>
    <w:uiPriority w:val="0"/>
    <w:qFormat/>
    <w:pPr>
      <w:ind w:firstLine="200"/>
      <w:spacing w:line="360" w:lineRule="auto"/>
    </w:pPr>
    <w:rPr>
      <w:rFonts w:ascii="仿宋_GB2312" w:hAnsi="Times New Roman" w:eastAsia="仿宋_GB2312"/>
      <w:sz w:val="30"/>
      <w:szCs w:val="30"/>
    </w:rPr>
  </w:style>
  <w:style w:type="paragraph" w:styleId="972" w:customStyle="1">
    <w:name w:val="head 1.1"/>
    <w:basedOn w:val="973"/>
    <w:uiPriority w:val="0"/>
    <w:qFormat/>
    <w:pPr>
      <w:numPr>
        <w:ilvl w:val="1"/>
        <w:numId w:val="1"/>
      </w:numPr>
      <w:ind w:firstLine="0"/>
      <w:spacing w:before="260" w:after="260"/>
    </w:pPr>
    <w:rPr>
      <w:rFonts w:eastAsia="宋体" w:asciiTheme="minorEastAsia" w:hAnsiTheme="minorEastAsia"/>
      <w:bCs/>
      <w:szCs w:val="24"/>
    </w:rPr>
  </w:style>
  <w:style w:type="paragraph" w:styleId="973" w:customStyle="1">
    <w:name w:val="列表段落1"/>
    <w:basedOn w:val="725"/>
    <w:uiPriority w:val="34"/>
    <w:qFormat/>
    <w:pPr>
      <w:ind w:firstLine="420"/>
      <w:jc w:val="left"/>
      <w:spacing w:after="200"/>
      <w:widowControl/>
    </w:pPr>
    <w:rPr>
      <w:rFonts w:ascii="Tahoma" w:hAnsi="Tahoma" w:eastAsia="微软雅黑"/>
      <w:sz w:val="22"/>
    </w:rPr>
  </w:style>
  <w:style w:type="paragraph" w:styleId="974" w:customStyle="1">
    <w:name w:val="head 1.1.1"/>
    <w:basedOn w:val="973"/>
    <w:uiPriority w:val="0"/>
    <w:qFormat/>
    <w:pPr>
      <w:numPr>
        <w:ilvl w:val="2"/>
        <w:numId w:val="1"/>
      </w:numPr>
      <w:ind w:firstLine="0"/>
    </w:pPr>
    <w:rPr>
      <w:rFonts w:ascii="Times New Roman" w:hAnsi="Times New Roman" w:eastAsia="宋体"/>
      <w:bCs/>
      <w:szCs w:val="24"/>
    </w:rPr>
  </w:style>
  <w:style w:type="character" w:styleId="975" w:customStyle="1">
    <w:name w:val="批注框文本 字符"/>
    <w:basedOn w:val="735"/>
    <w:link w:val="748"/>
    <w:uiPriority w:val="99"/>
    <w:semiHidden/>
    <w:qFormat/>
    <w:rPr>
      <w:rFonts w:ascii="Calibri" w:hAnsi="Calibri"/>
      <w:sz w:val="18"/>
      <w:szCs w:val="18"/>
    </w:rPr>
  </w:style>
  <w:style w:type="character" w:styleId="976" w:customStyle="1">
    <w:name w:val="批注文字 字符"/>
    <w:basedOn w:val="735"/>
    <w:link w:val="740"/>
    <w:uiPriority w:val="99"/>
    <w:semiHidden/>
    <w:qFormat/>
    <w:rPr>
      <w:rFonts w:ascii="Calibri" w:hAnsi="Calibri"/>
      <w:sz w:val="21"/>
      <w:szCs w:val="22"/>
    </w:rPr>
  </w:style>
  <w:style w:type="character" w:styleId="977" w:customStyle="1">
    <w:name w:val="批注主题 字符"/>
    <w:basedOn w:val="976"/>
    <w:link w:val="760"/>
    <w:uiPriority w:val="99"/>
    <w:semiHidden/>
    <w:qFormat/>
    <w:rPr>
      <w:rFonts w:ascii="Calibri" w:hAnsi="Calibri"/>
      <w:b/>
      <w:bCs/>
      <w:sz w:val="21"/>
      <w:szCs w:val="22"/>
    </w:rPr>
  </w:style>
  <w:style w:type="numbering" w:styleId="9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dc:creator>
  <dc:description>2024年8</dc:description>
  <cp:lastModifiedBy>陈岩</cp:lastModifiedBy>
  <cp:revision>40</cp:revision>
  <dcterms:created xsi:type="dcterms:W3CDTF">2025-09-09T08:03:00Z</dcterms:created>
  <dcterms:modified xsi:type="dcterms:W3CDTF">2026-08-24T09:41:08Z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eyJoZGlkIjoiYWYyNWYzZTMyZjU5YmU5MzY0MjRkYmM3ZTUzMGM1NjkiLCJ1c2VySWQiOiI5MjU1NTA0NDYifQ==</vt:lpwstr>
  </property>
  <property fmtid="{D5CDD505-2E9C-101B-9397-08002B2CF9AE}" pid="3" name="KSOProductBuildVer">
    <vt:lpwstr>2052-12.1.0.26391</vt:lpwstr>
  </property>
  <property fmtid="{D5CDD505-2E9C-101B-9397-08002B2CF9AE}" pid="4" name="ICV">
    <vt:lpwstr>BFC1CB1DE167497CB12A61A2B07FD31A_13</vt:lpwstr>
  </property>
</Properties>
</file>